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5DFAB" w14:textId="77777777" w:rsidR="00CA6668" w:rsidRDefault="00CA6668"/>
    <w:p w14:paraId="79D0C13E" w14:textId="77777777" w:rsidR="000F5408" w:rsidRDefault="000F5408"/>
    <w:p w14:paraId="589260D5" w14:textId="77777777" w:rsidR="000F5408" w:rsidRDefault="000F5408"/>
    <w:p w14:paraId="0299A838" w14:textId="77777777" w:rsidR="000F5408" w:rsidRDefault="000F5408"/>
    <w:p w14:paraId="5BD721D7" w14:textId="77777777" w:rsidR="000F5408" w:rsidRDefault="000F5408"/>
    <w:p w14:paraId="673A2978" w14:textId="77777777" w:rsidR="000F5408" w:rsidRDefault="000F5408"/>
    <w:p w14:paraId="3D55D4CF" w14:textId="77777777" w:rsidR="000F5408" w:rsidRDefault="000F5408"/>
    <w:p w14:paraId="20D1D87A" w14:textId="77777777" w:rsidR="000F5408" w:rsidRDefault="000F5408"/>
    <w:p w14:paraId="2749F3FE"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5B2230F6"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r w:rsidRPr="000F5408">
        <w:rPr>
          <w:rFonts w:ascii="Times New Roman" w:eastAsia="Calibri" w:hAnsi="Times New Roman"/>
          <w:b/>
          <w:bCs/>
          <w:sz w:val="36"/>
          <w:szCs w:val="36"/>
          <w:lang w:val="en-US" w:eastAsia="en-US" w:bidi="ur-PK"/>
        </w:rPr>
        <w:t>Digital Health Transformation and Telemedicine Adoption: A Comparative Systematic Review of the UK and Pakistan</w:t>
      </w:r>
    </w:p>
    <w:p w14:paraId="49BD3777"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7B05B1DC"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48538C3"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5DF63CA"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0603F2C9"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6085B78C"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04DF6E59"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0A9902CF"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B0D74B3"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3E42C507"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28D7AC2"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8AB1675"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46893FE6"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1A6539A4"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38610F50"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7E953584"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3D3317C4"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6C239C22"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D29ADB4"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32F994DA"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BD04D75"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7138484F"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173AF17E"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4B4F2CBD"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377430D1"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7F8199D0"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29F6C33D"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7AACCC9B" w14:textId="77777777" w:rsidR="000F5408" w:rsidRPr="000F5408" w:rsidRDefault="000F5408" w:rsidP="000F5408">
      <w:pPr>
        <w:bidi/>
        <w:spacing w:line="240" w:lineRule="auto"/>
        <w:jc w:val="center"/>
        <w:rPr>
          <w:rFonts w:ascii="Times New Roman" w:eastAsia="Calibri" w:hAnsi="Times New Roman"/>
          <w:b/>
          <w:bCs/>
          <w:sz w:val="36"/>
          <w:szCs w:val="36"/>
          <w:lang w:val="en-US" w:eastAsia="en-US" w:bidi="ur-PK"/>
        </w:rPr>
      </w:pPr>
    </w:p>
    <w:p w14:paraId="52324128" w14:textId="77777777" w:rsidR="000F5408" w:rsidRPr="000F5408" w:rsidRDefault="000F5408" w:rsidP="000F5408">
      <w:pPr>
        <w:spacing w:line="240" w:lineRule="auto"/>
        <w:rPr>
          <w:rFonts w:ascii="Times New Roman" w:hAnsi="Times New Roman"/>
          <w:b/>
          <w:bCs/>
          <w:sz w:val="36"/>
          <w:szCs w:val="36"/>
          <w:lang w:val="en-US" w:eastAsia="en-US" w:bidi="ur-PK"/>
        </w:rPr>
      </w:pPr>
    </w:p>
    <w:p w14:paraId="6CFA7644" w14:textId="77777777" w:rsidR="000F5408" w:rsidRDefault="000F5408" w:rsidP="000F5408">
      <w:pPr>
        <w:spacing w:after="400" w:line="240" w:lineRule="auto"/>
        <w:jc w:val="center"/>
        <w:outlineLvl w:val="0"/>
        <w:rPr>
          <w:rFonts w:ascii="Times New Roman" w:hAnsi="Times New Roman"/>
          <w:b/>
          <w:bCs/>
          <w:sz w:val="32"/>
          <w:szCs w:val="32"/>
          <w:lang w:val="en-US" w:eastAsia="en-US" w:bidi="ur-PK"/>
        </w:rPr>
      </w:pPr>
    </w:p>
    <w:p w14:paraId="099E25D4" w14:textId="77777777" w:rsidR="000F5408" w:rsidRPr="000F5408" w:rsidRDefault="000F5408" w:rsidP="000F5408">
      <w:pPr>
        <w:spacing w:after="400" w:line="240" w:lineRule="auto"/>
        <w:jc w:val="center"/>
        <w:outlineLvl w:val="0"/>
        <w:rPr>
          <w:rFonts w:ascii="Times New Roman" w:hAnsi="Times New Roman"/>
          <w:b/>
          <w:bCs/>
          <w:sz w:val="32"/>
          <w:szCs w:val="32"/>
          <w:lang w:val="en-US" w:eastAsia="en-US" w:bidi="ur-PK"/>
        </w:rPr>
      </w:pPr>
    </w:p>
    <w:p w14:paraId="5F980DA1" w14:textId="77777777" w:rsidR="000F5408" w:rsidRPr="000F5408" w:rsidRDefault="000F5408" w:rsidP="000F5408">
      <w:pPr>
        <w:spacing w:after="400" w:line="240" w:lineRule="auto"/>
        <w:jc w:val="center"/>
        <w:outlineLvl w:val="0"/>
        <w:rPr>
          <w:rFonts w:ascii="Times New Roman" w:hAnsi="Times New Roman"/>
          <w:b/>
          <w:bCs/>
          <w:sz w:val="32"/>
          <w:szCs w:val="32"/>
          <w:lang w:val="en-US" w:eastAsia="en-US" w:bidi="ur-PK"/>
        </w:rPr>
      </w:pPr>
    </w:p>
    <w:p w14:paraId="674FCE4D" w14:textId="77777777" w:rsidR="000F5408" w:rsidRPr="000F5408" w:rsidRDefault="000F5408" w:rsidP="000F5408">
      <w:pPr>
        <w:spacing w:after="400" w:line="240" w:lineRule="auto"/>
        <w:jc w:val="center"/>
        <w:outlineLvl w:val="0"/>
        <w:rPr>
          <w:rFonts w:ascii="Times New Roman" w:hAnsi="Times New Roman"/>
          <w:sz w:val="32"/>
          <w:szCs w:val="32"/>
          <w:lang w:val="en-US" w:eastAsia="en-US" w:bidi="ur-PK"/>
        </w:rPr>
      </w:pPr>
      <w:bookmarkStart w:id="0" w:name="_Toc239804192"/>
      <w:r w:rsidRPr="000F5408">
        <w:rPr>
          <w:rFonts w:ascii="Times New Roman" w:hAnsi="Times New Roman"/>
          <w:b/>
          <w:bCs/>
          <w:sz w:val="32"/>
          <w:szCs w:val="32"/>
          <w:lang w:val="en-US" w:eastAsia="en-US" w:bidi="ur-PK"/>
        </w:rPr>
        <w:t>ABSTRACT</w:t>
      </w:r>
      <w:bookmarkEnd w:id="0"/>
    </w:p>
    <w:p w14:paraId="7BAA40A0" w14:textId="1DCFBD8F" w:rsidR="000F5408" w:rsidRPr="000F5408" w:rsidRDefault="000F5408" w:rsidP="009E4994">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Telemedicine adoption varies markedly between healthcare systems of differing digital maturity, yet comparative evidence connecting a developed and a developing health system remains scarce. This dissertation critically examines the process of digital health transformation and telemedicine adoption in the United Kingdom and Pakistan through a comparative systematic literature review, addressing three gaps in the existing literature: the absence of direct UK-Pakistan comparison, the dominance of individual-level technology-acceptance models over system-level outcome evidence, and the lack of assessment of which implementation lessons are structurally transferable between contexts. Following PRISMA 2020 guidelines, a systematic search of Scopus and Web of Science ident</w:t>
      </w:r>
      <w:r w:rsidR="00F15505">
        <w:rPr>
          <w:rFonts w:ascii="Times New Roman" w:hAnsi="Times New Roman"/>
          <w:lang w:val="en-US" w:eastAsia="en-US" w:bidi="ur-PK"/>
        </w:rPr>
        <w:t>ified 374 records, from which 32</w:t>
      </w:r>
      <w:r w:rsidRPr="000F5408">
        <w:rPr>
          <w:rFonts w:ascii="Times New Roman" w:hAnsi="Times New Roman"/>
          <w:lang w:val="en-US" w:eastAsia="en-US" w:bidi="ur-PK"/>
        </w:rPr>
        <w:t xml:space="preserve"> studies met the eligibility criteria and were thematically </w:t>
      </w:r>
      <w:proofErr w:type="spellStart"/>
      <w:r w:rsidRPr="000F5408">
        <w:rPr>
          <w:rFonts w:ascii="Times New Roman" w:hAnsi="Times New Roman"/>
          <w:lang w:val="en-US" w:eastAsia="en-US" w:bidi="ur-PK"/>
        </w:rPr>
        <w:t>analysed</w:t>
      </w:r>
      <w:proofErr w:type="spellEnd"/>
      <w:r w:rsidRPr="000F5408">
        <w:rPr>
          <w:rFonts w:ascii="Times New Roman" w:hAnsi="Times New Roman"/>
          <w:lang w:val="en-US" w:eastAsia="en-US" w:bidi="ur-PK"/>
        </w:rPr>
        <w:t xml:space="preserve"> using Braun and Clarke's six-stage framework, informed by the Technology Acceptance Model, the Unified Theory of Acceptance and Use of Technology, and Diffusion of Innovation theory. The synthesis shows that telemedicine adoption in both countries is shaped by overlapping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individual, socioeconomic, and regulatory factors, but that these factors interact and compound one another rather than operating independently, and that their relative importance differs by clinical domain and health system. The United Kingdom and Pakistan were found to face structurally different implementation problems rather than simply differing in degree: the UK's residual challenges </w:t>
      </w:r>
      <w:proofErr w:type="spellStart"/>
      <w:r w:rsidRPr="000F5408">
        <w:rPr>
          <w:rFonts w:ascii="Times New Roman" w:hAnsi="Times New Roman"/>
          <w:lang w:val="en-US" w:eastAsia="en-US" w:bidi="ur-PK"/>
        </w:rPr>
        <w:t>centre</w:t>
      </w:r>
      <w:proofErr w:type="spellEnd"/>
      <w:r w:rsidRPr="000F5408">
        <w:rPr>
          <w:rFonts w:ascii="Times New Roman" w:hAnsi="Times New Roman"/>
          <w:lang w:val="en-US" w:eastAsia="en-US" w:bidi="ur-PK"/>
        </w:rPr>
        <w:t xml:space="preserve"> on equity and the clinical validity of remote assessment within an already governance-mature system, while Pakistan's </w:t>
      </w:r>
      <w:proofErr w:type="spellStart"/>
      <w:r w:rsidRPr="000F5408">
        <w:rPr>
          <w:rFonts w:ascii="Times New Roman" w:hAnsi="Times New Roman"/>
          <w:lang w:val="en-US" w:eastAsia="en-US" w:bidi="ur-PK"/>
        </w:rPr>
        <w:t>centre</w:t>
      </w:r>
      <w:proofErr w:type="spellEnd"/>
      <w:r w:rsidRPr="000F5408">
        <w:rPr>
          <w:rFonts w:ascii="Times New Roman" w:hAnsi="Times New Roman"/>
          <w:lang w:val="en-US" w:eastAsia="en-US" w:bidi="ur-PK"/>
        </w:rPr>
        <w:t xml:space="preserve"> on regulatory absence and the interaction of infrastructural and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constraints within a privately led, pandemic-accelerated sector. A structured transferability analysis distinguishes UK practices that are procedurally transferable to Pakistan, such as formative evaluation and co-design, from those bound to funding and governance models unlikely to be replicated in the short term. The dissertation concludes with evidence-based, context-sensitive recommendations for strengthening digital health transformation in developing healthcare systems, without assuming that success within a mature, publicly funded system can be directly transplanted into a nascent, privately led one.</w:t>
      </w:r>
    </w:p>
    <w:p w14:paraId="4D7E4677" w14:textId="77777777" w:rsidR="000F5408" w:rsidRPr="000F5408" w:rsidRDefault="000F5408" w:rsidP="000F5408">
      <w:pPr>
        <w:spacing w:after="200" w:line="480" w:lineRule="auto"/>
        <w:jc w:val="both"/>
        <w:rPr>
          <w:rFonts w:ascii="Times New Roman" w:hAnsi="Times New Roman"/>
          <w:sz w:val="20"/>
          <w:szCs w:val="20"/>
          <w:lang w:val="en-US" w:eastAsia="en-US" w:bidi="ur-PK"/>
        </w:rPr>
      </w:pPr>
      <w:r w:rsidRPr="000F5408">
        <w:rPr>
          <w:rFonts w:ascii="Times New Roman" w:hAnsi="Times New Roman"/>
          <w:i/>
          <w:iCs/>
          <w:sz w:val="22"/>
          <w:szCs w:val="22"/>
          <w:lang w:val="en-US" w:eastAsia="en-US" w:bidi="ur-PK"/>
        </w:rPr>
        <w:lastRenderedPageBreak/>
        <w:t>Keywords: telemedicine, digital health transformation, systematic literature review, United Kingdom, Pakistan, technology acceptance, diffusion of innovation, healthcare policy</w:t>
      </w:r>
    </w:p>
    <w:p w14:paraId="00622551"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503E3EFC" w14:textId="77777777" w:rsidR="000F5408" w:rsidRDefault="000F5408" w:rsidP="000F5408">
      <w:pPr>
        <w:bidi/>
        <w:spacing w:after="400" w:line="240" w:lineRule="auto"/>
        <w:rPr>
          <w:rFonts w:ascii="Times New Roman" w:hAnsi="Times New Roman"/>
          <w:b/>
          <w:bCs/>
          <w:sz w:val="32"/>
          <w:szCs w:val="32"/>
          <w:lang w:val="en-US" w:eastAsia="en-US" w:bidi="ur-PK"/>
        </w:rPr>
      </w:pPr>
    </w:p>
    <w:p w14:paraId="3F57F35A" w14:textId="77777777" w:rsidR="009E4994" w:rsidRPr="000F5408" w:rsidRDefault="009E4994" w:rsidP="009E4994">
      <w:pPr>
        <w:bidi/>
        <w:spacing w:after="400" w:line="240" w:lineRule="auto"/>
        <w:rPr>
          <w:rFonts w:ascii="Times New Roman" w:hAnsi="Times New Roman"/>
          <w:b/>
          <w:bCs/>
          <w:sz w:val="32"/>
          <w:szCs w:val="32"/>
          <w:lang w:val="en-US" w:eastAsia="en-US" w:bidi="ur-PK"/>
        </w:rPr>
      </w:pPr>
    </w:p>
    <w:sdt>
      <w:sdtPr>
        <w:rPr>
          <w:rFonts w:ascii="Helvetica" w:eastAsia="Times New Roman" w:hAnsi="Helvetica" w:cs="Times New Roman"/>
          <w:color w:val="auto"/>
          <w:sz w:val="24"/>
          <w:szCs w:val="24"/>
        </w:rPr>
        <w:id w:val="22759140"/>
        <w:docPartObj>
          <w:docPartGallery w:val="Table of Contents"/>
          <w:docPartUnique/>
        </w:docPartObj>
      </w:sdtPr>
      <w:sdtEndPr/>
      <w:sdtContent>
        <w:p w14:paraId="32AFE928" w14:textId="51F6B5EA" w:rsidR="008F1F88" w:rsidRDefault="008F1F88">
          <w:pPr>
            <w:pStyle w:val="TOCHeading"/>
          </w:pPr>
          <w:r>
            <w:t>Table of Contents</w:t>
          </w:r>
        </w:p>
        <w:p w14:paraId="2A020A33" w14:textId="77777777" w:rsidR="008F1F88" w:rsidRDefault="008F1F88">
          <w:pPr>
            <w:pStyle w:val="TOC1"/>
            <w:tabs>
              <w:tab w:val="right" w:leader="dot" w:pos="9897"/>
            </w:tabs>
            <w:rPr>
              <w:rFonts w:asciiTheme="minorHAnsi" w:eastAsiaTheme="minorEastAsia" w:hAnsiTheme="minorHAnsi" w:cstheme="minorBidi"/>
              <w:noProof/>
              <w:sz w:val="22"/>
              <w:szCs w:val="22"/>
              <w:lang w:val="en-US" w:eastAsia="en-US" w:bidi="ur-PK"/>
            </w:rPr>
          </w:pPr>
          <w:r>
            <w:fldChar w:fldCharType="begin"/>
          </w:r>
          <w:r>
            <w:instrText xml:space="preserve"> TOC \o "1-3" \h \z \u </w:instrText>
          </w:r>
          <w:r>
            <w:fldChar w:fldCharType="separate"/>
          </w:r>
          <w:hyperlink w:anchor="_Toc239804190" w:history="1">
            <w:r w:rsidRPr="00DA240E">
              <w:rPr>
                <w:rStyle w:val="Hyperlink"/>
                <w:noProof/>
              </w:rPr>
              <w:t>The Coversheet</w:t>
            </w:r>
            <w:r>
              <w:rPr>
                <w:noProof/>
                <w:webHidden/>
              </w:rPr>
              <w:tab/>
            </w:r>
            <w:r>
              <w:rPr>
                <w:rStyle w:val="Hyperlink"/>
                <w:noProof/>
                <w:rtl/>
              </w:rPr>
              <w:fldChar w:fldCharType="begin"/>
            </w:r>
            <w:r>
              <w:rPr>
                <w:noProof/>
                <w:webHidden/>
              </w:rPr>
              <w:instrText xml:space="preserve"> PAGEREF _Toc239804190 \h </w:instrText>
            </w:r>
            <w:r>
              <w:rPr>
                <w:rStyle w:val="Hyperlink"/>
                <w:noProof/>
                <w:rtl/>
              </w:rPr>
            </w:r>
            <w:r>
              <w:rPr>
                <w:rStyle w:val="Hyperlink"/>
                <w:noProof/>
                <w:rtl/>
              </w:rPr>
              <w:fldChar w:fldCharType="separate"/>
            </w:r>
            <w:r w:rsidR="00E83FD1">
              <w:rPr>
                <w:noProof/>
                <w:webHidden/>
              </w:rPr>
              <w:t>1</w:t>
            </w:r>
            <w:r>
              <w:rPr>
                <w:rStyle w:val="Hyperlink"/>
                <w:noProof/>
                <w:rtl/>
              </w:rPr>
              <w:fldChar w:fldCharType="end"/>
            </w:r>
          </w:hyperlink>
        </w:p>
        <w:p w14:paraId="2B4E1282"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191" w:history="1">
            <w:r w:rsidR="008F1F88" w:rsidRPr="00DA240E">
              <w:rPr>
                <w:rStyle w:val="Hyperlink"/>
                <w:noProof/>
              </w:rPr>
              <w:t>Assessor’s Feedback (may be delivered in line with the submission)</w:t>
            </w:r>
            <w:r w:rsidR="008F1F88">
              <w:rPr>
                <w:noProof/>
                <w:webHidden/>
              </w:rPr>
              <w:tab/>
            </w:r>
            <w:r w:rsidR="008F1F88">
              <w:rPr>
                <w:rStyle w:val="Hyperlink"/>
                <w:noProof/>
                <w:rtl/>
              </w:rPr>
              <w:fldChar w:fldCharType="begin"/>
            </w:r>
            <w:r w:rsidR="008F1F88">
              <w:rPr>
                <w:noProof/>
                <w:webHidden/>
              </w:rPr>
              <w:instrText xml:space="preserve"> PAGEREF _Toc239804191 \h </w:instrText>
            </w:r>
            <w:r w:rsidR="008F1F88">
              <w:rPr>
                <w:rStyle w:val="Hyperlink"/>
                <w:noProof/>
                <w:rtl/>
              </w:rPr>
            </w:r>
            <w:r w:rsidR="008F1F88">
              <w:rPr>
                <w:rStyle w:val="Hyperlink"/>
                <w:noProof/>
                <w:rtl/>
              </w:rPr>
              <w:fldChar w:fldCharType="separate"/>
            </w:r>
            <w:r w:rsidR="00E83FD1">
              <w:rPr>
                <w:noProof/>
                <w:webHidden/>
              </w:rPr>
              <w:t>2</w:t>
            </w:r>
            <w:r w:rsidR="008F1F88">
              <w:rPr>
                <w:rStyle w:val="Hyperlink"/>
                <w:noProof/>
                <w:rtl/>
              </w:rPr>
              <w:fldChar w:fldCharType="end"/>
            </w:r>
          </w:hyperlink>
        </w:p>
        <w:p w14:paraId="6D28BFBE"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192" w:history="1">
            <w:r w:rsidR="008F1F88" w:rsidRPr="00DA240E">
              <w:rPr>
                <w:rStyle w:val="Hyperlink"/>
                <w:rFonts w:ascii="Times New Roman" w:hAnsi="Times New Roman"/>
                <w:b/>
                <w:bCs/>
                <w:noProof/>
                <w:lang w:val="en-US" w:eastAsia="en-US"/>
              </w:rPr>
              <w:t>ABSTRACT</w:t>
            </w:r>
            <w:r w:rsidR="008F1F88">
              <w:rPr>
                <w:noProof/>
                <w:webHidden/>
              </w:rPr>
              <w:tab/>
            </w:r>
            <w:r w:rsidR="008F1F88">
              <w:rPr>
                <w:rStyle w:val="Hyperlink"/>
                <w:noProof/>
                <w:rtl/>
              </w:rPr>
              <w:fldChar w:fldCharType="begin"/>
            </w:r>
            <w:r w:rsidR="008F1F88">
              <w:rPr>
                <w:noProof/>
                <w:webHidden/>
              </w:rPr>
              <w:instrText xml:space="preserve"> PAGEREF _Toc239804192 \h </w:instrText>
            </w:r>
            <w:r w:rsidR="008F1F88">
              <w:rPr>
                <w:rStyle w:val="Hyperlink"/>
                <w:noProof/>
                <w:rtl/>
              </w:rPr>
            </w:r>
            <w:r w:rsidR="008F1F88">
              <w:rPr>
                <w:rStyle w:val="Hyperlink"/>
                <w:noProof/>
                <w:rtl/>
              </w:rPr>
              <w:fldChar w:fldCharType="separate"/>
            </w:r>
            <w:r w:rsidR="00E83FD1">
              <w:rPr>
                <w:noProof/>
                <w:webHidden/>
              </w:rPr>
              <w:t>4</w:t>
            </w:r>
            <w:r w:rsidR="008F1F88">
              <w:rPr>
                <w:rStyle w:val="Hyperlink"/>
                <w:noProof/>
                <w:rtl/>
              </w:rPr>
              <w:fldChar w:fldCharType="end"/>
            </w:r>
          </w:hyperlink>
        </w:p>
        <w:p w14:paraId="4F50D6E8"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193" w:history="1">
            <w:r w:rsidR="008F1F88" w:rsidRPr="00DA240E">
              <w:rPr>
                <w:rStyle w:val="Hyperlink"/>
                <w:rFonts w:ascii="Times New Roman" w:hAnsi="Times New Roman"/>
                <w:b/>
                <w:bCs/>
                <w:noProof/>
                <w:lang w:val="en-US" w:eastAsia="en-US"/>
              </w:rPr>
              <w:t>1.1 Introduction</w:t>
            </w:r>
            <w:r w:rsidR="008F1F88">
              <w:rPr>
                <w:noProof/>
                <w:webHidden/>
              </w:rPr>
              <w:tab/>
            </w:r>
            <w:r w:rsidR="008F1F88">
              <w:rPr>
                <w:rStyle w:val="Hyperlink"/>
                <w:noProof/>
                <w:rtl/>
              </w:rPr>
              <w:fldChar w:fldCharType="begin"/>
            </w:r>
            <w:r w:rsidR="008F1F88">
              <w:rPr>
                <w:noProof/>
                <w:webHidden/>
              </w:rPr>
              <w:instrText xml:space="preserve"> PAGEREF _Toc239804193 \h </w:instrText>
            </w:r>
            <w:r w:rsidR="008F1F88">
              <w:rPr>
                <w:rStyle w:val="Hyperlink"/>
                <w:noProof/>
                <w:rtl/>
              </w:rPr>
            </w:r>
            <w:r w:rsidR="008F1F88">
              <w:rPr>
                <w:rStyle w:val="Hyperlink"/>
                <w:noProof/>
                <w:rtl/>
              </w:rPr>
              <w:fldChar w:fldCharType="separate"/>
            </w:r>
            <w:r w:rsidR="00E83FD1">
              <w:rPr>
                <w:noProof/>
                <w:webHidden/>
              </w:rPr>
              <w:t>7</w:t>
            </w:r>
            <w:r w:rsidR="008F1F88">
              <w:rPr>
                <w:rStyle w:val="Hyperlink"/>
                <w:noProof/>
                <w:rtl/>
              </w:rPr>
              <w:fldChar w:fldCharType="end"/>
            </w:r>
          </w:hyperlink>
        </w:p>
        <w:p w14:paraId="6B5157EC"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194" w:history="1">
            <w:r w:rsidR="008F1F88" w:rsidRPr="00DA240E">
              <w:rPr>
                <w:rStyle w:val="Hyperlink"/>
                <w:rFonts w:ascii="Times New Roman" w:hAnsi="Times New Roman"/>
                <w:b/>
                <w:bCs/>
                <w:noProof/>
                <w:lang w:val="en-US" w:eastAsia="en-US"/>
              </w:rPr>
              <w:t>1.2 Background of the Study</w:t>
            </w:r>
            <w:r w:rsidR="008F1F88">
              <w:rPr>
                <w:noProof/>
                <w:webHidden/>
              </w:rPr>
              <w:tab/>
            </w:r>
            <w:r w:rsidR="008F1F88">
              <w:rPr>
                <w:rStyle w:val="Hyperlink"/>
                <w:noProof/>
                <w:rtl/>
              </w:rPr>
              <w:fldChar w:fldCharType="begin"/>
            </w:r>
            <w:r w:rsidR="008F1F88">
              <w:rPr>
                <w:noProof/>
                <w:webHidden/>
              </w:rPr>
              <w:instrText xml:space="preserve"> PAGEREF _Toc239804194 \h </w:instrText>
            </w:r>
            <w:r w:rsidR="008F1F88">
              <w:rPr>
                <w:rStyle w:val="Hyperlink"/>
                <w:noProof/>
                <w:rtl/>
              </w:rPr>
            </w:r>
            <w:r w:rsidR="008F1F88">
              <w:rPr>
                <w:rStyle w:val="Hyperlink"/>
                <w:noProof/>
                <w:rtl/>
              </w:rPr>
              <w:fldChar w:fldCharType="separate"/>
            </w:r>
            <w:r w:rsidR="00E83FD1">
              <w:rPr>
                <w:noProof/>
                <w:webHidden/>
              </w:rPr>
              <w:t>7</w:t>
            </w:r>
            <w:r w:rsidR="008F1F88">
              <w:rPr>
                <w:rStyle w:val="Hyperlink"/>
                <w:noProof/>
                <w:rtl/>
              </w:rPr>
              <w:fldChar w:fldCharType="end"/>
            </w:r>
          </w:hyperlink>
        </w:p>
        <w:p w14:paraId="2AA6EA2D"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195" w:history="1">
            <w:r w:rsidR="008F1F88" w:rsidRPr="00DA240E">
              <w:rPr>
                <w:rStyle w:val="Hyperlink"/>
                <w:rFonts w:ascii="Times New Roman" w:hAnsi="Times New Roman"/>
                <w:b/>
                <w:bCs/>
                <w:noProof/>
                <w:lang w:val="en-US" w:eastAsia="en-US"/>
              </w:rPr>
              <w:t>1.3 Problem Statement</w:t>
            </w:r>
            <w:r w:rsidR="008F1F88">
              <w:rPr>
                <w:noProof/>
                <w:webHidden/>
              </w:rPr>
              <w:tab/>
            </w:r>
            <w:r w:rsidR="008F1F88">
              <w:rPr>
                <w:rStyle w:val="Hyperlink"/>
                <w:noProof/>
                <w:rtl/>
              </w:rPr>
              <w:fldChar w:fldCharType="begin"/>
            </w:r>
            <w:r w:rsidR="008F1F88">
              <w:rPr>
                <w:noProof/>
                <w:webHidden/>
              </w:rPr>
              <w:instrText xml:space="preserve"> PAGEREF _Toc239804195 \h </w:instrText>
            </w:r>
            <w:r w:rsidR="008F1F88">
              <w:rPr>
                <w:rStyle w:val="Hyperlink"/>
                <w:noProof/>
                <w:rtl/>
              </w:rPr>
            </w:r>
            <w:r w:rsidR="008F1F88">
              <w:rPr>
                <w:rStyle w:val="Hyperlink"/>
                <w:noProof/>
                <w:rtl/>
              </w:rPr>
              <w:fldChar w:fldCharType="separate"/>
            </w:r>
            <w:r w:rsidR="00E83FD1">
              <w:rPr>
                <w:noProof/>
                <w:webHidden/>
              </w:rPr>
              <w:t>7</w:t>
            </w:r>
            <w:r w:rsidR="008F1F88">
              <w:rPr>
                <w:rStyle w:val="Hyperlink"/>
                <w:noProof/>
                <w:rtl/>
              </w:rPr>
              <w:fldChar w:fldCharType="end"/>
            </w:r>
          </w:hyperlink>
        </w:p>
        <w:p w14:paraId="60729A7C"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196" w:history="1">
            <w:r w:rsidR="008F1F88" w:rsidRPr="00DA240E">
              <w:rPr>
                <w:rStyle w:val="Hyperlink"/>
                <w:rFonts w:ascii="Times New Roman" w:hAnsi="Times New Roman"/>
                <w:b/>
                <w:bCs/>
                <w:noProof/>
                <w:lang w:val="en-US" w:eastAsia="en-US"/>
              </w:rPr>
              <w:t>1.4 Research Gap</w:t>
            </w:r>
            <w:r w:rsidR="008F1F88">
              <w:rPr>
                <w:noProof/>
                <w:webHidden/>
              </w:rPr>
              <w:tab/>
            </w:r>
            <w:r w:rsidR="008F1F88">
              <w:rPr>
                <w:rStyle w:val="Hyperlink"/>
                <w:noProof/>
                <w:rtl/>
              </w:rPr>
              <w:fldChar w:fldCharType="begin"/>
            </w:r>
            <w:r w:rsidR="008F1F88">
              <w:rPr>
                <w:noProof/>
                <w:webHidden/>
              </w:rPr>
              <w:instrText xml:space="preserve"> PAGEREF _Toc239804196 \h </w:instrText>
            </w:r>
            <w:r w:rsidR="008F1F88">
              <w:rPr>
                <w:rStyle w:val="Hyperlink"/>
                <w:noProof/>
                <w:rtl/>
              </w:rPr>
            </w:r>
            <w:r w:rsidR="008F1F88">
              <w:rPr>
                <w:rStyle w:val="Hyperlink"/>
                <w:noProof/>
                <w:rtl/>
              </w:rPr>
              <w:fldChar w:fldCharType="separate"/>
            </w:r>
            <w:r w:rsidR="00E83FD1">
              <w:rPr>
                <w:noProof/>
                <w:webHidden/>
              </w:rPr>
              <w:t>8</w:t>
            </w:r>
            <w:r w:rsidR="008F1F88">
              <w:rPr>
                <w:rStyle w:val="Hyperlink"/>
                <w:noProof/>
                <w:rtl/>
              </w:rPr>
              <w:fldChar w:fldCharType="end"/>
            </w:r>
          </w:hyperlink>
        </w:p>
        <w:p w14:paraId="279D7498"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197" w:history="1">
            <w:r w:rsidR="008F1F88" w:rsidRPr="00DA240E">
              <w:rPr>
                <w:rStyle w:val="Hyperlink"/>
                <w:rFonts w:ascii="Times New Roman" w:hAnsi="Times New Roman"/>
                <w:b/>
                <w:bCs/>
                <w:noProof/>
                <w:lang w:val="en-US" w:eastAsia="en-US"/>
              </w:rPr>
              <w:t>1.5 Research Aim</w:t>
            </w:r>
            <w:r w:rsidR="008F1F88">
              <w:rPr>
                <w:noProof/>
                <w:webHidden/>
              </w:rPr>
              <w:tab/>
            </w:r>
            <w:r w:rsidR="008F1F88">
              <w:rPr>
                <w:rStyle w:val="Hyperlink"/>
                <w:noProof/>
                <w:rtl/>
              </w:rPr>
              <w:fldChar w:fldCharType="begin"/>
            </w:r>
            <w:r w:rsidR="008F1F88">
              <w:rPr>
                <w:noProof/>
                <w:webHidden/>
              </w:rPr>
              <w:instrText xml:space="preserve"> PAGEREF _Toc239804197 \h </w:instrText>
            </w:r>
            <w:r w:rsidR="008F1F88">
              <w:rPr>
                <w:rStyle w:val="Hyperlink"/>
                <w:noProof/>
                <w:rtl/>
              </w:rPr>
            </w:r>
            <w:r w:rsidR="008F1F88">
              <w:rPr>
                <w:rStyle w:val="Hyperlink"/>
                <w:noProof/>
                <w:rtl/>
              </w:rPr>
              <w:fldChar w:fldCharType="separate"/>
            </w:r>
            <w:r w:rsidR="00E83FD1">
              <w:rPr>
                <w:noProof/>
                <w:webHidden/>
              </w:rPr>
              <w:t>8</w:t>
            </w:r>
            <w:r w:rsidR="008F1F88">
              <w:rPr>
                <w:rStyle w:val="Hyperlink"/>
                <w:noProof/>
                <w:rtl/>
              </w:rPr>
              <w:fldChar w:fldCharType="end"/>
            </w:r>
          </w:hyperlink>
        </w:p>
        <w:p w14:paraId="5E8EB41F"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198" w:history="1">
            <w:r w:rsidR="008F1F88" w:rsidRPr="00DA240E">
              <w:rPr>
                <w:rStyle w:val="Hyperlink"/>
                <w:rFonts w:ascii="Times New Roman" w:hAnsi="Times New Roman"/>
                <w:b/>
                <w:bCs/>
                <w:noProof/>
                <w:lang w:val="en-US" w:eastAsia="en-US"/>
              </w:rPr>
              <w:t>1.6 Research Objectives</w:t>
            </w:r>
            <w:r w:rsidR="008F1F88">
              <w:rPr>
                <w:noProof/>
                <w:webHidden/>
              </w:rPr>
              <w:tab/>
            </w:r>
            <w:r w:rsidR="008F1F88">
              <w:rPr>
                <w:rStyle w:val="Hyperlink"/>
                <w:noProof/>
                <w:rtl/>
              </w:rPr>
              <w:fldChar w:fldCharType="begin"/>
            </w:r>
            <w:r w:rsidR="008F1F88">
              <w:rPr>
                <w:noProof/>
                <w:webHidden/>
              </w:rPr>
              <w:instrText xml:space="preserve"> PAGEREF _Toc239804198 \h </w:instrText>
            </w:r>
            <w:r w:rsidR="008F1F88">
              <w:rPr>
                <w:rStyle w:val="Hyperlink"/>
                <w:noProof/>
                <w:rtl/>
              </w:rPr>
            </w:r>
            <w:r w:rsidR="008F1F88">
              <w:rPr>
                <w:rStyle w:val="Hyperlink"/>
                <w:noProof/>
                <w:rtl/>
              </w:rPr>
              <w:fldChar w:fldCharType="separate"/>
            </w:r>
            <w:r w:rsidR="00E83FD1">
              <w:rPr>
                <w:noProof/>
                <w:webHidden/>
              </w:rPr>
              <w:t>9</w:t>
            </w:r>
            <w:r w:rsidR="008F1F88">
              <w:rPr>
                <w:rStyle w:val="Hyperlink"/>
                <w:noProof/>
                <w:rtl/>
              </w:rPr>
              <w:fldChar w:fldCharType="end"/>
            </w:r>
          </w:hyperlink>
        </w:p>
        <w:p w14:paraId="23A0FF5A"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199" w:history="1">
            <w:r w:rsidR="008F1F88" w:rsidRPr="00DA240E">
              <w:rPr>
                <w:rStyle w:val="Hyperlink"/>
                <w:rFonts w:ascii="Times New Roman" w:hAnsi="Times New Roman"/>
                <w:b/>
                <w:bCs/>
                <w:noProof/>
                <w:lang w:val="en-US" w:eastAsia="en-US"/>
              </w:rPr>
              <w:t>1.7 Research Questions</w:t>
            </w:r>
            <w:r w:rsidR="008F1F88">
              <w:rPr>
                <w:noProof/>
                <w:webHidden/>
              </w:rPr>
              <w:tab/>
            </w:r>
            <w:r w:rsidR="008F1F88">
              <w:rPr>
                <w:rStyle w:val="Hyperlink"/>
                <w:noProof/>
                <w:rtl/>
              </w:rPr>
              <w:fldChar w:fldCharType="begin"/>
            </w:r>
            <w:r w:rsidR="008F1F88">
              <w:rPr>
                <w:noProof/>
                <w:webHidden/>
              </w:rPr>
              <w:instrText xml:space="preserve"> PAGEREF _Toc239804199 \h </w:instrText>
            </w:r>
            <w:r w:rsidR="008F1F88">
              <w:rPr>
                <w:rStyle w:val="Hyperlink"/>
                <w:noProof/>
                <w:rtl/>
              </w:rPr>
            </w:r>
            <w:r w:rsidR="008F1F88">
              <w:rPr>
                <w:rStyle w:val="Hyperlink"/>
                <w:noProof/>
                <w:rtl/>
              </w:rPr>
              <w:fldChar w:fldCharType="separate"/>
            </w:r>
            <w:r w:rsidR="00E83FD1">
              <w:rPr>
                <w:noProof/>
                <w:webHidden/>
              </w:rPr>
              <w:t>9</w:t>
            </w:r>
            <w:r w:rsidR="008F1F88">
              <w:rPr>
                <w:rStyle w:val="Hyperlink"/>
                <w:noProof/>
                <w:rtl/>
              </w:rPr>
              <w:fldChar w:fldCharType="end"/>
            </w:r>
          </w:hyperlink>
        </w:p>
        <w:p w14:paraId="7270DD5C"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0" w:history="1">
            <w:r w:rsidR="008F1F88" w:rsidRPr="00DA240E">
              <w:rPr>
                <w:rStyle w:val="Hyperlink"/>
                <w:rFonts w:ascii="Times New Roman" w:hAnsi="Times New Roman"/>
                <w:b/>
                <w:bCs/>
                <w:noProof/>
                <w:lang w:val="en-US" w:eastAsia="en-US"/>
              </w:rPr>
              <w:t>1.8 Significance of the Study</w:t>
            </w:r>
            <w:r w:rsidR="008F1F88">
              <w:rPr>
                <w:noProof/>
                <w:webHidden/>
              </w:rPr>
              <w:tab/>
            </w:r>
            <w:r w:rsidR="008F1F88">
              <w:rPr>
                <w:rStyle w:val="Hyperlink"/>
                <w:noProof/>
                <w:rtl/>
              </w:rPr>
              <w:fldChar w:fldCharType="begin"/>
            </w:r>
            <w:r w:rsidR="008F1F88">
              <w:rPr>
                <w:noProof/>
                <w:webHidden/>
              </w:rPr>
              <w:instrText xml:space="preserve"> PAGEREF _Toc239804200 \h </w:instrText>
            </w:r>
            <w:r w:rsidR="008F1F88">
              <w:rPr>
                <w:rStyle w:val="Hyperlink"/>
                <w:noProof/>
                <w:rtl/>
              </w:rPr>
            </w:r>
            <w:r w:rsidR="008F1F88">
              <w:rPr>
                <w:rStyle w:val="Hyperlink"/>
                <w:noProof/>
                <w:rtl/>
              </w:rPr>
              <w:fldChar w:fldCharType="separate"/>
            </w:r>
            <w:r w:rsidR="00E83FD1">
              <w:rPr>
                <w:noProof/>
                <w:webHidden/>
              </w:rPr>
              <w:t>10</w:t>
            </w:r>
            <w:r w:rsidR="008F1F88">
              <w:rPr>
                <w:rStyle w:val="Hyperlink"/>
                <w:noProof/>
                <w:rtl/>
              </w:rPr>
              <w:fldChar w:fldCharType="end"/>
            </w:r>
          </w:hyperlink>
        </w:p>
        <w:p w14:paraId="6EE8FF11"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1" w:history="1">
            <w:r w:rsidR="008F1F88" w:rsidRPr="00DA240E">
              <w:rPr>
                <w:rStyle w:val="Hyperlink"/>
                <w:rFonts w:ascii="Times New Roman" w:hAnsi="Times New Roman"/>
                <w:b/>
                <w:bCs/>
                <w:noProof/>
                <w:lang w:val="en-US" w:eastAsia="en-US"/>
              </w:rPr>
              <w:t>1.9 Scope of the Study</w:t>
            </w:r>
            <w:r w:rsidR="008F1F88">
              <w:rPr>
                <w:noProof/>
                <w:webHidden/>
              </w:rPr>
              <w:tab/>
            </w:r>
            <w:r w:rsidR="008F1F88">
              <w:rPr>
                <w:rStyle w:val="Hyperlink"/>
                <w:noProof/>
                <w:rtl/>
              </w:rPr>
              <w:fldChar w:fldCharType="begin"/>
            </w:r>
            <w:r w:rsidR="008F1F88">
              <w:rPr>
                <w:noProof/>
                <w:webHidden/>
              </w:rPr>
              <w:instrText xml:space="preserve"> PAGEREF _Toc239804201 \h </w:instrText>
            </w:r>
            <w:r w:rsidR="008F1F88">
              <w:rPr>
                <w:rStyle w:val="Hyperlink"/>
                <w:noProof/>
                <w:rtl/>
              </w:rPr>
            </w:r>
            <w:r w:rsidR="008F1F88">
              <w:rPr>
                <w:rStyle w:val="Hyperlink"/>
                <w:noProof/>
                <w:rtl/>
              </w:rPr>
              <w:fldChar w:fldCharType="separate"/>
            </w:r>
            <w:r w:rsidR="00E83FD1">
              <w:rPr>
                <w:noProof/>
                <w:webHidden/>
              </w:rPr>
              <w:t>11</w:t>
            </w:r>
            <w:r w:rsidR="008F1F88">
              <w:rPr>
                <w:rStyle w:val="Hyperlink"/>
                <w:noProof/>
                <w:rtl/>
              </w:rPr>
              <w:fldChar w:fldCharType="end"/>
            </w:r>
          </w:hyperlink>
        </w:p>
        <w:p w14:paraId="7B8E17B3"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2" w:history="1">
            <w:r w:rsidR="008F1F88" w:rsidRPr="00DA240E">
              <w:rPr>
                <w:rStyle w:val="Hyperlink"/>
                <w:rFonts w:ascii="Times New Roman" w:hAnsi="Times New Roman"/>
                <w:b/>
                <w:bCs/>
                <w:noProof/>
                <w:lang w:val="en-US" w:eastAsia="en-US"/>
              </w:rPr>
              <w:t>1.10 Structure of the Dissertation</w:t>
            </w:r>
            <w:r w:rsidR="008F1F88">
              <w:rPr>
                <w:noProof/>
                <w:webHidden/>
              </w:rPr>
              <w:tab/>
            </w:r>
            <w:r w:rsidR="008F1F88">
              <w:rPr>
                <w:rStyle w:val="Hyperlink"/>
                <w:noProof/>
                <w:rtl/>
              </w:rPr>
              <w:fldChar w:fldCharType="begin"/>
            </w:r>
            <w:r w:rsidR="008F1F88">
              <w:rPr>
                <w:noProof/>
                <w:webHidden/>
              </w:rPr>
              <w:instrText xml:space="preserve"> PAGEREF _Toc239804202 \h </w:instrText>
            </w:r>
            <w:r w:rsidR="008F1F88">
              <w:rPr>
                <w:rStyle w:val="Hyperlink"/>
                <w:noProof/>
                <w:rtl/>
              </w:rPr>
            </w:r>
            <w:r w:rsidR="008F1F88">
              <w:rPr>
                <w:rStyle w:val="Hyperlink"/>
                <w:noProof/>
                <w:rtl/>
              </w:rPr>
              <w:fldChar w:fldCharType="separate"/>
            </w:r>
            <w:r w:rsidR="00E83FD1">
              <w:rPr>
                <w:noProof/>
                <w:webHidden/>
              </w:rPr>
              <w:t>11</w:t>
            </w:r>
            <w:r w:rsidR="008F1F88">
              <w:rPr>
                <w:rStyle w:val="Hyperlink"/>
                <w:noProof/>
                <w:rtl/>
              </w:rPr>
              <w:fldChar w:fldCharType="end"/>
            </w:r>
          </w:hyperlink>
        </w:p>
        <w:p w14:paraId="153016DB"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3" w:history="1">
            <w:r w:rsidR="008F1F88" w:rsidRPr="00DA240E">
              <w:rPr>
                <w:rStyle w:val="Hyperlink"/>
                <w:rFonts w:ascii="Times New Roman" w:hAnsi="Times New Roman"/>
                <w:b/>
                <w:bCs/>
                <w:noProof/>
                <w:lang w:val="en-US" w:eastAsia="en-US"/>
              </w:rPr>
              <w:t>1.11 Chapter Summary</w:t>
            </w:r>
            <w:r w:rsidR="008F1F88">
              <w:rPr>
                <w:noProof/>
                <w:webHidden/>
              </w:rPr>
              <w:tab/>
            </w:r>
            <w:r w:rsidR="008F1F88">
              <w:rPr>
                <w:rStyle w:val="Hyperlink"/>
                <w:noProof/>
                <w:rtl/>
              </w:rPr>
              <w:fldChar w:fldCharType="begin"/>
            </w:r>
            <w:r w:rsidR="008F1F88">
              <w:rPr>
                <w:noProof/>
                <w:webHidden/>
              </w:rPr>
              <w:instrText xml:space="preserve"> PAGEREF _Toc239804203 \h </w:instrText>
            </w:r>
            <w:r w:rsidR="008F1F88">
              <w:rPr>
                <w:rStyle w:val="Hyperlink"/>
                <w:noProof/>
                <w:rtl/>
              </w:rPr>
            </w:r>
            <w:r w:rsidR="008F1F88">
              <w:rPr>
                <w:rStyle w:val="Hyperlink"/>
                <w:noProof/>
                <w:rtl/>
              </w:rPr>
              <w:fldChar w:fldCharType="separate"/>
            </w:r>
            <w:r w:rsidR="00E83FD1">
              <w:rPr>
                <w:noProof/>
                <w:webHidden/>
              </w:rPr>
              <w:t>12</w:t>
            </w:r>
            <w:r w:rsidR="008F1F88">
              <w:rPr>
                <w:rStyle w:val="Hyperlink"/>
                <w:noProof/>
                <w:rtl/>
              </w:rPr>
              <w:fldChar w:fldCharType="end"/>
            </w:r>
          </w:hyperlink>
        </w:p>
        <w:p w14:paraId="70E98787"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4" w:history="1">
            <w:r w:rsidR="008F1F88" w:rsidRPr="00DA240E">
              <w:rPr>
                <w:rStyle w:val="Hyperlink"/>
                <w:rFonts w:ascii="Times New Roman" w:hAnsi="Times New Roman"/>
                <w:b/>
                <w:bCs/>
                <w:noProof/>
                <w:lang w:val="en-US" w:eastAsia="en-US"/>
              </w:rPr>
              <w:t>2.1 Introduction</w:t>
            </w:r>
            <w:r w:rsidR="008F1F88">
              <w:rPr>
                <w:noProof/>
                <w:webHidden/>
              </w:rPr>
              <w:tab/>
            </w:r>
            <w:r w:rsidR="008F1F88">
              <w:rPr>
                <w:rStyle w:val="Hyperlink"/>
                <w:noProof/>
                <w:rtl/>
              </w:rPr>
              <w:fldChar w:fldCharType="begin"/>
            </w:r>
            <w:r w:rsidR="008F1F88">
              <w:rPr>
                <w:noProof/>
                <w:webHidden/>
              </w:rPr>
              <w:instrText xml:space="preserve"> PAGEREF _Toc239804204 \h </w:instrText>
            </w:r>
            <w:r w:rsidR="008F1F88">
              <w:rPr>
                <w:rStyle w:val="Hyperlink"/>
                <w:noProof/>
                <w:rtl/>
              </w:rPr>
            </w:r>
            <w:r w:rsidR="008F1F88">
              <w:rPr>
                <w:rStyle w:val="Hyperlink"/>
                <w:noProof/>
                <w:rtl/>
              </w:rPr>
              <w:fldChar w:fldCharType="separate"/>
            </w:r>
            <w:r w:rsidR="00E83FD1">
              <w:rPr>
                <w:noProof/>
                <w:webHidden/>
              </w:rPr>
              <w:t>13</w:t>
            </w:r>
            <w:r w:rsidR="008F1F88">
              <w:rPr>
                <w:rStyle w:val="Hyperlink"/>
                <w:noProof/>
                <w:rtl/>
              </w:rPr>
              <w:fldChar w:fldCharType="end"/>
            </w:r>
          </w:hyperlink>
        </w:p>
        <w:p w14:paraId="4A013A2E"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5" w:history="1">
            <w:r w:rsidR="008F1F88" w:rsidRPr="00DA240E">
              <w:rPr>
                <w:rStyle w:val="Hyperlink"/>
                <w:rFonts w:ascii="Times New Roman" w:hAnsi="Times New Roman"/>
                <w:b/>
                <w:bCs/>
                <w:noProof/>
                <w:lang w:val="en-US" w:eastAsia="en-US"/>
              </w:rPr>
              <w:t>2.2 Digital Health Transformation</w:t>
            </w:r>
            <w:r w:rsidR="008F1F88">
              <w:rPr>
                <w:noProof/>
                <w:webHidden/>
              </w:rPr>
              <w:tab/>
            </w:r>
            <w:r w:rsidR="008F1F88">
              <w:rPr>
                <w:rStyle w:val="Hyperlink"/>
                <w:noProof/>
                <w:rtl/>
              </w:rPr>
              <w:fldChar w:fldCharType="begin"/>
            </w:r>
            <w:r w:rsidR="008F1F88">
              <w:rPr>
                <w:noProof/>
                <w:webHidden/>
              </w:rPr>
              <w:instrText xml:space="preserve"> PAGEREF _Toc239804205 \h </w:instrText>
            </w:r>
            <w:r w:rsidR="008F1F88">
              <w:rPr>
                <w:rStyle w:val="Hyperlink"/>
                <w:noProof/>
                <w:rtl/>
              </w:rPr>
            </w:r>
            <w:r w:rsidR="008F1F88">
              <w:rPr>
                <w:rStyle w:val="Hyperlink"/>
                <w:noProof/>
                <w:rtl/>
              </w:rPr>
              <w:fldChar w:fldCharType="separate"/>
            </w:r>
            <w:r w:rsidR="00E83FD1">
              <w:rPr>
                <w:noProof/>
                <w:webHidden/>
              </w:rPr>
              <w:t>13</w:t>
            </w:r>
            <w:r w:rsidR="008F1F88">
              <w:rPr>
                <w:rStyle w:val="Hyperlink"/>
                <w:noProof/>
                <w:rtl/>
              </w:rPr>
              <w:fldChar w:fldCharType="end"/>
            </w:r>
          </w:hyperlink>
        </w:p>
        <w:p w14:paraId="2C21E588"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6" w:history="1">
            <w:r w:rsidR="008F1F88" w:rsidRPr="00DA240E">
              <w:rPr>
                <w:rStyle w:val="Hyperlink"/>
                <w:rFonts w:ascii="Times New Roman" w:hAnsi="Times New Roman"/>
                <w:b/>
                <w:bCs/>
                <w:noProof/>
                <w:lang w:val="en-US" w:eastAsia="en-US"/>
              </w:rPr>
              <w:t>2.3 Telemedicine</w:t>
            </w:r>
            <w:r w:rsidR="008F1F88">
              <w:rPr>
                <w:noProof/>
                <w:webHidden/>
              </w:rPr>
              <w:tab/>
            </w:r>
            <w:r w:rsidR="008F1F88">
              <w:rPr>
                <w:rStyle w:val="Hyperlink"/>
                <w:noProof/>
                <w:rtl/>
              </w:rPr>
              <w:fldChar w:fldCharType="begin"/>
            </w:r>
            <w:r w:rsidR="008F1F88">
              <w:rPr>
                <w:noProof/>
                <w:webHidden/>
              </w:rPr>
              <w:instrText xml:space="preserve"> PAGEREF _Toc239804206 \h </w:instrText>
            </w:r>
            <w:r w:rsidR="008F1F88">
              <w:rPr>
                <w:rStyle w:val="Hyperlink"/>
                <w:noProof/>
                <w:rtl/>
              </w:rPr>
            </w:r>
            <w:r w:rsidR="008F1F88">
              <w:rPr>
                <w:rStyle w:val="Hyperlink"/>
                <w:noProof/>
                <w:rtl/>
              </w:rPr>
              <w:fldChar w:fldCharType="separate"/>
            </w:r>
            <w:r w:rsidR="00E83FD1">
              <w:rPr>
                <w:noProof/>
                <w:webHidden/>
              </w:rPr>
              <w:t>14</w:t>
            </w:r>
            <w:r w:rsidR="008F1F88">
              <w:rPr>
                <w:rStyle w:val="Hyperlink"/>
                <w:noProof/>
                <w:rtl/>
              </w:rPr>
              <w:fldChar w:fldCharType="end"/>
            </w:r>
          </w:hyperlink>
        </w:p>
        <w:p w14:paraId="2B6F5EAF"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7" w:history="1">
            <w:r w:rsidR="008F1F88" w:rsidRPr="00DA240E">
              <w:rPr>
                <w:rStyle w:val="Hyperlink"/>
                <w:rFonts w:ascii="Times New Roman" w:hAnsi="Times New Roman"/>
                <w:b/>
                <w:bCs/>
                <w:noProof/>
                <w:lang w:val="en-US" w:eastAsia="en-US"/>
              </w:rPr>
              <w:t>2.4 Theoretical Framework</w:t>
            </w:r>
            <w:r w:rsidR="008F1F88">
              <w:rPr>
                <w:noProof/>
                <w:webHidden/>
              </w:rPr>
              <w:tab/>
            </w:r>
            <w:r w:rsidR="008F1F88">
              <w:rPr>
                <w:rStyle w:val="Hyperlink"/>
                <w:noProof/>
                <w:rtl/>
              </w:rPr>
              <w:fldChar w:fldCharType="begin"/>
            </w:r>
            <w:r w:rsidR="008F1F88">
              <w:rPr>
                <w:noProof/>
                <w:webHidden/>
              </w:rPr>
              <w:instrText xml:space="preserve"> PAGEREF _Toc239804207 \h </w:instrText>
            </w:r>
            <w:r w:rsidR="008F1F88">
              <w:rPr>
                <w:rStyle w:val="Hyperlink"/>
                <w:noProof/>
                <w:rtl/>
              </w:rPr>
            </w:r>
            <w:r w:rsidR="008F1F88">
              <w:rPr>
                <w:rStyle w:val="Hyperlink"/>
                <w:noProof/>
                <w:rtl/>
              </w:rPr>
              <w:fldChar w:fldCharType="separate"/>
            </w:r>
            <w:r w:rsidR="00E83FD1">
              <w:rPr>
                <w:noProof/>
                <w:webHidden/>
              </w:rPr>
              <w:t>15</w:t>
            </w:r>
            <w:r w:rsidR="008F1F88">
              <w:rPr>
                <w:rStyle w:val="Hyperlink"/>
                <w:noProof/>
                <w:rtl/>
              </w:rPr>
              <w:fldChar w:fldCharType="end"/>
            </w:r>
          </w:hyperlink>
        </w:p>
        <w:p w14:paraId="6A9035F7"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8" w:history="1">
            <w:r w:rsidR="008F1F88" w:rsidRPr="00DA240E">
              <w:rPr>
                <w:rStyle w:val="Hyperlink"/>
                <w:rFonts w:ascii="Times New Roman" w:hAnsi="Times New Roman"/>
                <w:b/>
                <w:bCs/>
                <w:noProof/>
                <w:lang w:val="en-US" w:eastAsia="en-US"/>
              </w:rPr>
              <w:t>2.5 Telemedicine Adoption in the United Kingdom</w:t>
            </w:r>
            <w:r w:rsidR="008F1F88">
              <w:rPr>
                <w:noProof/>
                <w:webHidden/>
              </w:rPr>
              <w:tab/>
            </w:r>
            <w:r w:rsidR="008F1F88">
              <w:rPr>
                <w:rStyle w:val="Hyperlink"/>
                <w:noProof/>
                <w:rtl/>
              </w:rPr>
              <w:fldChar w:fldCharType="begin"/>
            </w:r>
            <w:r w:rsidR="008F1F88">
              <w:rPr>
                <w:noProof/>
                <w:webHidden/>
              </w:rPr>
              <w:instrText xml:space="preserve"> PAGEREF _Toc239804208 \h </w:instrText>
            </w:r>
            <w:r w:rsidR="008F1F88">
              <w:rPr>
                <w:rStyle w:val="Hyperlink"/>
                <w:noProof/>
                <w:rtl/>
              </w:rPr>
            </w:r>
            <w:r w:rsidR="008F1F88">
              <w:rPr>
                <w:rStyle w:val="Hyperlink"/>
                <w:noProof/>
                <w:rtl/>
              </w:rPr>
              <w:fldChar w:fldCharType="separate"/>
            </w:r>
            <w:r w:rsidR="00E83FD1">
              <w:rPr>
                <w:noProof/>
                <w:webHidden/>
              </w:rPr>
              <w:t>17</w:t>
            </w:r>
            <w:r w:rsidR="008F1F88">
              <w:rPr>
                <w:rStyle w:val="Hyperlink"/>
                <w:noProof/>
                <w:rtl/>
              </w:rPr>
              <w:fldChar w:fldCharType="end"/>
            </w:r>
          </w:hyperlink>
        </w:p>
        <w:p w14:paraId="39732F21"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09" w:history="1">
            <w:r w:rsidR="008F1F88" w:rsidRPr="00DA240E">
              <w:rPr>
                <w:rStyle w:val="Hyperlink"/>
                <w:rFonts w:ascii="Times New Roman" w:hAnsi="Times New Roman"/>
                <w:b/>
                <w:bCs/>
                <w:noProof/>
                <w:lang w:val="en-US" w:eastAsia="en-US"/>
              </w:rPr>
              <w:t>2.6 Telemedicine Adoption in Pakistan</w:t>
            </w:r>
            <w:r w:rsidR="008F1F88">
              <w:rPr>
                <w:noProof/>
                <w:webHidden/>
              </w:rPr>
              <w:tab/>
            </w:r>
            <w:r w:rsidR="008F1F88">
              <w:rPr>
                <w:rStyle w:val="Hyperlink"/>
                <w:noProof/>
                <w:rtl/>
              </w:rPr>
              <w:fldChar w:fldCharType="begin"/>
            </w:r>
            <w:r w:rsidR="008F1F88">
              <w:rPr>
                <w:noProof/>
                <w:webHidden/>
              </w:rPr>
              <w:instrText xml:space="preserve"> PAGEREF _Toc239804209 \h </w:instrText>
            </w:r>
            <w:r w:rsidR="008F1F88">
              <w:rPr>
                <w:rStyle w:val="Hyperlink"/>
                <w:noProof/>
                <w:rtl/>
              </w:rPr>
            </w:r>
            <w:r w:rsidR="008F1F88">
              <w:rPr>
                <w:rStyle w:val="Hyperlink"/>
                <w:noProof/>
                <w:rtl/>
              </w:rPr>
              <w:fldChar w:fldCharType="separate"/>
            </w:r>
            <w:r w:rsidR="00E83FD1">
              <w:rPr>
                <w:noProof/>
                <w:webHidden/>
              </w:rPr>
              <w:t>18</w:t>
            </w:r>
            <w:r w:rsidR="008F1F88">
              <w:rPr>
                <w:rStyle w:val="Hyperlink"/>
                <w:noProof/>
                <w:rtl/>
              </w:rPr>
              <w:fldChar w:fldCharType="end"/>
            </w:r>
          </w:hyperlink>
        </w:p>
        <w:p w14:paraId="12E3DC22"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10" w:history="1">
            <w:r w:rsidR="008F1F88" w:rsidRPr="00DA240E">
              <w:rPr>
                <w:rStyle w:val="Hyperlink"/>
                <w:rFonts w:ascii="Times New Roman" w:hAnsi="Times New Roman"/>
                <w:b/>
                <w:bCs/>
                <w:noProof/>
                <w:lang w:val="en-US" w:eastAsia="en-US"/>
              </w:rPr>
              <w:t>2.7 Drivers of Telemedicine Adoption: A Critical, Comparative Reading</w:t>
            </w:r>
            <w:r w:rsidR="008F1F88">
              <w:rPr>
                <w:noProof/>
                <w:webHidden/>
              </w:rPr>
              <w:tab/>
            </w:r>
            <w:r w:rsidR="008F1F88">
              <w:rPr>
                <w:rStyle w:val="Hyperlink"/>
                <w:noProof/>
                <w:rtl/>
              </w:rPr>
              <w:fldChar w:fldCharType="begin"/>
            </w:r>
            <w:r w:rsidR="008F1F88">
              <w:rPr>
                <w:noProof/>
                <w:webHidden/>
              </w:rPr>
              <w:instrText xml:space="preserve"> PAGEREF _Toc239804210 \h </w:instrText>
            </w:r>
            <w:r w:rsidR="008F1F88">
              <w:rPr>
                <w:rStyle w:val="Hyperlink"/>
                <w:noProof/>
                <w:rtl/>
              </w:rPr>
            </w:r>
            <w:r w:rsidR="008F1F88">
              <w:rPr>
                <w:rStyle w:val="Hyperlink"/>
                <w:noProof/>
                <w:rtl/>
              </w:rPr>
              <w:fldChar w:fldCharType="separate"/>
            </w:r>
            <w:r w:rsidR="00E83FD1">
              <w:rPr>
                <w:noProof/>
                <w:webHidden/>
              </w:rPr>
              <w:t>20</w:t>
            </w:r>
            <w:r w:rsidR="008F1F88">
              <w:rPr>
                <w:rStyle w:val="Hyperlink"/>
                <w:noProof/>
                <w:rtl/>
              </w:rPr>
              <w:fldChar w:fldCharType="end"/>
            </w:r>
          </w:hyperlink>
        </w:p>
        <w:p w14:paraId="4A80C158"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11" w:history="1">
            <w:r w:rsidR="008F1F88" w:rsidRPr="00DA240E">
              <w:rPr>
                <w:rStyle w:val="Hyperlink"/>
                <w:rFonts w:ascii="Times New Roman" w:hAnsi="Times New Roman"/>
                <w:b/>
                <w:bCs/>
                <w:noProof/>
                <w:lang w:val="en-US" w:eastAsia="en-US"/>
              </w:rPr>
              <w:t>2.8 Barriers to Telemedicine Adoption</w:t>
            </w:r>
            <w:r w:rsidR="008F1F88">
              <w:rPr>
                <w:noProof/>
                <w:webHidden/>
              </w:rPr>
              <w:tab/>
            </w:r>
            <w:r w:rsidR="008F1F88">
              <w:rPr>
                <w:rStyle w:val="Hyperlink"/>
                <w:noProof/>
                <w:rtl/>
              </w:rPr>
              <w:fldChar w:fldCharType="begin"/>
            </w:r>
            <w:r w:rsidR="008F1F88">
              <w:rPr>
                <w:noProof/>
                <w:webHidden/>
              </w:rPr>
              <w:instrText xml:space="preserve"> PAGEREF _Toc239804211 \h </w:instrText>
            </w:r>
            <w:r w:rsidR="008F1F88">
              <w:rPr>
                <w:rStyle w:val="Hyperlink"/>
                <w:noProof/>
                <w:rtl/>
              </w:rPr>
            </w:r>
            <w:r w:rsidR="008F1F88">
              <w:rPr>
                <w:rStyle w:val="Hyperlink"/>
                <w:noProof/>
                <w:rtl/>
              </w:rPr>
              <w:fldChar w:fldCharType="separate"/>
            </w:r>
            <w:r w:rsidR="00E83FD1">
              <w:rPr>
                <w:noProof/>
                <w:webHidden/>
              </w:rPr>
              <w:t>22</w:t>
            </w:r>
            <w:r w:rsidR="008F1F88">
              <w:rPr>
                <w:rStyle w:val="Hyperlink"/>
                <w:noProof/>
                <w:rtl/>
              </w:rPr>
              <w:fldChar w:fldCharType="end"/>
            </w:r>
          </w:hyperlink>
        </w:p>
        <w:p w14:paraId="48862143"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12" w:history="1">
            <w:r w:rsidR="008F1F88" w:rsidRPr="00DA240E">
              <w:rPr>
                <w:rStyle w:val="Hyperlink"/>
                <w:rFonts w:ascii="Times New Roman" w:hAnsi="Times New Roman"/>
                <w:b/>
                <w:bCs/>
                <w:noProof/>
                <w:lang w:val="en-US" w:eastAsia="en-US"/>
              </w:rPr>
              <w:t>2.9 Impact of Telemedicine on Healthcare Service Delivery</w:t>
            </w:r>
            <w:r w:rsidR="008F1F88">
              <w:rPr>
                <w:noProof/>
                <w:webHidden/>
              </w:rPr>
              <w:tab/>
            </w:r>
            <w:r w:rsidR="008F1F88">
              <w:rPr>
                <w:rStyle w:val="Hyperlink"/>
                <w:noProof/>
                <w:rtl/>
              </w:rPr>
              <w:fldChar w:fldCharType="begin"/>
            </w:r>
            <w:r w:rsidR="008F1F88">
              <w:rPr>
                <w:noProof/>
                <w:webHidden/>
              </w:rPr>
              <w:instrText xml:space="preserve"> PAGEREF _Toc239804212 \h </w:instrText>
            </w:r>
            <w:r w:rsidR="008F1F88">
              <w:rPr>
                <w:rStyle w:val="Hyperlink"/>
                <w:noProof/>
                <w:rtl/>
              </w:rPr>
            </w:r>
            <w:r w:rsidR="008F1F88">
              <w:rPr>
                <w:rStyle w:val="Hyperlink"/>
                <w:noProof/>
                <w:rtl/>
              </w:rPr>
              <w:fldChar w:fldCharType="separate"/>
            </w:r>
            <w:r w:rsidR="00E83FD1">
              <w:rPr>
                <w:noProof/>
                <w:webHidden/>
              </w:rPr>
              <w:t>24</w:t>
            </w:r>
            <w:r w:rsidR="008F1F88">
              <w:rPr>
                <w:rStyle w:val="Hyperlink"/>
                <w:noProof/>
                <w:rtl/>
              </w:rPr>
              <w:fldChar w:fldCharType="end"/>
            </w:r>
          </w:hyperlink>
        </w:p>
        <w:p w14:paraId="5CB6EE71"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13" w:history="1">
            <w:r w:rsidR="008F1F88" w:rsidRPr="00DA240E">
              <w:rPr>
                <w:rStyle w:val="Hyperlink"/>
                <w:rFonts w:ascii="Times New Roman" w:hAnsi="Times New Roman"/>
                <w:b/>
                <w:bCs/>
                <w:noProof/>
                <w:lang w:val="en-US" w:eastAsia="en-US"/>
              </w:rPr>
              <w:t>2.10 Research Gap and Conceptual Framework</w:t>
            </w:r>
            <w:r w:rsidR="008F1F88">
              <w:rPr>
                <w:noProof/>
                <w:webHidden/>
              </w:rPr>
              <w:tab/>
            </w:r>
            <w:r w:rsidR="008F1F88">
              <w:rPr>
                <w:rStyle w:val="Hyperlink"/>
                <w:noProof/>
                <w:rtl/>
              </w:rPr>
              <w:fldChar w:fldCharType="begin"/>
            </w:r>
            <w:r w:rsidR="008F1F88">
              <w:rPr>
                <w:noProof/>
                <w:webHidden/>
              </w:rPr>
              <w:instrText xml:space="preserve"> PAGEREF _Toc239804213 \h </w:instrText>
            </w:r>
            <w:r w:rsidR="008F1F88">
              <w:rPr>
                <w:rStyle w:val="Hyperlink"/>
                <w:noProof/>
                <w:rtl/>
              </w:rPr>
            </w:r>
            <w:r w:rsidR="008F1F88">
              <w:rPr>
                <w:rStyle w:val="Hyperlink"/>
                <w:noProof/>
                <w:rtl/>
              </w:rPr>
              <w:fldChar w:fldCharType="separate"/>
            </w:r>
            <w:r w:rsidR="00E83FD1">
              <w:rPr>
                <w:noProof/>
                <w:webHidden/>
              </w:rPr>
              <w:t>26</w:t>
            </w:r>
            <w:r w:rsidR="008F1F88">
              <w:rPr>
                <w:rStyle w:val="Hyperlink"/>
                <w:noProof/>
                <w:rtl/>
              </w:rPr>
              <w:fldChar w:fldCharType="end"/>
            </w:r>
          </w:hyperlink>
        </w:p>
        <w:p w14:paraId="70E63C7D"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14" w:history="1">
            <w:r w:rsidR="008F1F88" w:rsidRPr="00DA240E">
              <w:rPr>
                <w:rStyle w:val="Hyperlink"/>
                <w:rFonts w:ascii="Times New Roman" w:hAnsi="Times New Roman"/>
                <w:b/>
                <w:bCs/>
                <w:noProof/>
                <w:lang w:val="en-US" w:eastAsia="en-US"/>
              </w:rPr>
              <w:t>2.11 Chapter Summary</w:t>
            </w:r>
            <w:r w:rsidR="008F1F88">
              <w:rPr>
                <w:noProof/>
                <w:webHidden/>
              </w:rPr>
              <w:tab/>
            </w:r>
            <w:r w:rsidR="008F1F88">
              <w:rPr>
                <w:rStyle w:val="Hyperlink"/>
                <w:noProof/>
                <w:rtl/>
              </w:rPr>
              <w:fldChar w:fldCharType="begin"/>
            </w:r>
            <w:r w:rsidR="008F1F88">
              <w:rPr>
                <w:noProof/>
                <w:webHidden/>
              </w:rPr>
              <w:instrText xml:space="preserve"> PAGEREF _Toc239804214 \h </w:instrText>
            </w:r>
            <w:r w:rsidR="008F1F88">
              <w:rPr>
                <w:rStyle w:val="Hyperlink"/>
                <w:noProof/>
                <w:rtl/>
              </w:rPr>
            </w:r>
            <w:r w:rsidR="008F1F88">
              <w:rPr>
                <w:rStyle w:val="Hyperlink"/>
                <w:noProof/>
                <w:rtl/>
              </w:rPr>
              <w:fldChar w:fldCharType="separate"/>
            </w:r>
            <w:r w:rsidR="00E83FD1">
              <w:rPr>
                <w:noProof/>
                <w:webHidden/>
              </w:rPr>
              <w:t>29</w:t>
            </w:r>
            <w:r w:rsidR="008F1F88">
              <w:rPr>
                <w:rStyle w:val="Hyperlink"/>
                <w:noProof/>
                <w:rtl/>
              </w:rPr>
              <w:fldChar w:fldCharType="end"/>
            </w:r>
          </w:hyperlink>
        </w:p>
        <w:p w14:paraId="4BAB86A3"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15" w:history="1">
            <w:r w:rsidR="008F1F88" w:rsidRPr="00DA240E">
              <w:rPr>
                <w:rStyle w:val="Hyperlink"/>
                <w:rFonts w:ascii="Times New Roman" w:hAnsi="Times New Roman"/>
                <w:b/>
                <w:bCs/>
                <w:noProof/>
                <w:lang w:val="en-US" w:eastAsia="en-US"/>
              </w:rPr>
              <w:t>3.1 Introduction</w:t>
            </w:r>
            <w:r w:rsidR="008F1F88">
              <w:rPr>
                <w:noProof/>
                <w:webHidden/>
              </w:rPr>
              <w:tab/>
            </w:r>
            <w:r w:rsidR="008F1F88">
              <w:rPr>
                <w:rStyle w:val="Hyperlink"/>
                <w:noProof/>
                <w:rtl/>
              </w:rPr>
              <w:fldChar w:fldCharType="begin"/>
            </w:r>
            <w:r w:rsidR="008F1F88">
              <w:rPr>
                <w:noProof/>
                <w:webHidden/>
              </w:rPr>
              <w:instrText xml:space="preserve"> PAGEREF _Toc239804215 \h </w:instrText>
            </w:r>
            <w:r w:rsidR="008F1F88">
              <w:rPr>
                <w:rStyle w:val="Hyperlink"/>
                <w:noProof/>
                <w:rtl/>
              </w:rPr>
            </w:r>
            <w:r w:rsidR="008F1F88">
              <w:rPr>
                <w:rStyle w:val="Hyperlink"/>
                <w:noProof/>
                <w:rtl/>
              </w:rPr>
              <w:fldChar w:fldCharType="separate"/>
            </w:r>
            <w:r w:rsidR="00E83FD1">
              <w:rPr>
                <w:noProof/>
                <w:webHidden/>
              </w:rPr>
              <w:t>30</w:t>
            </w:r>
            <w:r w:rsidR="008F1F88">
              <w:rPr>
                <w:rStyle w:val="Hyperlink"/>
                <w:noProof/>
                <w:rtl/>
              </w:rPr>
              <w:fldChar w:fldCharType="end"/>
            </w:r>
          </w:hyperlink>
        </w:p>
        <w:p w14:paraId="0E59058B"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16" w:history="1">
            <w:r w:rsidR="008F1F88" w:rsidRPr="00DA240E">
              <w:rPr>
                <w:rStyle w:val="Hyperlink"/>
                <w:rFonts w:ascii="Times New Roman" w:hAnsi="Times New Roman"/>
                <w:b/>
                <w:bCs/>
                <w:noProof/>
                <w:lang w:val="en-US" w:eastAsia="en-US"/>
              </w:rPr>
              <w:t>3.2 Research Philosophy</w:t>
            </w:r>
            <w:r w:rsidR="008F1F88">
              <w:rPr>
                <w:noProof/>
                <w:webHidden/>
              </w:rPr>
              <w:tab/>
            </w:r>
            <w:r w:rsidR="008F1F88">
              <w:rPr>
                <w:rStyle w:val="Hyperlink"/>
                <w:noProof/>
                <w:rtl/>
              </w:rPr>
              <w:fldChar w:fldCharType="begin"/>
            </w:r>
            <w:r w:rsidR="008F1F88">
              <w:rPr>
                <w:noProof/>
                <w:webHidden/>
              </w:rPr>
              <w:instrText xml:space="preserve"> PAGEREF _Toc239804216 \h </w:instrText>
            </w:r>
            <w:r w:rsidR="008F1F88">
              <w:rPr>
                <w:rStyle w:val="Hyperlink"/>
                <w:noProof/>
                <w:rtl/>
              </w:rPr>
            </w:r>
            <w:r w:rsidR="008F1F88">
              <w:rPr>
                <w:rStyle w:val="Hyperlink"/>
                <w:noProof/>
                <w:rtl/>
              </w:rPr>
              <w:fldChar w:fldCharType="separate"/>
            </w:r>
            <w:r w:rsidR="00E83FD1">
              <w:rPr>
                <w:noProof/>
                <w:webHidden/>
              </w:rPr>
              <w:t>30</w:t>
            </w:r>
            <w:r w:rsidR="008F1F88">
              <w:rPr>
                <w:rStyle w:val="Hyperlink"/>
                <w:noProof/>
                <w:rtl/>
              </w:rPr>
              <w:fldChar w:fldCharType="end"/>
            </w:r>
          </w:hyperlink>
        </w:p>
        <w:p w14:paraId="08364F4F"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17" w:history="1">
            <w:r w:rsidR="008F1F88" w:rsidRPr="00DA240E">
              <w:rPr>
                <w:rStyle w:val="Hyperlink"/>
                <w:rFonts w:ascii="Times New Roman" w:hAnsi="Times New Roman"/>
                <w:b/>
                <w:bCs/>
                <w:noProof/>
                <w:lang w:val="en-US" w:eastAsia="en-US"/>
              </w:rPr>
              <w:t>3.3 Research Approach</w:t>
            </w:r>
            <w:r w:rsidR="008F1F88">
              <w:rPr>
                <w:noProof/>
                <w:webHidden/>
              </w:rPr>
              <w:tab/>
            </w:r>
            <w:r w:rsidR="008F1F88">
              <w:rPr>
                <w:rStyle w:val="Hyperlink"/>
                <w:noProof/>
                <w:rtl/>
              </w:rPr>
              <w:fldChar w:fldCharType="begin"/>
            </w:r>
            <w:r w:rsidR="008F1F88">
              <w:rPr>
                <w:noProof/>
                <w:webHidden/>
              </w:rPr>
              <w:instrText xml:space="preserve"> PAGEREF _Toc239804217 \h </w:instrText>
            </w:r>
            <w:r w:rsidR="008F1F88">
              <w:rPr>
                <w:rStyle w:val="Hyperlink"/>
                <w:noProof/>
                <w:rtl/>
              </w:rPr>
            </w:r>
            <w:r w:rsidR="008F1F88">
              <w:rPr>
                <w:rStyle w:val="Hyperlink"/>
                <w:noProof/>
                <w:rtl/>
              </w:rPr>
              <w:fldChar w:fldCharType="separate"/>
            </w:r>
            <w:r w:rsidR="00E83FD1">
              <w:rPr>
                <w:noProof/>
                <w:webHidden/>
              </w:rPr>
              <w:t>31</w:t>
            </w:r>
            <w:r w:rsidR="008F1F88">
              <w:rPr>
                <w:rStyle w:val="Hyperlink"/>
                <w:noProof/>
                <w:rtl/>
              </w:rPr>
              <w:fldChar w:fldCharType="end"/>
            </w:r>
          </w:hyperlink>
        </w:p>
        <w:p w14:paraId="268D4AD0"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18" w:history="1">
            <w:r w:rsidR="008F1F88" w:rsidRPr="00DA240E">
              <w:rPr>
                <w:rStyle w:val="Hyperlink"/>
                <w:rFonts w:ascii="Times New Roman" w:hAnsi="Times New Roman"/>
                <w:b/>
                <w:bCs/>
                <w:noProof/>
                <w:lang w:val="en-US" w:eastAsia="en-US"/>
              </w:rPr>
              <w:t>3.4 Research Design</w:t>
            </w:r>
            <w:r w:rsidR="008F1F88">
              <w:rPr>
                <w:noProof/>
                <w:webHidden/>
              </w:rPr>
              <w:tab/>
            </w:r>
            <w:r w:rsidR="008F1F88">
              <w:rPr>
                <w:rStyle w:val="Hyperlink"/>
                <w:noProof/>
                <w:rtl/>
              </w:rPr>
              <w:fldChar w:fldCharType="begin"/>
            </w:r>
            <w:r w:rsidR="008F1F88">
              <w:rPr>
                <w:noProof/>
                <w:webHidden/>
              </w:rPr>
              <w:instrText xml:space="preserve"> PAGEREF _Toc239804218 \h </w:instrText>
            </w:r>
            <w:r w:rsidR="008F1F88">
              <w:rPr>
                <w:rStyle w:val="Hyperlink"/>
                <w:noProof/>
                <w:rtl/>
              </w:rPr>
            </w:r>
            <w:r w:rsidR="008F1F88">
              <w:rPr>
                <w:rStyle w:val="Hyperlink"/>
                <w:noProof/>
                <w:rtl/>
              </w:rPr>
              <w:fldChar w:fldCharType="separate"/>
            </w:r>
            <w:r w:rsidR="00E83FD1">
              <w:rPr>
                <w:noProof/>
                <w:webHidden/>
              </w:rPr>
              <w:t>31</w:t>
            </w:r>
            <w:r w:rsidR="008F1F88">
              <w:rPr>
                <w:rStyle w:val="Hyperlink"/>
                <w:noProof/>
                <w:rtl/>
              </w:rPr>
              <w:fldChar w:fldCharType="end"/>
            </w:r>
          </w:hyperlink>
        </w:p>
        <w:p w14:paraId="157BE17C"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19" w:history="1">
            <w:r w:rsidR="008F1F88" w:rsidRPr="00DA240E">
              <w:rPr>
                <w:rStyle w:val="Hyperlink"/>
                <w:rFonts w:ascii="Times New Roman" w:hAnsi="Times New Roman"/>
                <w:b/>
                <w:bCs/>
                <w:noProof/>
                <w:lang w:val="en-US" w:eastAsia="en-US"/>
              </w:rPr>
              <w:t>3.5 Research Strategy</w:t>
            </w:r>
            <w:r w:rsidR="008F1F88">
              <w:rPr>
                <w:noProof/>
                <w:webHidden/>
              </w:rPr>
              <w:tab/>
            </w:r>
            <w:r w:rsidR="008F1F88">
              <w:rPr>
                <w:rStyle w:val="Hyperlink"/>
                <w:noProof/>
                <w:rtl/>
              </w:rPr>
              <w:fldChar w:fldCharType="begin"/>
            </w:r>
            <w:r w:rsidR="008F1F88">
              <w:rPr>
                <w:noProof/>
                <w:webHidden/>
              </w:rPr>
              <w:instrText xml:space="preserve"> PAGEREF _Toc239804219 \h </w:instrText>
            </w:r>
            <w:r w:rsidR="008F1F88">
              <w:rPr>
                <w:rStyle w:val="Hyperlink"/>
                <w:noProof/>
                <w:rtl/>
              </w:rPr>
            </w:r>
            <w:r w:rsidR="008F1F88">
              <w:rPr>
                <w:rStyle w:val="Hyperlink"/>
                <w:noProof/>
                <w:rtl/>
              </w:rPr>
              <w:fldChar w:fldCharType="separate"/>
            </w:r>
            <w:r w:rsidR="00E83FD1">
              <w:rPr>
                <w:noProof/>
                <w:webHidden/>
              </w:rPr>
              <w:t>32</w:t>
            </w:r>
            <w:r w:rsidR="008F1F88">
              <w:rPr>
                <w:rStyle w:val="Hyperlink"/>
                <w:noProof/>
                <w:rtl/>
              </w:rPr>
              <w:fldChar w:fldCharType="end"/>
            </w:r>
          </w:hyperlink>
        </w:p>
        <w:p w14:paraId="4C86164E"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0" w:history="1">
            <w:r w:rsidR="008F1F88" w:rsidRPr="00DA240E">
              <w:rPr>
                <w:rStyle w:val="Hyperlink"/>
                <w:rFonts w:ascii="Times New Roman" w:hAnsi="Times New Roman"/>
                <w:b/>
                <w:bCs/>
                <w:noProof/>
                <w:lang w:val="en-US" w:eastAsia="en-US"/>
              </w:rPr>
              <w:t>3.6 Data Sources</w:t>
            </w:r>
            <w:r w:rsidR="008F1F88">
              <w:rPr>
                <w:noProof/>
                <w:webHidden/>
              </w:rPr>
              <w:tab/>
            </w:r>
            <w:r w:rsidR="008F1F88">
              <w:rPr>
                <w:rStyle w:val="Hyperlink"/>
                <w:noProof/>
                <w:rtl/>
              </w:rPr>
              <w:fldChar w:fldCharType="begin"/>
            </w:r>
            <w:r w:rsidR="008F1F88">
              <w:rPr>
                <w:noProof/>
                <w:webHidden/>
              </w:rPr>
              <w:instrText xml:space="preserve"> PAGEREF _Toc239804220 \h </w:instrText>
            </w:r>
            <w:r w:rsidR="008F1F88">
              <w:rPr>
                <w:rStyle w:val="Hyperlink"/>
                <w:noProof/>
                <w:rtl/>
              </w:rPr>
            </w:r>
            <w:r w:rsidR="008F1F88">
              <w:rPr>
                <w:rStyle w:val="Hyperlink"/>
                <w:noProof/>
                <w:rtl/>
              </w:rPr>
              <w:fldChar w:fldCharType="separate"/>
            </w:r>
            <w:r w:rsidR="00E83FD1">
              <w:rPr>
                <w:noProof/>
                <w:webHidden/>
              </w:rPr>
              <w:t>32</w:t>
            </w:r>
            <w:r w:rsidR="008F1F88">
              <w:rPr>
                <w:rStyle w:val="Hyperlink"/>
                <w:noProof/>
                <w:rtl/>
              </w:rPr>
              <w:fldChar w:fldCharType="end"/>
            </w:r>
          </w:hyperlink>
        </w:p>
        <w:p w14:paraId="4F129A62"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1" w:history="1">
            <w:r w:rsidR="008F1F88" w:rsidRPr="00DA240E">
              <w:rPr>
                <w:rStyle w:val="Hyperlink"/>
                <w:rFonts w:ascii="Times New Roman" w:hAnsi="Times New Roman"/>
                <w:b/>
                <w:bCs/>
                <w:noProof/>
                <w:lang w:val="en-US" w:eastAsia="en-US"/>
              </w:rPr>
              <w:t>3.7 Search Strategy</w:t>
            </w:r>
            <w:r w:rsidR="008F1F88">
              <w:rPr>
                <w:noProof/>
                <w:webHidden/>
              </w:rPr>
              <w:tab/>
            </w:r>
            <w:r w:rsidR="008F1F88">
              <w:rPr>
                <w:rStyle w:val="Hyperlink"/>
                <w:noProof/>
                <w:rtl/>
              </w:rPr>
              <w:fldChar w:fldCharType="begin"/>
            </w:r>
            <w:r w:rsidR="008F1F88">
              <w:rPr>
                <w:noProof/>
                <w:webHidden/>
              </w:rPr>
              <w:instrText xml:space="preserve"> PAGEREF _Toc239804221 \h </w:instrText>
            </w:r>
            <w:r w:rsidR="008F1F88">
              <w:rPr>
                <w:rStyle w:val="Hyperlink"/>
                <w:noProof/>
                <w:rtl/>
              </w:rPr>
            </w:r>
            <w:r w:rsidR="008F1F88">
              <w:rPr>
                <w:rStyle w:val="Hyperlink"/>
                <w:noProof/>
                <w:rtl/>
              </w:rPr>
              <w:fldChar w:fldCharType="separate"/>
            </w:r>
            <w:r w:rsidR="00E83FD1">
              <w:rPr>
                <w:noProof/>
                <w:webHidden/>
              </w:rPr>
              <w:t>33</w:t>
            </w:r>
            <w:r w:rsidR="008F1F88">
              <w:rPr>
                <w:rStyle w:val="Hyperlink"/>
                <w:noProof/>
                <w:rtl/>
              </w:rPr>
              <w:fldChar w:fldCharType="end"/>
            </w:r>
          </w:hyperlink>
        </w:p>
        <w:p w14:paraId="17B97899"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2" w:history="1">
            <w:r w:rsidR="008F1F88" w:rsidRPr="00DA240E">
              <w:rPr>
                <w:rStyle w:val="Hyperlink"/>
                <w:rFonts w:ascii="Times New Roman" w:hAnsi="Times New Roman"/>
                <w:b/>
                <w:bCs/>
                <w:noProof/>
                <w:lang w:val="en-US" w:eastAsia="en-US"/>
              </w:rPr>
              <w:t>3.8 Inclusion and Exclusion Criteria</w:t>
            </w:r>
            <w:r w:rsidR="008F1F88">
              <w:rPr>
                <w:noProof/>
                <w:webHidden/>
              </w:rPr>
              <w:tab/>
            </w:r>
            <w:r w:rsidR="008F1F88">
              <w:rPr>
                <w:rStyle w:val="Hyperlink"/>
                <w:noProof/>
                <w:rtl/>
              </w:rPr>
              <w:fldChar w:fldCharType="begin"/>
            </w:r>
            <w:r w:rsidR="008F1F88">
              <w:rPr>
                <w:noProof/>
                <w:webHidden/>
              </w:rPr>
              <w:instrText xml:space="preserve"> PAGEREF _Toc239804222 \h </w:instrText>
            </w:r>
            <w:r w:rsidR="008F1F88">
              <w:rPr>
                <w:rStyle w:val="Hyperlink"/>
                <w:noProof/>
                <w:rtl/>
              </w:rPr>
            </w:r>
            <w:r w:rsidR="008F1F88">
              <w:rPr>
                <w:rStyle w:val="Hyperlink"/>
                <w:noProof/>
                <w:rtl/>
              </w:rPr>
              <w:fldChar w:fldCharType="separate"/>
            </w:r>
            <w:r w:rsidR="00E83FD1">
              <w:rPr>
                <w:noProof/>
                <w:webHidden/>
              </w:rPr>
              <w:t>35</w:t>
            </w:r>
            <w:r w:rsidR="008F1F88">
              <w:rPr>
                <w:rStyle w:val="Hyperlink"/>
                <w:noProof/>
                <w:rtl/>
              </w:rPr>
              <w:fldChar w:fldCharType="end"/>
            </w:r>
          </w:hyperlink>
        </w:p>
        <w:p w14:paraId="415434A3"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3" w:history="1">
            <w:r w:rsidR="008F1F88" w:rsidRPr="00DA240E">
              <w:rPr>
                <w:rStyle w:val="Hyperlink"/>
                <w:rFonts w:ascii="Times New Roman" w:hAnsi="Times New Roman"/>
                <w:b/>
                <w:bCs/>
                <w:noProof/>
                <w:lang w:val="en-US" w:eastAsia="en-US"/>
              </w:rPr>
              <w:t>3.9 PRISMA 2020 Screening Process</w:t>
            </w:r>
            <w:r w:rsidR="008F1F88">
              <w:rPr>
                <w:noProof/>
                <w:webHidden/>
              </w:rPr>
              <w:tab/>
            </w:r>
            <w:r w:rsidR="008F1F88">
              <w:rPr>
                <w:rStyle w:val="Hyperlink"/>
                <w:noProof/>
                <w:rtl/>
              </w:rPr>
              <w:fldChar w:fldCharType="begin"/>
            </w:r>
            <w:r w:rsidR="008F1F88">
              <w:rPr>
                <w:noProof/>
                <w:webHidden/>
              </w:rPr>
              <w:instrText xml:space="preserve"> PAGEREF _Toc239804223 \h </w:instrText>
            </w:r>
            <w:r w:rsidR="008F1F88">
              <w:rPr>
                <w:rStyle w:val="Hyperlink"/>
                <w:noProof/>
                <w:rtl/>
              </w:rPr>
            </w:r>
            <w:r w:rsidR="008F1F88">
              <w:rPr>
                <w:rStyle w:val="Hyperlink"/>
                <w:noProof/>
                <w:rtl/>
              </w:rPr>
              <w:fldChar w:fldCharType="separate"/>
            </w:r>
            <w:r w:rsidR="00E83FD1">
              <w:rPr>
                <w:noProof/>
                <w:webHidden/>
              </w:rPr>
              <w:t>35</w:t>
            </w:r>
            <w:r w:rsidR="008F1F88">
              <w:rPr>
                <w:rStyle w:val="Hyperlink"/>
                <w:noProof/>
                <w:rtl/>
              </w:rPr>
              <w:fldChar w:fldCharType="end"/>
            </w:r>
          </w:hyperlink>
        </w:p>
        <w:p w14:paraId="56742DC0"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4" w:history="1">
            <w:r w:rsidR="008F1F88" w:rsidRPr="00DA240E">
              <w:rPr>
                <w:rStyle w:val="Hyperlink"/>
                <w:rFonts w:ascii="Times New Roman" w:hAnsi="Times New Roman"/>
                <w:b/>
                <w:bCs/>
                <w:noProof/>
                <w:lang w:val="en-US" w:eastAsia="en-US"/>
              </w:rPr>
              <w:t>3.10 Quality Assessment of the Included Studies</w:t>
            </w:r>
            <w:r w:rsidR="008F1F88">
              <w:rPr>
                <w:noProof/>
                <w:webHidden/>
              </w:rPr>
              <w:tab/>
            </w:r>
            <w:r w:rsidR="008F1F88">
              <w:rPr>
                <w:rStyle w:val="Hyperlink"/>
                <w:noProof/>
                <w:rtl/>
              </w:rPr>
              <w:fldChar w:fldCharType="begin"/>
            </w:r>
            <w:r w:rsidR="008F1F88">
              <w:rPr>
                <w:noProof/>
                <w:webHidden/>
              </w:rPr>
              <w:instrText xml:space="preserve"> PAGEREF _Toc239804224 \h </w:instrText>
            </w:r>
            <w:r w:rsidR="008F1F88">
              <w:rPr>
                <w:rStyle w:val="Hyperlink"/>
                <w:noProof/>
                <w:rtl/>
              </w:rPr>
            </w:r>
            <w:r w:rsidR="008F1F88">
              <w:rPr>
                <w:rStyle w:val="Hyperlink"/>
                <w:noProof/>
                <w:rtl/>
              </w:rPr>
              <w:fldChar w:fldCharType="separate"/>
            </w:r>
            <w:r w:rsidR="00E83FD1">
              <w:rPr>
                <w:noProof/>
                <w:webHidden/>
              </w:rPr>
              <w:t>37</w:t>
            </w:r>
            <w:r w:rsidR="008F1F88">
              <w:rPr>
                <w:rStyle w:val="Hyperlink"/>
                <w:noProof/>
                <w:rtl/>
              </w:rPr>
              <w:fldChar w:fldCharType="end"/>
            </w:r>
          </w:hyperlink>
        </w:p>
        <w:p w14:paraId="420C051A"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5" w:history="1">
            <w:r w:rsidR="008F1F88" w:rsidRPr="00DA240E">
              <w:rPr>
                <w:rStyle w:val="Hyperlink"/>
                <w:rFonts w:ascii="Times New Roman" w:hAnsi="Times New Roman"/>
                <w:b/>
                <w:bCs/>
                <w:noProof/>
                <w:lang w:val="en-US" w:eastAsia="en-US"/>
              </w:rPr>
              <w:t>3.11 Data Extraction</w:t>
            </w:r>
            <w:r w:rsidR="008F1F88">
              <w:rPr>
                <w:noProof/>
                <w:webHidden/>
              </w:rPr>
              <w:tab/>
            </w:r>
            <w:r w:rsidR="008F1F88">
              <w:rPr>
                <w:rStyle w:val="Hyperlink"/>
                <w:noProof/>
                <w:rtl/>
              </w:rPr>
              <w:fldChar w:fldCharType="begin"/>
            </w:r>
            <w:r w:rsidR="008F1F88">
              <w:rPr>
                <w:noProof/>
                <w:webHidden/>
              </w:rPr>
              <w:instrText xml:space="preserve"> PAGEREF _Toc239804225 \h </w:instrText>
            </w:r>
            <w:r w:rsidR="008F1F88">
              <w:rPr>
                <w:rStyle w:val="Hyperlink"/>
                <w:noProof/>
                <w:rtl/>
              </w:rPr>
            </w:r>
            <w:r w:rsidR="008F1F88">
              <w:rPr>
                <w:rStyle w:val="Hyperlink"/>
                <w:noProof/>
                <w:rtl/>
              </w:rPr>
              <w:fldChar w:fldCharType="separate"/>
            </w:r>
            <w:r w:rsidR="00E83FD1">
              <w:rPr>
                <w:noProof/>
                <w:webHidden/>
              </w:rPr>
              <w:t>37</w:t>
            </w:r>
            <w:r w:rsidR="008F1F88">
              <w:rPr>
                <w:rStyle w:val="Hyperlink"/>
                <w:noProof/>
                <w:rtl/>
              </w:rPr>
              <w:fldChar w:fldCharType="end"/>
            </w:r>
          </w:hyperlink>
        </w:p>
        <w:p w14:paraId="622C94EE"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6" w:history="1">
            <w:r w:rsidR="008F1F88" w:rsidRPr="00DA240E">
              <w:rPr>
                <w:rStyle w:val="Hyperlink"/>
                <w:rFonts w:ascii="Times New Roman" w:hAnsi="Times New Roman"/>
                <w:b/>
                <w:bCs/>
                <w:noProof/>
                <w:lang w:val="en-US" w:eastAsia="en-US"/>
              </w:rPr>
              <w:t>3.12 Data Analysis Method</w:t>
            </w:r>
            <w:r w:rsidR="008F1F88">
              <w:rPr>
                <w:noProof/>
                <w:webHidden/>
              </w:rPr>
              <w:tab/>
            </w:r>
            <w:r w:rsidR="008F1F88">
              <w:rPr>
                <w:rStyle w:val="Hyperlink"/>
                <w:noProof/>
                <w:rtl/>
              </w:rPr>
              <w:fldChar w:fldCharType="begin"/>
            </w:r>
            <w:r w:rsidR="008F1F88">
              <w:rPr>
                <w:noProof/>
                <w:webHidden/>
              </w:rPr>
              <w:instrText xml:space="preserve"> PAGEREF _Toc239804226 \h </w:instrText>
            </w:r>
            <w:r w:rsidR="008F1F88">
              <w:rPr>
                <w:rStyle w:val="Hyperlink"/>
                <w:noProof/>
                <w:rtl/>
              </w:rPr>
            </w:r>
            <w:r w:rsidR="008F1F88">
              <w:rPr>
                <w:rStyle w:val="Hyperlink"/>
                <w:noProof/>
                <w:rtl/>
              </w:rPr>
              <w:fldChar w:fldCharType="separate"/>
            </w:r>
            <w:r w:rsidR="00E83FD1">
              <w:rPr>
                <w:noProof/>
                <w:webHidden/>
              </w:rPr>
              <w:t>38</w:t>
            </w:r>
            <w:r w:rsidR="008F1F88">
              <w:rPr>
                <w:rStyle w:val="Hyperlink"/>
                <w:noProof/>
                <w:rtl/>
              </w:rPr>
              <w:fldChar w:fldCharType="end"/>
            </w:r>
          </w:hyperlink>
        </w:p>
        <w:p w14:paraId="635A4A2C"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7" w:history="1">
            <w:r w:rsidR="008F1F88" w:rsidRPr="00DA240E">
              <w:rPr>
                <w:rStyle w:val="Hyperlink"/>
                <w:rFonts w:ascii="Times New Roman" w:hAnsi="Times New Roman"/>
                <w:b/>
                <w:bCs/>
                <w:noProof/>
                <w:lang w:val="en-US" w:eastAsia="en-US"/>
              </w:rPr>
              <w:t>3.13 Ethical Considerations</w:t>
            </w:r>
            <w:r w:rsidR="008F1F88">
              <w:rPr>
                <w:noProof/>
                <w:webHidden/>
              </w:rPr>
              <w:tab/>
            </w:r>
            <w:r w:rsidR="008F1F88">
              <w:rPr>
                <w:rStyle w:val="Hyperlink"/>
                <w:noProof/>
                <w:rtl/>
              </w:rPr>
              <w:fldChar w:fldCharType="begin"/>
            </w:r>
            <w:r w:rsidR="008F1F88">
              <w:rPr>
                <w:noProof/>
                <w:webHidden/>
              </w:rPr>
              <w:instrText xml:space="preserve"> PAGEREF _Toc239804227 \h </w:instrText>
            </w:r>
            <w:r w:rsidR="008F1F88">
              <w:rPr>
                <w:rStyle w:val="Hyperlink"/>
                <w:noProof/>
                <w:rtl/>
              </w:rPr>
            </w:r>
            <w:r w:rsidR="008F1F88">
              <w:rPr>
                <w:rStyle w:val="Hyperlink"/>
                <w:noProof/>
                <w:rtl/>
              </w:rPr>
              <w:fldChar w:fldCharType="separate"/>
            </w:r>
            <w:r w:rsidR="00E83FD1">
              <w:rPr>
                <w:noProof/>
                <w:webHidden/>
              </w:rPr>
              <w:t>38</w:t>
            </w:r>
            <w:r w:rsidR="008F1F88">
              <w:rPr>
                <w:rStyle w:val="Hyperlink"/>
                <w:noProof/>
                <w:rtl/>
              </w:rPr>
              <w:fldChar w:fldCharType="end"/>
            </w:r>
          </w:hyperlink>
        </w:p>
        <w:p w14:paraId="19DC606A"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8" w:history="1">
            <w:r w:rsidR="008F1F88" w:rsidRPr="00DA240E">
              <w:rPr>
                <w:rStyle w:val="Hyperlink"/>
                <w:rFonts w:ascii="Times New Roman" w:hAnsi="Times New Roman"/>
                <w:b/>
                <w:bCs/>
                <w:noProof/>
                <w:lang w:val="en-US" w:eastAsia="en-US"/>
              </w:rPr>
              <w:t>3.14 Reliability, Validity and Trustworthiness</w:t>
            </w:r>
            <w:r w:rsidR="008F1F88">
              <w:rPr>
                <w:noProof/>
                <w:webHidden/>
              </w:rPr>
              <w:tab/>
            </w:r>
            <w:r w:rsidR="008F1F88">
              <w:rPr>
                <w:rStyle w:val="Hyperlink"/>
                <w:noProof/>
                <w:rtl/>
              </w:rPr>
              <w:fldChar w:fldCharType="begin"/>
            </w:r>
            <w:r w:rsidR="008F1F88">
              <w:rPr>
                <w:noProof/>
                <w:webHidden/>
              </w:rPr>
              <w:instrText xml:space="preserve"> PAGEREF _Toc239804228 \h </w:instrText>
            </w:r>
            <w:r w:rsidR="008F1F88">
              <w:rPr>
                <w:rStyle w:val="Hyperlink"/>
                <w:noProof/>
                <w:rtl/>
              </w:rPr>
            </w:r>
            <w:r w:rsidR="008F1F88">
              <w:rPr>
                <w:rStyle w:val="Hyperlink"/>
                <w:noProof/>
                <w:rtl/>
              </w:rPr>
              <w:fldChar w:fldCharType="separate"/>
            </w:r>
            <w:r w:rsidR="00E83FD1">
              <w:rPr>
                <w:noProof/>
                <w:webHidden/>
              </w:rPr>
              <w:t>39</w:t>
            </w:r>
            <w:r w:rsidR="008F1F88">
              <w:rPr>
                <w:rStyle w:val="Hyperlink"/>
                <w:noProof/>
                <w:rtl/>
              </w:rPr>
              <w:fldChar w:fldCharType="end"/>
            </w:r>
          </w:hyperlink>
        </w:p>
        <w:p w14:paraId="366B8199"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29" w:history="1">
            <w:r w:rsidR="008F1F88" w:rsidRPr="00DA240E">
              <w:rPr>
                <w:rStyle w:val="Hyperlink"/>
                <w:rFonts w:ascii="Times New Roman" w:hAnsi="Times New Roman"/>
                <w:b/>
                <w:bCs/>
                <w:noProof/>
                <w:lang w:val="en-US" w:eastAsia="en-US"/>
              </w:rPr>
              <w:t>3.15 Chapter Summary</w:t>
            </w:r>
            <w:r w:rsidR="008F1F88">
              <w:rPr>
                <w:noProof/>
                <w:webHidden/>
              </w:rPr>
              <w:tab/>
            </w:r>
            <w:r w:rsidR="008F1F88">
              <w:rPr>
                <w:rStyle w:val="Hyperlink"/>
                <w:noProof/>
                <w:rtl/>
              </w:rPr>
              <w:fldChar w:fldCharType="begin"/>
            </w:r>
            <w:r w:rsidR="008F1F88">
              <w:rPr>
                <w:noProof/>
                <w:webHidden/>
              </w:rPr>
              <w:instrText xml:space="preserve"> PAGEREF _Toc239804229 \h </w:instrText>
            </w:r>
            <w:r w:rsidR="008F1F88">
              <w:rPr>
                <w:rStyle w:val="Hyperlink"/>
                <w:noProof/>
                <w:rtl/>
              </w:rPr>
            </w:r>
            <w:r w:rsidR="008F1F88">
              <w:rPr>
                <w:rStyle w:val="Hyperlink"/>
                <w:noProof/>
                <w:rtl/>
              </w:rPr>
              <w:fldChar w:fldCharType="separate"/>
            </w:r>
            <w:r w:rsidR="00E83FD1">
              <w:rPr>
                <w:noProof/>
                <w:webHidden/>
              </w:rPr>
              <w:t>39</w:t>
            </w:r>
            <w:r w:rsidR="008F1F88">
              <w:rPr>
                <w:rStyle w:val="Hyperlink"/>
                <w:noProof/>
                <w:rtl/>
              </w:rPr>
              <w:fldChar w:fldCharType="end"/>
            </w:r>
          </w:hyperlink>
        </w:p>
        <w:p w14:paraId="5557A22C"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0" w:history="1">
            <w:r w:rsidR="008F1F88" w:rsidRPr="00DA240E">
              <w:rPr>
                <w:rStyle w:val="Hyperlink"/>
                <w:rFonts w:ascii="Times New Roman" w:hAnsi="Times New Roman"/>
                <w:b/>
                <w:bCs/>
                <w:noProof/>
                <w:lang w:val="en-US" w:eastAsia="en-US"/>
              </w:rPr>
              <w:t>4.1 Introduction</w:t>
            </w:r>
            <w:r w:rsidR="008F1F88">
              <w:rPr>
                <w:noProof/>
                <w:webHidden/>
              </w:rPr>
              <w:tab/>
            </w:r>
            <w:r w:rsidR="008F1F88">
              <w:rPr>
                <w:rStyle w:val="Hyperlink"/>
                <w:noProof/>
                <w:rtl/>
              </w:rPr>
              <w:fldChar w:fldCharType="begin"/>
            </w:r>
            <w:r w:rsidR="008F1F88">
              <w:rPr>
                <w:noProof/>
                <w:webHidden/>
              </w:rPr>
              <w:instrText xml:space="preserve"> PAGEREF _Toc239804230 \h </w:instrText>
            </w:r>
            <w:r w:rsidR="008F1F88">
              <w:rPr>
                <w:rStyle w:val="Hyperlink"/>
                <w:noProof/>
                <w:rtl/>
              </w:rPr>
            </w:r>
            <w:r w:rsidR="008F1F88">
              <w:rPr>
                <w:rStyle w:val="Hyperlink"/>
                <w:noProof/>
                <w:rtl/>
              </w:rPr>
              <w:fldChar w:fldCharType="separate"/>
            </w:r>
            <w:r w:rsidR="00E83FD1">
              <w:rPr>
                <w:noProof/>
                <w:webHidden/>
              </w:rPr>
              <w:t>40</w:t>
            </w:r>
            <w:r w:rsidR="008F1F88">
              <w:rPr>
                <w:rStyle w:val="Hyperlink"/>
                <w:noProof/>
                <w:rtl/>
              </w:rPr>
              <w:fldChar w:fldCharType="end"/>
            </w:r>
          </w:hyperlink>
        </w:p>
        <w:p w14:paraId="1DF558CA"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1" w:history="1">
            <w:r w:rsidR="008F1F88" w:rsidRPr="00DA240E">
              <w:rPr>
                <w:rStyle w:val="Hyperlink"/>
                <w:rFonts w:ascii="Times New Roman" w:hAnsi="Times New Roman"/>
                <w:b/>
                <w:bCs/>
                <w:noProof/>
                <w:lang w:val="en-US" w:eastAsia="en-US"/>
              </w:rPr>
              <w:t>4.2 Characteristics of the Included Studies</w:t>
            </w:r>
            <w:r w:rsidR="008F1F88">
              <w:rPr>
                <w:noProof/>
                <w:webHidden/>
              </w:rPr>
              <w:tab/>
            </w:r>
            <w:r w:rsidR="008F1F88">
              <w:rPr>
                <w:rStyle w:val="Hyperlink"/>
                <w:noProof/>
                <w:rtl/>
              </w:rPr>
              <w:fldChar w:fldCharType="begin"/>
            </w:r>
            <w:r w:rsidR="008F1F88">
              <w:rPr>
                <w:noProof/>
                <w:webHidden/>
              </w:rPr>
              <w:instrText xml:space="preserve"> PAGEREF _Toc239804231 \h </w:instrText>
            </w:r>
            <w:r w:rsidR="008F1F88">
              <w:rPr>
                <w:rStyle w:val="Hyperlink"/>
                <w:noProof/>
                <w:rtl/>
              </w:rPr>
            </w:r>
            <w:r w:rsidR="008F1F88">
              <w:rPr>
                <w:rStyle w:val="Hyperlink"/>
                <w:noProof/>
                <w:rtl/>
              </w:rPr>
              <w:fldChar w:fldCharType="separate"/>
            </w:r>
            <w:r w:rsidR="00E83FD1">
              <w:rPr>
                <w:noProof/>
                <w:webHidden/>
              </w:rPr>
              <w:t>41</w:t>
            </w:r>
            <w:r w:rsidR="008F1F88">
              <w:rPr>
                <w:rStyle w:val="Hyperlink"/>
                <w:noProof/>
                <w:rtl/>
              </w:rPr>
              <w:fldChar w:fldCharType="end"/>
            </w:r>
          </w:hyperlink>
        </w:p>
        <w:p w14:paraId="5892C92D" w14:textId="4A734A4B" w:rsidR="0082529F" w:rsidRPr="00800D5A" w:rsidRDefault="00A82984" w:rsidP="00800D5A">
          <w:pPr>
            <w:pStyle w:val="TOC2"/>
            <w:tabs>
              <w:tab w:val="right" w:leader="dot" w:pos="9897"/>
            </w:tabs>
            <w:rPr>
              <w:rFonts w:ascii="Times New Roman" w:hAnsi="Times New Roman"/>
              <w:b/>
              <w:bCs/>
              <w:noProof/>
              <w:color w:val="0563C1" w:themeColor="hyperlink"/>
              <w:u w:val="single"/>
              <w:lang w:val="en-US" w:eastAsia="en-US"/>
            </w:rPr>
          </w:pPr>
          <w:hyperlink w:anchor="_Toc239804231" w:history="1">
            <w:r w:rsidR="0082529F" w:rsidRPr="00800D5A">
              <w:rPr>
                <w:rStyle w:val="Hyperlink"/>
                <w:rFonts w:ascii="Times New Roman" w:hAnsi="Times New Roman"/>
                <w:b/>
                <w:bCs/>
                <w:noProof/>
                <w:lang w:val="en-US" w:eastAsia="en-US"/>
              </w:rPr>
              <w:t xml:space="preserve">4.3 </w:t>
            </w:r>
            <w:r w:rsidR="00800D5A" w:rsidRPr="00800D5A">
              <w:rPr>
                <w:rStyle w:val="Hyperlink"/>
                <w:rFonts w:ascii="Times New Roman" w:hAnsi="Times New Roman"/>
                <w:b/>
                <w:bCs/>
                <w:noProof/>
                <w:lang w:eastAsia="en-US"/>
              </w:rPr>
              <w:t>Theoretical Frameworks and Conceptual Models (RQ1)</w:t>
            </w:r>
            <w:r w:rsidR="0082529F" w:rsidRPr="00800D5A">
              <w:rPr>
                <w:rStyle w:val="Hyperlink"/>
                <w:noProof/>
                <w:webHidden/>
              </w:rPr>
              <w:tab/>
            </w:r>
            <w:r w:rsidR="00800D5A">
              <w:rPr>
                <w:rStyle w:val="Hyperlink"/>
                <w:noProof/>
              </w:rPr>
              <w:t>42</w:t>
            </w:r>
          </w:hyperlink>
        </w:p>
        <w:p w14:paraId="685BF8F3" w14:textId="152C4167" w:rsidR="008F1F88" w:rsidRDefault="00A82984" w:rsidP="00800D5A">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2" w:history="1">
            <w:r w:rsidR="008F1F88" w:rsidRPr="00DA240E">
              <w:rPr>
                <w:rStyle w:val="Hyperlink"/>
                <w:rFonts w:ascii="Times New Roman" w:hAnsi="Times New Roman"/>
                <w:b/>
                <w:bCs/>
                <w:noProof/>
                <w:lang w:val="en-US" w:eastAsia="en-US"/>
              </w:rPr>
              <w:t>4.4 Factors Affecting Telemedicine Adoption (RQ2)</w:t>
            </w:r>
            <w:r w:rsidR="008F1F88">
              <w:rPr>
                <w:noProof/>
                <w:webHidden/>
              </w:rPr>
              <w:tab/>
            </w:r>
            <w:r w:rsidR="00800D5A">
              <w:rPr>
                <w:noProof/>
                <w:webHidden/>
              </w:rPr>
              <w:t>43</w:t>
            </w:r>
          </w:hyperlink>
        </w:p>
        <w:p w14:paraId="2B6A6BA1"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3" w:history="1">
            <w:r w:rsidR="008F1F88" w:rsidRPr="00DA240E">
              <w:rPr>
                <w:rStyle w:val="Hyperlink"/>
                <w:rFonts w:ascii="Times New Roman" w:hAnsi="Times New Roman"/>
                <w:b/>
                <w:bCs/>
                <w:noProof/>
                <w:lang w:val="en-US" w:eastAsia="en-US"/>
              </w:rPr>
              <w:t>4.5 Similarities and Differences Between the UK and Pakistan (RQ3)</w:t>
            </w:r>
            <w:r w:rsidR="008F1F88">
              <w:rPr>
                <w:noProof/>
                <w:webHidden/>
              </w:rPr>
              <w:tab/>
            </w:r>
            <w:r w:rsidR="008F1F88">
              <w:rPr>
                <w:rStyle w:val="Hyperlink"/>
                <w:noProof/>
                <w:rtl/>
              </w:rPr>
              <w:fldChar w:fldCharType="begin"/>
            </w:r>
            <w:r w:rsidR="008F1F88">
              <w:rPr>
                <w:noProof/>
                <w:webHidden/>
              </w:rPr>
              <w:instrText xml:space="preserve"> PAGEREF _Toc239804233 \h </w:instrText>
            </w:r>
            <w:r w:rsidR="008F1F88">
              <w:rPr>
                <w:rStyle w:val="Hyperlink"/>
                <w:noProof/>
                <w:rtl/>
              </w:rPr>
            </w:r>
            <w:r w:rsidR="008F1F88">
              <w:rPr>
                <w:rStyle w:val="Hyperlink"/>
                <w:noProof/>
                <w:rtl/>
              </w:rPr>
              <w:fldChar w:fldCharType="separate"/>
            </w:r>
            <w:r w:rsidR="00E83FD1">
              <w:rPr>
                <w:noProof/>
                <w:webHidden/>
              </w:rPr>
              <w:t>48</w:t>
            </w:r>
            <w:r w:rsidR="008F1F88">
              <w:rPr>
                <w:rStyle w:val="Hyperlink"/>
                <w:noProof/>
                <w:rtl/>
              </w:rPr>
              <w:fldChar w:fldCharType="end"/>
            </w:r>
          </w:hyperlink>
        </w:p>
        <w:p w14:paraId="2CAFC1CD"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4" w:history="1">
            <w:r w:rsidR="008F1F88" w:rsidRPr="00DA240E">
              <w:rPr>
                <w:rStyle w:val="Hyperlink"/>
                <w:rFonts w:ascii="Times New Roman" w:hAnsi="Times New Roman"/>
                <w:b/>
                <w:bCs/>
                <w:noProof/>
                <w:lang w:val="en-US" w:eastAsia="en-US"/>
              </w:rPr>
              <w:t>4.6 Impact of Telemedicine on Healthcare Accessibility, Efficiency, Quality of Care and Patient Satisfaction (RQ4)</w:t>
            </w:r>
            <w:r w:rsidR="008F1F88">
              <w:rPr>
                <w:noProof/>
                <w:webHidden/>
              </w:rPr>
              <w:tab/>
            </w:r>
            <w:r w:rsidR="008F1F88">
              <w:rPr>
                <w:rStyle w:val="Hyperlink"/>
                <w:noProof/>
                <w:rtl/>
              </w:rPr>
              <w:fldChar w:fldCharType="begin"/>
            </w:r>
            <w:r w:rsidR="008F1F88">
              <w:rPr>
                <w:noProof/>
                <w:webHidden/>
              </w:rPr>
              <w:instrText xml:space="preserve"> PAGEREF _Toc239804234 \h </w:instrText>
            </w:r>
            <w:r w:rsidR="008F1F88">
              <w:rPr>
                <w:rStyle w:val="Hyperlink"/>
                <w:noProof/>
                <w:rtl/>
              </w:rPr>
            </w:r>
            <w:r w:rsidR="008F1F88">
              <w:rPr>
                <w:rStyle w:val="Hyperlink"/>
                <w:noProof/>
                <w:rtl/>
              </w:rPr>
              <w:fldChar w:fldCharType="separate"/>
            </w:r>
            <w:r w:rsidR="00E83FD1">
              <w:rPr>
                <w:noProof/>
                <w:webHidden/>
              </w:rPr>
              <w:t>49</w:t>
            </w:r>
            <w:r w:rsidR="008F1F88">
              <w:rPr>
                <w:rStyle w:val="Hyperlink"/>
                <w:noProof/>
                <w:rtl/>
              </w:rPr>
              <w:fldChar w:fldCharType="end"/>
            </w:r>
          </w:hyperlink>
        </w:p>
        <w:p w14:paraId="6DAAA5CB"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5" w:history="1">
            <w:r w:rsidR="008F1F88" w:rsidRPr="00DA240E">
              <w:rPr>
                <w:rStyle w:val="Hyperlink"/>
                <w:rFonts w:ascii="Times New Roman" w:hAnsi="Times New Roman"/>
                <w:b/>
                <w:bCs/>
                <w:noProof/>
                <w:lang w:val="en-US" w:eastAsia="en-US"/>
              </w:rPr>
              <w:t xml:space="preserve">4.7 </w:t>
            </w:r>
            <w:r w:rsidR="008F1F88" w:rsidRPr="00DA240E">
              <w:rPr>
                <w:rStyle w:val="Hyperlink"/>
                <w:rFonts w:ascii="Times New Roman" w:hAnsi="Times New Roman"/>
                <w:b/>
                <w:bCs/>
                <w:noProof/>
                <w:lang w:eastAsia="en-US"/>
              </w:rPr>
              <w:t>Gaps in the Existing Literature and Healthcare Policy (RQ5</w:t>
            </w:r>
            <w:r w:rsidR="008F1F88" w:rsidRPr="00DA240E">
              <w:rPr>
                <w:rStyle w:val="Hyperlink"/>
                <w:rFonts w:ascii="Times New Roman" w:hAnsi="Times New Roman"/>
                <w:b/>
                <w:bCs/>
                <w:noProof/>
                <w:lang w:val="en-US" w:eastAsia="en-US"/>
              </w:rPr>
              <w:t>)</w:t>
            </w:r>
            <w:r w:rsidR="008F1F88">
              <w:rPr>
                <w:noProof/>
                <w:webHidden/>
              </w:rPr>
              <w:tab/>
            </w:r>
            <w:r w:rsidR="008F1F88">
              <w:rPr>
                <w:rStyle w:val="Hyperlink"/>
                <w:noProof/>
                <w:rtl/>
              </w:rPr>
              <w:fldChar w:fldCharType="begin"/>
            </w:r>
            <w:r w:rsidR="008F1F88">
              <w:rPr>
                <w:noProof/>
                <w:webHidden/>
              </w:rPr>
              <w:instrText xml:space="preserve"> PAGEREF _Toc239804235 \h </w:instrText>
            </w:r>
            <w:r w:rsidR="008F1F88">
              <w:rPr>
                <w:rStyle w:val="Hyperlink"/>
                <w:noProof/>
                <w:rtl/>
              </w:rPr>
            </w:r>
            <w:r w:rsidR="008F1F88">
              <w:rPr>
                <w:rStyle w:val="Hyperlink"/>
                <w:noProof/>
                <w:rtl/>
              </w:rPr>
              <w:fldChar w:fldCharType="separate"/>
            </w:r>
            <w:r w:rsidR="00E83FD1">
              <w:rPr>
                <w:noProof/>
                <w:webHidden/>
              </w:rPr>
              <w:t>51</w:t>
            </w:r>
            <w:r w:rsidR="008F1F88">
              <w:rPr>
                <w:rStyle w:val="Hyperlink"/>
                <w:noProof/>
                <w:rtl/>
              </w:rPr>
              <w:fldChar w:fldCharType="end"/>
            </w:r>
          </w:hyperlink>
        </w:p>
        <w:p w14:paraId="46A75229" w14:textId="77777777" w:rsidR="008F1F88" w:rsidRDefault="00A82984" w:rsidP="0082529F">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6" w:history="1">
            <w:r w:rsidR="008F1F88" w:rsidRPr="00DA240E">
              <w:rPr>
                <w:rStyle w:val="Hyperlink"/>
                <w:rFonts w:ascii="Times New Roman" w:hAnsi="Times New Roman"/>
                <w:b/>
                <w:bCs/>
                <w:i/>
                <w:iCs/>
                <w:noProof/>
                <w:lang w:eastAsia="en-US"/>
              </w:rPr>
              <w:t>4.7.1 Comparative and Contextual Evidence Gap</w:t>
            </w:r>
            <w:r w:rsidR="008F1F88">
              <w:rPr>
                <w:noProof/>
                <w:webHidden/>
              </w:rPr>
              <w:tab/>
            </w:r>
            <w:r w:rsidR="008F1F88">
              <w:rPr>
                <w:rStyle w:val="Hyperlink"/>
                <w:noProof/>
                <w:rtl/>
              </w:rPr>
              <w:fldChar w:fldCharType="begin"/>
            </w:r>
            <w:r w:rsidR="008F1F88">
              <w:rPr>
                <w:noProof/>
                <w:webHidden/>
              </w:rPr>
              <w:instrText xml:space="preserve"> PAGEREF _Toc239804236 \h </w:instrText>
            </w:r>
            <w:r w:rsidR="008F1F88">
              <w:rPr>
                <w:rStyle w:val="Hyperlink"/>
                <w:noProof/>
                <w:rtl/>
              </w:rPr>
            </w:r>
            <w:r w:rsidR="008F1F88">
              <w:rPr>
                <w:rStyle w:val="Hyperlink"/>
                <w:noProof/>
                <w:rtl/>
              </w:rPr>
              <w:fldChar w:fldCharType="separate"/>
            </w:r>
            <w:r w:rsidR="00E83FD1">
              <w:rPr>
                <w:noProof/>
                <w:webHidden/>
              </w:rPr>
              <w:t>51</w:t>
            </w:r>
            <w:r w:rsidR="008F1F88">
              <w:rPr>
                <w:rStyle w:val="Hyperlink"/>
                <w:noProof/>
                <w:rtl/>
              </w:rPr>
              <w:fldChar w:fldCharType="end"/>
            </w:r>
          </w:hyperlink>
        </w:p>
        <w:p w14:paraId="6F903E48"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38" w:history="1">
            <w:r w:rsidR="008F1F88" w:rsidRPr="00DA240E">
              <w:rPr>
                <w:rStyle w:val="Hyperlink"/>
                <w:rFonts w:ascii="Times New Roman" w:hAnsi="Times New Roman"/>
                <w:b/>
                <w:bCs/>
                <w:i/>
                <w:iCs/>
                <w:noProof/>
                <w:lang w:eastAsia="en-US"/>
              </w:rPr>
              <w:t>4.7.2 System-Level and Longitudinal Outcome Evidence Gap</w:t>
            </w:r>
            <w:r w:rsidR="008F1F88">
              <w:rPr>
                <w:noProof/>
                <w:webHidden/>
              </w:rPr>
              <w:tab/>
            </w:r>
            <w:r w:rsidR="008F1F88">
              <w:rPr>
                <w:rStyle w:val="Hyperlink"/>
                <w:noProof/>
                <w:rtl/>
              </w:rPr>
              <w:fldChar w:fldCharType="begin"/>
            </w:r>
            <w:r w:rsidR="008F1F88">
              <w:rPr>
                <w:noProof/>
                <w:webHidden/>
              </w:rPr>
              <w:instrText xml:space="preserve"> PAGEREF _Toc239804238 \h </w:instrText>
            </w:r>
            <w:r w:rsidR="008F1F88">
              <w:rPr>
                <w:rStyle w:val="Hyperlink"/>
                <w:noProof/>
                <w:rtl/>
              </w:rPr>
            </w:r>
            <w:r w:rsidR="008F1F88">
              <w:rPr>
                <w:rStyle w:val="Hyperlink"/>
                <w:noProof/>
                <w:rtl/>
              </w:rPr>
              <w:fldChar w:fldCharType="separate"/>
            </w:r>
            <w:r w:rsidR="00E83FD1">
              <w:rPr>
                <w:noProof/>
                <w:webHidden/>
              </w:rPr>
              <w:t>52</w:t>
            </w:r>
            <w:r w:rsidR="008F1F88">
              <w:rPr>
                <w:rStyle w:val="Hyperlink"/>
                <w:noProof/>
                <w:rtl/>
              </w:rPr>
              <w:fldChar w:fldCharType="end"/>
            </w:r>
          </w:hyperlink>
        </w:p>
        <w:p w14:paraId="4E10213A"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0" w:history="1">
            <w:r w:rsidR="008F1F88" w:rsidRPr="00DA240E">
              <w:rPr>
                <w:rStyle w:val="Hyperlink"/>
                <w:rFonts w:ascii="Times New Roman" w:hAnsi="Times New Roman"/>
                <w:b/>
                <w:bCs/>
                <w:i/>
                <w:iCs/>
                <w:noProof/>
                <w:lang w:eastAsia="en-US"/>
              </w:rPr>
              <w:t>4.7.3 Policy and Transferability Evidence Gap</w:t>
            </w:r>
            <w:r w:rsidR="008F1F88">
              <w:rPr>
                <w:noProof/>
                <w:webHidden/>
              </w:rPr>
              <w:tab/>
            </w:r>
            <w:r w:rsidR="008F1F88">
              <w:rPr>
                <w:rStyle w:val="Hyperlink"/>
                <w:noProof/>
                <w:rtl/>
              </w:rPr>
              <w:fldChar w:fldCharType="begin"/>
            </w:r>
            <w:r w:rsidR="008F1F88">
              <w:rPr>
                <w:noProof/>
                <w:webHidden/>
              </w:rPr>
              <w:instrText xml:space="preserve"> PAGEREF _Toc239804240 \h </w:instrText>
            </w:r>
            <w:r w:rsidR="008F1F88">
              <w:rPr>
                <w:rStyle w:val="Hyperlink"/>
                <w:noProof/>
                <w:rtl/>
              </w:rPr>
            </w:r>
            <w:r w:rsidR="008F1F88">
              <w:rPr>
                <w:rStyle w:val="Hyperlink"/>
                <w:noProof/>
                <w:rtl/>
              </w:rPr>
              <w:fldChar w:fldCharType="separate"/>
            </w:r>
            <w:r w:rsidR="00E83FD1">
              <w:rPr>
                <w:noProof/>
                <w:webHidden/>
              </w:rPr>
              <w:t>52</w:t>
            </w:r>
            <w:r w:rsidR="008F1F88">
              <w:rPr>
                <w:rStyle w:val="Hyperlink"/>
                <w:noProof/>
                <w:rtl/>
              </w:rPr>
              <w:fldChar w:fldCharType="end"/>
            </w:r>
          </w:hyperlink>
        </w:p>
        <w:p w14:paraId="76F02287"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2" w:history="1">
            <w:r w:rsidR="008F1F88" w:rsidRPr="00DA240E">
              <w:rPr>
                <w:rStyle w:val="Hyperlink"/>
                <w:rFonts w:ascii="Times New Roman" w:hAnsi="Times New Roman"/>
                <w:b/>
                <w:bCs/>
                <w:noProof/>
                <w:lang w:val="en-US" w:eastAsia="en-US"/>
              </w:rPr>
              <w:t>4.8 Chapter Summary</w:t>
            </w:r>
            <w:r w:rsidR="008F1F88">
              <w:rPr>
                <w:noProof/>
                <w:webHidden/>
              </w:rPr>
              <w:tab/>
            </w:r>
            <w:r w:rsidR="008F1F88">
              <w:rPr>
                <w:rStyle w:val="Hyperlink"/>
                <w:noProof/>
                <w:rtl/>
              </w:rPr>
              <w:fldChar w:fldCharType="begin"/>
            </w:r>
            <w:r w:rsidR="008F1F88">
              <w:rPr>
                <w:noProof/>
                <w:webHidden/>
              </w:rPr>
              <w:instrText xml:space="preserve"> PAGEREF _Toc239804242 \h </w:instrText>
            </w:r>
            <w:r w:rsidR="008F1F88">
              <w:rPr>
                <w:rStyle w:val="Hyperlink"/>
                <w:noProof/>
                <w:rtl/>
              </w:rPr>
            </w:r>
            <w:r w:rsidR="008F1F88">
              <w:rPr>
                <w:rStyle w:val="Hyperlink"/>
                <w:noProof/>
                <w:rtl/>
              </w:rPr>
              <w:fldChar w:fldCharType="separate"/>
            </w:r>
            <w:r w:rsidR="00E83FD1">
              <w:rPr>
                <w:noProof/>
                <w:webHidden/>
              </w:rPr>
              <w:t>52</w:t>
            </w:r>
            <w:r w:rsidR="008F1F88">
              <w:rPr>
                <w:rStyle w:val="Hyperlink"/>
                <w:noProof/>
                <w:rtl/>
              </w:rPr>
              <w:fldChar w:fldCharType="end"/>
            </w:r>
          </w:hyperlink>
        </w:p>
        <w:p w14:paraId="756995C4"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3" w:history="1">
            <w:r w:rsidR="008F1F88" w:rsidRPr="00DA240E">
              <w:rPr>
                <w:rStyle w:val="Hyperlink"/>
                <w:rFonts w:ascii="Times New Roman" w:hAnsi="Times New Roman"/>
                <w:b/>
                <w:bCs/>
                <w:noProof/>
                <w:lang w:val="en-US" w:eastAsia="en-US"/>
              </w:rPr>
              <w:t>5.1 Introduction</w:t>
            </w:r>
            <w:r w:rsidR="008F1F88">
              <w:rPr>
                <w:noProof/>
                <w:webHidden/>
              </w:rPr>
              <w:tab/>
            </w:r>
            <w:r w:rsidR="008F1F88">
              <w:rPr>
                <w:rStyle w:val="Hyperlink"/>
                <w:noProof/>
                <w:rtl/>
              </w:rPr>
              <w:fldChar w:fldCharType="begin"/>
            </w:r>
            <w:r w:rsidR="008F1F88">
              <w:rPr>
                <w:noProof/>
                <w:webHidden/>
              </w:rPr>
              <w:instrText xml:space="preserve"> PAGEREF _Toc239804243 \h </w:instrText>
            </w:r>
            <w:r w:rsidR="008F1F88">
              <w:rPr>
                <w:rStyle w:val="Hyperlink"/>
                <w:noProof/>
                <w:rtl/>
              </w:rPr>
            </w:r>
            <w:r w:rsidR="008F1F88">
              <w:rPr>
                <w:rStyle w:val="Hyperlink"/>
                <w:noProof/>
                <w:rtl/>
              </w:rPr>
              <w:fldChar w:fldCharType="separate"/>
            </w:r>
            <w:r w:rsidR="00E83FD1">
              <w:rPr>
                <w:noProof/>
                <w:webHidden/>
              </w:rPr>
              <w:t>53</w:t>
            </w:r>
            <w:r w:rsidR="008F1F88">
              <w:rPr>
                <w:rStyle w:val="Hyperlink"/>
                <w:noProof/>
                <w:rtl/>
              </w:rPr>
              <w:fldChar w:fldCharType="end"/>
            </w:r>
          </w:hyperlink>
        </w:p>
        <w:p w14:paraId="6EA382CD"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4" w:history="1">
            <w:r w:rsidR="008F1F88" w:rsidRPr="00DA240E">
              <w:rPr>
                <w:rStyle w:val="Hyperlink"/>
                <w:rFonts w:ascii="Times New Roman" w:hAnsi="Times New Roman"/>
                <w:b/>
                <w:bCs/>
                <w:noProof/>
                <w:lang w:val="en-US" w:eastAsia="en-US"/>
              </w:rPr>
              <w:t>5.2 Discussion of Findings in Relation to Theory</w:t>
            </w:r>
            <w:r w:rsidR="008F1F88">
              <w:rPr>
                <w:noProof/>
                <w:webHidden/>
              </w:rPr>
              <w:tab/>
            </w:r>
            <w:r w:rsidR="008F1F88">
              <w:rPr>
                <w:rStyle w:val="Hyperlink"/>
                <w:noProof/>
                <w:rtl/>
              </w:rPr>
              <w:fldChar w:fldCharType="begin"/>
            </w:r>
            <w:r w:rsidR="008F1F88">
              <w:rPr>
                <w:noProof/>
                <w:webHidden/>
              </w:rPr>
              <w:instrText xml:space="preserve"> PAGEREF _Toc239804244 \h </w:instrText>
            </w:r>
            <w:r w:rsidR="008F1F88">
              <w:rPr>
                <w:rStyle w:val="Hyperlink"/>
                <w:noProof/>
                <w:rtl/>
              </w:rPr>
            </w:r>
            <w:r w:rsidR="008F1F88">
              <w:rPr>
                <w:rStyle w:val="Hyperlink"/>
                <w:noProof/>
                <w:rtl/>
              </w:rPr>
              <w:fldChar w:fldCharType="separate"/>
            </w:r>
            <w:r w:rsidR="00E83FD1">
              <w:rPr>
                <w:noProof/>
                <w:webHidden/>
              </w:rPr>
              <w:t>53</w:t>
            </w:r>
            <w:r w:rsidR="008F1F88">
              <w:rPr>
                <w:rStyle w:val="Hyperlink"/>
                <w:noProof/>
                <w:rtl/>
              </w:rPr>
              <w:fldChar w:fldCharType="end"/>
            </w:r>
          </w:hyperlink>
        </w:p>
        <w:p w14:paraId="11DDE365"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5" w:history="1">
            <w:r w:rsidR="008F1F88" w:rsidRPr="00DA240E">
              <w:rPr>
                <w:rStyle w:val="Hyperlink"/>
                <w:rFonts w:ascii="Times New Roman" w:hAnsi="Times New Roman"/>
                <w:b/>
                <w:bCs/>
                <w:noProof/>
                <w:lang w:val="en-US" w:eastAsia="en-US"/>
              </w:rPr>
              <w:t>5.3 Answering the Research Questions</w:t>
            </w:r>
            <w:r w:rsidR="008F1F88">
              <w:rPr>
                <w:noProof/>
                <w:webHidden/>
              </w:rPr>
              <w:tab/>
            </w:r>
            <w:r w:rsidR="008F1F88">
              <w:rPr>
                <w:rStyle w:val="Hyperlink"/>
                <w:noProof/>
                <w:rtl/>
              </w:rPr>
              <w:fldChar w:fldCharType="begin"/>
            </w:r>
            <w:r w:rsidR="008F1F88">
              <w:rPr>
                <w:noProof/>
                <w:webHidden/>
              </w:rPr>
              <w:instrText xml:space="preserve"> PAGEREF _Toc239804245 \h </w:instrText>
            </w:r>
            <w:r w:rsidR="008F1F88">
              <w:rPr>
                <w:rStyle w:val="Hyperlink"/>
                <w:noProof/>
                <w:rtl/>
              </w:rPr>
            </w:r>
            <w:r w:rsidR="008F1F88">
              <w:rPr>
                <w:rStyle w:val="Hyperlink"/>
                <w:noProof/>
                <w:rtl/>
              </w:rPr>
              <w:fldChar w:fldCharType="separate"/>
            </w:r>
            <w:r w:rsidR="00E83FD1">
              <w:rPr>
                <w:noProof/>
                <w:webHidden/>
              </w:rPr>
              <w:t>54</w:t>
            </w:r>
            <w:r w:rsidR="008F1F88">
              <w:rPr>
                <w:rStyle w:val="Hyperlink"/>
                <w:noProof/>
                <w:rtl/>
              </w:rPr>
              <w:fldChar w:fldCharType="end"/>
            </w:r>
          </w:hyperlink>
        </w:p>
        <w:p w14:paraId="086942FB"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6" w:history="1">
            <w:r w:rsidR="008F1F88" w:rsidRPr="00DA240E">
              <w:rPr>
                <w:rStyle w:val="Hyperlink"/>
                <w:rFonts w:ascii="Times New Roman" w:hAnsi="Times New Roman"/>
                <w:b/>
                <w:bCs/>
                <w:noProof/>
                <w:lang w:val="en-US" w:eastAsia="en-US"/>
              </w:rPr>
              <w:t>5.4 Transferability: What Can and Cannot Be Transferred from the UK to Pakistan</w:t>
            </w:r>
            <w:r w:rsidR="008F1F88">
              <w:rPr>
                <w:noProof/>
                <w:webHidden/>
              </w:rPr>
              <w:tab/>
            </w:r>
            <w:r w:rsidR="008F1F88">
              <w:rPr>
                <w:rStyle w:val="Hyperlink"/>
                <w:noProof/>
                <w:rtl/>
              </w:rPr>
              <w:fldChar w:fldCharType="begin"/>
            </w:r>
            <w:r w:rsidR="008F1F88">
              <w:rPr>
                <w:noProof/>
                <w:webHidden/>
              </w:rPr>
              <w:instrText xml:space="preserve"> PAGEREF _Toc239804246 \h </w:instrText>
            </w:r>
            <w:r w:rsidR="008F1F88">
              <w:rPr>
                <w:rStyle w:val="Hyperlink"/>
                <w:noProof/>
                <w:rtl/>
              </w:rPr>
            </w:r>
            <w:r w:rsidR="008F1F88">
              <w:rPr>
                <w:rStyle w:val="Hyperlink"/>
                <w:noProof/>
                <w:rtl/>
              </w:rPr>
              <w:fldChar w:fldCharType="separate"/>
            </w:r>
            <w:r w:rsidR="00E83FD1">
              <w:rPr>
                <w:noProof/>
                <w:webHidden/>
              </w:rPr>
              <w:t>55</w:t>
            </w:r>
            <w:r w:rsidR="008F1F88">
              <w:rPr>
                <w:rStyle w:val="Hyperlink"/>
                <w:noProof/>
                <w:rtl/>
              </w:rPr>
              <w:fldChar w:fldCharType="end"/>
            </w:r>
          </w:hyperlink>
        </w:p>
        <w:p w14:paraId="493B4DE2"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7" w:history="1">
            <w:r w:rsidR="008F1F88" w:rsidRPr="00DA240E">
              <w:rPr>
                <w:rStyle w:val="Hyperlink"/>
                <w:rFonts w:ascii="Times New Roman" w:hAnsi="Times New Roman"/>
                <w:b/>
                <w:bCs/>
                <w:noProof/>
                <w:lang w:val="en-US" w:eastAsia="en-US"/>
              </w:rPr>
              <w:t>5.5 Recommendations</w:t>
            </w:r>
            <w:r w:rsidR="008F1F88">
              <w:rPr>
                <w:noProof/>
                <w:webHidden/>
              </w:rPr>
              <w:tab/>
            </w:r>
            <w:r w:rsidR="008F1F88">
              <w:rPr>
                <w:rStyle w:val="Hyperlink"/>
                <w:noProof/>
                <w:rtl/>
              </w:rPr>
              <w:fldChar w:fldCharType="begin"/>
            </w:r>
            <w:r w:rsidR="008F1F88">
              <w:rPr>
                <w:noProof/>
                <w:webHidden/>
              </w:rPr>
              <w:instrText xml:space="preserve"> PAGEREF _Toc239804247 \h </w:instrText>
            </w:r>
            <w:r w:rsidR="008F1F88">
              <w:rPr>
                <w:rStyle w:val="Hyperlink"/>
                <w:noProof/>
                <w:rtl/>
              </w:rPr>
            </w:r>
            <w:r w:rsidR="008F1F88">
              <w:rPr>
                <w:rStyle w:val="Hyperlink"/>
                <w:noProof/>
                <w:rtl/>
              </w:rPr>
              <w:fldChar w:fldCharType="separate"/>
            </w:r>
            <w:r w:rsidR="00E83FD1">
              <w:rPr>
                <w:noProof/>
                <w:webHidden/>
              </w:rPr>
              <w:t>56</w:t>
            </w:r>
            <w:r w:rsidR="008F1F88">
              <w:rPr>
                <w:rStyle w:val="Hyperlink"/>
                <w:noProof/>
                <w:rtl/>
              </w:rPr>
              <w:fldChar w:fldCharType="end"/>
            </w:r>
          </w:hyperlink>
        </w:p>
        <w:p w14:paraId="0327A182"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8" w:history="1">
            <w:r w:rsidR="008F1F88" w:rsidRPr="00DA240E">
              <w:rPr>
                <w:rStyle w:val="Hyperlink"/>
                <w:rFonts w:ascii="Times New Roman" w:hAnsi="Times New Roman"/>
                <w:b/>
                <w:bCs/>
                <w:noProof/>
                <w:lang w:val="en-US" w:eastAsia="en-US"/>
              </w:rPr>
              <w:t>5.6 Contribution to Knowledge</w:t>
            </w:r>
            <w:r w:rsidR="008F1F88">
              <w:rPr>
                <w:noProof/>
                <w:webHidden/>
              </w:rPr>
              <w:tab/>
            </w:r>
            <w:r w:rsidR="008F1F88">
              <w:rPr>
                <w:rStyle w:val="Hyperlink"/>
                <w:noProof/>
                <w:rtl/>
              </w:rPr>
              <w:fldChar w:fldCharType="begin"/>
            </w:r>
            <w:r w:rsidR="008F1F88">
              <w:rPr>
                <w:noProof/>
                <w:webHidden/>
              </w:rPr>
              <w:instrText xml:space="preserve"> PAGEREF _Toc239804248 \h </w:instrText>
            </w:r>
            <w:r w:rsidR="008F1F88">
              <w:rPr>
                <w:rStyle w:val="Hyperlink"/>
                <w:noProof/>
                <w:rtl/>
              </w:rPr>
            </w:r>
            <w:r w:rsidR="008F1F88">
              <w:rPr>
                <w:rStyle w:val="Hyperlink"/>
                <w:noProof/>
                <w:rtl/>
              </w:rPr>
              <w:fldChar w:fldCharType="separate"/>
            </w:r>
            <w:r w:rsidR="00E83FD1">
              <w:rPr>
                <w:noProof/>
                <w:webHidden/>
              </w:rPr>
              <w:t>57</w:t>
            </w:r>
            <w:r w:rsidR="008F1F88">
              <w:rPr>
                <w:rStyle w:val="Hyperlink"/>
                <w:noProof/>
                <w:rtl/>
              </w:rPr>
              <w:fldChar w:fldCharType="end"/>
            </w:r>
          </w:hyperlink>
        </w:p>
        <w:p w14:paraId="226BB9DE"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49" w:history="1">
            <w:r w:rsidR="008F1F88" w:rsidRPr="00DA240E">
              <w:rPr>
                <w:rStyle w:val="Hyperlink"/>
                <w:rFonts w:ascii="Times New Roman" w:hAnsi="Times New Roman"/>
                <w:b/>
                <w:bCs/>
                <w:noProof/>
                <w:lang w:val="en-US" w:eastAsia="en-US"/>
              </w:rPr>
              <w:t>5.7 Limitations of the Study</w:t>
            </w:r>
            <w:r w:rsidR="008F1F88">
              <w:rPr>
                <w:noProof/>
                <w:webHidden/>
              </w:rPr>
              <w:tab/>
            </w:r>
            <w:r w:rsidR="008F1F88">
              <w:rPr>
                <w:rStyle w:val="Hyperlink"/>
                <w:noProof/>
                <w:rtl/>
              </w:rPr>
              <w:fldChar w:fldCharType="begin"/>
            </w:r>
            <w:r w:rsidR="008F1F88">
              <w:rPr>
                <w:noProof/>
                <w:webHidden/>
              </w:rPr>
              <w:instrText xml:space="preserve"> PAGEREF _Toc239804249 \h </w:instrText>
            </w:r>
            <w:r w:rsidR="008F1F88">
              <w:rPr>
                <w:rStyle w:val="Hyperlink"/>
                <w:noProof/>
                <w:rtl/>
              </w:rPr>
            </w:r>
            <w:r w:rsidR="008F1F88">
              <w:rPr>
                <w:rStyle w:val="Hyperlink"/>
                <w:noProof/>
                <w:rtl/>
              </w:rPr>
              <w:fldChar w:fldCharType="separate"/>
            </w:r>
            <w:r w:rsidR="00E83FD1">
              <w:rPr>
                <w:noProof/>
                <w:webHidden/>
              </w:rPr>
              <w:t>58</w:t>
            </w:r>
            <w:r w:rsidR="008F1F88">
              <w:rPr>
                <w:rStyle w:val="Hyperlink"/>
                <w:noProof/>
                <w:rtl/>
              </w:rPr>
              <w:fldChar w:fldCharType="end"/>
            </w:r>
          </w:hyperlink>
        </w:p>
        <w:p w14:paraId="19C631A0"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50" w:history="1">
            <w:r w:rsidR="008F1F88" w:rsidRPr="00DA240E">
              <w:rPr>
                <w:rStyle w:val="Hyperlink"/>
                <w:rFonts w:ascii="Times New Roman" w:hAnsi="Times New Roman"/>
                <w:b/>
                <w:bCs/>
                <w:noProof/>
                <w:lang w:val="en-US" w:eastAsia="en-US"/>
              </w:rPr>
              <w:t>5.8 Suggestions for Future Research</w:t>
            </w:r>
            <w:r w:rsidR="008F1F88">
              <w:rPr>
                <w:noProof/>
                <w:webHidden/>
              </w:rPr>
              <w:tab/>
            </w:r>
            <w:r w:rsidR="008F1F88">
              <w:rPr>
                <w:rStyle w:val="Hyperlink"/>
                <w:noProof/>
                <w:rtl/>
              </w:rPr>
              <w:fldChar w:fldCharType="begin"/>
            </w:r>
            <w:r w:rsidR="008F1F88">
              <w:rPr>
                <w:noProof/>
                <w:webHidden/>
              </w:rPr>
              <w:instrText xml:space="preserve"> PAGEREF _Toc239804250 \h </w:instrText>
            </w:r>
            <w:r w:rsidR="008F1F88">
              <w:rPr>
                <w:rStyle w:val="Hyperlink"/>
                <w:noProof/>
                <w:rtl/>
              </w:rPr>
            </w:r>
            <w:r w:rsidR="008F1F88">
              <w:rPr>
                <w:rStyle w:val="Hyperlink"/>
                <w:noProof/>
                <w:rtl/>
              </w:rPr>
              <w:fldChar w:fldCharType="separate"/>
            </w:r>
            <w:r w:rsidR="00E83FD1">
              <w:rPr>
                <w:noProof/>
                <w:webHidden/>
              </w:rPr>
              <w:t>58</w:t>
            </w:r>
            <w:r w:rsidR="008F1F88">
              <w:rPr>
                <w:rStyle w:val="Hyperlink"/>
                <w:noProof/>
                <w:rtl/>
              </w:rPr>
              <w:fldChar w:fldCharType="end"/>
            </w:r>
          </w:hyperlink>
        </w:p>
        <w:p w14:paraId="636A858A" w14:textId="77777777" w:rsidR="008F1F88" w:rsidRDefault="00A82984">
          <w:pPr>
            <w:pStyle w:val="TOC2"/>
            <w:tabs>
              <w:tab w:val="right" w:leader="dot" w:pos="9897"/>
            </w:tabs>
            <w:rPr>
              <w:rFonts w:asciiTheme="minorHAnsi" w:eastAsiaTheme="minorEastAsia" w:hAnsiTheme="minorHAnsi" w:cstheme="minorBidi"/>
              <w:noProof/>
              <w:sz w:val="22"/>
              <w:szCs w:val="22"/>
              <w:lang w:val="en-US" w:eastAsia="en-US" w:bidi="ur-PK"/>
            </w:rPr>
          </w:pPr>
          <w:hyperlink w:anchor="_Toc239804251" w:history="1">
            <w:r w:rsidR="008F1F88" w:rsidRPr="00DA240E">
              <w:rPr>
                <w:rStyle w:val="Hyperlink"/>
                <w:rFonts w:ascii="Times New Roman" w:hAnsi="Times New Roman"/>
                <w:b/>
                <w:bCs/>
                <w:noProof/>
                <w:lang w:val="en-US" w:eastAsia="en-US"/>
              </w:rPr>
              <w:t>5.9 Conclusion</w:t>
            </w:r>
            <w:r w:rsidR="008F1F88">
              <w:rPr>
                <w:noProof/>
                <w:webHidden/>
              </w:rPr>
              <w:tab/>
            </w:r>
            <w:r w:rsidR="008F1F88">
              <w:rPr>
                <w:rStyle w:val="Hyperlink"/>
                <w:noProof/>
                <w:rtl/>
              </w:rPr>
              <w:fldChar w:fldCharType="begin"/>
            </w:r>
            <w:r w:rsidR="008F1F88">
              <w:rPr>
                <w:noProof/>
                <w:webHidden/>
              </w:rPr>
              <w:instrText xml:space="preserve"> PAGEREF _Toc239804251 \h </w:instrText>
            </w:r>
            <w:r w:rsidR="008F1F88">
              <w:rPr>
                <w:rStyle w:val="Hyperlink"/>
                <w:noProof/>
                <w:rtl/>
              </w:rPr>
            </w:r>
            <w:r w:rsidR="008F1F88">
              <w:rPr>
                <w:rStyle w:val="Hyperlink"/>
                <w:noProof/>
                <w:rtl/>
              </w:rPr>
              <w:fldChar w:fldCharType="separate"/>
            </w:r>
            <w:r w:rsidR="00E83FD1">
              <w:rPr>
                <w:noProof/>
                <w:webHidden/>
              </w:rPr>
              <w:t>58</w:t>
            </w:r>
            <w:r w:rsidR="008F1F88">
              <w:rPr>
                <w:rStyle w:val="Hyperlink"/>
                <w:noProof/>
                <w:rtl/>
              </w:rPr>
              <w:fldChar w:fldCharType="end"/>
            </w:r>
          </w:hyperlink>
        </w:p>
        <w:p w14:paraId="65CE10AD" w14:textId="2B62EB97" w:rsidR="00AB3F6B" w:rsidRPr="00AB3F6B" w:rsidRDefault="00AB3F6B" w:rsidP="00800D5A">
          <w:pPr>
            <w:pStyle w:val="TOC1"/>
            <w:tabs>
              <w:tab w:val="right" w:leader="dot" w:pos="9897"/>
            </w:tabs>
            <w:rPr>
              <w:rStyle w:val="Hyperlink"/>
              <w:rFonts w:asciiTheme="majorBidi" w:hAnsiTheme="majorBidi" w:cstheme="majorBidi"/>
              <w:b/>
              <w:bCs/>
              <w:noProof/>
              <w:color w:val="auto"/>
            </w:rPr>
          </w:pPr>
          <w:r w:rsidRPr="00AB3F6B">
            <w:rPr>
              <w:rStyle w:val="Hyperlink"/>
              <w:rFonts w:asciiTheme="majorBidi" w:hAnsiTheme="majorBidi" w:cstheme="majorBidi"/>
              <w:b/>
              <w:bCs/>
              <w:noProof/>
              <w:color w:val="auto"/>
              <w:u w:val="none"/>
            </w:rPr>
            <w:t>REFERENCES</w:t>
          </w:r>
          <w:r w:rsidRPr="00DE6B6B">
            <w:rPr>
              <w:rStyle w:val="Hyperlink"/>
              <w:rFonts w:asciiTheme="majorBidi" w:hAnsiTheme="majorBidi" w:cstheme="majorBidi"/>
              <w:noProof/>
              <w:color w:val="auto"/>
              <w:u w:val="none"/>
            </w:rPr>
            <w:t>………………………………………………………………………………………..</w:t>
          </w:r>
          <w:r w:rsidRPr="007B397E">
            <w:rPr>
              <w:rStyle w:val="Hyperlink"/>
              <w:rFonts w:asciiTheme="majorBidi" w:hAnsiTheme="majorBidi" w:cstheme="majorBidi"/>
              <w:noProof/>
              <w:color w:val="auto"/>
              <w:u w:val="none"/>
            </w:rPr>
            <w:t>60</w:t>
          </w:r>
        </w:p>
        <w:p w14:paraId="11DE2B15" w14:textId="2D6298C9" w:rsidR="00800D5A" w:rsidRPr="00AB3F6B" w:rsidRDefault="008F1F88" w:rsidP="00800D5A">
          <w:pPr>
            <w:pStyle w:val="TOC1"/>
            <w:tabs>
              <w:tab w:val="right" w:leader="dot" w:pos="9897"/>
            </w:tabs>
            <w:rPr>
              <w:rStyle w:val="Hyperlink"/>
              <w:rFonts w:ascii="Times New Roman" w:hAnsi="Times New Roman"/>
              <w:b/>
              <w:bCs/>
              <w:noProof/>
              <w:color w:val="auto"/>
              <w:u w:val="none"/>
              <w:lang w:val="en-US" w:eastAsia="en-US"/>
            </w:rPr>
          </w:pPr>
          <w:r w:rsidRPr="00AB3F6B">
            <w:rPr>
              <w:rStyle w:val="Hyperlink"/>
              <w:noProof/>
              <w:color w:val="auto"/>
              <w:rtl/>
            </w:rPr>
            <w:fldChar w:fldCharType="begin"/>
          </w:r>
          <w:r w:rsidRPr="00AB3F6B">
            <w:rPr>
              <w:rStyle w:val="Hyperlink"/>
              <w:noProof/>
              <w:color w:val="auto"/>
            </w:rPr>
            <w:instrText xml:space="preserve"> </w:instrText>
          </w:r>
          <w:r w:rsidRPr="00AB3F6B">
            <w:rPr>
              <w:noProof/>
            </w:rPr>
            <w:instrText>HYPERLINK \l "_Toc239804252"</w:instrText>
          </w:r>
          <w:r w:rsidRPr="00AB3F6B">
            <w:rPr>
              <w:rStyle w:val="Hyperlink"/>
              <w:noProof/>
              <w:color w:val="auto"/>
            </w:rPr>
            <w:instrText xml:space="preserve"> </w:instrText>
          </w:r>
          <w:r w:rsidRPr="00AB3F6B">
            <w:rPr>
              <w:rStyle w:val="Hyperlink"/>
              <w:noProof/>
              <w:color w:val="auto"/>
              <w:rtl/>
            </w:rPr>
            <w:fldChar w:fldCharType="separate"/>
          </w:r>
          <w:hyperlink w:anchor="_Toc239804252" w:history="1">
            <w:r w:rsidR="00800D5A" w:rsidRPr="00AB3F6B">
              <w:rPr>
                <w:rStyle w:val="Hyperlink"/>
                <w:rFonts w:ascii="Times New Roman" w:hAnsi="Times New Roman"/>
                <w:b/>
                <w:bCs/>
                <w:noProof/>
                <w:color w:val="auto"/>
                <w:u w:val="none"/>
                <w:lang w:val="en-US" w:eastAsia="en-US"/>
              </w:rPr>
              <w:t>APPENDIX A: Studies Included in the Systematic Review (n = 32)</w:t>
            </w:r>
            <w:r w:rsidR="00800D5A" w:rsidRPr="00DE6B6B">
              <w:rPr>
                <w:rStyle w:val="Hyperlink"/>
                <w:rFonts w:ascii="Times New Roman" w:hAnsi="Times New Roman"/>
                <w:noProof/>
                <w:webHidden/>
                <w:color w:val="auto"/>
                <w:u w:val="none"/>
                <w:lang w:eastAsia="en-US"/>
              </w:rPr>
              <w:tab/>
            </w:r>
            <w:r w:rsidR="00800D5A" w:rsidRPr="00DE6B6B">
              <w:rPr>
                <w:rStyle w:val="Hyperlink"/>
                <w:rFonts w:ascii="Times New Roman" w:hAnsi="Times New Roman"/>
                <w:noProof/>
                <w:color w:val="auto"/>
                <w:u w:val="none"/>
                <w:rtl/>
                <w:lang w:val="en-US" w:eastAsia="en-US"/>
              </w:rPr>
              <w:fldChar w:fldCharType="begin"/>
            </w:r>
            <w:r w:rsidR="00800D5A" w:rsidRPr="00DE6B6B">
              <w:rPr>
                <w:rStyle w:val="Hyperlink"/>
                <w:rFonts w:ascii="Times New Roman" w:hAnsi="Times New Roman"/>
                <w:noProof/>
                <w:webHidden/>
                <w:color w:val="auto"/>
                <w:u w:val="none"/>
                <w:lang w:eastAsia="en-US"/>
              </w:rPr>
              <w:instrText xml:space="preserve"> PAGEREF _Toc239804252 \h </w:instrText>
            </w:r>
            <w:r w:rsidR="00800D5A" w:rsidRPr="00DE6B6B">
              <w:rPr>
                <w:rStyle w:val="Hyperlink"/>
                <w:rFonts w:ascii="Times New Roman" w:hAnsi="Times New Roman"/>
                <w:noProof/>
                <w:color w:val="auto"/>
                <w:u w:val="none"/>
                <w:rtl/>
                <w:lang w:val="en-US" w:eastAsia="en-US"/>
              </w:rPr>
            </w:r>
            <w:r w:rsidR="00800D5A" w:rsidRPr="00DE6B6B">
              <w:rPr>
                <w:rStyle w:val="Hyperlink"/>
                <w:rFonts w:ascii="Times New Roman" w:hAnsi="Times New Roman"/>
                <w:noProof/>
                <w:color w:val="auto"/>
                <w:u w:val="none"/>
                <w:rtl/>
                <w:lang w:val="en-US" w:eastAsia="en-US"/>
              </w:rPr>
              <w:fldChar w:fldCharType="separate"/>
            </w:r>
            <w:r w:rsidR="00E83FD1">
              <w:rPr>
                <w:rStyle w:val="Hyperlink"/>
                <w:rFonts w:ascii="Times New Roman" w:hAnsi="Times New Roman"/>
                <w:noProof/>
                <w:webHidden/>
                <w:color w:val="auto"/>
                <w:u w:val="none"/>
                <w:lang w:eastAsia="en-US"/>
              </w:rPr>
              <w:t>66</w:t>
            </w:r>
            <w:r w:rsidR="00800D5A" w:rsidRPr="00DE6B6B">
              <w:rPr>
                <w:rStyle w:val="Hyperlink"/>
                <w:rFonts w:ascii="Times New Roman" w:hAnsi="Times New Roman"/>
                <w:noProof/>
                <w:color w:val="auto"/>
                <w:u w:val="none"/>
                <w:rtl/>
                <w:lang w:val="en-US" w:eastAsia="en-US"/>
              </w:rPr>
              <w:fldChar w:fldCharType="end"/>
            </w:r>
          </w:hyperlink>
        </w:p>
        <w:p w14:paraId="0891E4BD" w14:textId="4E98475B" w:rsidR="008F1F88" w:rsidRPr="00AB3F6B" w:rsidRDefault="00800D5A" w:rsidP="008E1FDF">
          <w:pPr>
            <w:pStyle w:val="TOC1"/>
            <w:tabs>
              <w:tab w:val="right" w:leader="dot" w:pos="9897"/>
            </w:tabs>
            <w:rPr>
              <w:rFonts w:asciiTheme="minorHAnsi" w:eastAsiaTheme="minorEastAsia" w:hAnsiTheme="minorHAnsi" w:cstheme="minorBidi"/>
              <w:noProof/>
              <w:sz w:val="22"/>
              <w:szCs w:val="22"/>
              <w:lang w:val="en-US" w:eastAsia="en-US" w:bidi="ur-PK"/>
            </w:rPr>
          </w:pPr>
          <w:r w:rsidRPr="00AB3F6B">
            <w:rPr>
              <w:rStyle w:val="Hyperlink"/>
              <w:rFonts w:ascii="Times New Roman" w:hAnsi="Times New Roman"/>
              <w:b/>
              <w:bCs/>
              <w:noProof/>
              <w:color w:val="auto"/>
              <w:lang w:val="en-US" w:eastAsia="en-US"/>
            </w:rPr>
            <w:t>APPENDIX B</w:t>
          </w:r>
          <w:r w:rsidR="008F1F88" w:rsidRPr="00AB3F6B">
            <w:rPr>
              <w:rStyle w:val="Hyperlink"/>
              <w:rFonts w:ascii="Times New Roman" w:hAnsi="Times New Roman"/>
              <w:b/>
              <w:bCs/>
              <w:noProof/>
              <w:color w:val="auto"/>
              <w:lang w:val="en-US" w:eastAsia="en-US"/>
            </w:rPr>
            <w:t xml:space="preserve">: </w:t>
          </w:r>
          <w:r w:rsidR="007C3AC9" w:rsidRPr="00AB3F6B">
            <w:rPr>
              <w:rStyle w:val="Hyperlink"/>
              <w:rFonts w:ascii="Times New Roman" w:hAnsi="Times New Roman"/>
              <w:b/>
              <w:bCs/>
              <w:noProof/>
              <w:color w:val="auto"/>
              <w:lang w:val="en-US" w:eastAsia="en-US"/>
            </w:rPr>
            <w:t>Mixed Methods Appraisal Tool (MMAT) Scoring Template</w:t>
          </w:r>
          <w:r w:rsidR="008F1F88" w:rsidRPr="00AB3F6B">
            <w:rPr>
              <w:rStyle w:val="Hyperlink"/>
              <w:noProof/>
              <w:webHidden/>
              <w:color w:val="auto"/>
            </w:rPr>
            <w:tab/>
          </w:r>
          <w:r w:rsidR="008F1F88" w:rsidRPr="00AB3F6B">
            <w:rPr>
              <w:rStyle w:val="Hyperlink"/>
              <w:noProof/>
              <w:color w:val="auto"/>
              <w:rtl/>
            </w:rPr>
            <w:fldChar w:fldCharType="begin"/>
          </w:r>
          <w:r w:rsidR="008F1F88" w:rsidRPr="00AB3F6B">
            <w:rPr>
              <w:rStyle w:val="Hyperlink"/>
              <w:noProof/>
              <w:webHidden/>
              <w:color w:val="auto"/>
            </w:rPr>
            <w:instrText xml:space="preserve"> PAGEREF _Toc239804252 \h </w:instrText>
          </w:r>
          <w:r w:rsidR="008F1F88" w:rsidRPr="00AB3F6B">
            <w:rPr>
              <w:rStyle w:val="Hyperlink"/>
              <w:noProof/>
              <w:color w:val="auto"/>
              <w:rtl/>
            </w:rPr>
          </w:r>
          <w:r w:rsidR="008F1F88" w:rsidRPr="00AB3F6B">
            <w:rPr>
              <w:rStyle w:val="Hyperlink"/>
              <w:noProof/>
              <w:color w:val="auto"/>
              <w:rtl/>
            </w:rPr>
            <w:fldChar w:fldCharType="separate"/>
          </w:r>
          <w:r w:rsidR="00E83FD1">
            <w:rPr>
              <w:rStyle w:val="Hyperlink"/>
              <w:noProof/>
              <w:webHidden/>
              <w:color w:val="auto"/>
            </w:rPr>
            <w:t>6</w:t>
          </w:r>
          <w:r w:rsidR="008E1FDF">
            <w:rPr>
              <w:rStyle w:val="Hyperlink"/>
              <w:noProof/>
              <w:webHidden/>
              <w:color w:val="auto"/>
            </w:rPr>
            <w:t>9</w:t>
          </w:r>
          <w:r w:rsidR="008F1F88" w:rsidRPr="00AB3F6B">
            <w:rPr>
              <w:rStyle w:val="Hyperlink"/>
              <w:noProof/>
              <w:color w:val="auto"/>
              <w:rtl/>
            </w:rPr>
            <w:fldChar w:fldCharType="end"/>
          </w:r>
          <w:r w:rsidR="008F1F88" w:rsidRPr="00AB3F6B">
            <w:rPr>
              <w:rStyle w:val="Hyperlink"/>
              <w:noProof/>
              <w:color w:val="auto"/>
              <w:rtl/>
            </w:rPr>
            <w:fldChar w:fldCharType="end"/>
          </w:r>
        </w:p>
        <w:p w14:paraId="028FB512" w14:textId="67820FDD" w:rsidR="00800D5A" w:rsidRPr="00800D5A" w:rsidRDefault="00A82984" w:rsidP="008E1FDF">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52" w:history="1">
            <w:r w:rsidR="00800D5A" w:rsidRPr="007C3AC9">
              <w:rPr>
                <w:rStyle w:val="Hyperlink"/>
                <w:rFonts w:ascii="Times New Roman" w:hAnsi="Times New Roman"/>
                <w:b/>
                <w:bCs/>
                <w:noProof/>
                <w:lang w:val="en-US" w:eastAsia="en-US"/>
              </w:rPr>
              <w:t xml:space="preserve">APPENDIX C: </w:t>
            </w:r>
            <w:r w:rsidR="007C3AC9" w:rsidRPr="007C3AC9">
              <w:rPr>
                <w:rStyle w:val="Hyperlink"/>
                <w:rFonts w:ascii="Times New Roman" w:hAnsi="Times New Roman"/>
                <w:b/>
                <w:bCs/>
                <w:noProof/>
                <w:lang w:val="en-US" w:eastAsia="en-US"/>
              </w:rPr>
              <w:t>Data Extraction Form</w:t>
            </w:r>
            <w:r w:rsidR="00800D5A" w:rsidRPr="007C3AC9">
              <w:rPr>
                <w:rStyle w:val="Hyperlink"/>
                <w:noProof/>
                <w:webHidden/>
              </w:rPr>
              <w:tab/>
            </w:r>
            <w:r w:rsidR="007C3AC9">
              <w:rPr>
                <w:rStyle w:val="Hyperlink"/>
                <w:noProof/>
                <w:webHidden/>
              </w:rPr>
              <w:t>7</w:t>
            </w:r>
            <w:r w:rsidR="008E1FDF">
              <w:rPr>
                <w:rStyle w:val="Hyperlink"/>
                <w:noProof/>
                <w:webHidden/>
              </w:rPr>
              <w:t>1</w:t>
            </w:r>
          </w:hyperlink>
        </w:p>
        <w:p w14:paraId="6000E5D3"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53" w:history="1">
            <w:r w:rsidR="008F1F88" w:rsidRPr="00DA240E">
              <w:rPr>
                <w:rStyle w:val="Hyperlink"/>
                <w:rFonts w:ascii="Times New Roman" w:hAnsi="Times New Roman"/>
                <w:b/>
                <w:bCs/>
                <w:noProof/>
                <w:lang w:val="en-US" w:eastAsia="en-US"/>
              </w:rPr>
              <w:t>APPENDIX D: PRISMA 2020 Checklist</w:t>
            </w:r>
            <w:r w:rsidR="008F1F88">
              <w:rPr>
                <w:noProof/>
                <w:webHidden/>
              </w:rPr>
              <w:tab/>
            </w:r>
            <w:r w:rsidR="008F1F88">
              <w:rPr>
                <w:rStyle w:val="Hyperlink"/>
                <w:noProof/>
                <w:rtl/>
              </w:rPr>
              <w:fldChar w:fldCharType="begin"/>
            </w:r>
            <w:r w:rsidR="008F1F88">
              <w:rPr>
                <w:noProof/>
                <w:webHidden/>
              </w:rPr>
              <w:instrText xml:space="preserve"> PAGEREF _Toc239804253 \h </w:instrText>
            </w:r>
            <w:r w:rsidR="008F1F88">
              <w:rPr>
                <w:rStyle w:val="Hyperlink"/>
                <w:noProof/>
                <w:rtl/>
              </w:rPr>
            </w:r>
            <w:r w:rsidR="008F1F88">
              <w:rPr>
                <w:rStyle w:val="Hyperlink"/>
                <w:noProof/>
                <w:rtl/>
              </w:rPr>
              <w:fldChar w:fldCharType="separate"/>
            </w:r>
            <w:r w:rsidR="00E83FD1">
              <w:rPr>
                <w:noProof/>
                <w:webHidden/>
              </w:rPr>
              <w:t>79</w:t>
            </w:r>
            <w:r w:rsidR="008F1F88">
              <w:rPr>
                <w:rStyle w:val="Hyperlink"/>
                <w:noProof/>
                <w:rtl/>
              </w:rPr>
              <w:fldChar w:fldCharType="end"/>
            </w:r>
          </w:hyperlink>
        </w:p>
        <w:p w14:paraId="1D7DAE37" w14:textId="77777777" w:rsidR="008F1F88" w:rsidRDefault="00A82984">
          <w:pPr>
            <w:pStyle w:val="TOC1"/>
            <w:tabs>
              <w:tab w:val="right" w:leader="dot" w:pos="9897"/>
            </w:tabs>
            <w:rPr>
              <w:rFonts w:asciiTheme="minorHAnsi" w:eastAsiaTheme="minorEastAsia" w:hAnsiTheme="minorHAnsi" w:cstheme="minorBidi"/>
              <w:noProof/>
              <w:sz w:val="22"/>
              <w:szCs w:val="22"/>
              <w:lang w:val="en-US" w:eastAsia="en-US" w:bidi="ur-PK"/>
            </w:rPr>
          </w:pPr>
          <w:hyperlink w:anchor="_Toc239804254" w:history="1">
            <w:r w:rsidR="008F1F88" w:rsidRPr="00DA240E">
              <w:rPr>
                <w:rStyle w:val="Hyperlink"/>
                <w:rFonts w:ascii="Times New Roman" w:hAnsi="Times New Roman"/>
                <w:b/>
                <w:bCs/>
                <w:noProof/>
                <w:lang w:val="en-US" w:eastAsia="en-US"/>
              </w:rPr>
              <w:t>APPENDIX E: Ethics Approval Confirmation</w:t>
            </w:r>
            <w:r w:rsidR="008F1F88">
              <w:rPr>
                <w:noProof/>
                <w:webHidden/>
              </w:rPr>
              <w:tab/>
            </w:r>
            <w:r w:rsidR="008F1F88">
              <w:rPr>
                <w:rStyle w:val="Hyperlink"/>
                <w:noProof/>
                <w:rtl/>
              </w:rPr>
              <w:fldChar w:fldCharType="begin"/>
            </w:r>
            <w:r w:rsidR="008F1F88">
              <w:rPr>
                <w:noProof/>
                <w:webHidden/>
              </w:rPr>
              <w:instrText xml:space="preserve"> PAGEREF _Toc239804254 \h </w:instrText>
            </w:r>
            <w:r w:rsidR="008F1F88">
              <w:rPr>
                <w:rStyle w:val="Hyperlink"/>
                <w:noProof/>
                <w:rtl/>
              </w:rPr>
            </w:r>
            <w:r w:rsidR="008F1F88">
              <w:rPr>
                <w:rStyle w:val="Hyperlink"/>
                <w:noProof/>
                <w:rtl/>
              </w:rPr>
              <w:fldChar w:fldCharType="separate"/>
            </w:r>
            <w:r w:rsidR="00E83FD1">
              <w:rPr>
                <w:noProof/>
                <w:webHidden/>
              </w:rPr>
              <w:t>81</w:t>
            </w:r>
            <w:r w:rsidR="008F1F88">
              <w:rPr>
                <w:rStyle w:val="Hyperlink"/>
                <w:noProof/>
                <w:rtl/>
              </w:rPr>
              <w:fldChar w:fldCharType="end"/>
            </w:r>
          </w:hyperlink>
        </w:p>
        <w:p w14:paraId="21906565" w14:textId="7991304B" w:rsidR="008F1F88" w:rsidRDefault="008F1F88">
          <w:r>
            <w:rPr>
              <w:b/>
              <w:bCs/>
              <w:noProof/>
            </w:rPr>
            <w:fldChar w:fldCharType="end"/>
          </w:r>
        </w:p>
      </w:sdtContent>
    </w:sdt>
    <w:p w14:paraId="39C04C49" w14:textId="77777777" w:rsidR="000F5408" w:rsidRDefault="000F5408" w:rsidP="00D848B2">
      <w:pPr>
        <w:bidi/>
        <w:spacing w:after="400" w:line="240" w:lineRule="auto"/>
        <w:rPr>
          <w:rFonts w:ascii="Times New Roman" w:hAnsi="Times New Roman"/>
          <w:b/>
          <w:bCs/>
          <w:sz w:val="32"/>
          <w:szCs w:val="32"/>
          <w:lang w:val="en-US" w:eastAsia="en-US" w:bidi="ur-PK"/>
        </w:rPr>
      </w:pPr>
    </w:p>
    <w:p w14:paraId="5310EC45" w14:textId="77777777" w:rsidR="009E4994" w:rsidRDefault="009E4994" w:rsidP="009E4994">
      <w:pPr>
        <w:bidi/>
        <w:spacing w:after="400" w:line="240" w:lineRule="auto"/>
        <w:rPr>
          <w:rFonts w:ascii="Times New Roman" w:hAnsi="Times New Roman"/>
          <w:b/>
          <w:bCs/>
          <w:sz w:val="32"/>
          <w:szCs w:val="32"/>
          <w:lang w:val="en-US" w:eastAsia="en-US" w:bidi="ur-PK"/>
        </w:rPr>
      </w:pPr>
    </w:p>
    <w:p w14:paraId="34661A81" w14:textId="77777777" w:rsidR="009E4994" w:rsidRPr="000F5408" w:rsidRDefault="009E4994" w:rsidP="009E4994">
      <w:pPr>
        <w:bidi/>
        <w:spacing w:after="400" w:line="240" w:lineRule="auto"/>
        <w:rPr>
          <w:rFonts w:ascii="Times New Roman" w:hAnsi="Times New Roman"/>
          <w:b/>
          <w:bCs/>
          <w:sz w:val="32"/>
          <w:szCs w:val="32"/>
          <w:lang w:val="en-US" w:eastAsia="en-US" w:bidi="ur-PK"/>
        </w:rPr>
      </w:pPr>
    </w:p>
    <w:p w14:paraId="2C1F97D7" w14:textId="4C138BF2" w:rsidR="009E4994" w:rsidRPr="000F5408" w:rsidRDefault="000F5408" w:rsidP="009E4994">
      <w:pPr>
        <w:bidi/>
        <w:spacing w:after="400" w:line="240" w:lineRule="auto"/>
        <w:jc w:val="center"/>
        <w:rPr>
          <w:rFonts w:ascii="Times New Roman" w:hAnsi="Times New Roman"/>
          <w:sz w:val="20"/>
          <w:szCs w:val="20"/>
          <w:lang w:val="en-US" w:eastAsia="en-US" w:bidi="ur-PK"/>
        </w:rPr>
      </w:pPr>
      <w:r w:rsidRPr="000F5408">
        <w:rPr>
          <w:rFonts w:ascii="Times New Roman" w:hAnsi="Times New Roman"/>
          <w:b/>
          <w:bCs/>
          <w:sz w:val="32"/>
          <w:szCs w:val="32"/>
          <w:lang w:val="en-US" w:eastAsia="en-US" w:bidi="ur-PK"/>
        </w:rPr>
        <w:t>CHAPTER ONE: INTRODUCTION</w:t>
      </w:r>
    </w:p>
    <w:p w14:paraId="0053D7C5"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 w:name="_Toc239804193"/>
      <w:r w:rsidRPr="000F5408">
        <w:rPr>
          <w:rFonts w:ascii="Times New Roman" w:hAnsi="Times New Roman"/>
          <w:b/>
          <w:bCs/>
          <w:sz w:val="26"/>
          <w:szCs w:val="26"/>
          <w:lang w:val="en-US" w:eastAsia="en-US" w:bidi="ur-PK"/>
        </w:rPr>
        <w:t>1.1 Introduction</w:t>
      </w:r>
      <w:bookmarkEnd w:id="1"/>
    </w:p>
    <w:p w14:paraId="2B894475"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Digital health transformation involves the adoption of digital technologies such as electronic health records, mobile health applications, artificial intelligence, and telemedicine to enhance healthcare delivery, access, and outcomes (World Health Organization [WHO], 2022). Among these innovations, telemedicine is one of the most significant, enabling healthcare professionals to consult, diagnose, and follow up with patients remotely. Its adoption accelerated rapidly during the COVID-19 pandemic and is now an established component of healthcare </w:t>
      </w:r>
      <w:proofErr w:type="spellStart"/>
      <w:r w:rsidRPr="000F5408">
        <w:rPr>
          <w:rFonts w:ascii="Times New Roman" w:hAnsi="Times New Roman"/>
          <w:lang w:val="en-US" w:eastAsia="en-US" w:bidi="ur-PK"/>
        </w:rPr>
        <w:t>modernisation</w:t>
      </w:r>
      <w:proofErr w:type="spellEnd"/>
      <w:r w:rsidRPr="000F5408">
        <w:rPr>
          <w:rFonts w:ascii="Times New Roman" w:hAnsi="Times New Roman"/>
          <w:lang w:val="en-US" w:eastAsia="en-US" w:bidi="ur-PK"/>
        </w:rPr>
        <w:t xml:space="preserve"> efforts in many countries.</w:t>
      </w:r>
    </w:p>
    <w:p w14:paraId="4C141692"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However, the rate of adoption continues to vary significantly across developed and less developed healthcare systems, shaped by differences in digital infrastructure, regulatory maturity, and investment capacity (Bilal et al., 2022; Mahdi et al., 2022). This dissertation addresses this unevenness by systematically reviewing the literature on telemedicine implementation in the United Kingdom and Pakistan — two healthcare systems at markedly different stages of digital maturity — in order to understand implementation drivers, barriers, and the lessons that may be transferable to resource-constrained healthcare systems.</w:t>
      </w:r>
    </w:p>
    <w:p w14:paraId="39B2ADA4"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2" w:name="_Toc239804194"/>
      <w:r w:rsidRPr="000F5408">
        <w:rPr>
          <w:rFonts w:ascii="Times New Roman" w:hAnsi="Times New Roman"/>
          <w:b/>
          <w:bCs/>
          <w:sz w:val="26"/>
          <w:szCs w:val="26"/>
          <w:lang w:val="en-US" w:eastAsia="en-US" w:bidi="ur-PK"/>
        </w:rPr>
        <w:t>1.2 Background of the Study</w:t>
      </w:r>
      <w:bookmarkEnd w:id="2"/>
    </w:p>
    <w:p w14:paraId="16BC34D0"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In the United Kingdom, a range of national initiatives and investments have established telemedicine as part of standard NHS service delivery, including the Global Digital Exemplar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and the digital-first primary care approach set out in the NHS Long Term Plan (NHS England, 2023). Since the onset of the COVID-19 pandemic, remote consultations have increased substantially and are now embedded within primary and secondary care, supported by clear governance, funding, and clinical accreditation structures.</w:t>
      </w:r>
    </w:p>
    <w:p w14:paraId="4D42C6EF"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The picture in Pakistan differs considerably. Telemedicine initiatives have expanded notably in urban </w:t>
      </w:r>
      <w:proofErr w:type="spellStart"/>
      <w:r w:rsidRPr="000F5408">
        <w:rPr>
          <w:rFonts w:ascii="Times New Roman" w:hAnsi="Times New Roman"/>
          <w:lang w:val="en-US" w:eastAsia="en-US" w:bidi="ur-PK"/>
        </w:rPr>
        <w:t>centres</w:t>
      </w:r>
      <w:proofErr w:type="spellEnd"/>
      <w:r w:rsidRPr="000F5408">
        <w:rPr>
          <w:rFonts w:ascii="Times New Roman" w:hAnsi="Times New Roman"/>
          <w:lang w:val="en-US" w:eastAsia="en-US" w:bidi="ur-PK"/>
        </w:rPr>
        <w:t xml:space="preserve"> such as Karachi, Lahore, and Islamabad, driven largely by private platforms and pandemic-related necessity. However, uptake at the national level remains limited, constrained by inconsistent internet connectivity, underdeveloped regulatory frameworks, and uneven digital literacy among both </w:t>
      </w:r>
      <w:r w:rsidRPr="000F5408">
        <w:rPr>
          <w:rFonts w:ascii="Times New Roman" w:hAnsi="Times New Roman"/>
          <w:lang w:val="en-US" w:eastAsia="en-US" w:bidi="ur-PK"/>
        </w:rPr>
        <w:lastRenderedPageBreak/>
        <w:t>patients and healthcare providers (Mahdi et al., 2022). These divergent trajectories — one shaped by coordinated public-sector investment, the other by disjointed private-sector innovation — provide the empirical rationale for the comparison undertaken in this dissertation.</w:t>
      </w:r>
    </w:p>
    <w:p w14:paraId="15D6A195"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3" w:name="_Toc239804195"/>
      <w:r w:rsidRPr="000F5408">
        <w:rPr>
          <w:rFonts w:ascii="Times New Roman" w:hAnsi="Times New Roman"/>
          <w:b/>
          <w:bCs/>
          <w:sz w:val="26"/>
          <w:szCs w:val="26"/>
          <w:lang w:val="en-US" w:eastAsia="en-US" w:bidi="ur-PK"/>
        </w:rPr>
        <w:t>1.3 Problem Statement</w:t>
      </w:r>
      <w:bookmarkEnd w:id="3"/>
    </w:p>
    <w:p w14:paraId="6601940A"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Although telemedicine has attracted considerable research attention, most existing studies focus on a single country or on user acceptance of the technology itself, rather than on broader healthcare service outcomes such as accessibility, operational efficiency, and patient satisfaction (Kruse et al., 2022). Comparative research remains scarce, and where it exists, it rarely contrasts a mature, publicly funded system such as the NHS with an emerging, privately-led system such as Pakistan's — a comparison capable of clarifying which adoption factors are genuinely transferable to resource-limited contexts, and which are instead contingent on funding and governance arrangements unlikely to be replicated elsewhere.</w:t>
      </w:r>
    </w:p>
    <w:p w14:paraId="65992556"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This dissertation therefore addresses the absence of systematic, comparative evidence linking telemedicine adoption factors to healthcare service delivery outcomes across health systems of differing digital maturity — evidence that policymakers require to identify workable, transferable solutions for telemedicine implementation.</w:t>
      </w:r>
    </w:p>
    <w:p w14:paraId="3F3A4F0D"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4" w:name="_Toc239804196"/>
      <w:r w:rsidRPr="000F5408">
        <w:rPr>
          <w:rFonts w:ascii="Times New Roman" w:hAnsi="Times New Roman"/>
          <w:b/>
          <w:bCs/>
          <w:sz w:val="26"/>
          <w:szCs w:val="26"/>
          <w:lang w:val="en-US" w:eastAsia="en-US" w:bidi="ur-PK"/>
        </w:rPr>
        <w:t>1.4 Research Gap</w:t>
      </w:r>
      <w:bookmarkEnd w:id="4"/>
    </w:p>
    <w:p w14:paraId="3AF77466"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This study is motivated by three gaps in the existing literature. First, there is limited direct comparative evidence between developed and developing healthcare systems on telemedicine adoption: research on the UK tends to focus on NHS digital initiatives and associated clinical outcomes, while research on Pakistan concentrates on infrastructural and regulatory barriers, with little attempt to </w:t>
      </w:r>
      <w:proofErr w:type="spellStart"/>
      <w:r w:rsidRPr="000F5408">
        <w:rPr>
          <w:rFonts w:ascii="Times New Roman" w:hAnsi="Times New Roman"/>
          <w:lang w:val="en-US" w:eastAsia="en-US" w:bidi="ur-PK"/>
        </w:rPr>
        <w:t>synthesise</w:t>
      </w:r>
      <w:proofErr w:type="spellEnd"/>
      <w:r w:rsidRPr="000F5408">
        <w:rPr>
          <w:rFonts w:ascii="Times New Roman" w:hAnsi="Times New Roman"/>
          <w:lang w:val="en-US" w:eastAsia="en-US" w:bidi="ur-PK"/>
        </w:rPr>
        <w:t xml:space="preserve"> the two bodies of evidence (Mahdi et al., 2022).</w:t>
      </w:r>
    </w:p>
    <w:p w14:paraId="42393C41"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Second, much of the current evidence draws on technology-acceptance models such as TAM and UTAUT, which offer limited insight into system-level service delivery outcomes — the outcomes most relevant to policymakers evaluating the success of telemedicine investment (WHO, 2022).</w:t>
      </w:r>
    </w:p>
    <w:p w14:paraId="28C9633B"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Third, barriers to implementation are frequently reported in isolation, without an accompanying analysis of which structural features of a mature health system are genuinely transferable to a resource-constrained context, and which are instead contingent on system-specific funding and governance arrangements unlikely to be replicated elsewhere (Bilal et al., 2022).</w:t>
      </w:r>
    </w:p>
    <w:p w14:paraId="50F08B33"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Addressing these gaps requires an analytical approach that moves beyond isolated technology-acceptance models toward a system-level, service-delivery-outcomes perspective. The conceptual framework developed in Chapter Two accordingly </w:t>
      </w:r>
      <w:proofErr w:type="spellStart"/>
      <w:r w:rsidRPr="000F5408">
        <w:rPr>
          <w:rFonts w:ascii="Times New Roman" w:hAnsi="Times New Roman"/>
          <w:lang w:val="en-US" w:eastAsia="en-US" w:bidi="ur-PK"/>
        </w:rPr>
        <w:t>synthesises</w:t>
      </w:r>
      <w:proofErr w:type="spellEnd"/>
      <w:r w:rsidRPr="000F5408">
        <w:rPr>
          <w:rFonts w:ascii="Times New Roman" w:hAnsi="Times New Roman"/>
          <w:lang w:val="en-US" w:eastAsia="en-US" w:bidi="ur-PK"/>
        </w:rPr>
        <w:t xml:space="preserve"> the adoption-factor literature with a service-delivery outcomes lens; this framework directly underpins Objectives 1 to 4 and their </w:t>
      </w:r>
      <w:r w:rsidRPr="000F5408">
        <w:rPr>
          <w:rFonts w:ascii="Times New Roman" w:hAnsi="Times New Roman"/>
          <w:lang w:val="en-US" w:eastAsia="en-US" w:bidi="ur-PK"/>
        </w:rPr>
        <w:lastRenderedPageBreak/>
        <w:t>corresponding research questions (Section 1.7), and is the mechanism through which this dissertation's comparative systematic review design responds to the three gaps identified above.</w:t>
      </w:r>
    </w:p>
    <w:p w14:paraId="37190948"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5" w:name="_Toc239804197"/>
      <w:r w:rsidRPr="000F5408">
        <w:rPr>
          <w:rFonts w:ascii="Times New Roman" w:hAnsi="Times New Roman"/>
          <w:b/>
          <w:bCs/>
          <w:sz w:val="26"/>
          <w:szCs w:val="26"/>
          <w:lang w:val="en-US" w:eastAsia="en-US" w:bidi="ur-PK"/>
        </w:rPr>
        <w:t>1.5 Research Aim</w:t>
      </w:r>
      <w:bookmarkEnd w:id="5"/>
    </w:p>
    <w:p w14:paraId="5685DC42"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This study aims to critically </w:t>
      </w:r>
      <w:proofErr w:type="spellStart"/>
      <w:r w:rsidRPr="000F5408">
        <w:rPr>
          <w:rFonts w:ascii="Times New Roman" w:hAnsi="Times New Roman"/>
          <w:lang w:val="en-US" w:eastAsia="en-US" w:bidi="ur-PK"/>
        </w:rPr>
        <w:t>analyse</w:t>
      </w:r>
      <w:proofErr w:type="spellEnd"/>
      <w:r w:rsidRPr="000F5408">
        <w:rPr>
          <w:rFonts w:ascii="Times New Roman" w:hAnsi="Times New Roman"/>
          <w:lang w:val="en-US" w:eastAsia="en-US" w:bidi="ur-PK"/>
        </w:rPr>
        <w:t xml:space="preserve"> the process of digital health transformation and telemedicine adoption in the United Kingdom and Pakistan through a systematic review of the literature, in order to explore the critical factors, challenges, and benefits of telemedicine deployment and to provide evidence-based insights that support digital health transformation, particularly in nascent healthcare systems.</w:t>
      </w:r>
    </w:p>
    <w:p w14:paraId="685FA64B"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6" w:name="_Toc239804198"/>
      <w:r w:rsidRPr="000F5408">
        <w:rPr>
          <w:rFonts w:ascii="Times New Roman" w:hAnsi="Times New Roman"/>
          <w:b/>
          <w:bCs/>
          <w:sz w:val="26"/>
          <w:szCs w:val="26"/>
          <w:lang w:val="en-US" w:eastAsia="en-US" w:bidi="ur-PK"/>
        </w:rPr>
        <w:t>1.6 Research Objectives</w:t>
      </w:r>
      <w:bookmarkEnd w:id="6"/>
    </w:p>
    <w:p w14:paraId="387B6EAD"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In order to </w:t>
      </w:r>
      <w:proofErr w:type="spellStart"/>
      <w:r w:rsidRPr="000F5408">
        <w:rPr>
          <w:rFonts w:ascii="Times New Roman" w:hAnsi="Times New Roman"/>
          <w:lang w:val="en-US" w:eastAsia="en-US" w:bidi="ur-PK"/>
        </w:rPr>
        <w:t>realise</w:t>
      </w:r>
      <w:proofErr w:type="spellEnd"/>
      <w:r w:rsidRPr="000F5408">
        <w:rPr>
          <w:rFonts w:ascii="Times New Roman" w:hAnsi="Times New Roman"/>
          <w:lang w:val="en-US" w:eastAsia="en-US" w:bidi="ur-PK"/>
        </w:rPr>
        <w:t xml:space="preserve"> the aim above, this dissertation pursues the following objectives:</w:t>
      </w:r>
    </w:p>
    <w:p w14:paraId="7251BE1C" w14:textId="77777777" w:rsidR="000F5408" w:rsidRPr="000F5408" w:rsidRDefault="000F5408" w:rsidP="000F5408">
      <w:pPr>
        <w:bidi/>
        <w:spacing w:after="16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1. To critically review the theoretical frameworks and body of literature relevant to digital health transformation and telemedicine adoption, establishing a conceptual basis for the comparative analysis.</w:t>
      </w:r>
    </w:p>
    <w:p w14:paraId="44F71B27" w14:textId="77777777" w:rsidR="000F5408" w:rsidRPr="000F5408" w:rsidRDefault="000F5408" w:rsidP="000F5408">
      <w:pPr>
        <w:bidi/>
        <w:spacing w:after="16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2. To identify the key factors influencing the implementation of telemedicine within the healthcare systems of the United Kingdom and Pakistan.</w:t>
      </w:r>
    </w:p>
    <w:p w14:paraId="56D97F0F" w14:textId="77777777" w:rsidR="000F5408" w:rsidRPr="000F5408" w:rsidRDefault="000F5408" w:rsidP="000F5408">
      <w:pPr>
        <w:bidi/>
        <w:spacing w:after="16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3. To compare the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regulatory and socioeconomic barriers to telemedicine implementation across both countries.</w:t>
      </w:r>
    </w:p>
    <w:p w14:paraId="70EC3EC2" w14:textId="77777777" w:rsidR="000F5408" w:rsidRPr="000F5408" w:rsidRDefault="000F5408" w:rsidP="000F5408">
      <w:pPr>
        <w:bidi/>
        <w:spacing w:after="16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4. To critically evaluate the effects of telemedicine on healthcare accessibility, operational efficiency, quality of care and patient satisfaction.</w:t>
      </w:r>
    </w:p>
    <w:p w14:paraId="3230904A" w14:textId="77777777" w:rsidR="000F5408" w:rsidRPr="000F5408" w:rsidRDefault="000F5408" w:rsidP="000F5408">
      <w:pPr>
        <w:bidi/>
        <w:spacing w:after="16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5. To identify gaps in the existing literature and healthcare policy relating to telemedicine implementation.</w:t>
      </w:r>
    </w:p>
    <w:p w14:paraId="0C1C2B72" w14:textId="77777777" w:rsidR="000F5408" w:rsidRPr="000F5408" w:rsidRDefault="000F5408" w:rsidP="000F5408">
      <w:pPr>
        <w:bidi/>
        <w:spacing w:after="16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6. To develop evidence-based recommendations to enhance digital health transformation and telemedicine adoption in developing healthcare systems, with particular reference to Pakistan.</w:t>
      </w:r>
    </w:p>
    <w:p w14:paraId="2FBB6F9C"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7" w:name="_Toc239804199"/>
      <w:r w:rsidRPr="000F5408">
        <w:rPr>
          <w:rFonts w:ascii="Times New Roman" w:hAnsi="Times New Roman"/>
          <w:b/>
          <w:bCs/>
          <w:sz w:val="26"/>
          <w:szCs w:val="26"/>
          <w:lang w:val="en-US" w:eastAsia="en-US" w:bidi="ur-PK"/>
        </w:rPr>
        <w:t>1.7 Research Questions</w:t>
      </w:r>
      <w:bookmarkEnd w:id="7"/>
    </w:p>
    <w:p w14:paraId="44B57A2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Each objective above is addressed through a corresponding research question, as follows:</w:t>
      </w:r>
    </w:p>
    <w:p w14:paraId="011D0DA2" w14:textId="77777777" w:rsidR="000F5408" w:rsidRPr="000F5408" w:rsidRDefault="000F5408" w:rsidP="000F5408">
      <w:pPr>
        <w:spacing w:after="160" w:line="360" w:lineRule="auto"/>
        <w:rPr>
          <w:rFonts w:ascii="Times New Roman" w:hAnsi="Times New Roman"/>
          <w:sz w:val="20"/>
          <w:szCs w:val="20"/>
          <w:lang w:val="en-US" w:eastAsia="en-US" w:bidi="ur-PK"/>
        </w:rPr>
      </w:pPr>
      <w:r w:rsidRPr="000F5408">
        <w:rPr>
          <w:rFonts w:ascii="Times New Roman" w:hAnsi="Times New Roman"/>
          <w:lang w:val="en-US" w:eastAsia="en-US" w:bidi="ur-PK"/>
        </w:rPr>
        <w:t>RQ1: Which theoretical frameworks and conceptual models are most relevant to understanding digital health transformation and telemedicine adoption, and to what extent do existing models — such as TAM and UTAUT — account for system-level service delivery outcomes?</w:t>
      </w:r>
    </w:p>
    <w:p w14:paraId="52A0A7F0" w14:textId="77777777" w:rsidR="000F5408" w:rsidRPr="000F5408" w:rsidRDefault="000F5408" w:rsidP="000F5408">
      <w:pPr>
        <w:spacing w:after="160" w:line="360" w:lineRule="auto"/>
        <w:rPr>
          <w:rFonts w:ascii="Times New Roman" w:hAnsi="Times New Roman"/>
          <w:sz w:val="20"/>
          <w:szCs w:val="20"/>
          <w:lang w:val="en-US" w:eastAsia="en-US" w:bidi="ur-PK"/>
        </w:rPr>
      </w:pPr>
      <w:r w:rsidRPr="000F5408">
        <w:rPr>
          <w:rFonts w:ascii="Times New Roman" w:hAnsi="Times New Roman"/>
          <w:lang w:val="en-US" w:eastAsia="en-US" w:bidi="ur-PK"/>
        </w:rPr>
        <w:t>RQ2: What are the key factors influencing the adoption of telemedicine in the healthcare systems of the United Kingdom and Pakistan?</w:t>
      </w:r>
    </w:p>
    <w:p w14:paraId="785782D8" w14:textId="77777777" w:rsidR="000F5408" w:rsidRPr="000F5408" w:rsidRDefault="000F5408" w:rsidP="000F5408">
      <w:pPr>
        <w:spacing w:after="160" w:line="360" w:lineRule="auto"/>
        <w:rPr>
          <w:rFonts w:ascii="Times New Roman" w:hAnsi="Times New Roman"/>
          <w:sz w:val="20"/>
          <w:szCs w:val="20"/>
          <w:lang w:val="en-US" w:eastAsia="en-US" w:bidi="ur-PK"/>
        </w:rPr>
      </w:pPr>
      <w:r w:rsidRPr="000F5408">
        <w:rPr>
          <w:rFonts w:ascii="Times New Roman" w:hAnsi="Times New Roman"/>
          <w:lang w:val="en-US" w:eastAsia="en-US" w:bidi="ur-PK"/>
        </w:rPr>
        <w:lastRenderedPageBreak/>
        <w:t xml:space="preserve">RQ3: What are the key similarities and differences in the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regulatory and socioeconomic barriers to telemedicine implementation between the United Kingdom and Pakistan?</w:t>
      </w:r>
    </w:p>
    <w:p w14:paraId="504389E9" w14:textId="77777777" w:rsidR="000F5408" w:rsidRPr="000F5408" w:rsidRDefault="000F5408" w:rsidP="000F5408">
      <w:pPr>
        <w:spacing w:after="160" w:line="360" w:lineRule="auto"/>
        <w:rPr>
          <w:rFonts w:ascii="Times New Roman" w:hAnsi="Times New Roman"/>
          <w:sz w:val="20"/>
          <w:szCs w:val="20"/>
          <w:lang w:val="en-US" w:eastAsia="en-US" w:bidi="ur-PK"/>
        </w:rPr>
      </w:pPr>
      <w:r w:rsidRPr="000F5408">
        <w:rPr>
          <w:rFonts w:ascii="Times New Roman" w:hAnsi="Times New Roman"/>
          <w:lang w:val="en-US" w:eastAsia="en-US" w:bidi="ur-PK"/>
        </w:rPr>
        <w:t>RQ4: What are the effects of telemedicine on healthcare accessibility, operational efficiency, quality of care and patient satisfaction in the United Kingdom and Pakistan?</w:t>
      </w:r>
    </w:p>
    <w:p w14:paraId="4A0E89C8" w14:textId="77777777" w:rsidR="000F5408" w:rsidRPr="000F5408" w:rsidRDefault="000F5408" w:rsidP="000F5408">
      <w:pPr>
        <w:spacing w:after="160" w:line="360" w:lineRule="auto"/>
        <w:rPr>
          <w:rFonts w:ascii="Times New Roman" w:hAnsi="Times New Roman"/>
          <w:sz w:val="20"/>
          <w:szCs w:val="20"/>
          <w:lang w:val="en-US" w:eastAsia="en-US" w:bidi="ur-PK"/>
        </w:rPr>
      </w:pPr>
      <w:r w:rsidRPr="000F5408">
        <w:rPr>
          <w:rFonts w:ascii="Times New Roman" w:hAnsi="Times New Roman"/>
          <w:lang w:val="en-US" w:eastAsia="en-US" w:bidi="ur-PK"/>
        </w:rPr>
        <w:t>RQ5: What gaps exist in the current literature and in healthcare policy regarding telemedicine implementation, particularly in relation to comparative evidence between developed and developing health systems?</w:t>
      </w:r>
    </w:p>
    <w:p w14:paraId="2AC8AB34" w14:textId="77777777" w:rsidR="000F5408" w:rsidRPr="000F5408" w:rsidRDefault="000F5408" w:rsidP="000F5408">
      <w:pPr>
        <w:spacing w:after="160" w:line="360" w:lineRule="auto"/>
        <w:rPr>
          <w:rFonts w:ascii="Times New Roman" w:hAnsi="Times New Roman"/>
          <w:sz w:val="20"/>
          <w:szCs w:val="20"/>
          <w:lang w:val="en-US" w:eastAsia="en-US" w:bidi="ur-PK"/>
        </w:rPr>
      </w:pPr>
      <w:r w:rsidRPr="000F5408">
        <w:rPr>
          <w:rFonts w:ascii="Times New Roman" w:hAnsi="Times New Roman"/>
          <w:lang w:val="en-US" w:eastAsia="en-US" w:bidi="ur-PK"/>
        </w:rPr>
        <w:t>RQ6: What evidence-based recommendations can be made to strengthen digital health transformation and telemedicine adoption in developing healthcare systems, particularly Pakistan?</w:t>
      </w:r>
    </w:p>
    <w:p w14:paraId="6F5CB2C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Table 1.1 </w:t>
      </w:r>
      <w:proofErr w:type="spellStart"/>
      <w:r w:rsidRPr="000F5408">
        <w:rPr>
          <w:rFonts w:ascii="Times New Roman" w:hAnsi="Times New Roman"/>
          <w:lang w:val="en-US" w:eastAsia="en-US" w:bidi="ur-PK"/>
        </w:rPr>
        <w:t>summarises</w:t>
      </w:r>
      <w:proofErr w:type="spellEnd"/>
      <w:r w:rsidRPr="000F5408">
        <w:rPr>
          <w:rFonts w:ascii="Times New Roman" w:hAnsi="Times New Roman"/>
          <w:lang w:val="en-US" w:eastAsia="en-US" w:bidi="ur-PK"/>
        </w:rPr>
        <w:t xml:space="preserve"> the alignment between the research objectives and research questions.</w:t>
      </w:r>
    </w:p>
    <w:p w14:paraId="52440BD5" w14:textId="77777777" w:rsidR="000F5408" w:rsidRPr="000F5408" w:rsidRDefault="000F5408" w:rsidP="000F5408">
      <w:pPr>
        <w:spacing w:after="200" w:line="240" w:lineRule="auto"/>
        <w:rPr>
          <w:rFonts w:ascii="Times New Roman" w:hAnsi="Times New Roman"/>
          <w:sz w:val="20"/>
          <w:szCs w:val="20"/>
          <w:lang w:val="en-US" w:eastAsia="en-US" w:bidi="ur-PK"/>
        </w:rPr>
      </w:pPr>
      <w:r w:rsidRPr="000F5408">
        <w:rPr>
          <w:rFonts w:ascii="Times New Roman" w:hAnsi="Times New Roman"/>
          <w:i/>
          <w:iCs/>
          <w:sz w:val="22"/>
          <w:szCs w:val="22"/>
          <w:lang w:val="en-US" w:eastAsia="en-US" w:bidi="ur-PK"/>
        </w:rPr>
        <w:t>Table 1.1: Alignment of Research Objectives and Research Questions</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4200"/>
        <w:gridCol w:w="3600"/>
      </w:tblGrid>
      <w:tr w:rsidR="000F5408" w:rsidRPr="000F5408" w14:paraId="2FCD6C45" w14:textId="77777777" w:rsidTr="000F5408">
        <w:tc>
          <w:tcPr>
            <w:tcW w:w="1200" w:type="dxa"/>
            <w:shd w:val="clear" w:color="auto" w:fill="D9E2F3"/>
          </w:tcPr>
          <w:p w14:paraId="1786CE6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2"/>
                <w:szCs w:val="22"/>
                <w:lang w:val="en-US" w:eastAsia="en-US" w:bidi="ur-PK"/>
              </w:rPr>
              <w:t>Objective</w:t>
            </w:r>
          </w:p>
        </w:tc>
        <w:tc>
          <w:tcPr>
            <w:tcW w:w="4200" w:type="dxa"/>
            <w:shd w:val="clear" w:color="auto" w:fill="D9E2F3"/>
          </w:tcPr>
          <w:p w14:paraId="29A9586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2"/>
                <w:szCs w:val="22"/>
                <w:lang w:val="en-US" w:eastAsia="en-US" w:bidi="ur-PK"/>
              </w:rPr>
              <w:t>Research Objective</w:t>
            </w:r>
          </w:p>
        </w:tc>
        <w:tc>
          <w:tcPr>
            <w:tcW w:w="3600" w:type="dxa"/>
            <w:shd w:val="clear" w:color="auto" w:fill="D9E2F3"/>
          </w:tcPr>
          <w:p w14:paraId="60B235F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2"/>
                <w:szCs w:val="22"/>
                <w:lang w:val="en-US" w:eastAsia="en-US" w:bidi="ur-PK"/>
              </w:rPr>
              <w:t>Corresponding Research Question</w:t>
            </w:r>
          </w:p>
        </w:tc>
      </w:tr>
      <w:tr w:rsidR="000F5408" w:rsidRPr="000F5408" w14:paraId="52E52B48" w14:textId="77777777" w:rsidTr="000F5408">
        <w:tc>
          <w:tcPr>
            <w:tcW w:w="1200" w:type="dxa"/>
          </w:tcPr>
          <w:p w14:paraId="76BF729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1</w:t>
            </w:r>
          </w:p>
        </w:tc>
        <w:tc>
          <w:tcPr>
            <w:tcW w:w="4200" w:type="dxa"/>
          </w:tcPr>
          <w:p w14:paraId="299C482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To critically review the theoretical frameworks and body of literature relevant to digital health transformation and telemedicine adoption, establishing a conceptual basis for the comparative analysis.</w:t>
            </w:r>
          </w:p>
        </w:tc>
        <w:tc>
          <w:tcPr>
            <w:tcW w:w="3600" w:type="dxa"/>
          </w:tcPr>
          <w:p w14:paraId="6B87C6D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RQ1</w:t>
            </w:r>
          </w:p>
        </w:tc>
      </w:tr>
      <w:tr w:rsidR="000F5408" w:rsidRPr="000F5408" w14:paraId="264C30D0" w14:textId="77777777" w:rsidTr="000F5408">
        <w:tc>
          <w:tcPr>
            <w:tcW w:w="1200" w:type="dxa"/>
          </w:tcPr>
          <w:p w14:paraId="3CBA541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2</w:t>
            </w:r>
          </w:p>
        </w:tc>
        <w:tc>
          <w:tcPr>
            <w:tcW w:w="4200" w:type="dxa"/>
          </w:tcPr>
          <w:p w14:paraId="533864D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To identify the key factors influencing the implementation of telemedicine within the healthcare systems of the United Kingdom and Pakistan.</w:t>
            </w:r>
          </w:p>
        </w:tc>
        <w:tc>
          <w:tcPr>
            <w:tcW w:w="3600" w:type="dxa"/>
          </w:tcPr>
          <w:p w14:paraId="3580B92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RQ2</w:t>
            </w:r>
          </w:p>
        </w:tc>
      </w:tr>
      <w:tr w:rsidR="000F5408" w:rsidRPr="000F5408" w14:paraId="005A5FCC" w14:textId="77777777" w:rsidTr="000F5408">
        <w:tc>
          <w:tcPr>
            <w:tcW w:w="1200" w:type="dxa"/>
          </w:tcPr>
          <w:p w14:paraId="53F96A0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3</w:t>
            </w:r>
          </w:p>
        </w:tc>
        <w:tc>
          <w:tcPr>
            <w:tcW w:w="4200" w:type="dxa"/>
          </w:tcPr>
          <w:p w14:paraId="2264D5C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 xml:space="preserve">To compare the technological, </w:t>
            </w:r>
            <w:proofErr w:type="spellStart"/>
            <w:r w:rsidRPr="000F5408">
              <w:rPr>
                <w:rFonts w:ascii="Times New Roman" w:hAnsi="Times New Roman"/>
                <w:sz w:val="22"/>
                <w:szCs w:val="22"/>
                <w:lang w:val="en-US" w:eastAsia="en-US" w:bidi="ur-PK"/>
              </w:rPr>
              <w:t>organisational</w:t>
            </w:r>
            <w:proofErr w:type="spellEnd"/>
            <w:r w:rsidRPr="000F5408">
              <w:rPr>
                <w:rFonts w:ascii="Times New Roman" w:hAnsi="Times New Roman"/>
                <w:sz w:val="22"/>
                <w:szCs w:val="22"/>
                <w:lang w:val="en-US" w:eastAsia="en-US" w:bidi="ur-PK"/>
              </w:rPr>
              <w:t>, regulatory and socioeconomic barriers to telemedicine implementation across both countries.</w:t>
            </w:r>
          </w:p>
        </w:tc>
        <w:tc>
          <w:tcPr>
            <w:tcW w:w="3600" w:type="dxa"/>
          </w:tcPr>
          <w:p w14:paraId="1168E65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RQ3</w:t>
            </w:r>
          </w:p>
        </w:tc>
      </w:tr>
      <w:tr w:rsidR="000F5408" w:rsidRPr="000F5408" w14:paraId="5BFAD2B6" w14:textId="77777777" w:rsidTr="000F5408">
        <w:tc>
          <w:tcPr>
            <w:tcW w:w="1200" w:type="dxa"/>
          </w:tcPr>
          <w:p w14:paraId="2619B8B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4</w:t>
            </w:r>
          </w:p>
        </w:tc>
        <w:tc>
          <w:tcPr>
            <w:tcW w:w="4200" w:type="dxa"/>
          </w:tcPr>
          <w:p w14:paraId="43CF8F9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To critically evaluate the effects of telemedicine on healthcare accessibility, operational efficiency, quality of care and patient satisfaction.</w:t>
            </w:r>
          </w:p>
        </w:tc>
        <w:tc>
          <w:tcPr>
            <w:tcW w:w="3600" w:type="dxa"/>
          </w:tcPr>
          <w:p w14:paraId="0CC4263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RQ4</w:t>
            </w:r>
          </w:p>
        </w:tc>
      </w:tr>
      <w:tr w:rsidR="000F5408" w:rsidRPr="000F5408" w14:paraId="63AAE60D" w14:textId="77777777" w:rsidTr="000F5408">
        <w:tc>
          <w:tcPr>
            <w:tcW w:w="1200" w:type="dxa"/>
          </w:tcPr>
          <w:p w14:paraId="40727BF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5</w:t>
            </w:r>
          </w:p>
        </w:tc>
        <w:tc>
          <w:tcPr>
            <w:tcW w:w="4200" w:type="dxa"/>
          </w:tcPr>
          <w:p w14:paraId="03098EA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To identify gaps in the existing literature and healthcare policy relating to telemedicine implementation.</w:t>
            </w:r>
          </w:p>
        </w:tc>
        <w:tc>
          <w:tcPr>
            <w:tcW w:w="3600" w:type="dxa"/>
          </w:tcPr>
          <w:p w14:paraId="20B1E50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RQ5</w:t>
            </w:r>
          </w:p>
        </w:tc>
      </w:tr>
      <w:tr w:rsidR="000F5408" w:rsidRPr="000F5408" w14:paraId="7CBBC54B" w14:textId="77777777" w:rsidTr="000F5408">
        <w:tc>
          <w:tcPr>
            <w:tcW w:w="1200" w:type="dxa"/>
          </w:tcPr>
          <w:p w14:paraId="2E48624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6</w:t>
            </w:r>
          </w:p>
        </w:tc>
        <w:tc>
          <w:tcPr>
            <w:tcW w:w="4200" w:type="dxa"/>
          </w:tcPr>
          <w:p w14:paraId="29EF2AA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To develop evidence-based recommendations to enhance digital health transformation and telemedicine adoption in developing healthcare systems, with particular reference to Pakistan.</w:t>
            </w:r>
          </w:p>
        </w:tc>
        <w:tc>
          <w:tcPr>
            <w:tcW w:w="3600" w:type="dxa"/>
          </w:tcPr>
          <w:p w14:paraId="574492A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2"/>
                <w:szCs w:val="22"/>
                <w:lang w:val="en-US" w:eastAsia="en-US" w:bidi="ur-PK"/>
              </w:rPr>
              <w:t>RQ6</w:t>
            </w:r>
          </w:p>
        </w:tc>
      </w:tr>
    </w:tbl>
    <w:p w14:paraId="4A8CD544" w14:textId="77777777" w:rsidR="000F5408" w:rsidRPr="000F5408" w:rsidRDefault="000F5408" w:rsidP="000F5408">
      <w:pPr>
        <w:bidi/>
        <w:spacing w:before="200" w:after="200" w:line="240" w:lineRule="auto"/>
        <w:rPr>
          <w:rFonts w:ascii="Times New Roman" w:hAnsi="Times New Roman"/>
          <w:sz w:val="20"/>
          <w:szCs w:val="20"/>
          <w:lang w:val="en-US" w:eastAsia="en-US" w:bidi="ur-PK"/>
        </w:rPr>
      </w:pPr>
    </w:p>
    <w:p w14:paraId="17DE77D5"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8" w:name="_Toc239804200"/>
      <w:r w:rsidRPr="000F5408">
        <w:rPr>
          <w:rFonts w:ascii="Times New Roman" w:hAnsi="Times New Roman"/>
          <w:b/>
          <w:bCs/>
          <w:sz w:val="26"/>
          <w:szCs w:val="26"/>
          <w:lang w:val="en-US" w:eastAsia="en-US" w:bidi="ur-PK"/>
        </w:rPr>
        <w:t>1.8 Significance of the Study</w:t>
      </w:r>
      <w:bookmarkEnd w:id="8"/>
    </w:p>
    <w:p w14:paraId="4CA7EFF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study is significant because it provides a comparative assessment of telemedicine adoption across two healthcare systems — the United Kingdom and Pakistan — that differ markedly in digital maturity, generating insight into how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regulatory, and economic factors interact to shape implementation outcomes in contrasting settings.</w:t>
      </w:r>
    </w:p>
    <w:p w14:paraId="61AD721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Academically, the study contributes a comparative perspective that is largely absent from the current literature (Section 1.4), extending existing single-country and technology-acceptance-focused research toward a systems-level view of implementation drivers, barriers, and healthcare outcomes in both developed and developing contexts (Mahdi et al., 2022; WHO, 2022).</w:t>
      </w:r>
    </w:p>
    <w:p w14:paraId="55FE4E91"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Practically, the findings are intended to inform policymakers, healthcare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and healthcare professionals engaged in digital health planning and service delivery. By examining successful implementation strategies in the United Kingdom alongside the challenges faced in Pakistan, the study offers evidence-based recommendations relevant to future investment in digital infrastructure, workforce training, regulatory design, and healthcare policy.</w:t>
      </w:r>
    </w:p>
    <w:p w14:paraId="181900B2"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study carries particular relevance for developing countries, where telemedicine holds potential to improve healthcare accessibility for rural and underserved populations. Understanding both the barriers constraining implementation in Pakistan and the enabling conditions established in the United Kingdom can support decision-makers in developing more effective and sustainable digital health strategies.</w:t>
      </w:r>
    </w:p>
    <w:p w14:paraId="123C7559"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9" w:name="_Toc239804201"/>
      <w:r w:rsidRPr="000F5408">
        <w:rPr>
          <w:rFonts w:ascii="Times New Roman" w:hAnsi="Times New Roman"/>
          <w:b/>
          <w:bCs/>
          <w:sz w:val="26"/>
          <w:szCs w:val="26"/>
          <w:lang w:val="en-US" w:eastAsia="en-US" w:bidi="ur-PK"/>
        </w:rPr>
        <w:t>1.9 Scope of the Study</w:t>
      </w:r>
      <w:bookmarkEnd w:id="9"/>
    </w:p>
    <w:p w14:paraId="346E922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study adopts a qualitative research design based on a systematic literature review to explore digital health transformation and telemedicine adoption in the healthcare systems of the United Kingdom and Pakistan. The research relies entirely on secondary data drawn from peer-reviewed journal articles, government publications, policy documents, and reports from international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no primary data were collected.</w:t>
      </w:r>
    </w:p>
    <w:p w14:paraId="10E9AC33" w14:textId="2F936E86" w:rsidR="000F5408" w:rsidRPr="000F5408" w:rsidRDefault="007C4C6A" w:rsidP="007C4C6A">
      <w:pPr>
        <w:spacing w:after="200" w:line="360" w:lineRule="auto"/>
        <w:jc w:val="both"/>
        <w:rPr>
          <w:rFonts w:ascii="Times New Roman" w:hAnsi="Times New Roman"/>
          <w:sz w:val="20"/>
          <w:szCs w:val="20"/>
          <w:lang w:val="en-US" w:eastAsia="en-US" w:bidi="ur-PK"/>
        </w:rPr>
      </w:pPr>
      <w:r w:rsidRPr="007C4C6A">
        <w:rPr>
          <w:rFonts w:ascii="Times New Roman" w:hAnsi="Times New Roman"/>
          <w:lang w:eastAsia="en-US" w:bidi="ur-PK"/>
        </w:rPr>
        <w:t>The review includes literature published from 2018 up to the date of the final database search in August 2026, in order to capture developments in telemedicine since the COVID-19 pandemic, a period marking substantial change in digital health policy, healthcare provision, and the uptake of remote healthcare technologies.</w:t>
      </w:r>
      <w:r>
        <w:rPr>
          <w:rFonts w:ascii="Times New Roman" w:hAnsi="Times New Roman"/>
          <w:lang w:val="en-US" w:eastAsia="en-US" w:bidi="ur-PK"/>
        </w:rPr>
        <w:t xml:space="preserve"> </w:t>
      </w:r>
      <w:r w:rsidR="000F5408" w:rsidRPr="000F5408">
        <w:rPr>
          <w:rFonts w:ascii="Times New Roman" w:hAnsi="Times New Roman"/>
          <w:lang w:val="en-US" w:eastAsia="en-US" w:bidi="ur-PK"/>
        </w:rPr>
        <w:t>The study is geographically confined to the United Kingdom and Pakistan, selected for their contrasting healthcare systems, levels of digital maturity, technological infrastructure, and healthcare resources; this comparison supports understanding of the factors shaping telemedicine implementation across developed and developing healthcare contexts.</w:t>
      </w:r>
    </w:p>
    <w:p w14:paraId="6F7FE5A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review addresses topics including telemedicine adoption, factors influencing implementation, healthcare accessibility, operational efficiency, quality of care, patient satisfaction, and digital health policy. Technologies not directly associated with telemedicine — including artificial intelligence, blockchain, and wearable health devices — are discussed only insofar as they support telemedicine service delivery.</w:t>
      </w:r>
    </w:p>
    <w:p w14:paraId="189B5D8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As a systematic literature review, the study's findings are necessarily bounded by the quality and availability of published evidence. The restriction to English-language publications may also have </w:t>
      </w:r>
      <w:r w:rsidRPr="000F5408">
        <w:rPr>
          <w:rFonts w:ascii="Times New Roman" w:hAnsi="Times New Roman"/>
          <w:lang w:val="en-US" w:eastAsia="en-US" w:bidi="ur-PK"/>
        </w:rPr>
        <w:lastRenderedPageBreak/>
        <w:t>excluded relevant studies published in other languages. Nonetheless, the review offers a thorough synthesis of recent evidence and provides actionable guidance for strengthening telemedicine adoption in developing healthcare systems.</w:t>
      </w:r>
    </w:p>
    <w:p w14:paraId="1B5F5D02"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0" w:name="_Toc239804202"/>
      <w:r w:rsidRPr="000F5408">
        <w:rPr>
          <w:rFonts w:ascii="Times New Roman" w:hAnsi="Times New Roman"/>
          <w:b/>
          <w:bCs/>
          <w:sz w:val="26"/>
          <w:szCs w:val="26"/>
          <w:lang w:val="en-US" w:eastAsia="en-US" w:bidi="ur-PK"/>
        </w:rPr>
        <w:t>1.10 Structure of the Dissertation</w:t>
      </w:r>
      <w:bookmarkEnd w:id="10"/>
    </w:p>
    <w:p w14:paraId="347FD73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dissertation comprises five chapters. Chapter One introduces the research, presenting the background, problem statement, research gap, aim, objectives, research questions, significance, scope, and structure of the study.</w:t>
      </w:r>
    </w:p>
    <w:p w14:paraId="27702961"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Chapter Two presents a review of the literature on digital health transformation and telemedicine adoption, examining relevant theoretical frameworks, drawing on evidence from the United Kingdom and Pakistan, outlining drivers and barriers to implementation, and deriving the conceptual framework for the research.</w:t>
      </w:r>
    </w:p>
    <w:p w14:paraId="14F04442"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Chapter Three sets out the research methodology, including the systematic literature review design, the PRISMA 2020 framework, the search strategy, study selection criteria, quality appraisal, data extraction, thematic analysis, and ethical considerations.</w:t>
      </w:r>
    </w:p>
    <w:p w14:paraId="60775F8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Chapter Four presents the results of the systematic literature review and thematic analysis, together with a comparative analysis of telemedicine adoption in the United Kingdom and Pakistan and the key themes identified in the literature.</w:t>
      </w:r>
    </w:p>
    <w:p w14:paraId="5E98D02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Chapter Five discusses these results in relation to the research objectives and the wider literature, and presents the conclusions, practical recommendations, limitations, and directions for future research.</w:t>
      </w:r>
    </w:p>
    <w:p w14:paraId="277649A7"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1" w:name="_Toc239804203"/>
      <w:r w:rsidRPr="000F5408">
        <w:rPr>
          <w:rFonts w:ascii="Times New Roman" w:hAnsi="Times New Roman"/>
          <w:b/>
          <w:bCs/>
          <w:sz w:val="26"/>
          <w:szCs w:val="26"/>
          <w:lang w:val="en-US" w:eastAsia="en-US" w:bidi="ur-PK"/>
        </w:rPr>
        <w:t>1.11 Chapter Summary</w:t>
      </w:r>
      <w:bookmarkEnd w:id="11"/>
    </w:p>
    <w:p w14:paraId="7FF44B3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chapter has established the background, problem statement, research gap, aim, objectives, and research questions guiding this dissertation, together with its significance, scope, and structure. It has set out the rationale for comparing telemedicine implementation in the United Kingdom and Pakistan and identified the need for evidence-based recommendations to support digital health transformation in developing healthcare systems.</w:t>
      </w:r>
    </w:p>
    <w:p w14:paraId="59F60B4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following chapter reviews the literature underpinning this study, critically examining telemedicine adoption, digital health transformation, relevant theoretical frameworks, drivers and barriers to implementation, and the impact of telemedicine on healthcare service outcomes.</w:t>
      </w:r>
    </w:p>
    <w:p w14:paraId="4F1C0A6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
    <w:p w14:paraId="01C7AFD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
    <w:p w14:paraId="64B19B3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
    <w:p w14:paraId="0C9BFA6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
    <w:p w14:paraId="56E20A1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
    <w:p w14:paraId="38AA424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
    <w:p w14:paraId="76BCF4BB" w14:textId="77777777" w:rsidR="000F5408" w:rsidRPr="000F5408" w:rsidRDefault="000F5408" w:rsidP="000F5408">
      <w:pPr>
        <w:bidi/>
        <w:spacing w:after="400" w:line="240" w:lineRule="auto"/>
        <w:jc w:val="center"/>
        <w:rPr>
          <w:rFonts w:ascii="Times New Roman" w:hAnsi="Times New Roman"/>
          <w:sz w:val="20"/>
          <w:szCs w:val="20"/>
          <w:lang w:val="en-US" w:eastAsia="en-US" w:bidi="ur-PK"/>
        </w:rPr>
      </w:pPr>
      <w:r w:rsidRPr="000F5408">
        <w:rPr>
          <w:rFonts w:ascii="Times New Roman" w:hAnsi="Times New Roman"/>
          <w:b/>
          <w:bCs/>
          <w:sz w:val="32"/>
          <w:szCs w:val="32"/>
          <w:lang w:val="en-US" w:eastAsia="en-US" w:bidi="ur-PK"/>
        </w:rPr>
        <w:t>CHAPTER TWO: LITERATURE REVIEW</w:t>
      </w:r>
    </w:p>
    <w:p w14:paraId="4A059575"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2" w:name="_Toc239804204"/>
      <w:r w:rsidRPr="000F5408">
        <w:rPr>
          <w:rFonts w:ascii="Times New Roman" w:hAnsi="Times New Roman"/>
          <w:b/>
          <w:bCs/>
          <w:sz w:val="26"/>
          <w:szCs w:val="26"/>
          <w:lang w:val="en-US" w:eastAsia="en-US" w:bidi="ur-PK"/>
        </w:rPr>
        <w:t>2.1 Introduction</w:t>
      </w:r>
      <w:bookmarkEnd w:id="12"/>
    </w:p>
    <w:p w14:paraId="5343762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Digital technologies have significantly reshaped healthcare delivery, enhancing the accessibility, efficiency, and quality of health services. Digital health transformation refers to the process of incorporating technologies such as electronic health records, mobile health (mHealth) applications, artificial intelligence, wearables, and telemedicine into health systems to facilitate evidence-based, patient-</w:t>
      </w:r>
      <w:proofErr w:type="spellStart"/>
      <w:r w:rsidRPr="000F5408">
        <w:rPr>
          <w:rFonts w:ascii="Times New Roman" w:hAnsi="Times New Roman"/>
          <w:lang w:val="en-US" w:eastAsia="en-US" w:bidi="ur-PK"/>
        </w:rPr>
        <w:t>centred</w:t>
      </w:r>
      <w:proofErr w:type="spellEnd"/>
      <w:r w:rsidRPr="000F5408">
        <w:rPr>
          <w:rFonts w:ascii="Times New Roman" w:hAnsi="Times New Roman"/>
          <w:lang w:val="en-US" w:eastAsia="en-US" w:bidi="ur-PK"/>
        </w:rPr>
        <w:t xml:space="preserve"> care (World Health Organization [WHO], 2022). Telemedicine is one of the most transformative of these innovations, using electronic communication technologies to provide remote consultation, diagnosis, monitoring, and follow-up.</w:t>
      </w:r>
    </w:p>
    <w:p w14:paraId="5E18AF6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Telemedicine assumed a central role in maintaining essential healthcare services while </w:t>
      </w:r>
      <w:proofErr w:type="spellStart"/>
      <w:r w:rsidRPr="000F5408">
        <w:rPr>
          <w:rFonts w:ascii="Times New Roman" w:hAnsi="Times New Roman"/>
          <w:lang w:val="en-US" w:eastAsia="en-US" w:bidi="ur-PK"/>
        </w:rPr>
        <w:t>minimising</w:t>
      </w:r>
      <w:proofErr w:type="spellEnd"/>
      <w:r w:rsidRPr="000F5408">
        <w:rPr>
          <w:rFonts w:ascii="Times New Roman" w:hAnsi="Times New Roman"/>
          <w:lang w:val="en-US" w:eastAsia="en-US" w:bidi="ur-PK"/>
        </w:rPr>
        <w:t xml:space="preserve"> in-person contact during the COVID-19 pandemic. Although its use has since spread globally, implementation continues to differ markedly between developed and developing countries, reflecting differences in digital infrastructure, healthcare investment, regulatory policy, and healthcare workforce capacity (Mahdi et al., 2022).</w:t>
      </w:r>
    </w:p>
    <w:p w14:paraId="740DD83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United Kingdom has embedded telemedicine within routine care through national digital health strategies, advanced technological infrastructure, and the National Health Service (NHS) (NHS England, 2023). Pakistan, by contrast, continues to face infrastructural, regulatory, financial, and digital-literacy challenges, although awareness of telemedicine's potential to expand healthcare access is growing (Bilal et al., 2022).</w:t>
      </w:r>
    </w:p>
    <w:p w14:paraId="522C68A2"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chapter critically reviews the literature on digital health transformation and telemedicine adoption. It examines the theoretical background, evaluates evidence from the United Kingdom and Pakistan, analyses the key drivers of and barriers to implementation, and considers the effect of telemedicine on healthcare delivery. The chapter concludes by identifying gaps in the existing literature and presenting the conceptual framework underpinning this dissertation.</w:t>
      </w:r>
    </w:p>
    <w:p w14:paraId="0CB6E09A"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3" w:name="_Toc239804205"/>
      <w:r w:rsidRPr="000F5408">
        <w:rPr>
          <w:rFonts w:ascii="Times New Roman" w:hAnsi="Times New Roman"/>
          <w:b/>
          <w:bCs/>
          <w:sz w:val="26"/>
          <w:szCs w:val="26"/>
          <w:lang w:val="en-US" w:eastAsia="en-US" w:bidi="ur-PK"/>
        </w:rPr>
        <w:t>2.2 Digital Health Transformation</w:t>
      </w:r>
      <w:bookmarkEnd w:id="13"/>
    </w:p>
    <w:p w14:paraId="5ED32DF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Digital health transformation involves strategically embedding digital technologies within healthcare systems to enhance quality, accessibility, efficiency, and sustainability of service delivery (WHO, 2022). It extends beyond access to new technologies to encompass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change, workforce development, policy reform, and new models of healthcare delivery.</w:t>
      </w:r>
    </w:p>
    <w:p w14:paraId="669640A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Digital health encompasses electronic health records, telemedicine, mobile health, artificial intelligence, cloud computing, wearables, and remote patient monitoring (WHO, 2022b). These technologies support clinical decision-making, provider-to-provider communication, and greater patient engagement in healthcare management.</w:t>
      </w:r>
    </w:p>
    <w:p w14:paraId="2D3B392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Digital health is </w:t>
      </w:r>
      <w:proofErr w:type="spellStart"/>
      <w:r w:rsidRPr="000F5408">
        <w:rPr>
          <w:rFonts w:ascii="Times New Roman" w:hAnsi="Times New Roman"/>
          <w:lang w:val="en-US" w:eastAsia="en-US" w:bidi="ur-PK"/>
        </w:rPr>
        <w:t>recognised</w:t>
      </w:r>
      <w:proofErr w:type="spellEnd"/>
      <w:r w:rsidRPr="000F5408">
        <w:rPr>
          <w:rFonts w:ascii="Times New Roman" w:hAnsi="Times New Roman"/>
          <w:lang w:val="en-US" w:eastAsia="en-US" w:bidi="ur-PK"/>
        </w:rPr>
        <w:t xml:space="preserve"> as an important enabler of Universal Health Coverage through its impact on access to care and geographical inequities (WHO, 2022). Digital transformation has accelerated across countries (OECD, 2023) in response to ageing populations, chronic disease burden, workforce shortages, and rising healthcare costs. COVID-19 acted as a catalyst, with healthcare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xml:space="preserve"> adopting virtual consultations, electronic prescribing, and remote monitoring to sustain continuity of care.</w:t>
      </w:r>
    </w:p>
    <w:p w14:paraId="540CA25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Implementation nonetheless remains inconsistent. Low- and middle-income countries continue to face limited internet connectivity, constrained funding, workforce shortages, and digital inequality (Bilal et al., 2022), while high-income countries benefit from robust infrastructure, sustained investment, and enabling regulatory environments. The UK and Pakistan illustrate that successful digital transformation is not solely a matter of technology: sustainable implementation requires coordinated investment in infrastructure, governance, capacity-building, cybersecurity, and digital inclusion.</w:t>
      </w:r>
    </w:p>
    <w:p w14:paraId="03BD22FA"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4" w:name="_Toc239804206"/>
      <w:r w:rsidRPr="000F5408">
        <w:rPr>
          <w:rFonts w:ascii="Times New Roman" w:hAnsi="Times New Roman"/>
          <w:b/>
          <w:bCs/>
          <w:sz w:val="26"/>
          <w:szCs w:val="26"/>
          <w:lang w:val="en-US" w:eastAsia="en-US" w:bidi="ur-PK"/>
        </w:rPr>
        <w:t>2.3 Telemedicine</w:t>
      </w:r>
      <w:bookmarkEnd w:id="14"/>
    </w:p>
    <w:p w14:paraId="09F380D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Telemedicine is defined as the provision of health services via information and communication technologies between a healthcare provider and a patient in different geographic locations (WHO, 2022). It supports remote consultation, diagnosis, treatment, monitoring, and follow-up, increasing access to services while reducing travel burden and pressure on health systems. Digital technologies have expanded telemedicine from telephone consultations to video consultation, mobile health, remote patient monitoring, e-prescribing, and AI-supported clinical decision-making (Ahsan and Siddique, 2022).</w:t>
      </w:r>
    </w:p>
    <w:p w14:paraId="5DA2EF3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COVID-19 pandemic accelerated telemedicine adoption worldwide as providers sought to sustain care while </w:t>
      </w:r>
      <w:proofErr w:type="spellStart"/>
      <w:r w:rsidRPr="000F5408">
        <w:rPr>
          <w:rFonts w:ascii="Times New Roman" w:hAnsi="Times New Roman"/>
          <w:lang w:val="en-US" w:eastAsia="en-US" w:bidi="ur-PK"/>
        </w:rPr>
        <w:t>minimising</w:t>
      </w:r>
      <w:proofErr w:type="spellEnd"/>
      <w:r w:rsidRPr="000F5408">
        <w:rPr>
          <w:rFonts w:ascii="Times New Roman" w:hAnsi="Times New Roman"/>
          <w:lang w:val="en-US" w:eastAsia="en-US" w:bidi="ur-PK"/>
        </w:rPr>
        <w:t xml:space="preserve"> infection risk (WHO, 2022). Many health systems subsequently retained telemedicine as part of routine care, given its benefits for primary care, chronic disease management, mental health, and specialist consultation.</w:t>
      </w:r>
    </w:p>
    <w:p w14:paraId="4EC0819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Telemedicine addresses geographical barriers to access, enables timely specialist input, and supports continuity of care for patients with long-term conditions (Mahdi et al., 2022), benefiting in particular patients with limited mobility, older adults, and rural populations. It does not, however, eliminate the need for traditional healthcare: emergency services, physical examination, and complex clinical procedures remain best delivered in person, which has driven the emergence of hybrid models combining virtual and in-person care.</w:t>
      </w:r>
    </w:p>
    <w:p w14:paraId="4A37C7C2"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2.3.1 Types of Telemedicine</w:t>
      </w:r>
    </w:p>
    <w:p w14:paraId="58F731C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Telemedicine can be divided into three categories:</w:t>
      </w:r>
    </w:p>
    <w:p w14:paraId="1E3D39AC"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Synchronous telemedicine — the most common form, conducted via video conferencing or telephone consultation and used in primary care, mental health, and outpatient follow-up (WHO, 2022).</w:t>
      </w:r>
    </w:p>
    <w:p w14:paraId="2DDA2C90"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Asynchronous ("store-and-forward") telemedicine — enables clinical information such as radiology images, pathology reports, and dermatology photographs to be transmitted for later specialist review, improving efficiency without requiring live interaction.</w:t>
      </w:r>
    </w:p>
    <w:p w14:paraId="25EC692E"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Remote Patient Monitoring (RPM) — uses connected devices and wearables to track physiological indicators such as blood pressure, glucose, oxygen saturation, and heart rate. RPM can support early intervention and chronic disease management, but requires robust infrastructure, cybersecurity, and sustained patient engagement.</w:t>
      </w:r>
    </w:p>
    <w:p w14:paraId="798BCD85"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2.3.2 Applications of Telemedicine in Healthcare</w:t>
      </w:r>
    </w:p>
    <w:p w14:paraId="03584FE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Telemedicine is now widely applied in primary care, specialist care, mental health, rehabilitation, postoperative follow-up, and chronic disease management. Virtual consultation improves service accessibility, while remote diagnostics and multidisciplinary communication strengthen clinical efficiency. The literature also </w:t>
      </w:r>
      <w:proofErr w:type="spellStart"/>
      <w:r w:rsidRPr="000F5408">
        <w:rPr>
          <w:rFonts w:ascii="Times New Roman" w:hAnsi="Times New Roman"/>
          <w:lang w:val="en-US" w:eastAsia="en-US" w:bidi="ur-PK"/>
        </w:rPr>
        <w:t>emphasises</w:t>
      </w:r>
      <w:proofErr w:type="spellEnd"/>
      <w:r w:rsidRPr="000F5408">
        <w:rPr>
          <w:rFonts w:ascii="Times New Roman" w:hAnsi="Times New Roman"/>
          <w:lang w:val="en-US" w:eastAsia="en-US" w:bidi="ur-PK"/>
        </w:rPr>
        <w:t xml:space="preserve"> telemedicine's role in sustaining essential health services during public health emergencies, a function that extended well beyond emergency response during COVID-19 (WHO, 2022).</w:t>
      </w:r>
    </w:p>
    <w:p w14:paraId="6DFEB3B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Critical Analysis: While there is strong evidence that telemedicine enhances healthcare access and efficiency, most of this evidence originates from high-resource countries with well-developed digital infrastructure. Cross-system comparison is further limited by inconsistent study design and outcome measurement, and evidence on sustainability, clinical effectiveness, and cost-effectiveness in low- and middle-income countries (LMICs) remains scarce (Mahdi et al., 2022). This underscores the need for comparative studies that examine how contextual factors shape telemedicine implementation.</w:t>
      </w:r>
    </w:p>
    <w:p w14:paraId="5F41B9BD"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5" w:name="_Toc239804207"/>
      <w:r w:rsidRPr="000F5408">
        <w:rPr>
          <w:rFonts w:ascii="Times New Roman" w:hAnsi="Times New Roman"/>
          <w:b/>
          <w:bCs/>
          <w:sz w:val="26"/>
          <w:szCs w:val="26"/>
          <w:lang w:val="en-US" w:eastAsia="en-US" w:bidi="ur-PK"/>
        </w:rPr>
        <w:t>2.4 Theoretical Framework</w:t>
      </w:r>
      <w:bookmarkEnd w:id="15"/>
    </w:p>
    <w:p w14:paraId="777F797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Theoretical models help explain the </w:t>
      </w:r>
      <w:proofErr w:type="spellStart"/>
      <w:r w:rsidRPr="000F5408">
        <w:rPr>
          <w:rFonts w:ascii="Times New Roman" w:hAnsi="Times New Roman"/>
          <w:lang w:val="en-US" w:eastAsia="en-US" w:bidi="ur-PK"/>
        </w:rPr>
        <w:t>behavioural</w:t>
      </w:r>
      <w:proofErr w:type="spell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and technological factors shaping telemedicine adoption. Three models are particularly relevant: the Technology Acceptance Model (TAM), the Unified Theory of Acceptance and Use of Technology (UTAUT), and Diffusion of Innovation (DOI) theory. Together, these frameworks address technology acceptance at the individual,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and system levels respectively.</w:t>
      </w:r>
    </w:p>
    <w:p w14:paraId="706413C9"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2.4.1 Technology Acceptance Model (TAM)</w:t>
      </w:r>
    </w:p>
    <w:p w14:paraId="4A57F78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TAM (Davis, 1989) proposes that Perceived Usefulness (PU) and Perceived Ease of Use (PEOU) are the primary determinants of technology adoption. Telemedicine adoption is more likely when healthcare </w:t>
      </w:r>
      <w:r w:rsidRPr="000F5408">
        <w:rPr>
          <w:rFonts w:ascii="Times New Roman" w:hAnsi="Times New Roman"/>
          <w:lang w:val="en-US" w:eastAsia="en-US" w:bidi="ur-PK"/>
        </w:rPr>
        <w:lastRenderedPageBreak/>
        <w:t>professionals perceive a positive impact on clinical performance and find the technology user-friendly (</w:t>
      </w:r>
      <w:proofErr w:type="spellStart"/>
      <w:r w:rsidRPr="000F5408">
        <w:rPr>
          <w:rFonts w:ascii="Times New Roman" w:hAnsi="Times New Roman"/>
          <w:lang w:val="en-US" w:eastAsia="en-US" w:bidi="ur-PK"/>
        </w:rPr>
        <w:t>Alsyouf</w:t>
      </w:r>
      <w:proofErr w:type="spellEnd"/>
      <w:r w:rsidRPr="000F5408">
        <w:rPr>
          <w:rFonts w:ascii="Times New Roman" w:hAnsi="Times New Roman"/>
          <w:lang w:val="en-US" w:eastAsia="en-US" w:bidi="ur-PK"/>
        </w:rPr>
        <w:t xml:space="preserve"> et al., 2022).</w:t>
      </w:r>
    </w:p>
    <w:p w14:paraId="2BC023C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In the UK, sustained government investment in NHS digital services — including integrated electronic health records, digital consultation platforms, and workforce training — has strengthened both perceived usefulness and ease of use (NHS England, 2023). Pakistan, by contrast, is disadvantaged by poor infrastructure, limited digital literacy, and unreliable internet connectivity, which reduce clinician confidence in routine telemedicine use (Mahdi et al., 2022).</w:t>
      </w:r>
    </w:p>
    <w:p w14:paraId="052A51E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While valuable, TAM focuses primarily on individual attitudes and gives limited attention to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regulation, and policy, and therefore only partially accounts for telemedicine adoption.</w:t>
      </w:r>
    </w:p>
    <w:p w14:paraId="4395E4DD"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2.4.2 Unified Theory of Acceptance and Use of Technology (UTAUT)</w:t>
      </w:r>
    </w:p>
    <w:p w14:paraId="6879BE1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UTAUT (Venkatesh et al., 2003) extends earlier acceptance models by incorporating performance expectancy, effort expectancy, social influence, and facilitating conditions. Evidence suggests that healthcare professionals are more likely to adopt telemedicine when they perceive it as improving efficiency, quality, and patient outcomes (</w:t>
      </w:r>
      <w:proofErr w:type="spellStart"/>
      <w:r w:rsidRPr="000F5408">
        <w:rPr>
          <w:rFonts w:ascii="Times New Roman" w:hAnsi="Times New Roman"/>
          <w:lang w:val="en-US" w:eastAsia="en-US" w:bidi="ur-PK"/>
        </w:rPr>
        <w:t>Alsyouf</w:t>
      </w:r>
      <w:proofErr w:type="spellEnd"/>
      <w:r w:rsidRPr="000F5408">
        <w:rPr>
          <w:rFonts w:ascii="Times New Roman" w:hAnsi="Times New Roman"/>
          <w:lang w:val="en-US" w:eastAsia="en-US" w:bidi="ur-PK"/>
        </w:rPr>
        <w:t xml:space="preserve"> et al., 2022), with facilitating conditions — infrastructure, technical support, leadership, and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resources — being particularly significant.</w:t>
      </w:r>
    </w:p>
    <w:p w14:paraId="217F317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UK's established digital infrastructure and implementation experience are conducive to adoption under a UTAUT lens (NHS England, 2023), whereas Pakistan's infrastructural and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constraints continue to hinder effective implementation despite growing awareness of telemedicine's potential (Mahdi et al., 2022).</w:t>
      </w:r>
    </w:p>
    <w:p w14:paraId="279A1872"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UTAUT offers a broader view than TAM but assumes a relatively stable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environment, and so may not fully capture the economic and political constraints on digital transformation in developing countries.</w:t>
      </w:r>
    </w:p>
    <w:p w14:paraId="5DA8A24E"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2.4.3 Diffusion of Innovation (DOI) Theory</w:t>
      </w:r>
    </w:p>
    <w:p w14:paraId="296782D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DOI theory (Rogers, 2003) explains how innovations diffuse through an </w:t>
      </w:r>
      <w:proofErr w:type="spellStart"/>
      <w:r w:rsidRPr="000F5408">
        <w:rPr>
          <w:rFonts w:ascii="Times New Roman" w:hAnsi="Times New Roman"/>
          <w:lang w:val="en-US" w:eastAsia="en-US" w:bidi="ur-PK"/>
        </w:rPr>
        <w:t>organisation</w:t>
      </w:r>
      <w:proofErr w:type="spellEnd"/>
      <w:r w:rsidRPr="000F5408">
        <w:rPr>
          <w:rFonts w:ascii="Times New Roman" w:hAnsi="Times New Roman"/>
          <w:lang w:val="en-US" w:eastAsia="en-US" w:bidi="ur-PK"/>
        </w:rPr>
        <w:t xml:space="preserve"> based on relative advantage, compatibility, complexity, trialability, and observability. Adoption is more likely where telemedicine offers a clear benefit over traditional service delivery and complements existing clinical workflows — attributes reflected in the UK's national digital strategy, institutional leadership, and sustained investment (NHS England, 2023).</w:t>
      </w:r>
    </w:p>
    <w:p w14:paraId="03128F21"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In Pakistan, adoption remains uneven, with urban hospitals typically demonstrating greater implementation capacity than rural institutions due to differences in infrastructure, workforce capacity, </w:t>
      </w:r>
      <w:r w:rsidRPr="000F5408">
        <w:rPr>
          <w:rFonts w:ascii="Times New Roman" w:hAnsi="Times New Roman"/>
          <w:lang w:val="en-US" w:eastAsia="en-US" w:bidi="ur-PK"/>
        </w:rPr>
        <w:lastRenderedPageBreak/>
        <w:t>and funding (Mahdi et al., 2022). DOI theory, however, gives limited attention to external factors such as financing, regulation, or digital inequality, which can be decisive in resource-constrained settings.</w:t>
      </w:r>
    </w:p>
    <w:p w14:paraId="7A099A7C"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2.4.4 Critical Evaluation of the Theoretical Frameworks</w:t>
      </w:r>
    </w:p>
    <w:p w14:paraId="5D787B6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No single model comprehensively accounts for telemedicine adoption across varied healthcare settings: TAM addresses individual acceptance, UTAUT adds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and social influences, and DOI addresses innovation diffusion at a broader scale. Used together, these frameworks capture the multi-faceted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policy, infrastructural, workforce, and socioeconomic influences on implementation.</w:t>
      </w:r>
    </w:p>
    <w:p w14:paraId="72235F5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dissertation therefore adopts a combined theoretical approach to identify commonalities and differences in telemedicine adoption between the United Kingdom and Pakistan, providing the conceptual basis for interpreting the empirical evidence discussed in the following sections.</w:t>
      </w:r>
    </w:p>
    <w:p w14:paraId="520E1BB2"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6" w:name="_Toc239804208"/>
      <w:r w:rsidRPr="000F5408">
        <w:rPr>
          <w:rFonts w:ascii="Times New Roman" w:hAnsi="Times New Roman"/>
          <w:b/>
          <w:bCs/>
          <w:sz w:val="26"/>
          <w:szCs w:val="26"/>
          <w:lang w:val="en-US" w:eastAsia="en-US" w:bidi="ur-PK"/>
        </w:rPr>
        <w:t>2.5 Telemedicine Adoption in the United Kingdom</w:t>
      </w:r>
      <w:bookmarkEnd w:id="16"/>
    </w:p>
    <w:p w14:paraId="02495C6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UK's telemedicine growth is often described in the literature as policy-driven rather than organically diffused. Valdes et al.'s (2022) scoping review protocol of primary care telemedicine uptake during the pandemic's first two years reports that remote GP consultations in England more than doubled between February and May 2020, directly associated with a nationally mandated shift to "total triage" in general practice. This mechanism sits uneasily with adoption models such as TAM or UTAUT, which would attribute uptake to a gradual increase in perceived usefulness among clinicians or patients: here, the inflection point was a regulatory instruction, not an attitudinal shift. This matters for the application of the theoretical framework in Section 2.4 — the UK case is better understood as coerced, crisis-driven diffusion than as a bottom-up expression of TAM's constructs.</w:t>
      </w:r>
    </w:p>
    <w:p w14:paraId="536A7BA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most methodologically robust UK evidence is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Ali's (2024) systematic review of 27 studies on satisfaction with telemedicine across NHS specialties, whose headline finding — satisfaction typically exceeding 90% — is the most frequently cited indicator of UK success. The review's own scope, however, invites two qualifications. First, nearly all 27 studies relied on cross-sectional surveys administered immediately after a single telemedicine encounter, capturing neither sustained use nor clinical outcomes. Second, satisfaction was not uniform across specialties: within the same review, Sloan et al.'s rheumatology findings show patients and clinicians rating telemedicine as inferior to face-to-face care on most dimensions, including diagnostic accuracy, despite its convenience. This is not simply a call for more research; it is a genuine internal contradiction in the UK evidence base, revealing that satisfaction and clinical adequacy are distinct constructs, and that specialty-level heterogeneity undermines any single national satisfaction figure.</w:t>
      </w:r>
    </w:p>
    <w:p w14:paraId="3715FA1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 second qualification arises from Ko et al.'s (2025) scoping review of telehealth access for people with disabilities in NHS services. This review confirms the rapid growth reported elsewhere (10% of </w:t>
      </w:r>
      <w:r w:rsidRPr="000F5408">
        <w:rPr>
          <w:rFonts w:ascii="Times New Roman" w:hAnsi="Times New Roman"/>
          <w:lang w:val="en-US" w:eastAsia="en-US" w:bidi="ur-PK"/>
        </w:rPr>
        <w:lastRenderedPageBreak/>
        <w:t xml:space="preserve">outpatient appointments by March 2020, compared with 3.5% the previous year) but shows that this growth outpaced the health system's capacity to address access barriers facing patients with sensory, cognitive, or connectivity needs. Read alongside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 (2024), this suggests that high aggregate satisfaction may reflect a distributional issue: the studies underlying the satisfaction average may under-represent precisely the patients for whom the challenge is not the quality of the telemedicine encounter, but access to it in the first place.</w:t>
      </w:r>
    </w:p>
    <w:p w14:paraId="612898C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roofErr w:type="spellStart"/>
      <w:r w:rsidRPr="000F5408">
        <w:rPr>
          <w:rFonts w:ascii="Times New Roman" w:hAnsi="Times New Roman"/>
          <w:lang w:val="en-US" w:eastAsia="en-US" w:bidi="ur-PK"/>
        </w:rPr>
        <w:t>Krasuska</w:t>
      </w:r>
      <w:proofErr w:type="spellEnd"/>
      <w:r w:rsidRPr="000F5408">
        <w:rPr>
          <w:rFonts w:ascii="Times New Roman" w:hAnsi="Times New Roman"/>
          <w:lang w:val="en-US" w:eastAsia="en-US" w:bidi="ur-PK"/>
        </w:rPr>
        <w:t xml:space="preserve"> et al.'s (2021) evaluation of the NHS Global Digital Exemplar (GDE)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based on 628 interviews across 36 provider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adds a further qualification to the UK's digital-maturity narrative developed throughout Section 2.7. It identifies three specific factors driving accelerated digital transformation: protected matched funding, governance requirements imposed by external bodies, and the reputational advantage of digital-exemplar status. This is a more precise causal account than attributing UK progress to mature infrastructure and national support in general; it implies that UK-style acceleration depended on a funding-governance-reputation mechanism that may not be directly transferable to a lower-resource system such as Pakistan's — a point directly relevant to this study's comparative research questions.</w:t>
      </w:r>
    </w:p>
    <w:p w14:paraId="6D79E242"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Synthesis: Together, these four studies challenge the assumption of a straightforward UK success story. Adoption was driven more by regulatory directive than by gradual attitudinal change; the satisfaction evidence — method-limited, single-timepoint, self-reported, and gathered immediately post-encounter — is inconsistent across specialties; and the equity dimension has been under-addressed given the pace of rollout. The GDE evidence further indicates that rapid UK digital transformation reflected a specific funding-governance-reputation mechanism rather than infrastructure presence alone — a distinction central to assessing its transferability to Pakistan, examined next.</w:t>
      </w:r>
    </w:p>
    <w:p w14:paraId="77E9E141"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7" w:name="_Toc239804209"/>
      <w:r w:rsidRPr="000F5408">
        <w:rPr>
          <w:rFonts w:ascii="Times New Roman" w:hAnsi="Times New Roman"/>
          <w:b/>
          <w:bCs/>
          <w:sz w:val="26"/>
          <w:szCs w:val="26"/>
          <w:lang w:val="en-US" w:eastAsia="en-US" w:bidi="ur-PK"/>
        </w:rPr>
        <w:t>2.6 Telemedicine Adoption in Pakistan</w:t>
      </w:r>
      <w:bookmarkEnd w:id="17"/>
    </w:p>
    <w:p w14:paraId="62736E6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evidence base for Pakistan is smaller and more disjointed than for the UK, and offers more than a list of infrastructural, financial, and regulatory barriers. Malik et al. (2025) </w:t>
      </w:r>
      <w:proofErr w:type="gramStart"/>
      <w:r w:rsidRPr="000F5408">
        <w:rPr>
          <w:rFonts w:ascii="Times New Roman" w:hAnsi="Times New Roman"/>
          <w:lang w:val="en-US" w:eastAsia="en-US" w:bidi="ur-PK"/>
        </w:rPr>
        <w:t>make</w:t>
      </w:r>
      <w:proofErr w:type="gramEnd"/>
      <w:r w:rsidRPr="000F5408">
        <w:rPr>
          <w:rFonts w:ascii="Times New Roman" w:hAnsi="Times New Roman"/>
          <w:lang w:val="en-US" w:eastAsia="en-US" w:bidi="ur-PK"/>
        </w:rPr>
        <w:t xml:space="preserve"> an explicit evidentiary point: most research on Pakistan's primary care sector addresses system-level outcomes or provider perspectives, with patient-</w:t>
      </w:r>
      <w:proofErr w:type="spellStart"/>
      <w:r w:rsidRPr="000F5408">
        <w:rPr>
          <w:rFonts w:ascii="Times New Roman" w:hAnsi="Times New Roman"/>
          <w:lang w:val="en-US" w:eastAsia="en-US" w:bidi="ur-PK"/>
        </w:rPr>
        <w:t>centred</w:t>
      </w:r>
      <w:proofErr w:type="spellEnd"/>
      <w:r w:rsidRPr="000F5408">
        <w:rPr>
          <w:rFonts w:ascii="Times New Roman" w:hAnsi="Times New Roman"/>
          <w:lang w:val="en-US" w:eastAsia="en-US" w:bidi="ur-PK"/>
        </w:rPr>
        <w:t xml:space="preserve"> evaluation remaining comparatively rare. This is not itself a barrier but a research-gap finding — claims of patient acceptance in Pakistan are often extrapolated from provider-facing studies rather than direct patient evidence.</w:t>
      </w:r>
    </w:p>
    <w:p w14:paraId="015E4B2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Abbas et al. (2024) provide one of the few quantitative measures of acceptance, a cross-sectional survey of 198 Pakistani healthcare professionals finding that clinician knowledge and awareness significantly predicted telemedicine acceptance. This finding carries a methodological caveat: a purposive, non-probability sample of doctors aged 20–60 with a 23% response rate creates a real risk of selection bias toward clinicians already </w:t>
      </w:r>
      <w:proofErr w:type="spellStart"/>
      <w:r w:rsidRPr="000F5408">
        <w:rPr>
          <w:rFonts w:ascii="Times New Roman" w:hAnsi="Times New Roman"/>
          <w:lang w:val="en-US" w:eastAsia="en-US" w:bidi="ur-PK"/>
        </w:rPr>
        <w:t>favourably</w:t>
      </w:r>
      <w:proofErr w:type="spellEnd"/>
      <w:r w:rsidRPr="000F5408">
        <w:rPr>
          <w:rFonts w:ascii="Times New Roman" w:hAnsi="Times New Roman"/>
          <w:lang w:val="en-US" w:eastAsia="en-US" w:bidi="ur-PK"/>
        </w:rPr>
        <w:t xml:space="preserve"> disposed to digital tools, potentially overstating the knowledge-</w:t>
      </w:r>
      <w:r w:rsidRPr="000F5408">
        <w:rPr>
          <w:rFonts w:ascii="Times New Roman" w:hAnsi="Times New Roman"/>
          <w:lang w:val="en-US" w:eastAsia="en-US" w:bidi="ur-PK"/>
        </w:rPr>
        <w:lastRenderedPageBreak/>
        <w:t>acceptance relationship. Noting this limitation does not rebut the finding, but it affects the weight the finding should carry.</w:t>
      </w:r>
    </w:p>
    <w:p w14:paraId="19757DF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individual-level framing of Abbas et al. is complemented by a qualitative study of clinician narratives on barriers to telemedicine integration, which identifies four interrelated themes: systemic,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and personal. Where Abbas et al. locate the barrier at the level of individual clinician knowledge, this qualitative evidence suggests the four barrier categories compound one another — infrastructural shortcomings and unclear institutional strategy reinforce individual resistance and workflow disruption, rather than functioning as a list of discrete, independent barriers. This exposes a genuine tension in </w:t>
      </w:r>
      <w:proofErr w:type="spellStart"/>
      <w:r w:rsidRPr="000F5408">
        <w:rPr>
          <w:rFonts w:ascii="Times New Roman" w:hAnsi="Times New Roman"/>
          <w:lang w:val="en-US" w:eastAsia="en-US" w:bidi="ur-PK"/>
        </w:rPr>
        <w:t>theorising</w:t>
      </w:r>
      <w:proofErr w:type="spellEnd"/>
      <w:r w:rsidRPr="000F5408">
        <w:rPr>
          <w:rFonts w:ascii="Times New Roman" w:hAnsi="Times New Roman"/>
          <w:lang w:val="en-US" w:eastAsia="en-US" w:bidi="ur-PK"/>
        </w:rPr>
        <w:t xml:space="preserve"> Pakistani adoption: can the problem be resolved through greater individual-level knowledge, awareness, and digital literacy, or is it fundamentally a structural problem of policy ambiguity, inconsistent funding, and weak interoperability that individual-level interventions cannot resolve alone? Treating the barrier taxonomy in Section 2.8 as a set of parallel, independent categories implicitly assumes the former, whereas the qualitative evidence indicates the latter — with direct implications for the conceptual framework in Section 2.10.2.</w:t>
      </w:r>
    </w:p>
    <w:p w14:paraId="4B6F51E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Kamal, Shafiq and </w:t>
      </w:r>
      <w:proofErr w:type="spellStart"/>
      <w:r w:rsidRPr="000F5408">
        <w:rPr>
          <w:rFonts w:ascii="Times New Roman" w:hAnsi="Times New Roman"/>
          <w:lang w:val="en-US" w:eastAsia="en-US" w:bidi="ur-PK"/>
        </w:rPr>
        <w:t>Kakria's</w:t>
      </w:r>
      <w:proofErr w:type="spellEnd"/>
      <w:r w:rsidRPr="000F5408">
        <w:rPr>
          <w:rFonts w:ascii="Times New Roman" w:hAnsi="Times New Roman"/>
          <w:lang w:val="en-US" w:eastAsia="en-US" w:bidi="ur-PK"/>
        </w:rPr>
        <w:t xml:space="preserve"> (2020) Pakistan-specific adaptation of TAM incorporates trust and resistance-to-change constructs absent from Davis's (1989) original formulation, offering empirical grounding for the TAM discussion in Section 2.4.1 that is drawn from the Pakistani clinical context rather than a UK or global one.</w:t>
      </w:r>
    </w:p>
    <w:p w14:paraId="08A65EC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Bilal et al.'s (2022) review of telemedicine in maternal healthcare in Pakistan further complicates a purely technological reading of the barriers: it finds that government interest and regulatory clarity, more than technology access itself, constrain service delivery in maternal healthcare, and that new digital health ventures have often failed to establish viable services because of this policy vacuum. This qualifies the emphasis placed on technological and infrastructural barriers in Sections 2.8.1 and 2.8.4, shifting weight toward the regulatory barriers discussed in Section 2.8.3.</w:t>
      </w:r>
    </w:p>
    <w:p w14:paraId="718ED58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Finally, </w:t>
      </w:r>
      <w:proofErr w:type="spellStart"/>
      <w:r w:rsidRPr="000F5408">
        <w:rPr>
          <w:rFonts w:ascii="Times New Roman" w:hAnsi="Times New Roman"/>
          <w:lang w:val="en-US" w:eastAsia="en-US" w:bidi="ur-PK"/>
        </w:rPr>
        <w:t>Macabato</w:t>
      </w:r>
      <w:proofErr w:type="spellEnd"/>
      <w:r w:rsidRPr="000F5408">
        <w:rPr>
          <w:rFonts w:ascii="Times New Roman" w:hAnsi="Times New Roman"/>
          <w:lang w:val="en-US" w:eastAsia="en-US" w:bidi="ur-PK"/>
        </w:rPr>
        <w:t xml:space="preserve"> et al.'s (2024) systematic review of e-service adoption across 27 developing economies offers an external benchmark: performance expectancy, effort expectancy, social influence, and facilitating conditions were statistically significant across countries, while limited ICT support, resources, and user trust were the principal barriers. This is a useful validity check, but Pakistan is only one of several countries in that review and should not be cited as though the review's focus were Pakistan-specific.</w:t>
      </w:r>
    </w:p>
    <w:p w14:paraId="0FA18E3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Synthesis: Read across these six sources, the Pakistani evidence base resists a straightforward "UK has X, Pakistan lacks X" framing. It suggests instead that: (a) patient-level evidence is genuinely scarce, so claims of patient acceptance require qualification; (b) the strongest quantitative acceptance finding carries a real risk of selection bias; (c) the strongest qualitative evidence </w:t>
      </w:r>
      <w:proofErr w:type="spellStart"/>
      <w:r w:rsidRPr="000F5408">
        <w:rPr>
          <w:rFonts w:ascii="Times New Roman" w:hAnsi="Times New Roman"/>
          <w:lang w:val="en-US" w:eastAsia="en-US" w:bidi="ur-PK"/>
        </w:rPr>
        <w:t>favours</w:t>
      </w:r>
      <w:proofErr w:type="spellEnd"/>
      <w:r w:rsidRPr="000F5408">
        <w:rPr>
          <w:rFonts w:ascii="Times New Roman" w:hAnsi="Times New Roman"/>
          <w:lang w:val="en-US" w:eastAsia="en-US" w:bidi="ur-PK"/>
        </w:rPr>
        <w:t xml:space="preserve"> an interacting-barriers </w:t>
      </w:r>
      <w:r w:rsidRPr="000F5408">
        <w:rPr>
          <w:rFonts w:ascii="Times New Roman" w:hAnsi="Times New Roman"/>
          <w:lang w:val="en-US" w:eastAsia="en-US" w:bidi="ur-PK"/>
        </w:rPr>
        <w:lastRenderedPageBreak/>
        <w:t>model over a checklist model; and (d) at least one clinical domain (maternal health) is constrained primarily by regulatory and governmental will rather than technology. Combined with the UK synthesis above, this dissertation therefore frames the comparison not as "UK adoption is easier than Pakistan's" but as two structurally different problems: the UK's being primarily one of equity and evidence quality within an already-mature system, and Pakistan's being a governance and structural-interaction problem that individual-level interventions — training, awareness campaigns — are unlikely to resolve alone.</w:t>
      </w:r>
    </w:p>
    <w:p w14:paraId="43D940B9"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8" w:name="_Toc239804210"/>
      <w:r w:rsidRPr="000F5408">
        <w:rPr>
          <w:rFonts w:ascii="Times New Roman" w:hAnsi="Times New Roman"/>
          <w:b/>
          <w:bCs/>
          <w:sz w:val="26"/>
          <w:szCs w:val="26"/>
          <w:lang w:val="en-US" w:eastAsia="en-US" w:bidi="ur-PK"/>
        </w:rPr>
        <w:t>2.7 Drivers of Telemedicine Adoption: A Critical, Comparative Reading</w:t>
      </w:r>
      <w:bookmarkEnd w:id="18"/>
    </w:p>
    <w:p w14:paraId="0094DF4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literature identifies six recurring drivers of telemedicine adoption: digital infrastructure, government policy and regulation,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workforce capability, patient acceptance, and financial investment (WHO, 2022). Presented individually, as in much of the descriptive literature, these drivers can appear as a parallel checklist in which the United Kingdom simply possesses "more" of each factor than Pakistan. The critical evidence examined in Sections 2.5 and 2.6, however, complicates this picture in three ways: drivers do not contribute equally in every context, they interact rather than operate independently, and the presence of a driver does not guarantee a uniform benefit even within a single, well-resourced system. Each driver is discussed below with these qualifications made explicit.</w:t>
      </w:r>
    </w:p>
    <w:p w14:paraId="6A45CFF3"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2.7.1 Technological Infrastructure</w:t>
      </w:r>
    </w:p>
    <w:p w14:paraId="1347897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Reliable digital infrastructure — high-speed internet, interoperable electronic health records, secure communication platforms, and cloud computing — is consistently identified as a foundational requirement for telemedicine (OECD, 2023). The UK's infrastructure is considerably more developed than Pakistan's, where poor connectivity, outdated equipment, and limited interoperability constrain rollout, particularly in rural areas (Mahdi et al., 2022).</w:t>
      </w:r>
    </w:p>
    <w:p w14:paraId="3A71D75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However, </w:t>
      </w:r>
      <w:proofErr w:type="spellStart"/>
      <w:r w:rsidRPr="000F5408">
        <w:rPr>
          <w:rFonts w:ascii="Times New Roman" w:hAnsi="Times New Roman"/>
          <w:lang w:val="en-US" w:eastAsia="en-US" w:bidi="ur-PK"/>
        </w:rPr>
        <w:t>Krasuska</w:t>
      </w:r>
      <w:proofErr w:type="spellEnd"/>
      <w:r w:rsidRPr="000F5408">
        <w:rPr>
          <w:rFonts w:ascii="Times New Roman" w:hAnsi="Times New Roman"/>
          <w:lang w:val="en-US" w:eastAsia="en-US" w:bidi="ur-PK"/>
        </w:rPr>
        <w:t xml:space="preserve"> et al.'s (2021) GDE evaluation (Section 2.5) suggests that infrastructure alone does not explain the UK's rapid digital transformation: acceleration was driven specifically by protected matched funding, externally imposed governance requirements, and the reputational incentive of digital-exemplar status. This is a more precise causal claim than "the UK has better infrastructure," and implies that transferring infrastructure investment to Pakistan without replicating the funding-governance-reputation mechanism that made UK investment effective may not produce comparable results.</w:t>
      </w:r>
    </w:p>
    <w:p w14:paraId="3C5F5CDB"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2.7.2 Government Policy and Regulatory Frameworks</w:t>
      </w:r>
    </w:p>
    <w:p w14:paraId="317A0A2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National policy frameworks provide the regulatory guidance — on data protection, interoperability, reimbursement, and clinical governance — that underpins investment in digital healthcare (WHO, 2022). The UK's position is supported by comprehensive frameworks including the NHS Long Term Plan, the Digital Transformation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and the Data Saves Lives strategy (Department of Health and Social Care, 2022), whereas Pakistan's regulatory environment remains inconsistent and uncertain (Bilal et al., 2022).</w:t>
      </w:r>
    </w:p>
    <w:p w14:paraId="31E3AC9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The weight of this driver is not constant across clinical domains, however. Bilal et al.'s (2022) review of maternal telemedicine services in Pakistan found that the absence of government interest and regulatory clarity, rather than technological access, was the primary constraint on service viability. This suggests regulatory drivers may outweigh technological drivers in specific domains, undermining any single ranking of driver importance applied uniformly across a health system.</w:t>
      </w:r>
    </w:p>
    <w:p w14:paraId="06620351"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 xml:space="preserve">2.7.3 </w:t>
      </w:r>
      <w:proofErr w:type="spellStart"/>
      <w:r w:rsidRPr="000F5408">
        <w:rPr>
          <w:rFonts w:ascii="Times New Roman" w:hAnsi="Times New Roman"/>
          <w:b/>
          <w:bCs/>
          <w:i/>
          <w:iCs/>
          <w:lang w:val="en-US" w:eastAsia="en-US" w:bidi="ur-PK"/>
        </w:rPr>
        <w:t>Organisational</w:t>
      </w:r>
      <w:proofErr w:type="spellEnd"/>
      <w:r w:rsidRPr="000F5408">
        <w:rPr>
          <w:rFonts w:ascii="Times New Roman" w:hAnsi="Times New Roman"/>
          <w:b/>
          <w:bCs/>
          <w:i/>
          <w:iCs/>
          <w:lang w:val="en-US" w:eastAsia="en-US" w:bidi="ur-PK"/>
        </w:rPr>
        <w:t xml:space="preserve"> Readiness</w:t>
      </w:r>
    </w:p>
    <w:p w14:paraId="7925ECB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 leadership, strategic planning, financial capacity, and change management — is widely cited as essential to implementation (</w:t>
      </w:r>
      <w:proofErr w:type="spellStart"/>
      <w:r w:rsidRPr="000F5408">
        <w:rPr>
          <w:rFonts w:ascii="Times New Roman" w:hAnsi="Times New Roman"/>
          <w:lang w:val="en-US" w:eastAsia="en-US" w:bidi="ur-PK"/>
        </w:rPr>
        <w:t>Alsyouf</w:t>
      </w:r>
      <w:proofErr w:type="spellEnd"/>
      <w:r w:rsidRPr="000F5408">
        <w:rPr>
          <w:rFonts w:ascii="Times New Roman" w:hAnsi="Times New Roman"/>
          <w:lang w:val="en-US" w:eastAsia="en-US" w:bidi="ur-PK"/>
        </w:rPr>
        <w:t xml:space="preserve"> et al., 2022). Structured NHS implementation </w:t>
      </w:r>
      <w:proofErr w:type="spellStart"/>
      <w:r w:rsidRPr="000F5408">
        <w:rPr>
          <w:rFonts w:ascii="Times New Roman" w:hAnsi="Times New Roman"/>
          <w:lang w:val="en-US" w:eastAsia="en-US" w:bidi="ur-PK"/>
        </w:rPr>
        <w:t>programmes</w:t>
      </w:r>
      <w:proofErr w:type="spellEnd"/>
      <w:r w:rsidRPr="000F5408">
        <w:rPr>
          <w:rFonts w:ascii="Times New Roman" w:hAnsi="Times New Roman"/>
          <w:lang w:val="en-US" w:eastAsia="en-US" w:bidi="ur-PK"/>
        </w:rPr>
        <w:t xml:space="preserve"> contrast with highly variable readiness in Pakistan, where limited resources and competing priorities constrain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capacity.</w:t>
      </w:r>
    </w:p>
    <w:p w14:paraId="3EF68AA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Treating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as a discrete, independent driver is difficult to reconcile with the qualitative evidence discussed in Section 2.6: barriers arising from infrastructural shortcomings and unclear institutional strategy were found to compound individual clinician resistance and workflow disruption, rather than forming a separate, parallel category.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is therefore better understood as partly a function of technological and regulatory conditions than as a fully independent driver.</w:t>
      </w:r>
    </w:p>
    <w:p w14:paraId="13324426"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2.7.4 Healthcare Workforce Capability</w:t>
      </w:r>
    </w:p>
    <w:p w14:paraId="0A6D159D"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Clinician confidence and digital competence are central to sustained telemedicine use (WHO, 2022). NHS workforce development initiatives contrast with reports from Pakistani clinicians of inadequate training and technical support (Mahdi et al., 2022).</w:t>
      </w:r>
    </w:p>
    <w:p w14:paraId="15E2D72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Kamal, Shafiq and </w:t>
      </w:r>
      <w:proofErr w:type="spellStart"/>
      <w:r w:rsidRPr="000F5408">
        <w:rPr>
          <w:rFonts w:ascii="Times New Roman" w:hAnsi="Times New Roman"/>
          <w:lang w:val="en-US" w:eastAsia="en-US" w:bidi="ur-PK"/>
        </w:rPr>
        <w:t>Kakria's</w:t>
      </w:r>
      <w:proofErr w:type="spellEnd"/>
      <w:r w:rsidRPr="000F5408">
        <w:rPr>
          <w:rFonts w:ascii="Times New Roman" w:hAnsi="Times New Roman"/>
          <w:lang w:val="en-US" w:eastAsia="en-US" w:bidi="ur-PK"/>
        </w:rPr>
        <w:t xml:space="preserve"> (2020) Pakistan-specific adaptation of TAM — incorporating trust and resistance-to-change constructs absent from Davis's (1989) original model — offers a more context-sensitive account of workforce-level acceptance than the standard model applied in Section 2.4.1. At the same time, Abbas et al.'s (2024) finding that clinician knowledge and awareness predict acceptance should be read cautiously given the study's purposive sampling and 23% response rate, which risk overstating the strength of a "train clinicians and acceptance follows" policy logic (Section 2.6).</w:t>
      </w:r>
    </w:p>
    <w:p w14:paraId="3A6549C3"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2.7.5 Patient Acceptance and Digital Literacy</w:t>
      </w:r>
    </w:p>
    <w:p w14:paraId="5ACBA012"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Convenience, trust, and digital confidence shape patient acceptance of telemedicine, with reduced travel time and faster specialist access commonly cited as facilitators (Kruse et al., 2022). Digital-literacy gaps affect both countries but are more pronounced in Pakistan, reflecting greater disparities in internet access and education (WHO, 2022).</w:t>
      </w:r>
    </w:p>
    <w:p w14:paraId="50C8B16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Two qualifications apply here. First, Malik et al. (2025) </w:t>
      </w:r>
      <w:proofErr w:type="gramStart"/>
      <w:r w:rsidRPr="000F5408">
        <w:rPr>
          <w:rFonts w:ascii="Times New Roman" w:hAnsi="Times New Roman"/>
          <w:lang w:val="en-US" w:eastAsia="en-US" w:bidi="ur-PK"/>
        </w:rPr>
        <w:t>note</w:t>
      </w:r>
      <w:proofErr w:type="gramEnd"/>
      <w:r w:rsidRPr="000F5408">
        <w:rPr>
          <w:rFonts w:ascii="Times New Roman" w:hAnsi="Times New Roman"/>
          <w:lang w:val="en-US" w:eastAsia="en-US" w:bidi="ur-PK"/>
        </w:rPr>
        <w:t xml:space="preserve"> that patient-</w:t>
      </w:r>
      <w:proofErr w:type="spellStart"/>
      <w:r w:rsidRPr="000F5408">
        <w:rPr>
          <w:rFonts w:ascii="Times New Roman" w:hAnsi="Times New Roman"/>
          <w:lang w:val="en-US" w:eastAsia="en-US" w:bidi="ur-PK"/>
        </w:rPr>
        <w:t>centred</w:t>
      </w:r>
      <w:proofErr w:type="spellEnd"/>
      <w:r w:rsidRPr="000F5408">
        <w:rPr>
          <w:rFonts w:ascii="Times New Roman" w:hAnsi="Times New Roman"/>
          <w:lang w:val="en-US" w:eastAsia="en-US" w:bidi="ur-PK"/>
        </w:rPr>
        <w:t xml:space="preserve"> evaluation in Pakistan's primary care sector remains rare relative to system-level and provider-facing research, so claims about </w:t>
      </w:r>
      <w:r w:rsidRPr="000F5408">
        <w:rPr>
          <w:rFonts w:ascii="Times New Roman" w:hAnsi="Times New Roman"/>
          <w:lang w:val="en-US" w:eastAsia="en-US" w:bidi="ur-PK"/>
        </w:rPr>
        <w:lastRenderedPageBreak/>
        <w:t>patient acceptance in Pakistan are often extrapolated rather than directly evidenced. Second, patient acceptance is not uniformly resolved even in the UK: Ko et al. (2025) found that the pace of NHS telehealth rollout outstripped the health system's capacity to address access barriers facing patients with sensory, cognitive, or connectivity needs. Patient acceptance is therefore not simply "higher in the UK" — it is unevenly distributed within both systems, for different underlying reasons.</w:t>
      </w:r>
    </w:p>
    <w:p w14:paraId="3E4A6E3F"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2.7.6 Economic Investment and Financial Sustainability</w:t>
      </w:r>
    </w:p>
    <w:p w14:paraId="487438B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Long-term implementation requires sustained investment in infrastructure, workforce development, and cybersecurity. Continuous public investment in the UK contrasts with Pakistan's reliance on private or external funding, which raises sustainability concerns (Bilal et al., 2022; Department of Health and Social Care, 2022).</w:t>
      </w:r>
    </w:p>
    <w:p w14:paraId="2DB05F1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Read alongside </w:t>
      </w:r>
      <w:proofErr w:type="spellStart"/>
      <w:r w:rsidRPr="000F5408">
        <w:rPr>
          <w:rFonts w:ascii="Times New Roman" w:hAnsi="Times New Roman"/>
          <w:lang w:val="en-US" w:eastAsia="en-US" w:bidi="ur-PK"/>
        </w:rPr>
        <w:t>Krasuska</w:t>
      </w:r>
      <w:proofErr w:type="spellEnd"/>
      <w:r w:rsidRPr="000F5408">
        <w:rPr>
          <w:rFonts w:ascii="Times New Roman" w:hAnsi="Times New Roman"/>
          <w:lang w:val="en-US" w:eastAsia="en-US" w:bidi="ur-PK"/>
        </w:rPr>
        <w:t xml:space="preserve"> et al. (2021), UK investment appears less a matter of funding volume than of funding structure: protected, matched, governance-linked funding produced measurable acceleration. This distinction matters for Pakistan, where the relevant policy question is not simply how much funding is available, but what funding architecture would generate comparable accountability and momentum.</w:t>
      </w:r>
    </w:p>
    <w:p w14:paraId="623C6E9C"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Synthesis</w:t>
      </w:r>
    </w:p>
    <w:p w14:paraId="436C498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Read together, these six drivers do not support a simple additive model in which the UK's advantage is the sum of six independent "more of X" comparisons. Three patterns cut across the individual drivers. First, the mechanism behind a driver matters more than its mere presence: UK infrastructure gains were tied to a specific funding-governance-reputation model (</w:t>
      </w:r>
      <w:proofErr w:type="spellStart"/>
      <w:r w:rsidRPr="000F5408">
        <w:rPr>
          <w:rFonts w:ascii="Times New Roman" w:hAnsi="Times New Roman"/>
          <w:lang w:val="en-US" w:eastAsia="en-US" w:bidi="ur-PK"/>
        </w:rPr>
        <w:t>Krasuska</w:t>
      </w:r>
      <w:proofErr w:type="spellEnd"/>
      <w:r w:rsidRPr="000F5408">
        <w:rPr>
          <w:rFonts w:ascii="Times New Roman" w:hAnsi="Times New Roman"/>
          <w:lang w:val="en-US" w:eastAsia="en-US" w:bidi="ur-PK"/>
        </w:rPr>
        <w:t xml:space="preserve"> et al., 2021) rather than to infrastructure investment as such. Second, drivers are interdependent rather than parallel: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workforce confidence, and regulatory clarity compound one another in the Pakistani evidence (Section 2.6), such that intervening on one driver in isolation — clinician training, for example — is unlikely to resolve adoption gaps rooted in structural or regulatory conditions. Third, driver strength is unevenly distributed within, not just between, health systems: patient acceptance in the UK is not uniform across patient groups (Ko et al., 2025), and its strength in Pakistan is difficult to assess given the scarcity of patient-level evidence (Malik et al., 2025). These patterns directly inform the conceptual framework developed in Section 2.10.2, which treats drivers as interacting rather than additive.</w:t>
      </w:r>
    </w:p>
    <w:p w14:paraId="2C4DF812"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19" w:name="_Toc239804211"/>
      <w:r w:rsidRPr="000F5408">
        <w:rPr>
          <w:rFonts w:ascii="Times New Roman" w:hAnsi="Times New Roman"/>
          <w:b/>
          <w:bCs/>
          <w:sz w:val="26"/>
          <w:szCs w:val="26"/>
          <w:lang w:val="en-US" w:eastAsia="en-US" w:bidi="ur-PK"/>
        </w:rPr>
        <w:t>2.8 Barriers to Telemedicine Adoption</w:t>
      </w:r>
      <w:bookmarkEnd w:id="19"/>
    </w:p>
    <w:p w14:paraId="4632823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literature identifies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regulatory, financial, and sociocultural barriers to telemedicine adoption (WHO, 2022). As with the drivers reviewed above, presenting these as five discrete categories — as much of the descriptive literature does — risks obscuring the extent to which they interact. The five-category structure is retained below for expository clarity, but each subsection, and the synthesis that follows, foregrounds evidence that these barriers compound one another rather than operating in isolation.</w:t>
      </w:r>
    </w:p>
    <w:p w14:paraId="1ABA29E3"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lastRenderedPageBreak/>
        <w:t>2.8.1 Technological Barriers</w:t>
      </w:r>
    </w:p>
    <w:p w14:paraId="72E59BE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Effective telemedicine requires stable internet connectivity, interoperable EHR systems, secure communication platforms, and strong cybersecurity. Long-term NHS investment has resolved many infrastructure challenges in the UK, though interoperability and cyber resilience issues persist (NHS England, 2023). Pakistan's infrastructural constraints are more severe — poor internet services, power failures, outdated equipment, and limited rural connectivity — all of which affect the quality, availability, and reliability of services (Mahdi et al., 2022).</w:t>
      </w:r>
    </w:p>
    <w:p w14:paraId="6D9A5D0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Framing this purely as a technology-access problem, however, risks under-weighting the regulatory dimension: Bilal et al.'s (2022) maternal-health evidence (Section 2.6) suggests that in at least some clinical domains, government interest and regulatory clarity — not technological access — are the primary binding constraint, qualifying the emphasis placed on infrastructure here and in Section 2.8.4.</w:t>
      </w:r>
    </w:p>
    <w:p w14:paraId="55EFE8A0"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 xml:space="preserve">2.8.2 </w:t>
      </w:r>
      <w:proofErr w:type="spellStart"/>
      <w:r w:rsidRPr="000F5408">
        <w:rPr>
          <w:rFonts w:ascii="Times New Roman" w:hAnsi="Times New Roman"/>
          <w:b/>
          <w:bCs/>
          <w:i/>
          <w:iCs/>
          <w:lang w:val="en-US" w:eastAsia="en-US" w:bidi="ur-PK"/>
        </w:rPr>
        <w:t>Organisational</w:t>
      </w:r>
      <w:proofErr w:type="spellEnd"/>
      <w:r w:rsidRPr="000F5408">
        <w:rPr>
          <w:rFonts w:ascii="Times New Roman" w:hAnsi="Times New Roman"/>
          <w:b/>
          <w:bCs/>
          <w:i/>
          <w:iCs/>
          <w:lang w:val="en-US" w:eastAsia="en-US" w:bidi="ur-PK"/>
        </w:rPr>
        <w:t xml:space="preserve"> Barriers</w:t>
      </w:r>
    </w:p>
    <w:p w14:paraId="6FBC318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Digital transformation requires leadership, funding, technological support, and staff collaboration to sustain change (</w:t>
      </w:r>
      <w:proofErr w:type="spellStart"/>
      <w:r w:rsidRPr="000F5408">
        <w:rPr>
          <w:rFonts w:ascii="Times New Roman" w:hAnsi="Times New Roman"/>
          <w:lang w:val="en-US" w:eastAsia="en-US" w:bidi="ur-PK"/>
        </w:rPr>
        <w:t>Alsyouf</w:t>
      </w:r>
      <w:proofErr w:type="spellEnd"/>
      <w:r w:rsidRPr="000F5408">
        <w:rPr>
          <w:rFonts w:ascii="Times New Roman" w:hAnsi="Times New Roman"/>
          <w:lang w:val="en-US" w:eastAsia="en-US" w:bidi="ur-PK"/>
        </w:rPr>
        <w:t xml:space="preserve"> et al., 2022). NHS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challenges </w:t>
      </w:r>
      <w:proofErr w:type="spellStart"/>
      <w:r w:rsidRPr="000F5408">
        <w:rPr>
          <w:rFonts w:ascii="Times New Roman" w:hAnsi="Times New Roman"/>
          <w:lang w:val="en-US" w:eastAsia="en-US" w:bidi="ur-PK"/>
        </w:rPr>
        <w:t>centre</w:t>
      </w:r>
      <w:proofErr w:type="spellEnd"/>
      <w:r w:rsidRPr="000F5408">
        <w:rPr>
          <w:rFonts w:ascii="Times New Roman" w:hAnsi="Times New Roman"/>
          <w:lang w:val="en-US" w:eastAsia="en-US" w:bidi="ur-PK"/>
        </w:rPr>
        <w:t xml:space="preserve"> on integrating telemedicine without compromising service levels, while in Pakistan, resource availability, technical skill shortages, and competing priorities constrain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(Bilal et al., 2022). Implementation is further hindered by clinician resistance to replacing in-person consultations with digital alternatives.</w:t>
      </w:r>
    </w:p>
    <w:p w14:paraId="21C57F2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qualitative evidence discussed in Section 2.6 indicates that this resistance is not best understood as a standalone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barrier: it is compounded by infrastructural shortcomings and unclear institutional strategy, such that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and technological barriers reinforce, rather than merely coexist with, one another.</w:t>
      </w:r>
    </w:p>
    <w:p w14:paraId="30ABFD78"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2.8.3 Regulatory and Legal Barriers</w:t>
      </w:r>
    </w:p>
    <w:p w14:paraId="5127B99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Effective regulation builds trust in telemedicine by establishing guidelines for scope of practice, patient confidentiality, payment mechanisms, and legal liability (WHO, 2022). The UK benefits from well-established legislation, including UK GDPR and the Data Protection Act 2018, alongside professional regulatory guidance (Department of Health and Social Care, 2022). Regulatory uncertainty regarding licensing, liability, reimbursement, and data protection continues to constrain investment and implementation in Pakistan (Mahdi et al., 2022).</w:t>
      </w:r>
    </w:p>
    <w:p w14:paraId="7C06A26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Bilal et al. (2022) suggest that in Pakistan's maternal health sector, this regulatory vacuum — rather than infrastructural or financial shortfall — is the dominant constraint on service viability, indicating that regulatory barriers may warrant greater relative weight in some clinical domains than the parallel five-category structure implies.</w:t>
      </w:r>
    </w:p>
    <w:p w14:paraId="25912223"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2.8.4 Financial Barriers</w:t>
      </w:r>
    </w:p>
    <w:p w14:paraId="4BD74E9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Digital transformation requires significant investment in technology, training, maintenance, and cybersecurity (OECD, 2023). National funding has sustained widespread NHS telemedicine use despite broader financial pressures (NHS England, 2023). Pakistan's comparatively low healthcare spending limits investment in digital infrastructure, and many patients cannot afford the devices or connectivity required for virtual consultations (Bilal et al., 2022).</w:t>
      </w:r>
    </w:p>
    <w:p w14:paraId="1DEEC15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Financial constraint is not independent of the regulatory and governance issues discussed above: </w:t>
      </w:r>
      <w:proofErr w:type="spellStart"/>
      <w:r w:rsidRPr="000F5408">
        <w:rPr>
          <w:rFonts w:ascii="Times New Roman" w:hAnsi="Times New Roman"/>
          <w:lang w:val="en-US" w:eastAsia="en-US" w:bidi="ur-PK"/>
        </w:rPr>
        <w:t>Krasuska</w:t>
      </w:r>
      <w:proofErr w:type="spellEnd"/>
      <w:r w:rsidRPr="000F5408">
        <w:rPr>
          <w:rFonts w:ascii="Times New Roman" w:hAnsi="Times New Roman"/>
          <w:lang w:val="en-US" w:eastAsia="en-US" w:bidi="ur-PK"/>
        </w:rPr>
        <w:t xml:space="preserve"> et al.'s (2021) UK evidence indicates that funding is most effective when tied to governance requirements and reputational incentives, suggesting financial and regulatory barriers should be considered jointly rather than as separate line items.</w:t>
      </w:r>
    </w:p>
    <w:p w14:paraId="6B7BC8D8"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2.8.5 Human and Sociocultural Barriers</w:t>
      </w:r>
    </w:p>
    <w:p w14:paraId="06D5070D"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Digital literacy, technological confidence, and cultural attitudes strongly influence telemedicine adoption. Healthcare providers may question diagnostic accuracy without physical examination, and patients may doubt the efficacy or confidentiality of virtual consultations (Kruse et al., 2022). In Pakistan, a cultural preference for face-to-face interaction, combined with limited digital literacy, poses an additional challenge, underscoring the need for public education and positive user experience. Direct evidence on sociocultural barriers remains comparatively limited relative to the technological and regulatory literature discussed above.</w:t>
      </w:r>
    </w:p>
    <w:p w14:paraId="357C2583"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2.8.6 Comparative Analysis of Barriers in the United Kingdom and Pakistan</w:t>
      </w:r>
    </w:p>
    <w:p w14:paraId="76B7D75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Rather than </w:t>
      </w:r>
      <w:proofErr w:type="spellStart"/>
      <w:r w:rsidRPr="000F5408">
        <w:rPr>
          <w:rFonts w:ascii="Times New Roman" w:hAnsi="Times New Roman"/>
          <w:lang w:val="en-US" w:eastAsia="en-US" w:bidi="ur-PK"/>
        </w:rPr>
        <w:t>characterising</w:t>
      </w:r>
      <w:proofErr w:type="spellEnd"/>
      <w:r w:rsidRPr="000F5408">
        <w:rPr>
          <w:rFonts w:ascii="Times New Roman" w:hAnsi="Times New Roman"/>
          <w:lang w:val="en-US" w:eastAsia="en-US" w:bidi="ur-PK"/>
        </w:rPr>
        <w:t xml:space="preserve"> Pakistan as simply facing "more barriers" than the UK, the evidence reviewed in Sections 2.5 and 2.6 suggests the two systems face structurally different kinds of problems. The UK's residual barriers are primarily ones of equity and evidence quality within an already-mature system — access inequities for patients with sensory, cognitive, or connectivity needs (Ko et al., 2025), and specialty-level heterogeneity that undercuts a single national satisfaction narrative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 2024). Pakistan's barriers are better </w:t>
      </w:r>
      <w:proofErr w:type="spellStart"/>
      <w:r w:rsidRPr="000F5408">
        <w:rPr>
          <w:rFonts w:ascii="Times New Roman" w:hAnsi="Times New Roman"/>
          <w:lang w:val="en-US" w:eastAsia="en-US" w:bidi="ur-PK"/>
        </w:rPr>
        <w:t>characterised</w:t>
      </w:r>
      <w:proofErr w:type="spellEnd"/>
      <w:r w:rsidRPr="000F5408">
        <w:rPr>
          <w:rFonts w:ascii="Times New Roman" w:hAnsi="Times New Roman"/>
          <w:lang w:val="en-US" w:eastAsia="en-US" w:bidi="ur-PK"/>
        </w:rPr>
        <w:t xml:space="preserve"> as a governance and structural-interaction problem, in which infrastructural,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and regulatory shortfalls reinforce one another and are unlikely to be resolved through individual-level interventions such as training or awareness campaigns alone (Section 2.6). Shared challenges nonetheless remain across both systems, including safeguarding patient information, building user trust, workforce development, and integrating virtual care into existing delivery models.</w:t>
      </w:r>
    </w:p>
    <w:p w14:paraId="05CE4DFA"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Synthesis</w:t>
      </w:r>
    </w:p>
    <w:p w14:paraId="56922A0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reframing has direct implications for the barrier taxonomy in Sections 2.8.1 to 2.8.5. Presenting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regulatory, financial, and sociocultural barriers as five parallel categories serves an expository purpose but does not reflect the interaction effects documented in the Pakistani evidence, nor the equity/evidence-quality problem specific to the UK context. The conceptual </w:t>
      </w:r>
      <w:r w:rsidRPr="000F5408">
        <w:rPr>
          <w:rFonts w:ascii="Times New Roman" w:hAnsi="Times New Roman"/>
          <w:lang w:val="en-US" w:eastAsia="en-US" w:bidi="ur-PK"/>
        </w:rPr>
        <w:lastRenderedPageBreak/>
        <w:t>framework in Section 2.10.2 is accordingly revised to treat barriers as compounding rather than additive, and to allow different barrier types to dominate in different clinical domains and health systems.</w:t>
      </w:r>
    </w:p>
    <w:p w14:paraId="4063A0A4"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20" w:name="_Toc239804212"/>
      <w:r w:rsidRPr="000F5408">
        <w:rPr>
          <w:rFonts w:ascii="Times New Roman" w:hAnsi="Times New Roman"/>
          <w:b/>
          <w:bCs/>
          <w:sz w:val="26"/>
          <w:szCs w:val="26"/>
          <w:lang w:val="en-US" w:eastAsia="en-US" w:bidi="ur-PK"/>
        </w:rPr>
        <w:t>2.9 Impact of Telemedicine on Healthcare Service Delivery</w:t>
      </w:r>
      <w:bookmarkEnd w:id="20"/>
    </w:p>
    <w:p w14:paraId="491699B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Telemedicine has emerged as a vital component of digital health transformation, delivering enhanced healthcare accessibility, improved operational efficiency, better patient experience, and continuity of care. However, the strength and consistency of this evidence varies considerably depending on how outcomes are measured, over what timeframe, and for which patient populations — variation that aggregate, national-level reporting often obscures (WHO, 2022).</w:t>
      </w:r>
    </w:p>
    <w:p w14:paraId="03137E56"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2.9.1 Healthcare Accessibility</w:t>
      </w:r>
    </w:p>
    <w:p w14:paraId="1DE26AF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Digital platforms reduce geographical barriers to care by enabling remote access, eliminating the need for long-distance travel (Mahdi et al., 2022). In the UK, telemedicine has expanded access to primary care, mental health, and specialist appointments, particularly for rural residents, people with mobility limitations, and older adults, alongside reduced waiting times (NHS England, 2023). In Pakistan, telemedicine has similarly improved access to specialist services in underserved rural areas, though unreliable internet access, power outages, and disparities in digital access continue to limit these gains (Bilal et al., 2022).</w:t>
      </w:r>
    </w:p>
    <w:p w14:paraId="122DF7F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improvement has not, however, been uniform even within the UK: Ko et al.'s (2025) finding that the pace of NHS telehealth rollout outstripped provision for patients with sensory, cognitive, or connectivity needs indicates that national-level accessibility gains can coexist with worsening relative access for specific patient groups. The comparison between countries should therefore not obscure comparable distributional questions within each country.</w:t>
      </w:r>
    </w:p>
    <w:p w14:paraId="088DDF93"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2.9.2 Healthcare Efficiency</w:t>
      </w:r>
    </w:p>
    <w:p w14:paraId="45C6CA0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Telemedicine reduces unnecessary hospital visits, supports remote follow-up, and improves inter-specialty communication (WHO, 2022). In the NHS, virtual consultation and EHR integration have improved resource </w:t>
      </w:r>
      <w:proofErr w:type="spellStart"/>
      <w:r w:rsidRPr="000F5408">
        <w:rPr>
          <w:rFonts w:ascii="Times New Roman" w:hAnsi="Times New Roman"/>
          <w:lang w:val="en-US" w:eastAsia="en-US" w:bidi="ur-PK"/>
        </w:rPr>
        <w:t>utilisation</w:t>
      </w:r>
      <w:proofErr w:type="spellEnd"/>
      <w:r w:rsidRPr="000F5408">
        <w:rPr>
          <w:rFonts w:ascii="Times New Roman" w:hAnsi="Times New Roman"/>
          <w:lang w:val="en-US" w:eastAsia="en-US" w:bidi="ur-PK"/>
        </w:rPr>
        <w:t xml:space="preserve"> and management of rising demand (NHS England, 2023). In Pakistan, telemedicine helped sustain service continuity during the COVID-19 pandemic but remains constrained by limited infrastructure and trained staff (Mahdi et al., 2022).</w:t>
      </w:r>
    </w:p>
    <w:p w14:paraId="7640DD75"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2.9.3 Continuity and Quality of Care</w:t>
      </w:r>
    </w:p>
    <w:p w14:paraId="317CC1D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Telemedicine has shown promise in sustaining quality care for routine consultations, chronic illness follow-up, mental health, dermatology, and postoperative follow-up, provided appropriate governance and digital tools are in place (OECD, 2023). Virtual consultation cannot, however, fully substitute for face-to-face care where physical examination or complex clinical assessment is required, which has driven growing adoption of hybrid care models combining digital and traditional care (Murphy et al., 2021).</w:t>
      </w:r>
    </w:p>
    <w:p w14:paraId="1A2479EC" w14:textId="77777777" w:rsidR="000F5408" w:rsidRPr="000F5408" w:rsidRDefault="000F5408" w:rsidP="000F5408">
      <w:pPr>
        <w:bidi/>
        <w:spacing w:before="200" w:after="120" w:line="240" w:lineRule="auto"/>
        <w:jc w:val="right"/>
        <w:rPr>
          <w:rFonts w:ascii="Times New Roman" w:hAnsi="Times New Roman"/>
          <w:sz w:val="20"/>
          <w:szCs w:val="20"/>
          <w:lang w:val="en-US" w:eastAsia="en-US" w:bidi="ur-PK"/>
        </w:rPr>
      </w:pPr>
      <w:r w:rsidRPr="000F5408">
        <w:rPr>
          <w:rFonts w:ascii="Times New Roman" w:hAnsi="Times New Roman"/>
          <w:b/>
          <w:bCs/>
          <w:i/>
          <w:iCs/>
          <w:lang w:val="en-US" w:eastAsia="en-US" w:bidi="ur-PK"/>
        </w:rPr>
        <w:lastRenderedPageBreak/>
        <w:t>2.9.4 Patient Satisfaction</w:t>
      </w:r>
    </w:p>
    <w:p w14:paraId="0466040B" w14:textId="77777777" w:rsidR="000F5408" w:rsidRPr="000F5408" w:rsidRDefault="000F5408" w:rsidP="000F5408">
      <w:pPr>
        <w:bidi/>
        <w:spacing w:after="200" w:line="360" w:lineRule="auto"/>
        <w:jc w:val="right"/>
        <w:rPr>
          <w:rFonts w:ascii="Times New Roman" w:hAnsi="Times New Roman"/>
          <w:sz w:val="20"/>
          <w:szCs w:val="20"/>
          <w:lang w:val="en-US" w:eastAsia="en-US" w:bidi="ur-PK"/>
        </w:rPr>
      </w:pPr>
      <w:r w:rsidRPr="000F5408">
        <w:rPr>
          <w:rFonts w:ascii="Times New Roman" w:hAnsi="Times New Roman"/>
          <w:lang w:val="en-US" w:eastAsia="en-US" w:bidi="ur-PK"/>
        </w:rPr>
        <w:t xml:space="preserve">Patient satisfaction is one of the most frequently reported telemedicine outcomes, and is often treated as a proxy for successful implementation.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Ali's (2024) systematic review of 27 NHS studies found satisfaction levels consistently above 90%, a figure widely cited as evidence of UK implementation success. This headline figure requires qualification on two grounds established in Section 2.5. First, the underlying studies are almost entirely cross-sectional, single-timepoint, self-report surveys administered immediately after a single encounter, and say little about sustained use or clinical adequacy over time. Second, satisfaction is not uniform across specialties: Sloan et al.'s rheumatology findings, included within the same review, show patients and clinicians rating telemedicine as inferior to face-to-face care on most dimensions, including diagnostic accuracy, despite rating it as more convenient. Satisfaction and clinical adequacy are therefore distinct constructs that a single aggregate figure conflates.</w:t>
      </w:r>
    </w:p>
    <w:p w14:paraId="58B5BB0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In Pakistan, comparable large-scale patient satisfaction evidence is scarce; as Malik et al. (2025) note, most available evidence concerns provider perspectives or system-level outcomes rather than direct patient report. Where patient attitudes are addressed, a continuing preference for face-to-face care is identified as a barrier to adoption (Mahdi et al., 2022). The comparison that can honestly be drawn is therefore not "UK patients are more satisfied than Pakistani patients," but that the UK has </w:t>
      </w:r>
      <w:proofErr w:type="gramStart"/>
      <w:r w:rsidRPr="000F5408">
        <w:rPr>
          <w:rFonts w:ascii="Times New Roman" w:hAnsi="Times New Roman"/>
          <w:lang w:val="en-US" w:eastAsia="en-US" w:bidi="ur-PK"/>
        </w:rPr>
        <w:t>an evidence</w:t>
      </w:r>
      <w:proofErr w:type="gramEnd"/>
      <w:r w:rsidRPr="000F5408">
        <w:rPr>
          <w:rFonts w:ascii="Times New Roman" w:hAnsi="Times New Roman"/>
          <w:lang w:val="en-US" w:eastAsia="en-US" w:bidi="ur-PK"/>
        </w:rPr>
        <w:t xml:space="preserve"> base broad enough to reveal internal heterogeneity by specialty and patient group, while Pakistan's evidence base is too thin to support a comparable national satisfaction claim in either direction.</w:t>
      </w:r>
    </w:p>
    <w:p w14:paraId="4ED54C71"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2.9.5 Cost-Effectiveness</w:t>
      </w:r>
    </w:p>
    <w:p w14:paraId="67E274C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Telemedicine can reduce travel costs, unnecessary hospital visits, and administrative expense, improving efficiency for providers and patients alike (WHO, 2022). Nationwide digital infrastructure and public investment have supported economic gains in the UK, while financial constraints — including access to devices and connectivity — continue to affect cost-effectiveness in Pakistan, notwithstanding its long-run saving potential (Bilal et al., 2022). Direct, comparable cost-effectiveness data for both countries </w:t>
      </w:r>
      <w:proofErr w:type="gramStart"/>
      <w:r w:rsidRPr="000F5408">
        <w:rPr>
          <w:rFonts w:ascii="Times New Roman" w:hAnsi="Times New Roman"/>
          <w:lang w:val="en-US" w:eastAsia="en-US" w:bidi="ur-PK"/>
        </w:rPr>
        <w:t>remains</w:t>
      </w:r>
      <w:proofErr w:type="gramEnd"/>
      <w:r w:rsidRPr="000F5408">
        <w:rPr>
          <w:rFonts w:ascii="Times New Roman" w:hAnsi="Times New Roman"/>
          <w:lang w:val="en-US" w:eastAsia="en-US" w:bidi="ur-PK"/>
        </w:rPr>
        <w:t xml:space="preserve"> limited; claims of economic gain in the UK and of long-term savings potential in Pakistan remain largely inferential rather than grounded in head-to-head costing studies.</w:t>
      </w:r>
    </w:p>
    <w:p w14:paraId="75A6B514"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Synthesis</w:t>
      </w:r>
    </w:p>
    <w:p w14:paraId="177DC8B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Considered together, these outcome domains show that telemedicine's benefits are real but conditional and unevenly distributed — not simply larger in the UK than in Pakistan. Accessibility gains in the UK coexist with unresolved equity gaps for specific patient groups; satisfaction is high on aggregate but conceals specialty-level clinical concerns; and Pakistan's outcome evidence is constrained less by poor performance than by a shortage of patient-level, longitudinal, and cost data. "More evidence is needed" is therefore not a uniform statement across the two countries: in the UK, the priority is disaggregated </w:t>
      </w:r>
      <w:r w:rsidRPr="000F5408">
        <w:rPr>
          <w:rFonts w:ascii="Times New Roman" w:hAnsi="Times New Roman"/>
          <w:lang w:val="en-US" w:eastAsia="en-US" w:bidi="ur-PK"/>
        </w:rPr>
        <w:lastRenderedPageBreak/>
        <w:t>evidence by specialty and patient group; in Pakistan, it is basic patient-level and longitudinal evidence of any kind.</w:t>
      </w:r>
    </w:p>
    <w:p w14:paraId="4F89BF1D"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21" w:name="_Toc239804213"/>
      <w:r w:rsidRPr="000F5408">
        <w:rPr>
          <w:rFonts w:ascii="Times New Roman" w:hAnsi="Times New Roman"/>
          <w:b/>
          <w:bCs/>
          <w:sz w:val="26"/>
          <w:szCs w:val="26"/>
          <w:lang w:val="en-US" w:eastAsia="en-US" w:bidi="ur-PK"/>
        </w:rPr>
        <w:t>2.10 Research Gap and Conceptual Framework</w:t>
      </w:r>
      <w:bookmarkEnd w:id="21"/>
    </w:p>
    <w:p w14:paraId="7275A2EF"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2.10.1 Research Gap</w:t>
      </w:r>
    </w:p>
    <w:p w14:paraId="25F89E2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Despite substantial academic interest in telemedicine, several gaps remain. First, most studies report on telemedicine within a single country and offer limited comparative evidence between developed and developing healthcare systems: UK research concentrates on NHS implementation, while Pakistani research concentrates on infrastructure and implementation barriers (Mahdi et al., 2022; NHS England, 2023). Second, much existing research focuses on technology acceptance through models such as TAM and UTAUT, giving limited attention to broader healthcare outcomes such as accessibility, operational efficiency, continuity of care, patient satisfaction, and quality (</w:t>
      </w:r>
      <w:proofErr w:type="spellStart"/>
      <w:r w:rsidRPr="000F5408">
        <w:rPr>
          <w:rFonts w:ascii="Times New Roman" w:hAnsi="Times New Roman"/>
          <w:lang w:val="en-US" w:eastAsia="en-US" w:bidi="ur-PK"/>
        </w:rPr>
        <w:t>Alsyouf</w:t>
      </w:r>
      <w:proofErr w:type="spellEnd"/>
      <w:r w:rsidRPr="000F5408">
        <w:rPr>
          <w:rFonts w:ascii="Times New Roman" w:hAnsi="Times New Roman"/>
          <w:lang w:val="en-US" w:eastAsia="en-US" w:bidi="ur-PK"/>
        </w:rPr>
        <w:t xml:space="preserve"> et al., 2022). Third, evidence on post-pandemic sustainability remains limited, as much of the literature addresses COVID-19 emergency implementation rather than ongoing integration into routine care (OECD, 2023). Fourth, methodological inconsistency and the scarcity of LMIC evidence restrict direct comparison and the development of transferable implementation strategies.</w:t>
      </w:r>
    </w:p>
    <w:p w14:paraId="4DD7938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Fifth, and evident throughout Sections 2.7 to 2.9 above, the literature predominantly treats implementation drivers and barriers as discrete, independent categories, even where the underlying evidence indicates that they interact and compound one another; there is limited </w:t>
      </w:r>
      <w:proofErr w:type="spellStart"/>
      <w:r w:rsidRPr="000F5408">
        <w:rPr>
          <w:rFonts w:ascii="Times New Roman" w:hAnsi="Times New Roman"/>
          <w:lang w:val="en-US" w:eastAsia="en-US" w:bidi="ur-PK"/>
        </w:rPr>
        <w:t>theorisation</w:t>
      </w:r>
      <w:proofErr w:type="spellEnd"/>
      <w:r w:rsidRPr="000F5408">
        <w:rPr>
          <w:rFonts w:ascii="Times New Roman" w:hAnsi="Times New Roman"/>
          <w:lang w:val="en-US" w:eastAsia="en-US" w:bidi="ur-PK"/>
        </w:rPr>
        <w:t xml:space="preserve"> of how these factors combine within a given health system, or of how their relative importance varies by clinical domain.</w:t>
      </w:r>
    </w:p>
    <w:p w14:paraId="6243BB0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dissertation aims to address these gaps through a comparative systematic literature review of the United Kingdom and Pakistan, examining the drivers and barriers of telemedicine adoption, associated healthcare outcomes, and policy implications, while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evidence across studies rather than treating implementation factors as an independent checklist.</w:t>
      </w:r>
    </w:p>
    <w:p w14:paraId="5B6B91C0"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2.10.2 Conceptual Framework</w:t>
      </w:r>
    </w:p>
    <w:p w14:paraId="48C35D2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conceptual framework guiding this dissertation must satisfy two requirements established by the critical review above. First, following the theoretical evaluation in Section 2.4, it must incorporate factors operating at the individual (TAM),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/social (UTAUT), and system-wide diffusion (DOI) levels, since no single theory adequately captures telemedicine adoption on its own. Second, following the critical synthesis in Sections 2.7 to 2.9, it must represent implementation drivers and barriers as interacting rather than as an additive checklist, and must allow their relative weighting to differ by clinical domain and by health system.</w:t>
      </w:r>
    </w:p>
    <w:p w14:paraId="09D951F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framework therefore retains the broad structure of drivers, adoption, outcomes, and comparative context, but departs from a simple linear model in two respects. First, the six driver categories are treated </w:t>
      </w:r>
      <w:r w:rsidRPr="000F5408">
        <w:rPr>
          <w:rFonts w:ascii="Times New Roman" w:hAnsi="Times New Roman"/>
          <w:lang w:val="en-US" w:eastAsia="en-US" w:bidi="ur-PK"/>
        </w:rPr>
        <w:lastRenderedPageBreak/>
        <w:t xml:space="preserve">as mutually reinforcing rather than independent — reflecting, for example, the finding that Pakistani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is compounded by, rather than separate from, technological and regulatory shortfalls (Section 2.7), and that UK infrastructure gains were contingent on a specific funding-governance mechanism rather than infrastructure investment alone (</w:t>
      </w:r>
      <w:proofErr w:type="spellStart"/>
      <w:r w:rsidRPr="000F5408">
        <w:rPr>
          <w:rFonts w:ascii="Times New Roman" w:hAnsi="Times New Roman"/>
          <w:lang w:val="en-US" w:eastAsia="en-US" w:bidi="ur-PK"/>
        </w:rPr>
        <w:t>Krasuska</w:t>
      </w:r>
      <w:proofErr w:type="spellEnd"/>
      <w:r w:rsidRPr="000F5408">
        <w:rPr>
          <w:rFonts w:ascii="Times New Roman" w:hAnsi="Times New Roman"/>
          <w:lang w:val="en-US" w:eastAsia="en-US" w:bidi="ur-PK"/>
        </w:rPr>
        <w:t xml:space="preserve"> et al., 2021). Second, a feedback relationship is specified between healthcare outcomes and implementation drivers: evidence of clinical or equity shortfalls, such as the specialty-level and access-equity issues identified in Sections 2.5 and 2.9, is understood to feed back into subsequent policy and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adjustment, rather than outcomes forming a terminal endpoint of a one-way process.</w:t>
      </w:r>
    </w:p>
    <w:p w14:paraId="71299444" w14:textId="77777777" w:rsidR="000F5408" w:rsidRPr="000F5408" w:rsidRDefault="000F5408" w:rsidP="000F5408">
      <w:pPr>
        <w:bidi/>
        <w:spacing w:after="100" w:line="240" w:lineRule="auto"/>
        <w:jc w:val="center"/>
        <w:rPr>
          <w:rFonts w:ascii="Times New Roman" w:hAnsi="Times New Roman"/>
          <w:sz w:val="20"/>
          <w:szCs w:val="20"/>
          <w:lang w:val="en-US" w:eastAsia="en-US" w:bidi="ur-PK"/>
        </w:rPr>
      </w:pPr>
      <w:r w:rsidRPr="000F5408">
        <w:rPr>
          <w:rFonts w:ascii="Times New Roman" w:hAnsi="Times New Roman"/>
          <w:i/>
          <w:iCs/>
          <w:lang w:val="en-US" w:eastAsia="en-US" w:bidi="ur-PK"/>
        </w:rPr>
        <w:t>Implementation Drivers (interacting, not additive)</w:t>
      </w:r>
    </w:p>
    <w:p w14:paraId="6329EF5C"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Digital infrastructure</w:t>
      </w:r>
    </w:p>
    <w:p w14:paraId="5AD08399"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Government policy and regulation</w:t>
      </w:r>
    </w:p>
    <w:p w14:paraId="0C5562FF"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w:t>
      </w:r>
    </w:p>
    <w:p w14:paraId="42C37F04"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Workforce capability</w:t>
      </w:r>
    </w:p>
    <w:p w14:paraId="60ECA700"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Patient acceptance and digital literacy</w:t>
      </w:r>
    </w:p>
    <w:p w14:paraId="71CF9013"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Financial investment</w:t>
      </w:r>
    </w:p>
    <w:p w14:paraId="42D72A61" w14:textId="77777777" w:rsidR="000F5408" w:rsidRPr="000F5408" w:rsidRDefault="000F5408" w:rsidP="000F5408">
      <w:pPr>
        <w:bidi/>
        <w:spacing w:after="100" w:line="240" w:lineRule="auto"/>
        <w:jc w:val="center"/>
        <w:rPr>
          <w:rFonts w:ascii="Times New Roman" w:hAnsi="Times New Roman"/>
          <w:sz w:val="20"/>
          <w:szCs w:val="20"/>
          <w:lang w:val="en-US" w:eastAsia="en-US" w:bidi="ur-PK"/>
        </w:rPr>
      </w:pPr>
      <w:r w:rsidRPr="000F5408">
        <w:rPr>
          <w:rFonts w:ascii="Times New Roman" w:hAnsi="Times New Roman"/>
          <w:i/>
          <w:iCs/>
          <w:lang w:val="en-US" w:eastAsia="en-US" w:bidi="ur-PK"/>
        </w:rPr>
        <w:t>↓ jointly shape, with relative weighting dependent on clinical domain and health-system context</w:t>
      </w:r>
    </w:p>
    <w:p w14:paraId="5381A048" w14:textId="77777777" w:rsidR="000F5408" w:rsidRPr="000F5408" w:rsidRDefault="000F5408" w:rsidP="000F5408">
      <w:pPr>
        <w:bidi/>
        <w:spacing w:after="100" w:line="240" w:lineRule="auto"/>
        <w:jc w:val="center"/>
        <w:rPr>
          <w:rFonts w:ascii="Times New Roman" w:hAnsi="Times New Roman"/>
          <w:sz w:val="20"/>
          <w:szCs w:val="20"/>
          <w:lang w:val="en-US" w:eastAsia="en-US" w:bidi="ur-PK"/>
        </w:rPr>
      </w:pPr>
      <w:r w:rsidRPr="000F5408">
        <w:rPr>
          <w:rFonts w:ascii="Times New Roman" w:hAnsi="Times New Roman"/>
          <w:i/>
          <w:iCs/>
          <w:lang w:val="en-US" w:eastAsia="en-US" w:bidi="ur-PK"/>
        </w:rPr>
        <w:t>Telemedicine Adoption</w:t>
      </w:r>
    </w:p>
    <w:p w14:paraId="2EEECA37" w14:textId="77777777" w:rsidR="000F5408" w:rsidRPr="000F5408" w:rsidRDefault="000F5408" w:rsidP="000F5408">
      <w:pPr>
        <w:bidi/>
        <w:spacing w:after="100" w:line="240" w:lineRule="auto"/>
        <w:jc w:val="center"/>
        <w:rPr>
          <w:rFonts w:ascii="Times New Roman" w:hAnsi="Times New Roman"/>
          <w:sz w:val="20"/>
          <w:szCs w:val="20"/>
          <w:lang w:val="en-US" w:eastAsia="en-US" w:bidi="ur-PK"/>
        </w:rPr>
      </w:pPr>
      <w:r w:rsidRPr="000F5408">
        <w:rPr>
          <w:rFonts w:ascii="Times New Roman" w:hAnsi="Times New Roman"/>
          <w:i/>
          <w:iCs/>
          <w:lang w:val="en-US" w:eastAsia="en-US" w:bidi="ur-PK"/>
        </w:rPr>
        <w:t>↓</w:t>
      </w:r>
    </w:p>
    <w:p w14:paraId="19D07494" w14:textId="77777777" w:rsidR="000F5408" w:rsidRPr="000F5408" w:rsidRDefault="000F5408" w:rsidP="000F5408">
      <w:pPr>
        <w:bidi/>
        <w:spacing w:after="100" w:line="240" w:lineRule="auto"/>
        <w:jc w:val="center"/>
        <w:rPr>
          <w:rFonts w:ascii="Times New Roman" w:hAnsi="Times New Roman"/>
          <w:sz w:val="20"/>
          <w:szCs w:val="20"/>
          <w:lang w:val="en-US" w:eastAsia="en-US" w:bidi="ur-PK"/>
        </w:rPr>
      </w:pPr>
      <w:r w:rsidRPr="000F5408">
        <w:rPr>
          <w:rFonts w:ascii="Times New Roman" w:hAnsi="Times New Roman"/>
          <w:i/>
          <w:iCs/>
          <w:lang w:val="en-US" w:eastAsia="en-US" w:bidi="ur-PK"/>
        </w:rPr>
        <w:t>Healthcare Outcomes</w:t>
      </w:r>
    </w:p>
    <w:p w14:paraId="6D150803"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Healthcare accessibility</w:t>
      </w:r>
    </w:p>
    <w:p w14:paraId="5AE14869"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Operational efficiency</w:t>
      </w:r>
    </w:p>
    <w:p w14:paraId="0FA3BE96"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Healthcare quality</w:t>
      </w:r>
    </w:p>
    <w:p w14:paraId="17D33D30"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Patient satisfaction</w:t>
      </w:r>
    </w:p>
    <w:p w14:paraId="1DDF12DC"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Continuity of care</w:t>
      </w:r>
    </w:p>
    <w:p w14:paraId="11E35326"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Cost-effectiveness</w:t>
      </w:r>
    </w:p>
    <w:p w14:paraId="58F98862" w14:textId="77777777" w:rsidR="000F5408" w:rsidRPr="000F5408" w:rsidRDefault="000F5408" w:rsidP="000F5408">
      <w:pPr>
        <w:bidi/>
        <w:spacing w:after="100" w:line="240" w:lineRule="auto"/>
        <w:jc w:val="center"/>
        <w:rPr>
          <w:rFonts w:ascii="Times New Roman" w:hAnsi="Times New Roman"/>
          <w:sz w:val="20"/>
          <w:szCs w:val="20"/>
          <w:lang w:val="en-US" w:eastAsia="en-US" w:bidi="ur-PK"/>
        </w:rPr>
      </w:pPr>
      <w:r w:rsidRPr="000F5408">
        <w:rPr>
          <w:rFonts w:ascii="Times New Roman" w:hAnsi="Times New Roman"/>
          <w:i/>
          <w:iCs/>
          <w:lang w:val="en-US" w:eastAsia="en-US" w:bidi="ur-PK"/>
        </w:rPr>
        <w:t xml:space="preserve">↑↓ outcomes evidence feeds back into drivers via policy, funding, and </w:t>
      </w:r>
      <w:proofErr w:type="spellStart"/>
      <w:r w:rsidRPr="000F5408">
        <w:rPr>
          <w:rFonts w:ascii="Times New Roman" w:hAnsi="Times New Roman"/>
          <w:i/>
          <w:iCs/>
          <w:lang w:val="en-US" w:eastAsia="en-US" w:bidi="ur-PK"/>
        </w:rPr>
        <w:t>organisational</w:t>
      </w:r>
      <w:proofErr w:type="spellEnd"/>
      <w:r w:rsidRPr="000F5408">
        <w:rPr>
          <w:rFonts w:ascii="Times New Roman" w:hAnsi="Times New Roman"/>
          <w:i/>
          <w:iCs/>
          <w:lang w:val="en-US" w:eastAsia="en-US" w:bidi="ur-PK"/>
        </w:rPr>
        <w:t xml:space="preserve"> adjustment</w:t>
      </w:r>
    </w:p>
    <w:p w14:paraId="77F1FE8D" w14:textId="77777777" w:rsidR="000F5408" w:rsidRPr="000F5408" w:rsidRDefault="000F5408" w:rsidP="000F5408">
      <w:pPr>
        <w:bidi/>
        <w:spacing w:after="100" w:line="240" w:lineRule="auto"/>
        <w:jc w:val="center"/>
        <w:rPr>
          <w:rFonts w:ascii="Times New Roman" w:hAnsi="Times New Roman"/>
          <w:sz w:val="20"/>
          <w:szCs w:val="20"/>
          <w:lang w:val="en-US" w:eastAsia="en-US" w:bidi="ur-PK"/>
        </w:rPr>
      </w:pPr>
      <w:r w:rsidRPr="000F5408">
        <w:rPr>
          <w:rFonts w:ascii="Times New Roman" w:hAnsi="Times New Roman"/>
          <w:i/>
          <w:iCs/>
          <w:lang w:val="en-US" w:eastAsia="en-US" w:bidi="ur-PK"/>
        </w:rPr>
        <w:t>Comparative Context</w:t>
      </w:r>
    </w:p>
    <w:p w14:paraId="19BF5718"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United Kingdom — a comparatively mature system in which residual challenges are concentrated in equity and evidence quality</w:t>
      </w:r>
    </w:p>
    <w:p w14:paraId="5C7CEE89" w14:textId="77777777" w:rsidR="000F5408" w:rsidRPr="000F5408" w:rsidRDefault="000F5408" w:rsidP="000F5408">
      <w:pPr>
        <w:numPr>
          <w:ilvl w:val="0"/>
          <w:numId w:val="2"/>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Pakistan — a comparatively nascent system in which challenges are concentrated in governance and the structural interaction of barriers</w:t>
      </w:r>
    </w:p>
    <w:p w14:paraId="3FD7EE2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revised framework directly informs, and provides the analytical lens for interpreting, the thematic analysis conducted in Chapter Four: rather than coding drivers and barriers as independent themes, the </w:t>
      </w:r>
      <w:r w:rsidRPr="000F5408">
        <w:rPr>
          <w:rFonts w:ascii="Times New Roman" w:hAnsi="Times New Roman"/>
          <w:lang w:val="en-US" w:eastAsia="en-US" w:bidi="ur-PK"/>
        </w:rPr>
        <w:lastRenderedPageBreak/>
        <w:t xml:space="preserve">analysis is structured to identify where and how they interact, and to test whether the UK/Pakistan distinction is better </w:t>
      </w:r>
      <w:proofErr w:type="spellStart"/>
      <w:r w:rsidRPr="000F5408">
        <w:rPr>
          <w:rFonts w:ascii="Times New Roman" w:hAnsi="Times New Roman"/>
          <w:lang w:val="en-US" w:eastAsia="en-US" w:bidi="ur-PK"/>
        </w:rPr>
        <w:t>characterised</w:t>
      </w:r>
      <w:proofErr w:type="spellEnd"/>
      <w:r w:rsidRPr="000F5408">
        <w:rPr>
          <w:rFonts w:ascii="Times New Roman" w:hAnsi="Times New Roman"/>
          <w:lang w:val="en-US" w:eastAsia="en-US" w:bidi="ur-PK"/>
        </w:rPr>
        <w:t xml:space="preserve"> — as argued in Sections 2.5 and 2.6 — as a difference in the type of implementation problem faced, rather than merely its magnitude.</w:t>
      </w:r>
    </w:p>
    <w:p w14:paraId="59D8866A"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Critical Analysis: Few existing studies integrate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and policy perspectives within a single interacting framework, and fewer still allow driver weighting to vary by context. By building this flexibility into the conceptual framework from the outset, this dissertation is positioned to test, rather than assume, the extent to which UK-derived implementation lessons are structurally transferable to Pakistan.</w:t>
      </w:r>
    </w:p>
    <w:p w14:paraId="62A98372" w14:textId="77777777" w:rsidR="000F5408" w:rsidRPr="000F5408" w:rsidRDefault="000F5408" w:rsidP="000F5408">
      <w:pPr>
        <w:spacing w:before="240" w:after="160" w:line="240" w:lineRule="auto"/>
        <w:outlineLvl w:val="1"/>
        <w:rPr>
          <w:rFonts w:ascii="Times New Roman" w:hAnsi="Times New Roman"/>
          <w:sz w:val="26"/>
          <w:szCs w:val="26"/>
          <w:lang w:val="en-US" w:eastAsia="en-US" w:bidi="ur-PK"/>
        </w:rPr>
      </w:pPr>
      <w:bookmarkStart w:id="22" w:name="_Toc239804214"/>
      <w:r w:rsidRPr="000F5408">
        <w:rPr>
          <w:rFonts w:ascii="Times New Roman" w:hAnsi="Times New Roman"/>
          <w:b/>
          <w:bCs/>
          <w:sz w:val="26"/>
          <w:szCs w:val="26"/>
          <w:lang w:val="en-US" w:eastAsia="en-US" w:bidi="ur-PK"/>
        </w:rPr>
        <w:t>2.11 Chapter Summary</w:t>
      </w:r>
      <w:bookmarkEnd w:id="22"/>
    </w:p>
    <w:p w14:paraId="1C249EA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chapter has critically reviewed the literature on digital health transformation and telemedicine adoption to establish the theoretical and empirical foundation for this dissertation. It examined digital health transformation and telemedicine as concepts, evaluated the relevance and limitations of TAM, UTAUT, and DOI theory, and undertook a critical, source-by-source comparative reading of the UK and Pakistani evidence bases (Sections 2.5 and 2.6), which indicated that the two systems face structurally different implementation problems rather than simply differing in degree.</w:t>
      </w:r>
    </w:p>
    <w:p w14:paraId="43E85320" w14:textId="77777777" w:rsidR="000F5408" w:rsidRPr="000F5408" w:rsidRDefault="000F5408" w:rsidP="000F5408">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 xml:space="preserve">Building on this, the review of drivers, barriers, and outcomes (Sections 2.7 to 2.9) showed that these factors interact and compound one another, and that their relative importance varies by clinical domain and patient group, rather than following a uniform "UK has X, Pakistan lacks X" pattern. The chapter concluded by identifying five gaps in the existing literature — including the limited </w:t>
      </w:r>
      <w:proofErr w:type="spellStart"/>
      <w:r w:rsidRPr="000F5408">
        <w:rPr>
          <w:rFonts w:ascii="Times New Roman" w:hAnsi="Times New Roman"/>
          <w:lang w:val="en-US" w:eastAsia="en-US" w:bidi="ur-PK"/>
        </w:rPr>
        <w:t>theorisation</w:t>
      </w:r>
      <w:proofErr w:type="spellEnd"/>
      <w:r w:rsidRPr="000F5408">
        <w:rPr>
          <w:rFonts w:ascii="Times New Roman" w:hAnsi="Times New Roman"/>
          <w:lang w:val="en-US" w:eastAsia="en-US" w:bidi="ur-PK"/>
        </w:rPr>
        <w:t xml:space="preserve"> of interaction effects among drivers and barriers — and presenting a revised conceptual framework that treats implementation drivers as interacting and outcomes as feeding back into the drivers, rather than modelling adoption as a simple linear process. This framework provides the analytical basis for the systematic literature review methodology set out in Chapter Three.</w:t>
      </w:r>
    </w:p>
    <w:p w14:paraId="42C9CB44"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5287C4F9"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3D9C530F"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312B2EAE"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60AAA6F2"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0DD374AC"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042FAD66"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341BDD66" w14:textId="77777777" w:rsidR="000F5408" w:rsidRPr="000F5408" w:rsidRDefault="000F5408" w:rsidP="000F5408">
      <w:pPr>
        <w:bidi/>
        <w:spacing w:after="400" w:line="240" w:lineRule="auto"/>
        <w:rPr>
          <w:rFonts w:ascii="Times New Roman" w:hAnsi="Times New Roman"/>
          <w:b/>
          <w:bCs/>
          <w:sz w:val="32"/>
          <w:szCs w:val="32"/>
          <w:lang w:val="en-US" w:eastAsia="en-US" w:bidi="ur-PK"/>
        </w:rPr>
      </w:pPr>
    </w:p>
    <w:p w14:paraId="2C096680" w14:textId="77777777" w:rsidR="000F5408" w:rsidRPr="000F5408" w:rsidRDefault="000F5408" w:rsidP="000F5408">
      <w:pPr>
        <w:bidi/>
        <w:spacing w:after="400" w:line="240" w:lineRule="auto"/>
        <w:jc w:val="center"/>
        <w:rPr>
          <w:rFonts w:ascii="Times New Roman" w:hAnsi="Times New Roman"/>
          <w:sz w:val="20"/>
          <w:szCs w:val="20"/>
          <w:lang w:val="en-US" w:eastAsia="en-US" w:bidi="ur-PK"/>
        </w:rPr>
      </w:pPr>
      <w:r w:rsidRPr="000F5408">
        <w:rPr>
          <w:rFonts w:ascii="Times New Roman" w:hAnsi="Times New Roman"/>
          <w:b/>
          <w:bCs/>
          <w:sz w:val="32"/>
          <w:szCs w:val="32"/>
          <w:lang w:val="en-US" w:eastAsia="en-US" w:bidi="ur-PK"/>
        </w:rPr>
        <w:t>CHAPTER THREE: RESEARCH METHODOLOGY</w:t>
      </w:r>
    </w:p>
    <w:p w14:paraId="7FAE0B2C"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23" w:name="_Toc239804215"/>
      <w:r w:rsidRPr="000F5408">
        <w:rPr>
          <w:rFonts w:ascii="Times New Roman" w:hAnsi="Times New Roman"/>
          <w:b/>
          <w:bCs/>
          <w:sz w:val="28"/>
          <w:szCs w:val="28"/>
          <w:lang w:val="en-US" w:eastAsia="en-US" w:bidi="ur-PK"/>
        </w:rPr>
        <w:t>3.1 Introduction</w:t>
      </w:r>
      <w:bookmarkEnd w:id="23"/>
    </w:p>
    <w:p w14:paraId="52EF8C8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Chapter Two critically reviewed the literature on digital health transformation and telemedicine adoption to establish the theoretical perspectives, implementation drivers, barriers, healthcare outcomes, and research gaps relevant to the United Kingdom and Pakistan. Building on this foundation, this chapter sets out the methodology used to achieve the research aim and objectives.</w:t>
      </w:r>
    </w:p>
    <w:p w14:paraId="4AEFB08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Research methodology provides the structure for systematically identifying, evaluating, </w:t>
      </w:r>
      <w:proofErr w:type="spellStart"/>
      <w:r w:rsidRPr="000F5408">
        <w:rPr>
          <w:rFonts w:ascii="Times New Roman" w:hAnsi="Times New Roman"/>
          <w:lang w:val="en-US" w:eastAsia="en-US" w:bidi="ur-PK"/>
        </w:rPr>
        <w:t>analysing</w:t>
      </w:r>
      <w:proofErr w:type="spellEnd"/>
      <w:r w:rsidRPr="000F5408">
        <w:rPr>
          <w:rFonts w:ascii="Times New Roman" w:hAnsi="Times New Roman"/>
          <w:lang w:val="en-US" w:eastAsia="en-US" w:bidi="ur-PK"/>
        </w:rPr>
        <w:t xml:space="preserve">, and interpreting evidence to answer the research questions (Saunders, Lewis and Thornhill, 2023). The choice of methodology underpins the credibility, transparency, and reproducibility of research findings. A Systematic Literature Review (SLR) was adopted for this dissertation, given its aim of comparing telemedicine adoption across two healthcare systems using existing published evidence. An SLR differs from primary research in that it </w:t>
      </w:r>
      <w:proofErr w:type="spellStart"/>
      <w:r w:rsidRPr="000F5408">
        <w:rPr>
          <w:rFonts w:ascii="Times New Roman" w:hAnsi="Times New Roman"/>
          <w:lang w:val="en-US" w:eastAsia="en-US" w:bidi="ur-PK"/>
        </w:rPr>
        <w:t>synthesises</w:t>
      </w:r>
      <w:proofErr w:type="spellEnd"/>
      <w:r w:rsidRPr="000F5408">
        <w:rPr>
          <w:rFonts w:ascii="Times New Roman" w:hAnsi="Times New Roman"/>
          <w:lang w:val="en-US" w:eastAsia="en-US" w:bidi="ur-PK"/>
        </w:rPr>
        <w:t xml:space="preserve"> published evidence through transparent, reproducible procedures, enabling researchers to identify patterns, compare results, assess methodological quality, and identify research gaps (Page et al., 2021).</w:t>
      </w:r>
    </w:p>
    <w:p w14:paraId="6854D4F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review follows the Preferred Reporting Items for Systematic Reviews and Meta-Analyses (PRISMA 2020) guidelines, which provide international standards for identifying, screening, selecting, and reporting studies, thereby strengthening methodological </w:t>
      </w:r>
      <w:proofErr w:type="spellStart"/>
      <w:r w:rsidRPr="000F5408">
        <w:rPr>
          <w:rFonts w:ascii="Times New Roman" w:hAnsi="Times New Roman"/>
          <w:lang w:val="en-US" w:eastAsia="en-US" w:bidi="ur-PK"/>
        </w:rPr>
        <w:t>rigour</w:t>
      </w:r>
      <w:proofErr w:type="spellEnd"/>
      <w:r w:rsidRPr="000F5408">
        <w:rPr>
          <w:rFonts w:ascii="Times New Roman" w:hAnsi="Times New Roman"/>
          <w:lang w:val="en-US" w:eastAsia="en-US" w:bidi="ur-PK"/>
        </w:rPr>
        <w:t xml:space="preserve"> and transparency throughout the review process (Page et al., 2021).</w:t>
      </w:r>
    </w:p>
    <w:p w14:paraId="197A9CA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chapter describes the research philosophy, approach, design, search strategy, inclusion and exclusion criteria, quality assessment, data extraction, thematic analysis, ethical considerations, and the measures taken to ensure reliability, validity, and trustworthiness.</w:t>
      </w:r>
    </w:p>
    <w:p w14:paraId="0FD7E6B2"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24" w:name="_Toc239804216"/>
      <w:r w:rsidRPr="000F5408">
        <w:rPr>
          <w:rFonts w:ascii="Times New Roman" w:hAnsi="Times New Roman"/>
          <w:b/>
          <w:bCs/>
          <w:sz w:val="28"/>
          <w:szCs w:val="28"/>
          <w:lang w:val="en-US" w:eastAsia="en-US" w:bidi="ur-PK"/>
        </w:rPr>
        <w:t>3.2 Research Philosophy</w:t>
      </w:r>
      <w:bookmarkEnd w:id="24"/>
    </w:p>
    <w:p w14:paraId="68B9E71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Research philosophy refers to the assumptions that inform how knowledge is created and understood throughout the research process (Saunders et al., 2023), shaping research design, data collection, analysis, and interpretation.</w:t>
      </w:r>
    </w:p>
    <w:p w14:paraId="3EE378E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principal philosophical paradigms are positivism, interpretivism, realism, and pragmatism. Positivism is associated with objective measurement and quantitative analysis; interpretivism is concerned with understanding social phenomena within their contextual settings; pragmatism blends </w:t>
      </w:r>
      <w:r w:rsidRPr="000F5408">
        <w:rPr>
          <w:rFonts w:ascii="Times New Roman" w:hAnsi="Times New Roman"/>
          <w:lang w:val="en-US" w:eastAsia="en-US" w:bidi="ur-PK"/>
        </w:rPr>
        <w:lastRenderedPageBreak/>
        <w:t>qualitative and quantitative methods according to the research problem; and realism acknowledges an objective truth that may be differently perceived by individuals (Creswell and Creswell, 2023).</w:t>
      </w:r>
    </w:p>
    <w:p w14:paraId="37A2396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study adopts an interpretivist philosophy, aiming to understand how telemedicine adoption has been implemented and interpreted across different healthcare systems by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published evidence rather than through statistical measurement. Interpretivism is particularly appropriate because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technological, political, and cultural factors shape telemedicine implementation in ways that vary substantially between the United Kingdom and Pakistan; such contextual, qualitative evidence does not lend itself to quantitative hypothesis testing.</w:t>
      </w:r>
    </w:p>
    <w:p w14:paraId="65818F3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Systematic literature reviews align with the interpretivist perspective,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findings from diverse study designs and healthcare contexts to develop a deeper understanding of the phenomenon of interest. While interpretivism allows scope for researcher subjectivity, this risk was mitigated through pre-defined eligibility criteria, adherence to PRISMA 2020 guidance, and detailed reporting of the thematic analysis procedure (Page et al., 2021).</w:t>
      </w:r>
    </w:p>
    <w:p w14:paraId="36612167"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25" w:name="_Toc239804217"/>
      <w:r w:rsidRPr="000F5408">
        <w:rPr>
          <w:rFonts w:ascii="Times New Roman" w:hAnsi="Times New Roman"/>
          <w:b/>
          <w:bCs/>
          <w:sz w:val="28"/>
          <w:szCs w:val="28"/>
          <w:lang w:val="en-US" w:eastAsia="en-US" w:bidi="ur-PK"/>
        </w:rPr>
        <w:t>3.3 Research Approach</w:t>
      </w:r>
      <w:bookmarkEnd w:id="25"/>
    </w:p>
    <w:p w14:paraId="474B4B21"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research approach outlines the rationale underpinning the research process in pursuit of the research objectives and conclusions (Saunders et al., 2023). Research approaches are typically </w:t>
      </w:r>
      <w:proofErr w:type="spellStart"/>
      <w:r w:rsidRPr="000F5408">
        <w:rPr>
          <w:rFonts w:ascii="Times New Roman" w:hAnsi="Times New Roman"/>
          <w:lang w:val="en-US" w:eastAsia="en-US" w:bidi="ur-PK"/>
        </w:rPr>
        <w:t>categorised</w:t>
      </w:r>
      <w:proofErr w:type="spellEnd"/>
      <w:r w:rsidRPr="000F5408">
        <w:rPr>
          <w:rFonts w:ascii="Times New Roman" w:hAnsi="Times New Roman"/>
          <w:lang w:val="en-US" w:eastAsia="en-US" w:bidi="ur-PK"/>
        </w:rPr>
        <w:t xml:space="preserve"> as deductive, inductive, or abductive: a deductive approach tests theory against evidence and is common in quantitative research; an inductive approach builds toward broader understanding through observation and is common in qualitative research; and an abductive approach combines both forms of reasoning (Saunders et al., 2023).</w:t>
      </w:r>
    </w:p>
    <w:p w14:paraId="2E8DFB3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dissertation adopts an inductive approach, as it does not test pre-defined hypotheses but instead reviews published evidence on telemedicine to identify common threads, draw lessons, and reach evidence-based conclusions about adoption in the United Kingdom and Pakistan. As themes are drawn from the evidence rather than assumed in advance, an inductive approach is well suited to systematic literature reviews of this kind; thematic analysis is used to identify patterns relating to implementation drivers, barriers,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healthcare accessibility, patient satisfaction, and service outcomes.</w:t>
      </w:r>
    </w:p>
    <w:p w14:paraId="17EC539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approach also accommodates the comparative nature of the research, allowing for differences in healthcare systems, research methods, and policy contexts across the two countries while supporting a more general conceptual understanding that spans both.</w:t>
      </w:r>
    </w:p>
    <w:p w14:paraId="604F8811"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26" w:name="_Toc239804218"/>
      <w:r w:rsidRPr="000F5408">
        <w:rPr>
          <w:rFonts w:ascii="Times New Roman" w:hAnsi="Times New Roman"/>
          <w:b/>
          <w:bCs/>
          <w:sz w:val="28"/>
          <w:szCs w:val="28"/>
          <w:lang w:val="en-US" w:eastAsia="en-US" w:bidi="ur-PK"/>
        </w:rPr>
        <w:t>3.4 Research Design</w:t>
      </w:r>
      <w:bookmarkEnd w:id="26"/>
    </w:p>
    <w:p w14:paraId="6623E79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Research design is the blueprint of a study, ensuring that research objectives are addressed systematically (Saunders et al., 2023). A qualitative Systematic Literature Review (SLR) was selected as a structured and transparent approach to identifying, assessing, and integrating current evidence. Systematic reviews differ from narrative reviews in following a predefined methodology that reduces the risk of selection bias and improves methodological transparency (Page et al., 2021).</w:t>
      </w:r>
    </w:p>
    <w:p w14:paraId="0A77750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design suits a dissertation based entirely on secondary evidence comparing telemedicine adoption in the United Kingdom and Pakistan, enabling a holistic review of implementation experiences, healthcare outcomes, and policy evolution across studies, and supporting the identification of similarities, differences, and research gaps.</w:t>
      </w:r>
    </w:p>
    <w:p w14:paraId="23D14EB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review follows PRISMA 2020 guidelines throughout study identification, screening, eligibility assessment, and inclusion, improving credibility and reproducibility (Page et al., 2021). Only secondary data were used — peer-reviewed journal articles, government reports, policy documents, and publications from </w:t>
      </w:r>
      <w:proofErr w:type="spellStart"/>
      <w:r w:rsidRPr="000F5408">
        <w:rPr>
          <w:rFonts w:ascii="Times New Roman" w:hAnsi="Times New Roman"/>
          <w:lang w:val="en-US" w:eastAsia="en-US" w:bidi="ur-PK"/>
        </w:rPr>
        <w:t>recognised</w:t>
      </w:r>
      <w:proofErr w:type="spellEnd"/>
      <w:r w:rsidRPr="000F5408">
        <w:rPr>
          <w:rFonts w:ascii="Times New Roman" w:hAnsi="Times New Roman"/>
          <w:lang w:val="en-US" w:eastAsia="en-US" w:bidi="ur-PK"/>
        </w:rPr>
        <w:t xml:space="preserve"> international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xml:space="preserve"> — meaning no participants were recruited and no primary data were collected.</w:t>
      </w:r>
    </w:p>
    <w:p w14:paraId="2FC636D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research process comprised the following stages: (1) defining the research aim and objectives; (2) selecting appropriate electronic databases; (3) developing search terms and search strings; (4) applying pre-defined inclusion/exclusion criteria; (5) screening studies using the PRISMA 2020 framework; (6) assessing methodological quality; (7) extracting data using a structured extraction form; (8) conducting thematic analysis; (9) comparing findings between the UK and Pakistan; and (10) developing conclusions and recommendations. This structured design provides a sound methodological basis for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current evidence on telemedicine adoption and supports the validity of the results presented in the following chapter.</w:t>
      </w:r>
    </w:p>
    <w:p w14:paraId="6231FCCA"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27" w:name="_Toc239804219"/>
      <w:r w:rsidRPr="000F5408">
        <w:rPr>
          <w:rFonts w:ascii="Times New Roman" w:hAnsi="Times New Roman"/>
          <w:b/>
          <w:bCs/>
          <w:sz w:val="28"/>
          <w:szCs w:val="28"/>
          <w:lang w:val="en-US" w:eastAsia="en-US" w:bidi="ur-PK"/>
        </w:rPr>
        <w:t>3.5 Research Strategy</w:t>
      </w:r>
      <w:bookmarkEnd w:id="27"/>
    </w:p>
    <w:p w14:paraId="32BBBDC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research strategy outlines the systematic process of collecting, appraising, and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evidence to address the research questions. The reliance on published research rather than primary data led to the selection of a Systematic Literature Review (SLR).</w:t>
      </w:r>
    </w:p>
    <w:p w14:paraId="676D5B4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An SLR is a transparent, systematic process for identifying, selecting, critically appraising, and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evidence relevant to a well-defined research question (Page et al., 2021). SLRs apply predetermined protocols that </w:t>
      </w:r>
      <w:proofErr w:type="spellStart"/>
      <w:r w:rsidRPr="000F5408">
        <w:rPr>
          <w:rFonts w:ascii="Times New Roman" w:hAnsi="Times New Roman"/>
          <w:lang w:val="en-US" w:eastAsia="en-US" w:bidi="ur-PK"/>
        </w:rPr>
        <w:t>minimise</w:t>
      </w:r>
      <w:proofErr w:type="spellEnd"/>
      <w:r w:rsidRPr="000F5408">
        <w:rPr>
          <w:rFonts w:ascii="Times New Roman" w:hAnsi="Times New Roman"/>
          <w:lang w:val="en-US" w:eastAsia="en-US" w:bidi="ur-PK"/>
        </w:rPr>
        <w:t xml:space="preserve"> selection bias and improve reliability and reproducibility relative to narrative reviews (</w:t>
      </w:r>
      <w:proofErr w:type="spellStart"/>
      <w:r w:rsidRPr="000F5408">
        <w:rPr>
          <w:rFonts w:ascii="Times New Roman" w:hAnsi="Times New Roman"/>
          <w:lang w:val="en-US" w:eastAsia="en-US" w:bidi="ur-PK"/>
        </w:rPr>
        <w:t>Aromataris</w:t>
      </w:r>
      <w:proofErr w:type="spellEnd"/>
      <w:r w:rsidRPr="000F5408">
        <w:rPr>
          <w:rFonts w:ascii="Times New Roman" w:hAnsi="Times New Roman"/>
          <w:lang w:val="en-US" w:eastAsia="en-US" w:bidi="ur-PK"/>
        </w:rPr>
        <w:t xml:space="preserve"> and Munn, 2020). This strategy aligns with the dissertation's aim of comparing telemedicine adoption in the UK and Pakistan using evidence from multiple independent studies;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findings across diverse research designs and healthcare settings offers a more comprehensive picture of implementation drivers, barriers, outcomes, and policy implications than any </w:t>
      </w:r>
      <w:r w:rsidRPr="000F5408">
        <w:rPr>
          <w:rFonts w:ascii="Times New Roman" w:hAnsi="Times New Roman"/>
          <w:lang w:val="en-US" w:eastAsia="en-US" w:bidi="ur-PK"/>
        </w:rPr>
        <w:lastRenderedPageBreak/>
        <w:t>single study (Snyder, 2019). For methodological transparency, the review follows PRISMA 2020 guidelines for reporting search strategy, screening, and study selection (Page et al., 2021).</w:t>
      </w:r>
    </w:p>
    <w:p w14:paraId="6954A683"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28" w:name="_Toc239804220"/>
      <w:r w:rsidRPr="000F5408">
        <w:rPr>
          <w:rFonts w:ascii="Times New Roman" w:hAnsi="Times New Roman"/>
          <w:b/>
          <w:bCs/>
          <w:sz w:val="28"/>
          <w:szCs w:val="28"/>
          <w:lang w:val="en-US" w:eastAsia="en-US" w:bidi="ur-PK"/>
        </w:rPr>
        <w:t>3.6 Data Sources</w:t>
      </w:r>
      <w:bookmarkEnd w:id="28"/>
    </w:p>
    <w:p w14:paraId="6F84CDF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research relies entirely on secondary data and did not require primary data collection. Using secondary sources removes the ethical and practical concerns associated with participant data collection (Saunders et al., 2023) while drawing on validated evidence regarding telemedicine adoption.</w:t>
      </w:r>
    </w:p>
    <w:p w14:paraId="54DFAAB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following academic databases were searched:</w:t>
      </w:r>
    </w:p>
    <w:p w14:paraId="23A625A6" w14:textId="77777777" w:rsidR="000F5408" w:rsidRPr="000F5408" w:rsidRDefault="000F5408" w:rsidP="000F5408">
      <w:pPr>
        <w:numPr>
          <w:ilvl w:val="0"/>
          <w:numId w:val="5"/>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Scopus</w:t>
      </w:r>
    </w:p>
    <w:p w14:paraId="37FF16FD" w14:textId="77777777" w:rsidR="000F5408" w:rsidRPr="000F5408" w:rsidRDefault="000F5408" w:rsidP="000F5408">
      <w:pPr>
        <w:numPr>
          <w:ilvl w:val="0"/>
          <w:numId w:val="5"/>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Web of Science</w:t>
      </w:r>
    </w:p>
    <w:p w14:paraId="5021BEE7" w14:textId="0BCFFE0D"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Scopus and Web of Science were selected for their broad, multidisciplinary coverage of peer-reviewed literature spanning healthcare, digital health, information systems, and health policy, and because together they provide substantial overlapping and complementary coverage: Scopus indexes a very large proportion of biomedical journal content also covered by discipline-specific databases, while Web of Science contributes independent citation-indexed coverage, together capturing the great majority of relevant peer-reviewed literature on this topic. This two-database strategy is acknowledged as a limi</w:t>
      </w:r>
      <w:r w:rsidR="00C2673F">
        <w:rPr>
          <w:rFonts w:ascii="Times New Roman" w:hAnsi="Times New Roman"/>
          <w:lang w:val="en-US" w:eastAsia="en-US" w:bidi="ur-PK"/>
        </w:rPr>
        <w:t>tation of the study (Section 5.7</w:t>
      </w:r>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recognised</w:t>
      </w:r>
      <w:proofErr w:type="spellEnd"/>
      <w:r w:rsidRPr="000F5408">
        <w:rPr>
          <w:rFonts w:ascii="Times New Roman" w:hAnsi="Times New Roman"/>
          <w:lang w:val="en-US" w:eastAsia="en-US" w:bidi="ur-PK"/>
        </w:rPr>
        <w:t xml:space="preserve"> systematic review guidance generally recommends searching three or more databases, including at least one subject-specific biomedical database such as PubMed/MEDLINE or CINAHL, to further reduce the risk that relevant studies indexed uniquely in a third source were missed (</w:t>
      </w:r>
      <w:proofErr w:type="spellStart"/>
      <w:r w:rsidRPr="000F5408">
        <w:rPr>
          <w:rFonts w:ascii="Times New Roman" w:hAnsi="Times New Roman"/>
          <w:lang w:val="en-US" w:eastAsia="en-US" w:bidi="ur-PK"/>
        </w:rPr>
        <w:t>Aromataris</w:t>
      </w:r>
      <w:proofErr w:type="spellEnd"/>
      <w:r w:rsidRPr="000F5408">
        <w:rPr>
          <w:rFonts w:ascii="Times New Roman" w:hAnsi="Times New Roman"/>
          <w:lang w:val="en-US" w:eastAsia="en-US" w:bidi="ur-PK"/>
        </w:rPr>
        <w:t xml:space="preserve"> and Munn, 2020). This limitation is addressed directly, rather than left unstated, so that its likely impact on the completeness of the evidence base can be judged transparently by the reader.</w:t>
      </w:r>
    </w:p>
    <w:p w14:paraId="39A5795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Where relevant, official publications from </w:t>
      </w:r>
      <w:proofErr w:type="spellStart"/>
      <w:r w:rsidRPr="000F5408">
        <w:rPr>
          <w:rFonts w:ascii="Times New Roman" w:hAnsi="Times New Roman"/>
          <w:lang w:val="en-US" w:eastAsia="en-US" w:bidi="ur-PK"/>
        </w:rPr>
        <w:t>recognised</w:t>
      </w:r>
      <w:proofErr w:type="spell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xml:space="preserve"> were also selected to complement the academic literature: the World Health Organization (WHO); NHS England; the Department of Health and Social Care (UK); and the </w:t>
      </w:r>
      <w:proofErr w:type="spellStart"/>
      <w:r w:rsidRPr="000F5408">
        <w:rPr>
          <w:rFonts w:ascii="Times New Roman" w:hAnsi="Times New Roman"/>
          <w:lang w:val="en-US" w:eastAsia="en-US" w:bidi="ur-PK"/>
        </w:rPr>
        <w:t>Organisation</w:t>
      </w:r>
      <w:proofErr w:type="spellEnd"/>
      <w:r w:rsidRPr="000F5408">
        <w:rPr>
          <w:rFonts w:ascii="Times New Roman" w:hAnsi="Times New Roman"/>
          <w:lang w:val="en-US" w:eastAsia="en-US" w:bidi="ur-PK"/>
        </w:rPr>
        <w:t xml:space="preserve"> for Economic Co-operation and Development (OECD). These provide authoritative evidence on digital health strategy, telemedicine policy, and healthcare system development, in addition to peer-reviewed research (WHO, 2022). Only publications with full text available in English were included; editorials, conference abstracts, dissertations, opinion articles, blogs, and unpublished reports were excluded as these typically lack methodological detail or peer review.</w:t>
      </w:r>
    </w:p>
    <w:p w14:paraId="1C2CB4C8"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29" w:name="_Toc239804221"/>
      <w:r w:rsidRPr="000F5408">
        <w:rPr>
          <w:rFonts w:ascii="Times New Roman" w:hAnsi="Times New Roman"/>
          <w:b/>
          <w:bCs/>
          <w:sz w:val="28"/>
          <w:szCs w:val="28"/>
          <w:lang w:val="en-US" w:eastAsia="en-US" w:bidi="ur-PK"/>
        </w:rPr>
        <w:t>3.7 Search Strategy</w:t>
      </w:r>
      <w:bookmarkEnd w:id="29"/>
    </w:p>
    <w:p w14:paraId="7A201CA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 comprehensive search strategy was developed following the PRISMA 2020 Statement (Page et al., 2021) to identify relevant studies on telemedicine adoption and digital health transformation. Searches </w:t>
      </w:r>
      <w:r w:rsidRPr="000F5408">
        <w:rPr>
          <w:rFonts w:ascii="Times New Roman" w:hAnsi="Times New Roman"/>
          <w:lang w:val="en-US" w:eastAsia="en-US" w:bidi="ur-PK"/>
        </w:rPr>
        <w:lastRenderedPageBreak/>
        <w:t>combined keywords, Boolean operators (AND/OR), phrase searching, and database-specific subject-heading searching where applicable.</w:t>
      </w:r>
    </w:p>
    <w:p w14:paraId="3CF7C46D"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Primary search terms: Telemedicine; Telehealth; eHealth; mHealth; Digital Health Transformation; Healthcare Accessibility; United Kingdom; UK; Pakistan; Healthcare System.</w:t>
      </w:r>
    </w:p>
    <w:p w14:paraId="1ECB4B78" w14:textId="77777777" w:rsidR="007C07C6" w:rsidRPr="007C07C6" w:rsidRDefault="000F5408" w:rsidP="007C07C6">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The full Boolean search strings below are reproduced exactly from the Scopus "refine results" export logs generated at the time each search was run, and from the equivalent Web of Science query construction, giving genuine reproducibility rather than a reconstruction from filter labels alone.</w:t>
      </w:r>
      <w:r w:rsidR="00107C73" w:rsidRPr="00107C73">
        <w:t xml:space="preserve"> </w:t>
      </w:r>
      <w:r w:rsidR="007C07C6" w:rsidRPr="007C07C6">
        <w:rPr>
          <w:rFonts w:ascii="Times New Roman" w:hAnsi="Times New Roman"/>
          <w:lang w:eastAsia="en-US" w:bidi="ur-PK"/>
        </w:rPr>
        <w:t>The search was conducted on 30 July 2026 in Scopus and on 2 August 2026 in Web of Science. Publications available up to the date of the final search were eligible for inclusion.</w:t>
      </w:r>
    </w:p>
    <w:p w14:paraId="08376563" w14:textId="0D929AEA" w:rsidR="000F5408" w:rsidRPr="00107C73" w:rsidRDefault="000F5408" w:rsidP="000A36FE">
      <w:pPr>
        <w:spacing w:after="200" w:line="360" w:lineRule="auto"/>
        <w:jc w:val="both"/>
        <w:rPr>
          <w:rFonts w:ascii="Times New Roman" w:hAnsi="Times New Roman"/>
          <w:lang w:val="en-US" w:eastAsia="en-US" w:bidi="ur-PK"/>
        </w:rPr>
      </w:pPr>
    </w:p>
    <w:p w14:paraId="50394DFF"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lang w:val="en-US" w:eastAsia="en-US" w:bidi="ur-PK"/>
        </w:rPr>
        <w:t xml:space="preserve">Scopus (UK) — exact query, </w:t>
      </w:r>
    </w:p>
    <w:p w14:paraId="417210F8" w14:textId="5AF118E6" w:rsidR="000F5408" w:rsidRPr="000F5408" w:rsidRDefault="000F5408" w:rsidP="000F5408">
      <w:pPr>
        <w:shd w:val="clear" w:color="auto" w:fill="F2F2F2"/>
        <w:spacing w:after="200" w:line="300" w:lineRule="auto"/>
        <w:rPr>
          <w:rFonts w:ascii="Times New Roman" w:hAnsi="Times New Roman"/>
          <w:sz w:val="20"/>
          <w:szCs w:val="20"/>
          <w:lang w:val="en-US" w:eastAsia="en-US" w:bidi="ur-PK"/>
        </w:rPr>
      </w:pPr>
      <w:r w:rsidRPr="000F5408">
        <w:rPr>
          <w:rFonts w:ascii="Courier New" w:eastAsia="Courier New" w:hAnsi="Courier New" w:cs="Courier New"/>
          <w:sz w:val="20"/>
          <w:szCs w:val="20"/>
          <w:lang w:val="en-US" w:eastAsia="en-US" w:bidi="ur-PK"/>
        </w:rPr>
        <w:t xml:space="preserve">(( telemedicine OR telehealth OR "digital health" OR "remote consultation" OR "virtual care" OR </w:t>
      </w:r>
      <w:proofErr w:type="spellStart"/>
      <w:r w:rsidRPr="000F5408">
        <w:rPr>
          <w:rFonts w:ascii="Courier New" w:eastAsia="Courier New" w:hAnsi="Courier New" w:cs="Courier New"/>
          <w:sz w:val="20"/>
          <w:szCs w:val="20"/>
          <w:lang w:val="en-US" w:eastAsia="en-US" w:bidi="ur-PK"/>
        </w:rPr>
        <w:t>ehealth</w:t>
      </w:r>
      <w:proofErr w:type="spellEnd"/>
      <w:r w:rsidRPr="000F5408">
        <w:rPr>
          <w:rFonts w:ascii="Courier New" w:eastAsia="Courier New" w:hAnsi="Courier New" w:cs="Courier New"/>
          <w:sz w:val="20"/>
          <w:szCs w:val="20"/>
          <w:lang w:val="en-US" w:eastAsia="en-US" w:bidi="ur-PK"/>
        </w:rPr>
        <w:t xml:space="preserve"> ) AND ( "united kingdom" OR </w:t>
      </w:r>
      <w:proofErr w:type="spellStart"/>
      <w:r w:rsidRPr="000F5408">
        <w:rPr>
          <w:rFonts w:ascii="Courier New" w:eastAsia="Courier New" w:hAnsi="Courier New" w:cs="Courier New"/>
          <w:sz w:val="20"/>
          <w:szCs w:val="20"/>
          <w:lang w:val="en-US" w:eastAsia="en-US" w:bidi="ur-PK"/>
        </w:rPr>
        <w:t>nhs</w:t>
      </w:r>
      <w:proofErr w:type="spellEnd"/>
      <w:r w:rsidRPr="000F5408">
        <w:rPr>
          <w:rFonts w:ascii="Courier New" w:eastAsia="Courier New" w:hAnsi="Courier New" w:cs="Courier New"/>
          <w:sz w:val="20"/>
          <w:szCs w:val="20"/>
          <w:lang w:val="en-US" w:eastAsia="en-US" w:bidi="ur-PK"/>
        </w:rPr>
        <w:t xml:space="preserve"> OR </w:t>
      </w:r>
      <w:proofErr w:type="spellStart"/>
      <w:r w:rsidRPr="000F5408">
        <w:rPr>
          <w:rFonts w:ascii="Courier New" w:eastAsia="Courier New" w:hAnsi="Courier New" w:cs="Courier New"/>
          <w:sz w:val="20"/>
          <w:szCs w:val="20"/>
          <w:lang w:val="en-US" w:eastAsia="en-US" w:bidi="ur-PK"/>
        </w:rPr>
        <w:t>england</w:t>
      </w:r>
      <w:proofErr w:type="spellEnd"/>
      <w:r w:rsidRPr="000F5408">
        <w:rPr>
          <w:rFonts w:ascii="Courier New" w:eastAsia="Courier New" w:hAnsi="Courier New" w:cs="Courier New"/>
          <w:sz w:val="20"/>
          <w:szCs w:val="20"/>
          <w:lang w:val="en-US" w:eastAsia="en-US" w:bidi="ur-PK"/>
        </w:rPr>
        <w:t xml:space="preserve"> ) AND ( adoption OR implementation OR acceptance ) AND P</w:t>
      </w:r>
      <w:r w:rsidR="007C4C6A">
        <w:rPr>
          <w:rFonts w:ascii="Courier New" w:eastAsia="Courier New" w:hAnsi="Courier New" w:cs="Courier New"/>
          <w:sz w:val="20"/>
          <w:szCs w:val="20"/>
          <w:lang w:val="en-US" w:eastAsia="en-US" w:bidi="ur-PK"/>
        </w:rPr>
        <w:t>UBYEAR &gt; 2017 AND PUBYEAR &lt; 2027</w:t>
      </w:r>
      <w:r w:rsidRPr="000F5408">
        <w:rPr>
          <w:rFonts w:ascii="Courier New" w:eastAsia="Courier New" w:hAnsi="Courier New" w:cs="Courier New"/>
          <w:sz w:val="20"/>
          <w:szCs w:val="20"/>
          <w:lang w:val="en-US" w:eastAsia="en-US" w:bidi="ur-PK"/>
        </w:rPr>
        <w:t xml:space="preserve"> AND ( LIMIT-TO ( </w:t>
      </w:r>
      <w:proofErr w:type="spellStart"/>
      <w:r w:rsidRPr="000F5408">
        <w:rPr>
          <w:rFonts w:ascii="Courier New" w:eastAsia="Courier New" w:hAnsi="Courier New" w:cs="Courier New"/>
          <w:sz w:val="20"/>
          <w:szCs w:val="20"/>
          <w:lang w:val="en-US" w:eastAsia="en-US" w:bidi="ur-PK"/>
        </w:rPr>
        <w:t>AFFILCOUNTRY,"United</w:t>
      </w:r>
      <w:proofErr w:type="spellEnd"/>
      <w:r w:rsidRPr="000F5408">
        <w:rPr>
          <w:rFonts w:ascii="Courier New" w:eastAsia="Courier New" w:hAnsi="Courier New" w:cs="Courier New"/>
          <w:sz w:val="20"/>
          <w:szCs w:val="20"/>
          <w:lang w:val="en-US" w:eastAsia="en-US" w:bidi="ur-PK"/>
        </w:rPr>
        <w:t xml:space="preserve"> Kingdom" ) ) AND ( LIMIT-TO ( </w:t>
      </w:r>
      <w:proofErr w:type="spellStart"/>
      <w:r w:rsidRPr="000F5408">
        <w:rPr>
          <w:rFonts w:ascii="Courier New" w:eastAsia="Courier New" w:hAnsi="Courier New" w:cs="Courier New"/>
          <w:sz w:val="20"/>
          <w:szCs w:val="20"/>
          <w:lang w:val="en-US" w:eastAsia="en-US" w:bidi="ur-PK"/>
        </w:rPr>
        <w:t>EXACTKEYWORD,"Telemedicine</w:t>
      </w:r>
      <w:proofErr w:type="spellEnd"/>
      <w:r w:rsidRPr="000F5408">
        <w:rPr>
          <w:rFonts w:ascii="Courier New" w:eastAsia="Courier New" w:hAnsi="Courier New" w:cs="Courier New"/>
          <w:sz w:val="20"/>
          <w:szCs w:val="20"/>
          <w:lang w:val="en-US" w:eastAsia="en-US" w:bidi="ur-PK"/>
        </w:rPr>
        <w:t xml:space="preserve">" ) OR LIMIT-TO ( </w:t>
      </w:r>
      <w:proofErr w:type="spellStart"/>
      <w:r w:rsidRPr="000F5408">
        <w:rPr>
          <w:rFonts w:ascii="Courier New" w:eastAsia="Courier New" w:hAnsi="Courier New" w:cs="Courier New"/>
          <w:sz w:val="20"/>
          <w:szCs w:val="20"/>
          <w:lang w:val="en-US" w:eastAsia="en-US" w:bidi="ur-PK"/>
        </w:rPr>
        <w:t>EXACTKEYWORD,"Telehealth</w:t>
      </w:r>
      <w:proofErr w:type="spellEnd"/>
      <w:r w:rsidRPr="000F5408">
        <w:rPr>
          <w:rFonts w:ascii="Courier New" w:eastAsia="Courier New" w:hAnsi="Courier New" w:cs="Courier New"/>
          <w:sz w:val="20"/>
          <w:szCs w:val="20"/>
          <w:lang w:val="en-US" w:eastAsia="en-US" w:bidi="ur-PK"/>
        </w:rPr>
        <w:t>" ) OR LIMIT-TO ( EXACTKEYWORD,"</w:t>
      </w:r>
      <w:proofErr w:type="spellStart"/>
      <w:r w:rsidRPr="000F5408">
        <w:rPr>
          <w:rFonts w:ascii="Courier New" w:eastAsia="Courier New" w:hAnsi="Courier New" w:cs="Courier New"/>
          <w:sz w:val="20"/>
          <w:szCs w:val="20"/>
          <w:lang w:val="en-US" w:eastAsia="en-US" w:bidi="ur-PK"/>
        </w:rPr>
        <w:t>Mhealth</w:t>
      </w:r>
      <w:proofErr w:type="spellEnd"/>
      <w:r w:rsidRPr="000F5408">
        <w:rPr>
          <w:rFonts w:ascii="Courier New" w:eastAsia="Courier New" w:hAnsi="Courier New" w:cs="Courier New"/>
          <w:sz w:val="20"/>
          <w:szCs w:val="20"/>
          <w:lang w:val="en-US" w:eastAsia="en-US" w:bidi="ur-PK"/>
        </w:rPr>
        <w:t>" ) OR LIMIT-TO ( EXACTKEYWORD,"</w:t>
      </w:r>
      <w:proofErr w:type="spellStart"/>
      <w:r w:rsidRPr="000F5408">
        <w:rPr>
          <w:rFonts w:ascii="Courier New" w:eastAsia="Courier New" w:hAnsi="Courier New" w:cs="Courier New"/>
          <w:sz w:val="20"/>
          <w:szCs w:val="20"/>
          <w:lang w:val="en-US" w:eastAsia="en-US" w:bidi="ur-PK"/>
        </w:rPr>
        <w:t>Ehealth</w:t>
      </w:r>
      <w:proofErr w:type="spellEnd"/>
      <w:r w:rsidRPr="000F5408">
        <w:rPr>
          <w:rFonts w:ascii="Courier New" w:eastAsia="Courier New" w:hAnsi="Courier New" w:cs="Courier New"/>
          <w:sz w:val="20"/>
          <w:szCs w:val="20"/>
          <w:lang w:val="en-US" w:eastAsia="en-US" w:bidi="ur-PK"/>
        </w:rPr>
        <w:t xml:space="preserve">" ) OR LIMIT-TO ( </w:t>
      </w:r>
      <w:proofErr w:type="spellStart"/>
      <w:r w:rsidRPr="000F5408">
        <w:rPr>
          <w:rFonts w:ascii="Courier New" w:eastAsia="Courier New" w:hAnsi="Courier New" w:cs="Courier New"/>
          <w:sz w:val="20"/>
          <w:szCs w:val="20"/>
          <w:lang w:val="en-US" w:eastAsia="en-US" w:bidi="ur-PK"/>
        </w:rPr>
        <w:t>EXACTKEYWORD,"Digital</w:t>
      </w:r>
      <w:proofErr w:type="spellEnd"/>
      <w:r w:rsidRPr="000F5408">
        <w:rPr>
          <w:rFonts w:ascii="Courier New" w:eastAsia="Courier New" w:hAnsi="Courier New" w:cs="Courier New"/>
          <w:sz w:val="20"/>
          <w:szCs w:val="20"/>
          <w:lang w:val="en-US" w:eastAsia="en-US" w:bidi="ur-PK"/>
        </w:rPr>
        <w:t xml:space="preserve"> Health" ) ) AND ( LIMIT-TO ( SUBJAREA,"HEAL" ) ) AND ( LIMIT-TO ( DOCTYPE,"</w:t>
      </w:r>
      <w:proofErr w:type="spellStart"/>
      <w:r w:rsidRPr="000F5408">
        <w:rPr>
          <w:rFonts w:ascii="Courier New" w:eastAsia="Courier New" w:hAnsi="Courier New" w:cs="Courier New"/>
          <w:sz w:val="20"/>
          <w:szCs w:val="20"/>
          <w:lang w:val="en-US" w:eastAsia="en-US" w:bidi="ur-PK"/>
        </w:rPr>
        <w:t>ar</w:t>
      </w:r>
      <w:proofErr w:type="spellEnd"/>
      <w:r w:rsidRPr="000F5408">
        <w:rPr>
          <w:rFonts w:ascii="Courier New" w:eastAsia="Courier New" w:hAnsi="Courier New" w:cs="Courier New"/>
          <w:sz w:val="20"/>
          <w:szCs w:val="20"/>
          <w:lang w:val="en-US" w:eastAsia="en-US" w:bidi="ur-PK"/>
        </w:rPr>
        <w:t xml:space="preserve">" ) ) AND ( LIMIT-TO ( </w:t>
      </w:r>
      <w:proofErr w:type="spellStart"/>
      <w:r w:rsidRPr="000F5408">
        <w:rPr>
          <w:rFonts w:ascii="Courier New" w:eastAsia="Courier New" w:hAnsi="Courier New" w:cs="Courier New"/>
          <w:sz w:val="20"/>
          <w:szCs w:val="20"/>
          <w:lang w:val="en-US" w:eastAsia="en-US" w:bidi="ur-PK"/>
        </w:rPr>
        <w:t>LANGUAGE,"English</w:t>
      </w:r>
      <w:proofErr w:type="spellEnd"/>
      <w:r w:rsidRPr="000F5408">
        <w:rPr>
          <w:rFonts w:ascii="Courier New" w:eastAsia="Courier New" w:hAnsi="Courier New" w:cs="Courier New"/>
          <w:sz w:val="20"/>
          <w:szCs w:val="20"/>
          <w:lang w:val="en-US" w:eastAsia="en-US" w:bidi="ur-PK"/>
        </w:rPr>
        <w:t xml:space="preserve">" ) ) AND ( LIMIT-TO ( </w:t>
      </w:r>
      <w:proofErr w:type="spellStart"/>
      <w:r w:rsidRPr="000F5408">
        <w:rPr>
          <w:rFonts w:ascii="Courier New" w:eastAsia="Courier New" w:hAnsi="Courier New" w:cs="Courier New"/>
          <w:sz w:val="20"/>
          <w:szCs w:val="20"/>
          <w:lang w:val="en-US" w:eastAsia="en-US" w:bidi="ur-PK"/>
        </w:rPr>
        <w:t>OA,"all</w:t>
      </w:r>
      <w:proofErr w:type="spellEnd"/>
      <w:r w:rsidRPr="000F5408">
        <w:rPr>
          <w:rFonts w:ascii="Courier New" w:eastAsia="Courier New" w:hAnsi="Courier New" w:cs="Courier New"/>
          <w:sz w:val="20"/>
          <w:szCs w:val="20"/>
          <w:lang w:val="en-US" w:eastAsia="en-US" w:bidi="ur-PK"/>
        </w:rPr>
        <w:t xml:space="preserve">" ) ) AND ( LIMIT-TO ( </w:t>
      </w:r>
      <w:proofErr w:type="spellStart"/>
      <w:r w:rsidRPr="000F5408">
        <w:rPr>
          <w:rFonts w:ascii="Courier New" w:eastAsia="Courier New" w:hAnsi="Courier New" w:cs="Courier New"/>
          <w:sz w:val="20"/>
          <w:szCs w:val="20"/>
          <w:lang w:val="en-US" w:eastAsia="en-US" w:bidi="ur-PK"/>
        </w:rPr>
        <w:t>PUBSTAGE,"final</w:t>
      </w:r>
      <w:proofErr w:type="spellEnd"/>
      <w:r w:rsidRPr="000F5408">
        <w:rPr>
          <w:rFonts w:ascii="Courier New" w:eastAsia="Courier New" w:hAnsi="Courier New" w:cs="Courier New"/>
          <w:sz w:val="20"/>
          <w:szCs w:val="20"/>
          <w:lang w:val="en-US" w:eastAsia="en-US" w:bidi="ur-PK"/>
        </w:rPr>
        <w:t>" ) ))</w:t>
      </w:r>
    </w:p>
    <w:p w14:paraId="5001D20F"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lang w:val="en-US" w:eastAsia="en-US" w:bidi="ur-PK"/>
        </w:rPr>
        <w:t xml:space="preserve">Scopus (Pakistan) — exact query, </w:t>
      </w:r>
    </w:p>
    <w:p w14:paraId="70E46CBA" w14:textId="004D6257" w:rsidR="000F5408" w:rsidRPr="000F5408" w:rsidRDefault="000F5408" w:rsidP="000F5408">
      <w:pPr>
        <w:shd w:val="clear" w:color="auto" w:fill="F2F2F2"/>
        <w:spacing w:after="200" w:line="300" w:lineRule="auto"/>
        <w:rPr>
          <w:rFonts w:ascii="Times New Roman" w:hAnsi="Times New Roman"/>
          <w:sz w:val="20"/>
          <w:szCs w:val="20"/>
          <w:lang w:val="en-US" w:eastAsia="en-US" w:bidi="ur-PK"/>
        </w:rPr>
      </w:pPr>
      <w:r w:rsidRPr="000F5408">
        <w:rPr>
          <w:rFonts w:ascii="Courier New" w:eastAsia="Courier New" w:hAnsi="Courier New" w:cs="Courier New"/>
          <w:sz w:val="20"/>
          <w:szCs w:val="20"/>
          <w:lang w:val="en-US" w:eastAsia="en-US" w:bidi="ur-PK"/>
        </w:rPr>
        <w:t xml:space="preserve">((( telemedicine OR telehealth OR "digital health" OR </w:t>
      </w:r>
      <w:proofErr w:type="spellStart"/>
      <w:r w:rsidRPr="000F5408">
        <w:rPr>
          <w:rFonts w:ascii="Courier New" w:eastAsia="Courier New" w:hAnsi="Courier New" w:cs="Courier New"/>
          <w:sz w:val="20"/>
          <w:szCs w:val="20"/>
          <w:lang w:val="en-US" w:eastAsia="en-US" w:bidi="ur-PK"/>
        </w:rPr>
        <w:t>ehealth</w:t>
      </w:r>
      <w:proofErr w:type="spellEnd"/>
      <w:r w:rsidRPr="000F5408">
        <w:rPr>
          <w:rFonts w:ascii="Courier New" w:eastAsia="Courier New" w:hAnsi="Courier New" w:cs="Courier New"/>
          <w:sz w:val="20"/>
          <w:szCs w:val="20"/>
          <w:lang w:val="en-US" w:eastAsia="en-US" w:bidi="ur-PK"/>
        </w:rPr>
        <w:t xml:space="preserve"> ) AND ( </w:t>
      </w:r>
      <w:proofErr w:type="spellStart"/>
      <w:r w:rsidRPr="000F5408">
        <w:rPr>
          <w:rFonts w:ascii="Courier New" w:eastAsia="Courier New" w:hAnsi="Courier New" w:cs="Courier New"/>
          <w:sz w:val="20"/>
          <w:szCs w:val="20"/>
          <w:lang w:val="en-US" w:eastAsia="en-US" w:bidi="ur-PK"/>
        </w:rPr>
        <w:t>pakistan</w:t>
      </w:r>
      <w:proofErr w:type="spellEnd"/>
      <w:r w:rsidRPr="000F5408">
        <w:rPr>
          <w:rFonts w:ascii="Courier New" w:eastAsia="Courier New" w:hAnsi="Courier New" w:cs="Courier New"/>
          <w:sz w:val="20"/>
          <w:szCs w:val="20"/>
          <w:lang w:val="en-US" w:eastAsia="en-US" w:bidi="ur-PK"/>
        </w:rPr>
        <w:t xml:space="preserve"> ) AND ( adoption OR implementation OR acceptance OR barriers ) AND P</w:t>
      </w:r>
      <w:r w:rsidR="007C4C6A">
        <w:rPr>
          <w:rFonts w:ascii="Courier New" w:eastAsia="Courier New" w:hAnsi="Courier New" w:cs="Courier New"/>
          <w:sz w:val="20"/>
          <w:szCs w:val="20"/>
          <w:lang w:val="en-US" w:eastAsia="en-US" w:bidi="ur-PK"/>
        </w:rPr>
        <w:t>UBYEAR &gt; 2017 AND PUBYEAR &lt; 2027</w:t>
      </w:r>
      <w:r w:rsidRPr="000F5408">
        <w:rPr>
          <w:rFonts w:ascii="Courier New" w:eastAsia="Courier New" w:hAnsi="Courier New" w:cs="Courier New"/>
          <w:sz w:val="20"/>
          <w:szCs w:val="20"/>
          <w:lang w:val="en-US" w:eastAsia="en-US" w:bidi="ur-PK"/>
        </w:rPr>
        <w:t xml:space="preserve">) AND ( LIMIT-TO ( </w:t>
      </w:r>
      <w:proofErr w:type="spellStart"/>
      <w:r w:rsidRPr="000F5408">
        <w:rPr>
          <w:rFonts w:ascii="Courier New" w:eastAsia="Courier New" w:hAnsi="Courier New" w:cs="Courier New"/>
          <w:sz w:val="20"/>
          <w:szCs w:val="20"/>
          <w:lang w:val="en-US" w:eastAsia="en-US" w:bidi="ur-PK"/>
        </w:rPr>
        <w:t>AFFILCOUNTRY,"Pakistan</w:t>
      </w:r>
      <w:proofErr w:type="spellEnd"/>
      <w:r w:rsidRPr="000F5408">
        <w:rPr>
          <w:rFonts w:ascii="Courier New" w:eastAsia="Courier New" w:hAnsi="Courier New" w:cs="Courier New"/>
          <w:sz w:val="20"/>
          <w:szCs w:val="20"/>
          <w:lang w:val="en-US" w:eastAsia="en-US" w:bidi="ur-PK"/>
        </w:rPr>
        <w:t xml:space="preserve">" ) ) AND ( LIMIT-TO ( </w:t>
      </w:r>
      <w:proofErr w:type="spellStart"/>
      <w:r w:rsidRPr="000F5408">
        <w:rPr>
          <w:rFonts w:ascii="Courier New" w:eastAsia="Courier New" w:hAnsi="Courier New" w:cs="Courier New"/>
          <w:sz w:val="20"/>
          <w:szCs w:val="20"/>
          <w:lang w:val="en-US" w:eastAsia="en-US" w:bidi="ur-PK"/>
        </w:rPr>
        <w:t>EXACTKEYWORD,"Telemedicine</w:t>
      </w:r>
      <w:proofErr w:type="spellEnd"/>
      <w:r w:rsidRPr="000F5408">
        <w:rPr>
          <w:rFonts w:ascii="Courier New" w:eastAsia="Courier New" w:hAnsi="Courier New" w:cs="Courier New"/>
          <w:sz w:val="20"/>
          <w:szCs w:val="20"/>
          <w:lang w:val="en-US" w:eastAsia="en-US" w:bidi="ur-PK"/>
        </w:rPr>
        <w:t xml:space="preserve">" ) OR LIMIT-TO ( </w:t>
      </w:r>
      <w:proofErr w:type="spellStart"/>
      <w:r w:rsidRPr="000F5408">
        <w:rPr>
          <w:rFonts w:ascii="Courier New" w:eastAsia="Courier New" w:hAnsi="Courier New" w:cs="Courier New"/>
          <w:sz w:val="20"/>
          <w:szCs w:val="20"/>
          <w:lang w:val="en-US" w:eastAsia="en-US" w:bidi="ur-PK"/>
        </w:rPr>
        <w:t>EXACTKEYWORD,"Telehealth</w:t>
      </w:r>
      <w:proofErr w:type="spellEnd"/>
      <w:r w:rsidRPr="000F5408">
        <w:rPr>
          <w:rFonts w:ascii="Courier New" w:eastAsia="Courier New" w:hAnsi="Courier New" w:cs="Courier New"/>
          <w:sz w:val="20"/>
          <w:szCs w:val="20"/>
          <w:lang w:val="en-US" w:eastAsia="en-US" w:bidi="ur-PK"/>
        </w:rPr>
        <w:t>" ) OR LIMIT-TO ( EXACTKEYWORD,"</w:t>
      </w:r>
      <w:proofErr w:type="spellStart"/>
      <w:r w:rsidRPr="000F5408">
        <w:rPr>
          <w:rFonts w:ascii="Courier New" w:eastAsia="Courier New" w:hAnsi="Courier New" w:cs="Courier New"/>
          <w:sz w:val="20"/>
          <w:szCs w:val="20"/>
          <w:lang w:val="en-US" w:eastAsia="en-US" w:bidi="ur-PK"/>
        </w:rPr>
        <w:t>Mhealth</w:t>
      </w:r>
      <w:proofErr w:type="spellEnd"/>
      <w:r w:rsidRPr="000F5408">
        <w:rPr>
          <w:rFonts w:ascii="Courier New" w:eastAsia="Courier New" w:hAnsi="Courier New" w:cs="Courier New"/>
          <w:sz w:val="20"/>
          <w:szCs w:val="20"/>
          <w:lang w:val="en-US" w:eastAsia="en-US" w:bidi="ur-PK"/>
        </w:rPr>
        <w:t>" ) OR LIMIT-TO ( EXACTKEYWORD,"</w:t>
      </w:r>
      <w:proofErr w:type="spellStart"/>
      <w:r w:rsidRPr="000F5408">
        <w:rPr>
          <w:rFonts w:ascii="Courier New" w:eastAsia="Courier New" w:hAnsi="Courier New" w:cs="Courier New"/>
          <w:sz w:val="20"/>
          <w:szCs w:val="20"/>
          <w:lang w:val="en-US" w:eastAsia="en-US" w:bidi="ur-PK"/>
        </w:rPr>
        <w:t>Ehealth</w:t>
      </w:r>
      <w:proofErr w:type="spellEnd"/>
      <w:r w:rsidRPr="000F5408">
        <w:rPr>
          <w:rFonts w:ascii="Courier New" w:eastAsia="Courier New" w:hAnsi="Courier New" w:cs="Courier New"/>
          <w:sz w:val="20"/>
          <w:szCs w:val="20"/>
          <w:lang w:val="en-US" w:eastAsia="en-US" w:bidi="ur-PK"/>
        </w:rPr>
        <w:t xml:space="preserve">" ) OR LIMIT-TO ( </w:t>
      </w:r>
      <w:proofErr w:type="spellStart"/>
      <w:r w:rsidRPr="000F5408">
        <w:rPr>
          <w:rFonts w:ascii="Courier New" w:eastAsia="Courier New" w:hAnsi="Courier New" w:cs="Courier New"/>
          <w:sz w:val="20"/>
          <w:szCs w:val="20"/>
          <w:lang w:val="en-US" w:eastAsia="en-US" w:bidi="ur-PK"/>
        </w:rPr>
        <w:t>EXACTKEYWORD,"Digital</w:t>
      </w:r>
      <w:proofErr w:type="spellEnd"/>
      <w:r w:rsidRPr="000F5408">
        <w:rPr>
          <w:rFonts w:ascii="Courier New" w:eastAsia="Courier New" w:hAnsi="Courier New" w:cs="Courier New"/>
          <w:sz w:val="20"/>
          <w:szCs w:val="20"/>
          <w:lang w:val="en-US" w:eastAsia="en-US" w:bidi="ur-PK"/>
        </w:rPr>
        <w:t xml:space="preserve"> Health" ) ) AND ( LIMIT-TO ( DOCTYPE,"</w:t>
      </w:r>
      <w:proofErr w:type="spellStart"/>
      <w:r w:rsidRPr="000F5408">
        <w:rPr>
          <w:rFonts w:ascii="Courier New" w:eastAsia="Courier New" w:hAnsi="Courier New" w:cs="Courier New"/>
          <w:sz w:val="20"/>
          <w:szCs w:val="20"/>
          <w:lang w:val="en-US" w:eastAsia="en-US" w:bidi="ur-PK"/>
        </w:rPr>
        <w:t>ar</w:t>
      </w:r>
      <w:proofErr w:type="spellEnd"/>
      <w:r w:rsidRPr="000F5408">
        <w:rPr>
          <w:rFonts w:ascii="Courier New" w:eastAsia="Courier New" w:hAnsi="Courier New" w:cs="Courier New"/>
          <w:sz w:val="20"/>
          <w:szCs w:val="20"/>
          <w:lang w:val="en-US" w:eastAsia="en-US" w:bidi="ur-PK"/>
        </w:rPr>
        <w:t xml:space="preserve">" ) ) AND ( LIMIT-TO ( SUBJAREA,"HEAL" ) ) AND ( LIMIT-TO ( </w:t>
      </w:r>
      <w:proofErr w:type="spellStart"/>
      <w:r w:rsidRPr="000F5408">
        <w:rPr>
          <w:rFonts w:ascii="Courier New" w:eastAsia="Courier New" w:hAnsi="Courier New" w:cs="Courier New"/>
          <w:sz w:val="20"/>
          <w:szCs w:val="20"/>
          <w:lang w:val="en-US" w:eastAsia="en-US" w:bidi="ur-PK"/>
        </w:rPr>
        <w:t>LANGUAGE,"English</w:t>
      </w:r>
      <w:proofErr w:type="spellEnd"/>
      <w:r w:rsidRPr="000F5408">
        <w:rPr>
          <w:rFonts w:ascii="Courier New" w:eastAsia="Courier New" w:hAnsi="Courier New" w:cs="Courier New"/>
          <w:sz w:val="20"/>
          <w:szCs w:val="20"/>
          <w:lang w:val="en-US" w:eastAsia="en-US" w:bidi="ur-PK"/>
        </w:rPr>
        <w:t xml:space="preserve">" ) ) AND ( LIMIT-TO ( </w:t>
      </w:r>
      <w:proofErr w:type="spellStart"/>
      <w:r w:rsidRPr="000F5408">
        <w:rPr>
          <w:rFonts w:ascii="Courier New" w:eastAsia="Courier New" w:hAnsi="Courier New" w:cs="Courier New"/>
          <w:sz w:val="20"/>
          <w:szCs w:val="20"/>
          <w:lang w:val="en-US" w:eastAsia="en-US" w:bidi="ur-PK"/>
        </w:rPr>
        <w:t>OA,"all</w:t>
      </w:r>
      <w:proofErr w:type="spellEnd"/>
      <w:r w:rsidRPr="000F5408">
        <w:rPr>
          <w:rFonts w:ascii="Courier New" w:eastAsia="Courier New" w:hAnsi="Courier New" w:cs="Courier New"/>
          <w:sz w:val="20"/>
          <w:szCs w:val="20"/>
          <w:lang w:val="en-US" w:eastAsia="en-US" w:bidi="ur-PK"/>
        </w:rPr>
        <w:t>" ) ))</w:t>
      </w:r>
    </w:p>
    <w:p w14:paraId="062C0F4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Note the UK and Pakistan Scopus queries differ slightly in their free-text search terms (the UK query adds "remote consultation" OR "virtual care" and restricts to NHS/England/UK; the Pakistan query adds "barriers" as an adoption-related term) — both apply the same EXACTKEYWORD, subject area, document type, language, and open-access filters, and both are restricted to health-related subject areas and articles only, consistent with Table 3.1's eligibility criteria.</w:t>
      </w:r>
    </w:p>
    <w:p w14:paraId="63524232"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lang w:val="en-US" w:eastAsia="en-US" w:bidi="ur-PK"/>
        </w:rPr>
        <w:t>Web of Science (UK)</w:t>
      </w:r>
    </w:p>
    <w:p w14:paraId="65C27598" w14:textId="697D6A59" w:rsidR="000F5408" w:rsidRPr="000F5408" w:rsidRDefault="000F5408" w:rsidP="000F5408">
      <w:pPr>
        <w:shd w:val="clear" w:color="auto" w:fill="F2F2F2"/>
        <w:spacing w:after="200" w:line="300" w:lineRule="auto"/>
        <w:rPr>
          <w:rFonts w:ascii="Times New Roman" w:hAnsi="Times New Roman"/>
          <w:sz w:val="20"/>
          <w:szCs w:val="20"/>
          <w:lang w:val="en-US" w:eastAsia="en-US" w:bidi="ur-PK"/>
        </w:rPr>
      </w:pPr>
      <w:r w:rsidRPr="000F5408">
        <w:rPr>
          <w:rFonts w:ascii="Courier New" w:eastAsia="Courier New" w:hAnsi="Courier New" w:cs="Courier New"/>
          <w:sz w:val="20"/>
          <w:szCs w:val="20"/>
          <w:lang w:val="en-US" w:eastAsia="en-US" w:bidi="ur-PK"/>
        </w:rPr>
        <w:t>TS</w:t>
      </w:r>
      <w:proofErr w:type="gramStart"/>
      <w:r w:rsidRPr="000F5408">
        <w:rPr>
          <w:rFonts w:ascii="Courier New" w:eastAsia="Courier New" w:hAnsi="Courier New" w:cs="Courier New"/>
          <w:sz w:val="20"/>
          <w:szCs w:val="20"/>
          <w:lang w:val="en-US" w:eastAsia="en-US" w:bidi="ur-PK"/>
        </w:rPr>
        <w:t>=(</w:t>
      </w:r>
      <w:proofErr w:type="gramEnd"/>
      <w:r w:rsidRPr="000F5408">
        <w:rPr>
          <w:rFonts w:ascii="Courier New" w:eastAsia="Courier New" w:hAnsi="Courier New" w:cs="Courier New"/>
          <w:sz w:val="20"/>
          <w:szCs w:val="20"/>
          <w:lang w:val="en-US" w:eastAsia="en-US" w:bidi="ur-PK"/>
        </w:rPr>
        <w:t xml:space="preserve">telemedicine OR telehealth OR </w:t>
      </w:r>
      <w:proofErr w:type="spellStart"/>
      <w:r w:rsidRPr="000F5408">
        <w:rPr>
          <w:rFonts w:ascii="Courier New" w:eastAsia="Courier New" w:hAnsi="Courier New" w:cs="Courier New"/>
          <w:sz w:val="20"/>
          <w:szCs w:val="20"/>
          <w:lang w:val="en-US" w:eastAsia="en-US" w:bidi="ur-PK"/>
        </w:rPr>
        <w:t>mhealth</w:t>
      </w:r>
      <w:proofErr w:type="spellEnd"/>
      <w:r w:rsidRPr="000F5408">
        <w:rPr>
          <w:rFonts w:ascii="Courier New" w:eastAsia="Courier New" w:hAnsi="Courier New" w:cs="Courier New"/>
          <w:sz w:val="20"/>
          <w:szCs w:val="20"/>
          <w:lang w:val="en-US" w:eastAsia="en-US" w:bidi="ur-PK"/>
        </w:rPr>
        <w:t xml:space="preserve"> OR </w:t>
      </w:r>
      <w:proofErr w:type="spellStart"/>
      <w:r w:rsidRPr="000F5408">
        <w:rPr>
          <w:rFonts w:ascii="Courier New" w:eastAsia="Courier New" w:hAnsi="Courier New" w:cs="Courier New"/>
          <w:sz w:val="20"/>
          <w:szCs w:val="20"/>
          <w:lang w:val="en-US" w:eastAsia="en-US" w:bidi="ur-PK"/>
        </w:rPr>
        <w:t>ehealth</w:t>
      </w:r>
      <w:proofErr w:type="spellEnd"/>
      <w:r w:rsidRPr="000F5408">
        <w:rPr>
          <w:rFonts w:ascii="Courier New" w:eastAsia="Courier New" w:hAnsi="Courier New" w:cs="Courier New"/>
          <w:sz w:val="20"/>
          <w:szCs w:val="20"/>
          <w:lang w:val="en-US" w:eastAsia="en-US" w:bidi="ur-PK"/>
        </w:rPr>
        <w:t xml:space="preserve"> OR "digital health") AND WC=(Medicine OR "Health Care Sciences &amp; Services" OR "Public, Environmental &amp; Occupational Health") AND CU=(U</w:t>
      </w:r>
      <w:r w:rsidR="007C4C6A">
        <w:rPr>
          <w:rFonts w:ascii="Courier New" w:eastAsia="Courier New" w:hAnsi="Courier New" w:cs="Courier New"/>
          <w:sz w:val="20"/>
          <w:szCs w:val="20"/>
          <w:lang w:val="en-US" w:eastAsia="en-US" w:bidi="ur-PK"/>
        </w:rPr>
        <w:t>nited Kingdom) AND PY=(2018-2026</w:t>
      </w:r>
      <w:r w:rsidRPr="000F5408">
        <w:rPr>
          <w:rFonts w:ascii="Courier New" w:eastAsia="Courier New" w:hAnsi="Courier New" w:cs="Courier New"/>
          <w:sz w:val="20"/>
          <w:szCs w:val="20"/>
          <w:lang w:val="en-US" w:eastAsia="en-US" w:bidi="ur-PK"/>
        </w:rPr>
        <w:t>) AND LA=(English) AND DT=(Article)</w:t>
      </w:r>
    </w:p>
    <w:p w14:paraId="7026249A"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lang w:val="en-US" w:eastAsia="en-US" w:bidi="ur-PK"/>
        </w:rPr>
        <w:lastRenderedPageBreak/>
        <w:t>Web of Science (Pakistan)</w:t>
      </w:r>
    </w:p>
    <w:p w14:paraId="025726BA" w14:textId="5CDB586D" w:rsidR="000F5408" w:rsidRPr="000F5408" w:rsidRDefault="000F5408" w:rsidP="000F5408">
      <w:pPr>
        <w:shd w:val="clear" w:color="auto" w:fill="F2F2F2"/>
        <w:spacing w:after="200" w:line="300" w:lineRule="auto"/>
        <w:rPr>
          <w:rFonts w:ascii="Times New Roman" w:hAnsi="Times New Roman"/>
          <w:sz w:val="20"/>
          <w:szCs w:val="20"/>
          <w:lang w:val="en-US" w:eastAsia="en-US" w:bidi="ur-PK"/>
        </w:rPr>
      </w:pPr>
      <w:r w:rsidRPr="000F5408">
        <w:rPr>
          <w:rFonts w:ascii="Courier New" w:eastAsia="Courier New" w:hAnsi="Courier New" w:cs="Courier New"/>
          <w:sz w:val="20"/>
          <w:szCs w:val="20"/>
          <w:lang w:val="en-US" w:eastAsia="en-US" w:bidi="ur-PK"/>
        </w:rPr>
        <w:t>TS</w:t>
      </w:r>
      <w:proofErr w:type="gramStart"/>
      <w:r w:rsidRPr="000F5408">
        <w:rPr>
          <w:rFonts w:ascii="Courier New" w:eastAsia="Courier New" w:hAnsi="Courier New" w:cs="Courier New"/>
          <w:sz w:val="20"/>
          <w:szCs w:val="20"/>
          <w:lang w:val="en-US" w:eastAsia="en-US" w:bidi="ur-PK"/>
        </w:rPr>
        <w:t>=(</w:t>
      </w:r>
      <w:proofErr w:type="gramEnd"/>
      <w:r w:rsidRPr="000F5408">
        <w:rPr>
          <w:rFonts w:ascii="Courier New" w:eastAsia="Courier New" w:hAnsi="Courier New" w:cs="Courier New"/>
          <w:sz w:val="20"/>
          <w:szCs w:val="20"/>
          <w:lang w:val="en-US" w:eastAsia="en-US" w:bidi="ur-PK"/>
        </w:rPr>
        <w:t xml:space="preserve">telemedicine OR telehealth OR </w:t>
      </w:r>
      <w:proofErr w:type="spellStart"/>
      <w:r w:rsidRPr="000F5408">
        <w:rPr>
          <w:rFonts w:ascii="Courier New" w:eastAsia="Courier New" w:hAnsi="Courier New" w:cs="Courier New"/>
          <w:sz w:val="20"/>
          <w:szCs w:val="20"/>
          <w:lang w:val="en-US" w:eastAsia="en-US" w:bidi="ur-PK"/>
        </w:rPr>
        <w:t>mhealth</w:t>
      </w:r>
      <w:proofErr w:type="spellEnd"/>
      <w:r w:rsidRPr="000F5408">
        <w:rPr>
          <w:rFonts w:ascii="Courier New" w:eastAsia="Courier New" w:hAnsi="Courier New" w:cs="Courier New"/>
          <w:sz w:val="20"/>
          <w:szCs w:val="20"/>
          <w:lang w:val="en-US" w:eastAsia="en-US" w:bidi="ur-PK"/>
        </w:rPr>
        <w:t xml:space="preserve"> OR </w:t>
      </w:r>
      <w:proofErr w:type="spellStart"/>
      <w:r w:rsidRPr="000F5408">
        <w:rPr>
          <w:rFonts w:ascii="Courier New" w:eastAsia="Courier New" w:hAnsi="Courier New" w:cs="Courier New"/>
          <w:sz w:val="20"/>
          <w:szCs w:val="20"/>
          <w:lang w:val="en-US" w:eastAsia="en-US" w:bidi="ur-PK"/>
        </w:rPr>
        <w:t>ehealth</w:t>
      </w:r>
      <w:proofErr w:type="spellEnd"/>
      <w:r w:rsidRPr="000F5408">
        <w:rPr>
          <w:rFonts w:ascii="Courier New" w:eastAsia="Courier New" w:hAnsi="Courier New" w:cs="Courier New"/>
          <w:sz w:val="20"/>
          <w:szCs w:val="20"/>
          <w:lang w:val="en-US" w:eastAsia="en-US" w:bidi="ur-PK"/>
        </w:rPr>
        <w:t xml:space="preserve"> OR "digital health") AND WC=(Medicine OR "Health Care Sciences &amp; Services" OR "Public, Environmental &amp; Occupational Health") AND</w:t>
      </w:r>
      <w:r w:rsidR="007C4C6A">
        <w:rPr>
          <w:rFonts w:ascii="Courier New" w:eastAsia="Courier New" w:hAnsi="Courier New" w:cs="Courier New"/>
          <w:sz w:val="20"/>
          <w:szCs w:val="20"/>
          <w:lang w:val="en-US" w:eastAsia="en-US" w:bidi="ur-PK"/>
        </w:rPr>
        <w:t xml:space="preserve"> CU=(Pakistan) AND PY=(2018-2026</w:t>
      </w:r>
      <w:r w:rsidRPr="000F5408">
        <w:rPr>
          <w:rFonts w:ascii="Courier New" w:eastAsia="Courier New" w:hAnsi="Courier New" w:cs="Courier New"/>
          <w:sz w:val="20"/>
          <w:szCs w:val="20"/>
          <w:lang w:val="en-US" w:eastAsia="en-US" w:bidi="ur-PK"/>
        </w:rPr>
        <w:t>) AND LA=(English) AND DT=(Article)</w:t>
      </w:r>
    </w:p>
    <w:p w14:paraId="64756DE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Table 3.2 </w:t>
      </w:r>
      <w:proofErr w:type="spellStart"/>
      <w:r w:rsidRPr="000F5408">
        <w:rPr>
          <w:rFonts w:ascii="Times New Roman" w:hAnsi="Times New Roman"/>
          <w:lang w:val="en-US" w:eastAsia="en-US" w:bidi="ur-PK"/>
        </w:rPr>
        <w:t>summarises</w:t>
      </w:r>
      <w:proofErr w:type="spellEnd"/>
      <w:r w:rsidRPr="000F5408">
        <w:rPr>
          <w:rFonts w:ascii="Times New Roman" w:hAnsi="Times New Roman"/>
          <w:lang w:val="en-US" w:eastAsia="en-US" w:bidi="ur-PK"/>
        </w:rPr>
        <w:t xml:space="preserve"> the searches conducted across both databases, now with the exact string used in each row.</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95"/>
        <w:gridCol w:w="1276"/>
        <w:gridCol w:w="4008"/>
        <w:gridCol w:w="878"/>
        <w:gridCol w:w="1743"/>
      </w:tblGrid>
      <w:tr w:rsidR="000F5408" w:rsidRPr="000F5408" w14:paraId="7A32A343" w14:textId="77777777" w:rsidTr="000F5408">
        <w:tc>
          <w:tcPr>
            <w:tcW w:w="1200" w:type="dxa"/>
            <w:shd w:val="clear" w:color="auto" w:fill="D9E2F3"/>
          </w:tcPr>
          <w:p w14:paraId="080744C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Search</w:t>
            </w:r>
          </w:p>
        </w:tc>
        <w:tc>
          <w:tcPr>
            <w:tcW w:w="1400" w:type="dxa"/>
            <w:shd w:val="clear" w:color="auto" w:fill="D9E2F3"/>
          </w:tcPr>
          <w:p w14:paraId="19E6D77F"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Database</w:t>
            </w:r>
          </w:p>
        </w:tc>
        <w:tc>
          <w:tcPr>
            <w:tcW w:w="3400" w:type="dxa"/>
            <w:shd w:val="clear" w:color="auto" w:fill="D9E2F3"/>
          </w:tcPr>
          <w:p w14:paraId="47E5DC0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Filters applied</w:t>
            </w:r>
          </w:p>
        </w:tc>
        <w:tc>
          <w:tcPr>
            <w:tcW w:w="1000" w:type="dxa"/>
            <w:shd w:val="clear" w:color="auto" w:fill="D9E2F3"/>
          </w:tcPr>
          <w:p w14:paraId="58360D6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Date run</w:t>
            </w:r>
          </w:p>
        </w:tc>
        <w:tc>
          <w:tcPr>
            <w:tcW w:w="2000" w:type="dxa"/>
            <w:shd w:val="clear" w:color="auto" w:fill="D9E2F3"/>
          </w:tcPr>
          <w:p w14:paraId="2CACBF4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Records returned</w:t>
            </w:r>
          </w:p>
        </w:tc>
      </w:tr>
      <w:tr w:rsidR="000F5408" w:rsidRPr="000F5408" w14:paraId="00B6B0F0" w14:textId="77777777" w:rsidTr="000F5408">
        <w:tc>
          <w:tcPr>
            <w:tcW w:w="1200" w:type="dxa"/>
          </w:tcPr>
          <w:p w14:paraId="03AE427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UK</w:t>
            </w:r>
          </w:p>
        </w:tc>
        <w:tc>
          <w:tcPr>
            <w:tcW w:w="1400" w:type="dxa"/>
          </w:tcPr>
          <w:p w14:paraId="4F37C1B1"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Scopus</w:t>
            </w:r>
          </w:p>
        </w:tc>
        <w:tc>
          <w:tcPr>
            <w:tcW w:w="3400" w:type="dxa"/>
          </w:tcPr>
          <w:p w14:paraId="290E7892" w14:textId="58A1128B" w:rsidR="000F5408" w:rsidRPr="000F5408" w:rsidRDefault="00107C73" w:rsidP="000F5408">
            <w:pPr>
              <w:bidi/>
              <w:spacing w:line="240" w:lineRule="auto"/>
              <w:rPr>
                <w:rFonts w:ascii="Times New Roman" w:hAnsi="Times New Roman"/>
                <w:sz w:val="20"/>
                <w:szCs w:val="20"/>
                <w:lang w:val="en-US" w:eastAsia="en-US" w:bidi="ur-PK"/>
              </w:rPr>
            </w:pPr>
            <w:r>
              <w:rPr>
                <w:rFonts w:ascii="Times New Roman" w:hAnsi="Times New Roman"/>
                <w:sz w:val="20"/>
                <w:szCs w:val="20"/>
                <w:lang w:val="en-US" w:eastAsia="en-US" w:bidi="ur-PK"/>
              </w:rPr>
              <w:t>Article; English; 2018–2026</w:t>
            </w:r>
            <w:r w:rsidR="000F5408" w:rsidRPr="000F5408">
              <w:rPr>
                <w:rFonts w:ascii="Times New Roman" w:hAnsi="Times New Roman"/>
                <w:sz w:val="20"/>
                <w:szCs w:val="20"/>
                <w:lang w:val="en-US" w:eastAsia="en-US" w:bidi="ur-PK"/>
              </w:rPr>
              <w:t xml:space="preserve">; Subject Area: Health Professions/Medicine; </w:t>
            </w:r>
            <w:proofErr w:type="spellStart"/>
            <w:r w:rsidR="000F5408" w:rsidRPr="000F5408">
              <w:rPr>
                <w:rFonts w:ascii="Times New Roman" w:hAnsi="Times New Roman"/>
                <w:sz w:val="20"/>
                <w:szCs w:val="20"/>
                <w:lang w:val="en-US" w:eastAsia="en-US" w:bidi="ur-PK"/>
              </w:rPr>
              <w:t>Affil</w:t>
            </w:r>
            <w:proofErr w:type="spellEnd"/>
            <w:r w:rsidR="000F5408" w:rsidRPr="000F5408">
              <w:rPr>
                <w:rFonts w:ascii="Times New Roman" w:hAnsi="Times New Roman"/>
                <w:sz w:val="20"/>
                <w:szCs w:val="20"/>
                <w:lang w:val="en-US" w:eastAsia="en-US" w:bidi="ur-PK"/>
              </w:rPr>
              <w:t xml:space="preserve"> Country: UK; Keyword: Telemedicine/Telehealth/</w:t>
            </w:r>
            <w:proofErr w:type="spellStart"/>
            <w:r w:rsidR="000F5408" w:rsidRPr="000F5408">
              <w:rPr>
                <w:rFonts w:ascii="Times New Roman" w:hAnsi="Times New Roman"/>
                <w:sz w:val="20"/>
                <w:szCs w:val="20"/>
                <w:lang w:val="en-US" w:eastAsia="en-US" w:bidi="ur-PK"/>
              </w:rPr>
              <w:t>Mhealth</w:t>
            </w:r>
            <w:proofErr w:type="spellEnd"/>
            <w:r w:rsidR="000F5408" w:rsidRPr="000F5408">
              <w:rPr>
                <w:rFonts w:ascii="Times New Roman" w:hAnsi="Times New Roman"/>
                <w:sz w:val="20"/>
                <w:szCs w:val="20"/>
                <w:lang w:val="en-US" w:eastAsia="en-US" w:bidi="ur-PK"/>
              </w:rPr>
              <w:t>/</w:t>
            </w:r>
            <w:proofErr w:type="spellStart"/>
            <w:r w:rsidR="000F5408" w:rsidRPr="000F5408">
              <w:rPr>
                <w:rFonts w:ascii="Times New Roman" w:hAnsi="Times New Roman"/>
                <w:sz w:val="20"/>
                <w:szCs w:val="20"/>
                <w:lang w:val="en-US" w:eastAsia="en-US" w:bidi="ur-PK"/>
              </w:rPr>
              <w:t>Ehealth</w:t>
            </w:r>
            <w:proofErr w:type="spellEnd"/>
            <w:r w:rsidR="000F5408" w:rsidRPr="000F5408">
              <w:rPr>
                <w:rFonts w:ascii="Times New Roman" w:hAnsi="Times New Roman"/>
                <w:sz w:val="20"/>
                <w:szCs w:val="20"/>
                <w:lang w:val="en-US" w:eastAsia="en-US" w:bidi="ur-PK"/>
              </w:rPr>
              <w:t>/Digital Health</w:t>
            </w:r>
          </w:p>
        </w:tc>
        <w:tc>
          <w:tcPr>
            <w:tcW w:w="1000" w:type="dxa"/>
          </w:tcPr>
          <w:p w14:paraId="2B3447A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30-7-26</w:t>
            </w:r>
          </w:p>
        </w:tc>
        <w:tc>
          <w:tcPr>
            <w:tcW w:w="2000" w:type="dxa"/>
          </w:tcPr>
          <w:p w14:paraId="0FAD26D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267</w:t>
            </w:r>
          </w:p>
        </w:tc>
      </w:tr>
      <w:tr w:rsidR="000F5408" w:rsidRPr="000F5408" w14:paraId="76260F92" w14:textId="77777777" w:rsidTr="000F5408">
        <w:tc>
          <w:tcPr>
            <w:tcW w:w="1200" w:type="dxa"/>
          </w:tcPr>
          <w:p w14:paraId="7BAEA39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Pakistan</w:t>
            </w:r>
          </w:p>
        </w:tc>
        <w:tc>
          <w:tcPr>
            <w:tcW w:w="1400" w:type="dxa"/>
          </w:tcPr>
          <w:p w14:paraId="75C64E0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Scopus</w:t>
            </w:r>
          </w:p>
        </w:tc>
        <w:tc>
          <w:tcPr>
            <w:tcW w:w="3400" w:type="dxa"/>
          </w:tcPr>
          <w:p w14:paraId="53ACC2F4" w14:textId="5F019AB9" w:rsidR="000F5408" w:rsidRPr="000F5408" w:rsidRDefault="00107C73" w:rsidP="000F5408">
            <w:pPr>
              <w:bidi/>
              <w:spacing w:line="240" w:lineRule="auto"/>
              <w:rPr>
                <w:rFonts w:ascii="Times New Roman" w:hAnsi="Times New Roman"/>
                <w:sz w:val="20"/>
                <w:szCs w:val="20"/>
                <w:lang w:val="en-US" w:eastAsia="en-US" w:bidi="ur-PK"/>
              </w:rPr>
            </w:pPr>
            <w:r>
              <w:rPr>
                <w:rFonts w:ascii="Times New Roman" w:hAnsi="Times New Roman"/>
                <w:sz w:val="20"/>
                <w:szCs w:val="20"/>
                <w:lang w:val="en-US" w:eastAsia="en-US" w:bidi="ur-PK"/>
              </w:rPr>
              <w:t>Article; English; 2018–2026</w:t>
            </w:r>
            <w:r w:rsidR="000F5408" w:rsidRPr="000F5408">
              <w:rPr>
                <w:rFonts w:ascii="Times New Roman" w:hAnsi="Times New Roman"/>
                <w:sz w:val="20"/>
                <w:szCs w:val="20"/>
                <w:lang w:val="en-US" w:eastAsia="en-US" w:bidi="ur-PK"/>
              </w:rPr>
              <w:t xml:space="preserve">; Subject Area: Health Professions; </w:t>
            </w:r>
            <w:proofErr w:type="spellStart"/>
            <w:r w:rsidR="000F5408" w:rsidRPr="000F5408">
              <w:rPr>
                <w:rFonts w:ascii="Times New Roman" w:hAnsi="Times New Roman"/>
                <w:sz w:val="20"/>
                <w:szCs w:val="20"/>
                <w:lang w:val="en-US" w:eastAsia="en-US" w:bidi="ur-PK"/>
              </w:rPr>
              <w:t>Affil</w:t>
            </w:r>
            <w:proofErr w:type="spellEnd"/>
            <w:r w:rsidR="000F5408" w:rsidRPr="000F5408">
              <w:rPr>
                <w:rFonts w:ascii="Times New Roman" w:hAnsi="Times New Roman"/>
                <w:sz w:val="20"/>
                <w:szCs w:val="20"/>
                <w:lang w:val="en-US" w:eastAsia="en-US" w:bidi="ur-PK"/>
              </w:rPr>
              <w:t xml:space="preserve"> Country: Pakistan; Keyword: Telemedicine/Telehealth/</w:t>
            </w:r>
            <w:proofErr w:type="spellStart"/>
            <w:r w:rsidR="000F5408" w:rsidRPr="000F5408">
              <w:rPr>
                <w:rFonts w:ascii="Times New Roman" w:hAnsi="Times New Roman"/>
                <w:sz w:val="20"/>
                <w:szCs w:val="20"/>
                <w:lang w:val="en-US" w:eastAsia="en-US" w:bidi="ur-PK"/>
              </w:rPr>
              <w:t>Mhealth</w:t>
            </w:r>
            <w:proofErr w:type="spellEnd"/>
            <w:r w:rsidR="000F5408" w:rsidRPr="000F5408">
              <w:rPr>
                <w:rFonts w:ascii="Times New Roman" w:hAnsi="Times New Roman"/>
                <w:sz w:val="20"/>
                <w:szCs w:val="20"/>
                <w:lang w:val="en-US" w:eastAsia="en-US" w:bidi="ur-PK"/>
              </w:rPr>
              <w:t>/</w:t>
            </w:r>
            <w:proofErr w:type="spellStart"/>
            <w:r w:rsidR="000F5408" w:rsidRPr="000F5408">
              <w:rPr>
                <w:rFonts w:ascii="Times New Roman" w:hAnsi="Times New Roman"/>
                <w:sz w:val="20"/>
                <w:szCs w:val="20"/>
                <w:lang w:val="en-US" w:eastAsia="en-US" w:bidi="ur-PK"/>
              </w:rPr>
              <w:t>Ehealth</w:t>
            </w:r>
            <w:proofErr w:type="spellEnd"/>
            <w:r w:rsidR="000F5408" w:rsidRPr="000F5408">
              <w:rPr>
                <w:rFonts w:ascii="Times New Roman" w:hAnsi="Times New Roman"/>
                <w:sz w:val="20"/>
                <w:szCs w:val="20"/>
                <w:lang w:val="en-US" w:eastAsia="en-US" w:bidi="ur-PK"/>
              </w:rPr>
              <w:t>/Digital Health</w:t>
            </w:r>
          </w:p>
        </w:tc>
        <w:tc>
          <w:tcPr>
            <w:tcW w:w="1000" w:type="dxa"/>
          </w:tcPr>
          <w:p w14:paraId="25BFE51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2-8-26</w:t>
            </w:r>
          </w:p>
        </w:tc>
        <w:tc>
          <w:tcPr>
            <w:tcW w:w="2000" w:type="dxa"/>
          </w:tcPr>
          <w:p w14:paraId="4DC4135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17</w:t>
            </w:r>
          </w:p>
        </w:tc>
      </w:tr>
      <w:tr w:rsidR="000F5408" w:rsidRPr="000F5408" w14:paraId="2B2B6C2A" w14:textId="77777777" w:rsidTr="000F5408">
        <w:tc>
          <w:tcPr>
            <w:tcW w:w="1200" w:type="dxa"/>
          </w:tcPr>
          <w:p w14:paraId="2D304BA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UK</w:t>
            </w:r>
          </w:p>
        </w:tc>
        <w:tc>
          <w:tcPr>
            <w:tcW w:w="1400" w:type="dxa"/>
          </w:tcPr>
          <w:p w14:paraId="30D20F1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Web of Science</w:t>
            </w:r>
          </w:p>
        </w:tc>
        <w:tc>
          <w:tcPr>
            <w:tcW w:w="3400" w:type="dxa"/>
          </w:tcPr>
          <w:p w14:paraId="0598E622" w14:textId="4D3C2D32" w:rsidR="000F5408" w:rsidRPr="000F5408" w:rsidRDefault="00107C73" w:rsidP="000F5408">
            <w:pPr>
              <w:bidi/>
              <w:spacing w:line="240" w:lineRule="auto"/>
              <w:rPr>
                <w:rFonts w:ascii="Times New Roman" w:hAnsi="Times New Roman"/>
                <w:sz w:val="20"/>
                <w:szCs w:val="20"/>
                <w:lang w:val="en-US" w:eastAsia="en-US" w:bidi="ur-PK"/>
              </w:rPr>
            </w:pPr>
            <w:r>
              <w:rPr>
                <w:rFonts w:ascii="Times New Roman" w:hAnsi="Times New Roman"/>
                <w:sz w:val="20"/>
                <w:szCs w:val="20"/>
                <w:lang w:val="en-US" w:eastAsia="en-US" w:bidi="ur-PK"/>
              </w:rPr>
              <w:t>Article; English; 2018–2026</w:t>
            </w:r>
            <w:r w:rsidR="000F5408" w:rsidRPr="000F5408">
              <w:rPr>
                <w:rFonts w:ascii="Times New Roman" w:hAnsi="Times New Roman"/>
                <w:sz w:val="20"/>
                <w:szCs w:val="20"/>
                <w:lang w:val="en-US" w:eastAsia="en-US" w:bidi="ur-PK"/>
              </w:rPr>
              <w:t>; Category: Medicine/Health-related; Country: United Kingdom</w:t>
            </w:r>
          </w:p>
        </w:tc>
        <w:tc>
          <w:tcPr>
            <w:tcW w:w="1000" w:type="dxa"/>
          </w:tcPr>
          <w:p w14:paraId="55C1497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30-7-26</w:t>
            </w:r>
          </w:p>
        </w:tc>
        <w:tc>
          <w:tcPr>
            <w:tcW w:w="2000" w:type="dxa"/>
          </w:tcPr>
          <w:p w14:paraId="732D47E1"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38</w:t>
            </w:r>
          </w:p>
        </w:tc>
      </w:tr>
      <w:tr w:rsidR="000F5408" w:rsidRPr="000F5408" w14:paraId="706DB5CE" w14:textId="77777777" w:rsidTr="000F5408">
        <w:tc>
          <w:tcPr>
            <w:tcW w:w="1200" w:type="dxa"/>
          </w:tcPr>
          <w:p w14:paraId="3BE1509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Pakistan</w:t>
            </w:r>
          </w:p>
        </w:tc>
        <w:tc>
          <w:tcPr>
            <w:tcW w:w="1400" w:type="dxa"/>
          </w:tcPr>
          <w:p w14:paraId="4DDE6A3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Web of Science</w:t>
            </w:r>
          </w:p>
        </w:tc>
        <w:tc>
          <w:tcPr>
            <w:tcW w:w="3400" w:type="dxa"/>
          </w:tcPr>
          <w:p w14:paraId="689D3E8E" w14:textId="11021C13" w:rsidR="000F5408" w:rsidRPr="000F5408" w:rsidRDefault="00107C73" w:rsidP="000F5408">
            <w:pPr>
              <w:bidi/>
              <w:spacing w:line="240" w:lineRule="auto"/>
              <w:rPr>
                <w:rFonts w:ascii="Times New Roman" w:hAnsi="Times New Roman"/>
                <w:sz w:val="20"/>
                <w:szCs w:val="20"/>
                <w:lang w:val="en-US" w:eastAsia="en-US" w:bidi="ur-PK"/>
              </w:rPr>
            </w:pPr>
            <w:r>
              <w:rPr>
                <w:rFonts w:ascii="Times New Roman" w:hAnsi="Times New Roman"/>
                <w:sz w:val="20"/>
                <w:szCs w:val="20"/>
                <w:lang w:val="en-US" w:eastAsia="en-US" w:bidi="ur-PK"/>
              </w:rPr>
              <w:t>Article; English; 2018–2026</w:t>
            </w:r>
            <w:r w:rsidR="000F5408" w:rsidRPr="000F5408">
              <w:rPr>
                <w:rFonts w:ascii="Times New Roman" w:hAnsi="Times New Roman"/>
                <w:sz w:val="20"/>
                <w:szCs w:val="20"/>
                <w:lang w:val="en-US" w:eastAsia="en-US" w:bidi="ur-PK"/>
              </w:rPr>
              <w:t>; Category: Medicine/Health-related; Country: Pakistan</w:t>
            </w:r>
          </w:p>
        </w:tc>
        <w:tc>
          <w:tcPr>
            <w:tcW w:w="1000" w:type="dxa"/>
          </w:tcPr>
          <w:p w14:paraId="7375BC7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30-7-26</w:t>
            </w:r>
          </w:p>
        </w:tc>
        <w:tc>
          <w:tcPr>
            <w:tcW w:w="2000" w:type="dxa"/>
          </w:tcPr>
          <w:p w14:paraId="06CC8DEF"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52</w:t>
            </w:r>
          </w:p>
        </w:tc>
      </w:tr>
    </w:tbl>
    <w:p w14:paraId="3BE49194"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0" w:name="_Toc239804222"/>
      <w:r w:rsidRPr="000F5408">
        <w:rPr>
          <w:rFonts w:ascii="Times New Roman" w:hAnsi="Times New Roman"/>
          <w:b/>
          <w:bCs/>
          <w:sz w:val="28"/>
          <w:szCs w:val="28"/>
          <w:lang w:val="en-US" w:eastAsia="en-US" w:bidi="ur-PK"/>
        </w:rPr>
        <w:t>3.8 Inclusion and Exclusion Criteria</w:t>
      </w:r>
      <w:bookmarkEnd w:id="30"/>
    </w:p>
    <w:p w14:paraId="4AB1AA6A" w14:textId="3317B82F" w:rsidR="000F5408" w:rsidRPr="007C07C6" w:rsidRDefault="000F5408" w:rsidP="007C07C6">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 xml:space="preserve">To enhance methodological consistency and </w:t>
      </w:r>
      <w:proofErr w:type="spellStart"/>
      <w:r w:rsidRPr="000F5408">
        <w:rPr>
          <w:rFonts w:ascii="Times New Roman" w:hAnsi="Times New Roman"/>
          <w:lang w:val="en-US" w:eastAsia="en-US" w:bidi="ur-PK"/>
        </w:rPr>
        <w:t>minimise</w:t>
      </w:r>
      <w:proofErr w:type="spellEnd"/>
      <w:r w:rsidRPr="000F5408">
        <w:rPr>
          <w:rFonts w:ascii="Times New Roman" w:hAnsi="Times New Roman"/>
          <w:lang w:val="en-US" w:eastAsia="en-US" w:bidi="ur-PK"/>
        </w:rPr>
        <w:t xml:space="preserve"> selection bias, inclusion and exclusion criteria were defined prior to the literature search, ensuring studies were selected objectively and in line with the research objectives.</w:t>
      </w:r>
    </w:p>
    <w:p w14:paraId="1CE38192" w14:textId="77777777" w:rsidR="000F5408" w:rsidRPr="000F5408" w:rsidRDefault="000F5408" w:rsidP="000F5408">
      <w:pPr>
        <w:spacing w:before="160" w:after="160" w:line="240" w:lineRule="auto"/>
        <w:rPr>
          <w:rFonts w:ascii="Times New Roman" w:hAnsi="Times New Roman"/>
          <w:sz w:val="20"/>
          <w:szCs w:val="20"/>
          <w:lang w:val="en-US" w:eastAsia="en-US" w:bidi="ur-PK"/>
        </w:rPr>
      </w:pPr>
      <w:r w:rsidRPr="000F5408">
        <w:rPr>
          <w:rFonts w:ascii="Times New Roman" w:hAnsi="Times New Roman"/>
          <w:i/>
          <w:iCs/>
          <w:sz w:val="22"/>
          <w:szCs w:val="22"/>
          <w:lang w:val="en-US" w:eastAsia="en-US" w:bidi="ur-PK"/>
        </w:rPr>
        <w:t>Table 3.1: Inclusion and Exclusion Criteria</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0F5408" w:rsidRPr="000F5408" w14:paraId="7E80B40E" w14:textId="77777777" w:rsidTr="000F5408">
        <w:tc>
          <w:tcPr>
            <w:tcW w:w="4500" w:type="dxa"/>
            <w:shd w:val="clear" w:color="auto" w:fill="D9E2F3"/>
          </w:tcPr>
          <w:p w14:paraId="5EEE8871"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Inclusion Criteria</w:t>
            </w:r>
          </w:p>
        </w:tc>
        <w:tc>
          <w:tcPr>
            <w:tcW w:w="4500" w:type="dxa"/>
            <w:shd w:val="clear" w:color="auto" w:fill="D9E2F3"/>
          </w:tcPr>
          <w:p w14:paraId="7FF53F0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Exclusion Criteria</w:t>
            </w:r>
          </w:p>
        </w:tc>
      </w:tr>
      <w:tr w:rsidR="000F5408" w:rsidRPr="000F5408" w14:paraId="7FB53F56" w14:textId="77777777" w:rsidTr="000F5408">
        <w:tc>
          <w:tcPr>
            <w:tcW w:w="4500" w:type="dxa"/>
          </w:tcPr>
          <w:p w14:paraId="2A88714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Peer-reviewed journal articles</w:t>
            </w:r>
          </w:p>
        </w:tc>
        <w:tc>
          <w:tcPr>
            <w:tcW w:w="4500" w:type="dxa"/>
          </w:tcPr>
          <w:p w14:paraId="4F6F665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Conference abstracts</w:t>
            </w:r>
          </w:p>
        </w:tc>
      </w:tr>
      <w:tr w:rsidR="000F5408" w:rsidRPr="000F5408" w14:paraId="32C030B9" w14:textId="77777777" w:rsidTr="000F5408">
        <w:tc>
          <w:tcPr>
            <w:tcW w:w="4500" w:type="dxa"/>
          </w:tcPr>
          <w:p w14:paraId="674BC77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Full-text publications</w:t>
            </w:r>
          </w:p>
        </w:tc>
        <w:tc>
          <w:tcPr>
            <w:tcW w:w="4500" w:type="dxa"/>
          </w:tcPr>
          <w:p w14:paraId="6131135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Editorials and opinion articles</w:t>
            </w:r>
          </w:p>
        </w:tc>
      </w:tr>
      <w:tr w:rsidR="000F5408" w:rsidRPr="000F5408" w14:paraId="73F2E49A" w14:textId="77777777" w:rsidTr="000F5408">
        <w:tc>
          <w:tcPr>
            <w:tcW w:w="4500" w:type="dxa"/>
          </w:tcPr>
          <w:p w14:paraId="1219F88F"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English-language studies</w:t>
            </w:r>
          </w:p>
        </w:tc>
        <w:tc>
          <w:tcPr>
            <w:tcW w:w="4500" w:type="dxa"/>
          </w:tcPr>
          <w:p w14:paraId="0961472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Non-English publications</w:t>
            </w:r>
          </w:p>
        </w:tc>
      </w:tr>
      <w:tr w:rsidR="000F5408" w:rsidRPr="000F5408" w14:paraId="3FE90036" w14:textId="77777777" w:rsidTr="000F5408">
        <w:tc>
          <w:tcPr>
            <w:tcW w:w="4500" w:type="dxa"/>
          </w:tcPr>
          <w:p w14:paraId="4838CE72" w14:textId="3C484304" w:rsidR="000F5408" w:rsidRPr="000F5408" w:rsidRDefault="00107C73" w:rsidP="000F5408">
            <w:pPr>
              <w:bidi/>
              <w:spacing w:line="240" w:lineRule="auto"/>
              <w:rPr>
                <w:rFonts w:ascii="Times New Roman" w:hAnsi="Times New Roman"/>
                <w:sz w:val="20"/>
                <w:szCs w:val="20"/>
                <w:lang w:val="en-US" w:eastAsia="en-US" w:bidi="ur-PK"/>
              </w:rPr>
            </w:pPr>
            <w:r>
              <w:rPr>
                <w:rFonts w:ascii="Times New Roman" w:hAnsi="Times New Roman"/>
                <w:sz w:val="20"/>
                <w:szCs w:val="20"/>
                <w:lang w:val="en-US" w:eastAsia="en-US" w:bidi="ur-PK"/>
              </w:rPr>
              <w:t>Published between 2018 and 2026</w:t>
            </w:r>
          </w:p>
        </w:tc>
        <w:tc>
          <w:tcPr>
            <w:tcW w:w="4500" w:type="dxa"/>
          </w:tcPr>
          <w:p w14:paraId="4654D7D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Studies published before 2018*</w:t>
            </w:r>
          </w:p>
        </w:tc>
      </w:tr>
      <w:tr w:rsidR="000F5408" w:rsidRPr="000F5408" w14:paraId="73572346" w14:textId="77777777" w:rsidTr="000F5408">
        <w:tc>
          <w:tcPr>
            <w:tcW w:w="4500" w:type="dxa"/>
          </w:tcPr>
          <w:p w14:paraId="68B9FEC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Studies examining telemedicine or digital health</w:t>
            </w:r>
          </w:p>
        </w:tc>
        <w:tc>
          <w:tcPr>
            <w:tcW w:w="4500" w:type="dxa"/>
          </w:tcPr>
          <w:p w14:paraId="4270902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Studies unrelated to telemedicine</w:t>
            </w:r>
          </w:p>
        </w:tc>
      </w:tr>
      <w:tr w:rsidR="000F5408" w:rsidRPr="000F5408" w14:paraId="0878AF7D" w14:textId="77777777" w:rsidTr="000F5408">
        <w:tc>
          <w:tcPr>
            <w:tcW w:w="4500" w:type="dxa"/>
          </w:tcPr>
          <w:p w14:paraId="70F11EF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Research relating to the United Kingdom, Pakistan, or comparative healthcare systems</w:t>
            </w:r>
          </w:p>
        </w:tc>
        <w:tc>
          <w:tcPr>
            <w:tcW w:w="4500" w:type="dxa"/>
          </w:tcPr>
          <w:p w14:paraId="6D3E420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Studies with insufficient methodological detail</w:t>
            </w:r>
          </w:p>
        </w:tc>
      </w:tr>
      <w:tr w:rsidR="000F5408" w:rsidRPr="000F5408" w14:paraId="3ACF87DA" w14:textId="77777777" w:rsidTr="000F5408">
        <w:tc>
          <w:tcPr>
            <w:tcW w:w="4500" w:type="dxa"/>
          </w:tcPr>
          <w:p w14:paraId="18F0FBE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Government reports and publications from WHO, NHS England, DHSC and OECD</w:t>
            </w:r>
          </w:p>
        </w:tc>
        <w:tc>
          <w:tcPr>
            <w:tcW w:w="4500" w:type="dxa"/>
          </w:tcPr>
          <w:p w14:paraId="6FFC3D7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Blogs, newspaper articles and unpublished reports</w:t>
            </w:r>
          </w:p>
        </w:tc>
      </w:tr>
    </w:tbl>
    <w:p w14:paraId="469B8CE3" w14:textId="77777777" w:rsidR="000F5408" w:rsidRPr="000F5408" w:rsidRDefault="000F5408" w:rsidP="000F5408">
      <w:pPr>
        <w:bidi/>
        <w:spacing w:before="200" w:after="200" w:line="240" w:lineRule="auto"/>
        <w:rPr>
          <w:rFonts w:ascii="Times New Roman" w:hAnsi="Times New Roman"/>
          <w:sz w:val="20"/>
          <w:szCs w:val="20"/>
          <w:lang w:val="en-US" w:eastAsia="en-US" w:bidi="ur-PK"/>
        </w:rPr>
      </w:pPr>
    </w:p>
    <w:p w14:paraId="5878C05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*Seminal theoretical studies, including Davis (1989), Venkatesh et al. (2003), and Rogers (2003), were retained where necessary to support the theoretical frameworks presented in Chapter Two.</w:t>
      </w:r>
    </w:p>
    <w:p w14:paraId="2B78E989" w14:textId="19BFFEA5" w:rsidR="000F5408" w:rsidRPr="000F5408" w:rsidRDefault="000F5408" w:rsidP="00107C73">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Critical Justification: </w:t>
      </w:r>
      <w:r w:rsidR="00107C73">
        <w:rPr>
          <w:rFonts w:ascii="Times New Roman" w:hAnsi="Times New Roman"/>
          <w:lang w:eastAsia="en-US" w:bidi="ur-PK"/>
        </w:rPr>
        <w:t>Studies</w:t>
      </w:r>
      <w:r w:rsidR="00107C73" w:rsidRPr="00107C73">
        <w:rPr>
          <w:rFonts w:ascii="Times New Roman" w:hAnsi="Times New Roman"/>
          <w:lang w:eastAsia="en-US" w:bidi="ur-PK"/>
        </w:rPr>
        <w:t xml:space="preserve"> published from 2018 onwards were </w:t>
      </w:r>
      <w:r w:rsidR="00107C73">
        <w:rPr>
          <w:rFonts w:ascii="Times New Roman" w:hAnsi="Times New Roman"/>
          <w:lang w:eastAsia="en-US" w:bidi="ur-PK"/>
        </w:rPr>
        <w:t>prioritized</w:t>
      </w:r>
      <w:r w:rsidR="00107C73">
        <w:rPr>
          <w:rFonts w:ascii="Times New Roman" w:hAnsi="Times New Roman"/>
          <w:lang w:val="en-US" w:eastAsia="en-US" w:bidi="ur-PK"/>
        </w:rPr>
        <w:t xml:space="preserve"> </w:t>
      </w:r>
      <w:r w:rsidRPr="000F5408">
        <w:rPr>
          <w:rFonts w:ascii="Times New Roman" w:hAnsi="Times New Roman"/>
          <w:lang w:val="en-US" w:eastAsia="en-US" w:bidi="ur-PK"/>
        </w:rPr>
        <w:t>to capture the significant rise in telemedicine use since the onset of the COVID-19 pandemic, while seminal theoretical literature was retained to preserve the conceptual foundations of the study. This combination of current empirical findings and established theory strengthens the review's relevance and academic grounding.</w:t>
      </w:r>
    </w:p>
    <w:p w14:paraId="58A3EB42"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1" w:name="_Toc239804223"/>
      <w:r w:rsidRPr="000F5408">
        <w:rPr>
          <w:rFonts w:ascii="Times New Roman" w:hAnsi="Times New Roman"/>
          <w:b/>
          <w:bCs/>
          <w:sz w:val="28"/>
          <w:szCs w:val="28"/>
          <w:lang w:val="en-US" w:eastAsia="en-US" w:bidi="ur-PK"/>
        </w:rPr>
        <w:lastRenderedPageBreak/>
        <w:t>3.9 PRISMA 2020 Screening Process</w:t>
      </w:r>
      <w:bookmarkEnd w:id="31"/>
    </w:p>
    <w:p w14:paraId="7E851172" w14:textId="41707FAE" w:rsidR="003A6314" w:rsidRPr="000F5408" w:rsidRDefault="003A6314" w:rsidP="003A6314">
      <w:pPr>
        <w:spacing w:after="200" w:line="360" w:lineRule="auto"/>
        <w:jc w:val="both"/>
        <w:rPr>
          <w:rFonts w:ascii="Times New Roman" w:hAnsi="Times New Roman"/>
          <w:sz w:val="20"/>
          <w:szCs w:val="20"/>
          <w:lang w:val="en-US" w:eastAsia="en-US" w:bidi="ur-PK"/>
        </w:rPr>
      </w:pPr>
      <w:r w:rsidRPr="003A6314">
        <w:rPr>
          <w:rFonts w:ascii="Times New Roman" w:hAnsi="Times New Roman"/>
          <w:lang w:eastAsia="en-US" w:bidi="ur-PK"/>
        </w:rPr>
        <w:t>Following database searching, the study-selection process was conducted using the predefined inclusion and exclusion criteria and reported in accordance with PRISMA 2020 to ensure transparent reporting of the identification, screening, eligibility assessment, and inclusion of studies</w:t>
      </w:r>
      <w:r>
        <w:rPr>
          <w:rFonts w:ascii="Times New Roman" w:hAnsi="Times New Roman"/>
          <w:sz w:val="20"/>
          <w:szCs w:val="20"/>
          <w:lang w:val="en-US" w:eastAsia="en-US" w:bidi="ur-PK"/>
        </w:rPr>
        <w:t>.</w:t>
      </w:r>
    </w:p>
    <w:p w14:paraId="477DEF4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Stage 1 (Identification): Searches were conducted across the selected electronic databases, alongside reference lists and official websites of healthcare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Retrieved records were uploaded to reference management software and duplicates removed.</w:t>
      </w:r>
    </w:p>
    <w:p w14:paraId="4550E2A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Stage 2 (Screening): Titles and abstracts were screened against the inclusion and exclusion criteria; studies unrelated to telemedicine, digital health transformation, healthcare delivery, or the selected countries were excluded at this stage.</w:t>
      </w:r>
    </w:p>
    <w:p w14:paraId="4B13666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Stage 3 (Eligibility): Full texts of potentially relevant studies were assessed for suitability. Studies were excluded if they did not examine telemedicine implementation; lacked sufficient methodological detail; focused on unrelated digital technologies; were unavailable in full text; or did not address the research objectives. Reasons for exclusion were documented throughout.</w:t>
      </w:r>
    </w:p>
    <w:p w14:paraId="424B3E9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Stage 4 (Inclusion): Studies meeting all eligibility criteria were included in the final review for quality appraisal and thematic analysis.</w:t>
      </w:r>
    </w:p>
    <w:p w14:paraId="5BAC751A" w14:textId="77777777" w:rsidR="000F5408" w:rsidRPr="000F5408" w:rsidRDefault="000F5408" w:rsidP="000F5408">
      <w:pPr>
        <w:spacing w:before="200" w:after="160" w:line="240" w:lineRule="auto"/>
        <w:rPr>
          <w:rFonts w:ascii="Times New Roman" w:hAnsi="Times New Roman"/>
          <w:sz w:val="20"/>
          <w:szCs w:val="20"/>
          <w:lang w:val="en-US" w:eastAsia="en-US" w:bidi="ur-PK"/>
        </w:rPr>
      </w:pPr>
      <w:r w:rsidRPr="000F5408">
        <w:rPr>
          <w:rFonts w:ascii="Times New Roman" w:hAnsi="Times New Roman"/>
          <w:i/>
          <w:iCs/>
          <w:sz w:val="22"/>
          <w:szCs w:val="22"/>
          <w:lang w:val="en-US" w:eastAsia="en-US" w:bidi="ur-PK"/>
        </w:rPr>
        <w:t>Figure 3.1: PRISMA 2020 Flow Diagram for the Identification, Screening, and Inclusion of Studies</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00"/>
      </w:tblGrid>
      <w:tr w:rsidR="000F5408" w:rsidRPr="000F5408" w14:paraId="3373A554" w14:textId="77777777" w:rsidTr="000F5408">
        <w:tc>
          <w:tcPr>
            <w:tcW w:w="4500" w:type="dxa"/>
            <w:shd w:val="clear" w:color="auto" w:fill="D9E2F3"/>
            <w:tcMar>
              <w:top w:w="100" w:type="dxa"/>
              <w:left w:w="120" w:type="dxa"/>
              <w:bottom w:w="100" w:type="dxa"/>
              <w:right w:w="120" w:type="dxa"/>
            </w:tcMar>
          </w:tcPr>
          <w:p w14:paraId="02154F46" w14:textId="77777777" w:rsidR="000F5408" w:rsidRPr="000F5408" w:rsidRDefault="000F5408" w:rsidP="000F5408">
            <w:pPr>
              <w:bidi/>
              <w:spacing w:line="240" w:lineRule="auto"/>
              <w:rPr>
                <w:rFonts w:ascii="Times New Roman" w:hAnsi="Times New Roman"/>
                <w:sz w:val="20"/>
                <w:szCs w:val="20"/>
                <w:lang w:val="en-US" w:eastAsia="en-US" w:bidi="ur-PK"/>
              </w:rPr>
            </w:pPr>
            <w:proofErr w:type="gramStart"/>
            <w:r w:rsidRPr="000F5408">
              <w:rPr>
                <w:rFonts w:ascii="Times New Roman" w:hAnsi="Times New Roman"/>
                <w:b/>
                <w:bCs/>
                <w:sz w:val="20"/>
                <w:szCs w:val="20"/>
                <w:lang w:val="en-US" w:eastAsia="en-US" w:bidi="ur-PK"/>
              </w:rPr>
              <w:t>IDENTIFICATION  Records</w:t>
            </w:r>
            <w:proofErr w:type="gramEnd"/>
            <w:r w:rsidRPr="000F5408">
              <w:rPr>
                <w:rFonts w:ascii="Times New Roman" w:hAnsi="Times New Roman"/>
                <w:b/>
                <w:bCs/>
                <w:sz w:val="20"/>
                <w:szCs w:val="20"/>
                <w:lang w:val="en-US" w:eastAsia="en-US" w:bidi="ur-PK"/>
              </w:rPr>
              <w:t xml:space="preserve"> identified through database searching (n = 374) • Scopus – UK (267) • Scopus – Pakistan (17) • Web of Science – UK (38) • Web of Science – Pakistan (52)</w:t>
            </w:r>
          </w:p>
        </w:tc>
        <w:tc>
          <w:tcPr>
            <w:tcW w:w="4500" w:type="dxa"/>
            <w:shd w:val="clear" w:color="auto" w:fill="FFFFFF"/>
            <w:tcMar>
              <w:top w:w="100" w:type="dxa"/>
              <w:left w:w="120" w:type="dxa"/>
              <w:bottom w:w="100" w:type="dxa"/>
              <w:right w:w="120" w:type="dxa"/>
            </w:tcMar>
          </w:tcPr>
          <w:p w14:paraId="068EE854"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6168E52B" w14:textId="77777777" w:rsidTr="000F5408">
        <w:tc>
          <w:tcPr>
            <w:tcW w:w="4500" w:type="dxa"/>
            <w:tcBorders>
              <w:top w:val="none" w:sz="0" w:space="0" w:color="FFFFFF"/>
              <w:left w:val="none" w:sz="0" w:space="0" w:color="FFFFFF"/>
              <w:bottom w:val="none" w:sz="0" w:space="0" w:color="FFFFFF"/>
              <w:right w:val="none" w:sz="0" w:space="0" w:color="FFFFFF"/>
            </w:tcBorders>
          </w:tcPr>
          <w:p w14:paraId="769A4492" w14:textId="77777777" w:rsidR="000F5408" w:rsidRPr="000F5408" w:rsidRDefault="000F5408" w:rsidP="000F5408">
            <w:pPr>
              <w:bidi/>
              <w:spacing w:line="240" w:lineRule="auto"/>
              <w:jc w:val="center"/>
              <w:rPr>
                <w:rFonts w:ascii="Times New Roman" w:hAnsi="Times New Roman"/>
                <w:sz w:val="20"/>
                <w:szCs w:val="20"/>
                <w:lang w:val="en-US" w:eastAsia="en-US" w:bidi="ur-PK"/>
              </w:rPr>
            </w:pPr>
            <w:r w:rsidRPr="000F5408">
              <w:rPr>
                <w:rFonts w:ascii="Times New Roman" w:hAnsi="Times New Roman"/>
                <w:b/>
                <w:bCs/>
                <w:lang w:val="en-US" w:eastAsia="en-US" w:bidi="ur-PK"/>
              </w:rPr>
              <w:t>↓</w:t>
            </w:r>
          </w:p>
        </w:tc>
        <w:tc>
          <w:tcPr>
            <w:tcW w:w="4500" w:type="dxa"/>
            <w:tcBorders>
              <w:top w:val="none" w:sz="0" w:space="0" w:color="FFFFFF"/>
              <w:left w:val="none" w:sz="0" w:space="0" w:color="FFFFFF"/>
              <w:bottom w:val="none" w:sz="0" w:space="0" w:color="FFFFFF"/>
              <w:right w:val="none" w:sz="0" w:space="0" w:color="FFFFFF"/>
            </w:tcBorders>
          </w:tcPr>
          <w:p w14:paraId="1745876B"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33F6590A" w14:textId="77777777" w:rsidTr="000F5408">
        <w:tc>
          <w:tcPr>
            <w:tcW w:w="4500" w:type="dxa"/>
            <w:shd w:val="clear" w:color="auto" w:fill="F2F2F2"/>
            <w:tcMar>
              <w:top w:w="100" w:type="dxa"/>
              <w:left w:w="120" w:type="dxa"/>
              <w:bottom w:w="100" w:type="dxa"/>
              <w:right w:w="120" w:type="dxa"/>
            </w:tcMar>
          </w:tcPr>
          <w:p w14:paraId="102C7F8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Duplicate records removed (via Zotero reference manager) n = 7</w:t>
            </w:r>
          </w:p>
        </w:tc>
        <w:tc>
          <w:tcPr>
            <w:tcW w:w="4500" w:type="dxa"/>
            <w:shd w:val="clear" w:color="auto" w:fill="FFFFFF"/>
            <w:tcMar>
              <w:top w:w="100" w:type="dxa"/>
              <w:left w:w="120" w:type="dxa"/>
              <w:bottom w:w="100" w:type="dxa"/>
              <w:right w:w="120" w:type="dxa"/>
            </w:tcMar>
          </w:tcPr>
          <w:p w14:paraId="1625673D"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28868D6A" w14:textId="77777777" w:rsidTr="000F5408">
        <w:tc>
          <w:tcPr>
            <w:tcW w:w="4500" w:type="dxa"/>
            <w:tcBorders>
              <w:top w:val="none" w:sz="0" w:space="0" w:color="FFFFFF"/>
              <w:left w:val="none" w:sz="0" w:space="0" w:color="FFFFFF"/>
              <w:bottom w:val="none" w:sz="0" w:space="0" w:color="FFFFFF"/>
              <w:right w:val="none" w:sz="0" w:space="0" w:color="FFFFFF"/>
            </w:tcBorders>
          </w:tcPr>
          <w:p w14:paraId="0CC2B239" w14:textId="77777777" w:rsidR="000F5408" w:rsidRPr="000F5408" w:rsidRDefault="000F5408" w:rsidP="000F5408">
            <w:pPr>
              <w:bidi/>
              <w:spacing w:line="240" w:lineRule="auto"/>
              <w:jc w:val="center"/>
              <w:rPr>
                <w:rFonts w:ascii="Times New Roman" w:hAnsi="Times New Roman"/>
                <w:sz w:val="20"/>
                <w:szCs w:val="20"/>
                <w:lang w:val="en-US" w:eastAsia="en-US" w:bidi="ur-PK"/>
              </w:rPr>
            </w:pPr>
            <w:r w:rsidRPr="000F5408">
              <w:rPr>
                <w:rFonts w:ascii="Times New Roman" w:hAnsi="Times New Roman"/>
                <w:b/>
                <w:bCs/>
                <w:lang w:val="en-US" w:eastAsia="en-US" w:bidi="ur-PK"/>
              </w:rPr>
              <w:t>↓</w:t>
            </w:r>
          </w:p>
        </w:tc>
        <w:tc>
          <w:tcPr>
            <w:tcW w:w="4500" w:type="dxa"/>
            <w:tcBorders>
              <w:top w:val="none" w:sz="0" w:space="0" w:color="FFFFFF"/>
              <w:left w:val="none" w:sz="0" w:space="0" w:color="FFFFFF"/>
              <w:bottom w:val="none" w:sz="0" w:space="0" w:color="FFFFFF"/>
              <w:right w:val="none" w:sz="0" w:space="0" w:color="FFFFFF"/>
            </w:tcBorders>
          </w:tcPr>
          <w:p w14:paraId="243BE32A"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18EF6859" w14:textId="77777777" w:rsidTr="000F5408">
        <w:tc>
          <w:tcPr>
            <w:tcW w:w="4500" w:type="dxa"/>
            <w:shd w:val="clear" w:color="auto" w:fill="D9E2F3"/>
            <w:tcMar>
              <w:top w:w="100" w:type="dxa"/>
              <w:left w:w="120" w:type="dxa"/>
              <w:bottom w:w="100" w:type="dxa"/>
              <w:right w:w="120" w:type="dxa"/>
            </w:tcMar>
          </w:tcPr>
          <w:p w14:paraId="4CEBD61A" w14:textId="77777777" w:rsidR="000F5408" w:rsidRPr="000F5408" w:rsidRDefault="000F5408" w:rsidP="000F5408">
            <w:pPr>
              <w:bidi/>
              <w:spacing w:line="240" w:lineRule="auto"/>
              <w:rPr>
                <w:rFonts w:ascii="Times New Roman" w:hAnsi="Times New Roman"/>
                <w:sz w:val="20"/>
                <w:szCs w:val="20"/>
                <w:lang w:val="en-US" w:eastAsia="en-US" w:bidi="ur-PK"/>
              </w:rPr>
            </w:pPr>
            <w:proofErr w:type="gramStart"/>
            <w:r w:rsidRPr="000F5408">
              <w:rPr>
                <w:rFonts w:ascii="Times New Roman" w:hAnsi="Times New Roman"/>
                <w:b/>
                <w:bCs/>
                <w:sz w:val="20"/>
                <w:szCs w:val="20"/>
                <w:lang w:val="en-US" w:eastAsia="en-US" w:bidi="ur-PK"/>
              </w:rPr>
              <w:t>SCREENING  Records</w:t>
            </w:r>
            <w:proofErr w:type="gramEnd"/>
            <w:r w:rsidRPr="000F5408">
              <w:rPr>
                <w:rFonts w:ascii="Times New Roman" w:hAnsi="Times New Roman"/>
                <w:b/>
                <w:bCs/>
                <w:sz w:val="20"/>
                <w:szCs w:val="20"/>
                <w:lang w:val="en-US" w:eastAsia="en-US" w:bidi="ur-PK"/>
              </w:rPr>
              <w:t xml:space="preserve"> screened (title &amp; abstract) n = 367</w:t>
            </w:r>
          </w:p>
        </w:tc>
        <w:tc>
          <w:tcPr>
            <w:tcW w:w="4500" w:type="dxa"/>
            <w:shd w:val="clear" w:color="auto" w:fill="FCE4E4"/>
            <w:tcMar>
              <w:top w:w="100" w:type="dxa"/>
              <w:left w:w="120" w:type="dxa"/>
              <w:bottom w:w="100" w:type="dxa"/>
              <w:right w:w="120" w:type="dxa"/>
            </w:tcMar>
          </w:tcPr>
          <w:p w14:paraId="0E817EF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Records excluded (n = 233) • Not telemedicine/digital health related (150) • Wrong geography – not UK, Pakistan, or comparative (70) • Ineligible publication type (10) • Other (3)</w:t>
            </w:r>
          </w:p>
        </w:tc>
      </w:tr>
      <w:tr w:rsidR="000F5408" w:rsidRPr="000F5408" w14:paraId="48E6786A" w14:textId="77777777" w:rsidTr="000F5408">
        <w:tc>
          <w:tcPr>
            <w:tcW w:w="4500" w:type="dxa"/>
            <w:tcBorders>
              <w:top w:val="none" w:sz="0" w:space="0" w:color="FFFFFF"/>
              <w:left w:val="none" w:sz="0" w:space="0" w:color="FFFFFF"/>
              <w:bottom w:val="none" w:sz="0" w:space="0" w:color="FFFFFF"/>
              <w:right w:val="none" w:sz="0" w:space="0" w:color="FFFFFF"/>
            </w:tcBorders>
          </w:tcPr>
          <w:p w14:paraId="3382E9C9" w14:textId="77777777" w:rsidR="000F5408" w:rsidRPr="000F5408" w:rsidRDefault="000F5408" w:rsidP="000F5408">
            <w:pPr>
              <w:bidi/>
              <w:spacing w:line="240" w:lineRule="auto"/>
              <w:jc w:val="center"/>
              <w:rPr>
                <w:rFonts w:ascii="Times New Roman" w:hAnsi="Times New Roman"/>
                <w:sz w:val="20"/>
                <w:szCs w:val="20"/>
                <w:lang w:val="en-US" w:eastAsia="en-US" w:bidi="ur-PK"/>
              </w:rPr>
            </w:pPr>
            <w:r w:rsidRPr="000F5408">
              <w:rPr>
                <w:rFonts w:ascii="Times New Roman" w:hAnsi="Times New Roman"/>
                <w:b/>
                <w:bCs/>
                <w:lang w:val="en-US" w:eastAsia="en-US" w:bidi="ur-PK"/>
              </w:rPr>
              <w:t>↓</w:t>
            </w:r>
          </w:p>
        </w:tc>
        <w:tc>
          <w:tcPr>
            <w:tcW w:w="4500" w:type="dxa"/>
            <w:tcBorders>
              <w:top w:val="none" w:sz="0" w:space="0" w:color="FFFFFF"/>
              <w:left w:val="none" w:sz="0" w:space="0" w:color="FFFFFF"/>
              <w:bottom w:val="none" w:sz="0" w:space="0" w:color="FFFFFF"/>
              <w:right w:val="none" w:sz="0" w:space="0" w:color="FFFFFF"/>
            </w:tcBorders>
          </w:tcPr>
          <w:p w14:paraId="404F9A7D"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4911D7B4" w14:textId="77777777" w:rsidTr="000F5408">
        <w:tc>
          <w:tcPr>
            <w:tcW w:w="4500" w:type="dxa"/>
            <w:shd w:val="clear" w:color="auto" w:fill="F2F2F2"/>
            <w:tcMar>
              <w:top w:w="100" w:type="dxa"/>
              <w:left w:w="120" w:type="dxa"/>
              <w:bottom w:w="100" w:type="dxa"/>
              <w:right w:w="120" w:type="dxa"/>
            </w:tcMar>
          </w:tcPr>
          <w:p w14:paraId="4CA64D8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Reports sought for retrieval n = 134</w:t>
            </w:r>
          </w:p>
        </w:tc>
        <w:tc>
          <w:tcPr>
            <w:tcW w:w="4500" w:type="dxa"/>
            <w:shd w:val="clear" w:color="auto" w:fill="FFFFFF"/>
            <w:tcMar>
              <w:top w:w="100" w:type="dxa"/>
              <w:left w:w="120" w:type="dxa"/>
              <w:bottom w:w="100" w:type="dxa"/>
              <w:right w:w="120" w:type="dxa"/>
            </w:tcMar>
          </w:tcPr>
          <w:p w14:paraId="22F917C6"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2A6D9EEA" w14:textId="77777777" w:rsidTr="000F5408">
        <w:tc>
          <w:tcPr>
            <w:tcW w:w="4500" w:type="dxa"/>
            <w:tcBorders>
              <w:top w:val="none" w:sz="0" w:space="0" w:color="FFFFFF"/>
              <w:left w:val="none" w:sz="0" w:space="0" w:color="FFFFFF"/>
              <w:bottom w:val="none" w:sz="0" w:space="0" w:color="FFFFFF"/>
              <w:right w:val="none" w:sz="0" w:space="0" w:color="FFFFFF"/>
            </w:tcBorders>
          </w:tcPr>
          <w:p w14:paraId="4C8CE6E3" w14:textId="77777777" w:rsidR="000F5408" w:rsidRPr="000F5408" w:rsidRDefault="000F5408" w:rsidP="000F5408">
            <w:pPr>
              <w:bidi/>
              <w:spacing w:line="240" w:lineRule="auto"/>
              <w:jc w:val="center"/>
              <w:rPr>
                <w:rFonts w:ascii="Times New Roman" w:hAnsi="Times New Roman"/>
                <w:sz w:val="20"/>
                <w:szCs w:val="20"/>
                <w:lang w:val="en-US" w:eastAsia="en-US" w:bidi="ur-PK"/>
              </w:rPr>
            </w:pPr>
            <w:r w:rsidRPr="000F5408">
              <w:rPr>
                <w:rFonts w:ascii="Times New Roman" w:hAnsi="Times New Roman"/>
                <w:b/>
                <w:bCs/>
                <w:lang w:val="en-US" w:eastAsia="en-US" w:bidi="ur-PK"/>
              </w:rPr>
              <w:t>↓</w:t>
            </w:r>
          </w:p>
        </w:tc>
        <w:tc>
          <w:tcPr>
            <w:tcW w:w="4500" w:type="dxa"/>
            <w:tcBorders>
              <w:top w:val="none" w:sz="0" w:space="0" w:color="FFFFFF"/>
              <w:left w:val="none" w:sz="0" w:space="0" w:color="FFFFFF"/>
              <w:bottom w:val="none" w:sz="0" w:space="0" w:color="FFFFFF"/>
              <w:right w:val="none" w:sz="0" w:space="0" w:color="FFFFFF"/>
            </w:tcBorders>
          </w:tcPr>
          <w:p w14:paraId="54826BC7"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6ABC38CB" w14:textId="77777777" w:rsidTr="000F5408">
        <w:tc>
          <w:tcPr>
            <w:tcW w:w="4500" w:type="dxa"/>
            <w:shd w:val="clear" w:color="auto" w:fill="D9E2F3"/>
            <w:tcMar>
              <w:top w:w="100" w:type="dxa"/>
              <w:left w:w="120" w:type="dxa"/>
              <w:bottom w:w="100" w:type="dxa"/>
              <w:right w:w="120" w:type="dxa"/>
            </w:tcMar>
          </w:tcPr>
          <w:p w14:paraId="4E2EEFB2" w14:textId="77777777" w:rsidR="000F5408" w:rsidRDefault="000F5408" w:rsidP="000F5408">
            <w:pPr>
              <w:bidi/>
              <w:spacing w:line="240" w:lineRule="auto"/>
              <w:rPr>
                <w:rFonts w:ascii="Times New Roman" w:hAnsi="Times New Roman"/>
                <w:b/>
                <w:bCs/>
                <w:sz w:val="20"/>
                <w:szCs w:val="20"/>
                <w:lang w:val="en-US" w:eastAsia="en-US" w:bidi="ur-PK"/>
              </w:rPr>
            </w:pPr>
            <w:proofErr w:type="gramStart"/>
            <w:r w:rsidRPr="000F5408">
              <w:rPr>
                <w:rFonts w:ascii="Times New Roman" w:hAnsi="Times New Roman"/>
                <w:b/>
                <w:bCs/>
                <w:sz w:val="20"/>
                <w:szCs w:val="20"/>
                <w:lang w:val="en-US" w:eastAsia="en-US" w:bidi="ur-PK"/>
              </w:rPr>
              <w:t>ELIGIBILITY  Full</w:t>
            </w:r>
            <w:proofErr w:type="gramEnd"/>
            <w:r w:rsidRPr="000F5408">
              <w:rPr>
                <w:rFonts w:ascii="Times New Roman" w:hAnsi="Times New Roman"/>
                <w:b/>
                <w:bCs/>
                <w:sz w:val="20"/>
                <w:szCs w:val="20"/>
                <w:lang w:val="en-US" w:eastAsia="en-US" w:bidi="ur-PK"/>
              </w:rPr>
              <w:t xml:space="preserve"> texts </w:t>
            </w:r>
            <w:r w:rsidR="00810699">
              <w:rPr>
                <w:rFonts w:ascii="Times New Roman" w:hAnsi="Times New Roman"/>
                <w:b/>
                <w:bCs/>
                <w:sz w:val="20"/>
                <w:szCs w:val="20"/>
                <w:lang w:val="en-US" w:eastAsia="en-US" w:bidi="ur-PK"/>
              </w:rPr>
              <w:t>assessed for eligibility n = 133</w:t>
            </w:r>
          </w:p>
          <w:p w14:paraId="79AE6C15" w14:textId="77777777" w:rsidR="00810699" w:rsidRDefault="00810699" w:rsidP="00810699">
            <w:pPr>
              <w:bidi/>
              <w:spacing w:line="240" w:lineRule="auto"/>
              <w:rPr>
                <w:rFonts w:ascii="Times New Roman" w:hAnsi="Times New Roman"/>
                <w:sz w:val="20"/>
                <w:szCs w:val="20"/>
                <w:lang w:val="en-US" w:eastAsia="en-US" w:bidi="ur-PK"/>
              </w:rPr>
            </w:pPr>
          </w:p>
          <w:p w14:paraId="4A7646E2" w14:textId="71AA084B" w:rsidR="00810699" w:rsidRPr="000F5408" w:rsidRDefault="00810699" w:rsidP="00810699">
            <w:pPr>
              <w:bidi/>
              <w:spacing w:line="240" w:lineRule="auto"/>
              <w:jc w:val="right"/>
              <w:rPr>
                <w:rFonts w:ascii="Times New Roman" w:hAnsi="Times New Roman"/>
                <w:sz w:val="20"/>
                <w:szCs w:val="20"/>
                <w:lang w:val="en-US" w:eastAsia="en-US" w:bidi="ur-PK"/>
              </w:rPr>
            </w:pPr>
            <w:r>
              <w:rPr>
                <w:rFonts w:ascii="Times New Roman" w:hAnsi="Times New Roman"/>
                <w:sz w:val="20"/>
                <w:szCs w:val="20"/>
                <w:lang w:val="en-US" w:eastAsia="en-US" w:bidi="ur-PK"/>
              </w:rPr>
              <w:t xml:space="preserve">1 record could not </w:t>
            </w:r>
            <w:proofErr w:type="gramStart"/>
            <w:r>
              <w:rPr>
                <w:rFonts w:ascii="Times New Roman" w:hAnsi="Times New Roman"/>
                <w:sz w:val="20"/>
                <w:szCs w:val="20"/>
                <w:lang w:val="en-US" w:eastAsia="en-US" w:bidi="ur-PK"/>
              </w:rPr>
              <w:t>retrieved</w:t>
            </w:r>
            <w:proofErr w:type="gramEnd"/>
            <w:r>
              <w:rPr>
                <w:rFonts w:ascii="Times New Roman" w:hAnsi="Times New Roman"/>
                <w:sz w:val="20"/>
                <w:szCs w:val="20"/>
                <w:lang w:val="en-US" w:eastAsia="en-US" w:bidi="ur-PK"/>
              </w:rPr>
              <w:t xml:space="preserve"> (removed before)</w:t>
            </w:r>
          </w:p>
        </w:tc>
        <w:tc>
          <w:tcPr>
            <w:tcW w:w="4500" w:type="dxa"/>
            <w:shd w:val="clear" w:color="auto" w:fill="FCE4E4"/>
            <w:tcMar>
              <w:top w:w="100" w:type="dxa"/>
              <w:left w:w="120" w:type="dxa"/>
              <w:bottom w:w="100" w:type="dxa"/>
              <w:right w:w="120" w:type="dxa"/>
            </w:tcMar>
          </w:tcPr>
          <w:p w14:paraId="368A17B5" w14:textId="5B21CDF8" w:rsidR="000F5408" w:rsidRPr="000F5408" w:rsidRDefault="00810699" w:rsidP="000F5408">
            <w:pPr>
              <w:bidi/>
              <w:spacing w:line="240" w:lineRule="auto"/>
              <w:rPr>
                <w:rFonts w:ascii="Times New Roman" w:hAnsi="Times New Roman"/>
                <w:sz w:val="20"/>
                <w:szCs w:val="20"/>
                <w:lang w:val="en-US" w:eastAsia="en-US" w:bidi="ur-PK"/>
              </w:rPr>
            </w:pPr>
            <w:r>
              <w:rPr>
                <w:rFonts w:ascii="Times New Roman" w:hAnsi="Times New Roman"/>
                <w:sz w:val="20"/>
                <w:szCs w:val="20"/>
                <w:lang w:val="en-US" w:eastAsia="en-US" w:bidi="ur-PK"/>
              </w:rPr>
              <w:t>Full texts excluded (n = 101</w:t>
            </w:r>
            <w:r w:rsidR="000F5408" w:rsidRPr="000F5408">
              <w:rPr>
                <w:rFonts w:ascii="Times New Roman" w:hAnsi="Times New Roman"/>
                <w:sz w:val="20"/>
                <w:szCs w:val="20"/>
                <w:lang w:val="en-US" w:eastAsia="en-US" w:bidi="ur-PK"/>
              </w:rPr>
              <w:t>) • Did not meet research aim and eligibility criteria: protocols without results, conceptual/position papers, unrelated populations, or did not a</w:t>
            </w:r>
            <w:r>
              <w:rPr>
                <w:rFonts w:ascii="Times New Roman" w:hAnsi="Times New Roman"/>
                <w:sz w:val="20"/>
                <w:szCs w:val="20"/>
                <w:lang w:val="en-US" w:eastAsia="en-US" w:bidi="ur-PK"/>
              </w:rPr>
              <w:t>ddress telemedicine adoption (67</w:t>
            </w:r>
            <w:r w:rsidR="000F5408" w:rsidRPr="000F5408">
              <w:rPr>
                <w:rFonts w:ascii="Times New Roman" w:hAnsi="Times New Roman"/>
                <w:sz w:val="20"/>
                <w:szCs w:val="20"/>
                <w:lang w:val="en-US" w:eastAsia="en-US" w:bidi="ur-PK"/>
              </w:rPr>
              <w:t>) • Full text unavailable (34)</w:t>
            </w:r>
          </w:p>
        </w:tc>
      </w:tr>
      <w:tr w:rsidR="000F5408" w:rsidRPr="000F5408" w14:paraId="1FA16758" w14:textId="77777777" w:rsidTr="000F5408">
        <w:tc>
          <w:tcPr>
            <w:tcW w:w="4500" w:type="dxa"/>
            <w:tcBorders>
              <w:top w:val="none" w:sz="0" w:space="0" w:color="FFFFFF"/>
              <w:left w:val="none" w:sz="0" w:space="0" w:color="FFFFFF"/>
              <w:bottom w:val="none" w:sz="0" w:space="0" w:color="FFFFFF"/>
              <w:right w:val="none" w:sz="0" w:space="0" w:color="FFFFFF"/>
            </w:tcBorders>
          </w:tcPr>
          <w:p w14:paraId="51DBACDF" w14:textId="77777777" w:rsidR="000F5408" w:rsidRPr="000F5408" w:rsidRDefault="000F5408" w:rsidP="000F5408">
            <w:pPr>
              <w:bidi/>
              <w:spacing w:line="240" w:lineRule="auto"/>
              <w:jc w:val="center"/>
              <w:rPr>
                <w:rFonts w:ascii="Times New Roman" w:hAnsi="Times New Roman"/>
                <w:sz w:val="20"/>
                <w:szCs w:val="20"/>
                <w:lang w:val="en-US" w:eastAsia="en-US" w:bidi="ur-PK"/>
              </w:rPr>
            </w:pPr>
            <w:r w:rsidRPr="000F5408">
              <w:rPr>
                <w:rFonts w:ascii="Times New Roman" w:hAnsi="Times New Roman"/>
                <w:b/>
                <w:bCs/>
                <w:lang w:val="en-US" w:eastAsia="en-US" w:bidi="ur-PK"/>
              </w:rPr>
              <w:t>↓</w:t>
            </w:r>
          </w:p>
        </w:tc>
        <w:tc>
          <w:tcPr>
            <w:tcW w:w="4500" w:type="dxa"/>
            <w:tcBorders>
              <w:top w:val="none" w:sz="0" w:space="0" w:color="FFFFFF"/>
              <w:left w:val="none" w:sz="0" w:space="0" w:color="FFFFFF"/>
              <w:bottom w:val="none" w:sz="0" w:space="0" w:color="FFFFFF"/>
              <w:right w:val="none" w:sz="0" w:space="0" w:color="FFFFFF"/>
            </w:tcBorders>
          </w:tcPr>
          <w:p w14:paraId="7383BAC7" w14:textId="77777777" w:rsidR="000F5408" w:rsidRPr="000F5408" w:rsidRDefault="000F5408" w:rsidP="000F5408">
            <w:pPr>
              <w:bidi/>
              <w:spacing w:line="240" w:lineRule="auto"/>
              <w:rPr>
                <w:rFonts w:ascii="Times New Roman" w:hAnsi="Times New Roman"/>
                <w:sz w:val="20"/>
                <w:szCs w:val="20"/>
                <w:lang w:val="en-US" w:eastAsia="en-US" w:bidi="ur-PK"/>
              </w:rPr>
            </w:pPr>
          </w:p>
        </w:tc>
      </w:tr>
      <w:tr w:rsidR="000F5408" w:rsidRPr="000F5408" w14:paraId="3F1EBBAD" w14:textId="77777777" w:rsidTr="000F5408">
        <w:tc>
          <w:tcPr>
            <w:tcW w:w="4500" w:type="dxa"/>
            <w:shd w:val="clear" w:color="auto" w:fill="D9EAD3"/>
            <w:tcMar>
              <w:top w:w="100" w:type="dxa"/>
              <w:left w:w="120" w:type="dxa"/>
              <w:bottom w:w="100" w:type="dxa"/>
              <w:right w:w="120" w:type="dxa"/>
            </w:tcMar>
          </w:tcPr>
          <w:p w14:paraId="0E0668F9" w14:textId="77777777" w:rsidR="000F5408" w:rsidRPr="000F5408" w:rsidRDefault="000F5408" w:rsidP="000F5408">
            <w:pPr>
              <w:bidi/>
              <w:spacing w:line="240" w:lineRule="auto"/>
              <w:rPr>
                <w:rFonts w:ascii="Times New Roman" w:hAnsi="Times New Roman"/>
                <w:sz w:val="20"/>
                <w:szCs w:val="20"/>
                <w:lang w:val="en-US" w:eastAsia="en-US" w:bidi="ur-PK"/>
              </w:rPr>
            </w:pPr>
            <w:proofErr w:type="gramStart"/>
            <w:r w:rsidRPr="000F5408">
              <w:rPr>
                <w:rFonts w:ascii="Times New Roman" w:hAnsi="Times New Roman"/>
                <w:b/>
                <w:bCs/>
                <w:sz w:val="20"/>
                <w:szCs w:val="20"/>
                <w:lang w:val="en-US" w:eastAsia="en-US" w:bidi="ur-PK"/>
              </w:rPr>
              <w:t>INCLUDED  Studies</w:t>
            </w:r>
            <w:proofErr w:type="gramEnd"/>
            <w:r w:rsidRPr="000F5408">
              <w:rPr>
                <w:rFonts w:ascii="Times New Roman" w:hAnsi="Times New Roman"/>
                <w:b/>
                <w:bCs/>
                <w:sz w:val="20"/>
                <w:szCs w:val="20"/>
                <w:lang w:val="en-US" w:eastAsia="en-US" w:bidi="ur-PK"/>
              </w:rPr>
              <w:t xml:space="preserve"> included in synthesis n = 32</w:t>
            </w:r>
          </w:p>
        </w:tc>
        <w:tc>
          <w:tcPr>
            <w:tcW w:w="4500" w:type="dxa"/>
            <w:shd w:val="clear" w:color="auto" w:fill="FFFFFF"/>
            <w:tcMar>
              <w:top w:w="100" w:type="dxa"/>
              <w:left w:w="120" w:type="dxa"/>
              <w:bottom w:w="100" w:type="dxa"/>
              <w:right w:w="120" w:type="dxa"/>
            </w:tcMar>
          </w:tcPr>
          <w:p w14:paraId="26F5CF4E" w14:textId="77777777" w:rsidR="000F5408" w:rsidRPr="000F5408" w:rsidRDefault="000F5408" w:rsidP="000F5408">
            <w:pPr>
              <w:bidi/>
              <w:spacing w:line="240" w:lineRule="auto"/>
              <w:rPr>
                <w:rFonts w:ascii="Times New Roman" w:hAnsi="Times New Roman"/>
                <w:sz w:val="20"/>
                <w:szCs w:val="20"/>
                <w:lang w:val="en-US" w:eastAsia="en-US" w:bidi="ur-PK"/>
              </w:rPr>
            </w:pPr>
          </w:p>
        </w:tc>
      </w:tr>
    </w:tbl>
    <w:p w14:paraId="1912BB9C" w14:textId="77777777" w:rsidR="000F5408" w:rsidRPr="000F5408" w:rsidRDefault="000F5408" w:rsidP="000F5408">
      <w:pPr>
        <w:bidi/>
        <w:spacing w:before="200" w:after="200" w:line="240" w:lineRule="auto"/>
        <w:rPr>
          <w:rFonts w:ascii="Times New Roman" w:hAnsi="Times New Roman"/>
          <w:sz w:val="20"/>
          <w:szCs w:val="20"/>
          <w:lang w:val="en-US" w:eastAsia="en-US" w:bidi="ur-PK"/>
        </w:rPr>
      </w:pPr>
    </w:p>
    <w:p w14:paraId="7EB4086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As reported in Figure 3.1, 374 records were identified across Scopus (267 UK; 17 Pakistan) and Web of Science (38 UK; 52 Pakistan). Following removal of 7 duplicate records via Zotero, 367 proceeded to title and abstract screening. Of these, 233 were excluded — not telemedicine/digital-health related (150); wrong geographical context (70); ineligible publication type (10); other (3) — leaving 134 records sought for retrieval. Of these, 133 full texts were obtained and assessed for eligibility (one record could not be retrieved at all and was excluded prior to assessment). At full-text eligibility, 101 records were excluded: 34 because the full text could not be obtained in a form suitable for data extraction — including </w:t>
      </w:r>
      <w:proofErr w:type="spellStart"/>
      <w:r w:rsidRPr="000F5408">
        <w:rPr>
          <w:rFonts w:ascii="Times New Roman" w:hAnsi="Times New Roman"/>
          <w:lang w:val="en-US" w:eastAsia="en-US" w:bidi="ur-PK"/>
        </w:rPr>
        <w:t>Ahmer</w:t>
      </w:r>
      <w:proofErr w:type="spellEnd"/>
      <w:r w:rsidRPr="000F5408">
        <w:rPr>
          <w:rFonts w:ascii="Times New Roman" w:hAnsi="Times New Roman"/>
          <w:lang w:val="en-US" w:eastAsia="en-US" w:bidi="ur-PK"/>
        </w:rPr>
        <w:t xml:space="preserve"> et al. (2024), Kumar et al. (2022) and Maqsood et al. (2024) — and 67 for not meeting the eligibility criteria set out in Section 3.8 (</w:t>
      </w:r>
      <w:proofErr w:type="gramStart"/>
      <w:r w:rsidRPr="000F5408">
        <w:rPr>
          <w:rFonts w:ascii="Times New Roman" w:hAnsi="Times New Roman"/>
          <w:lang w:val="en-US" w:eastAsia="en-US" w:bidi="ur-PK"/>
        </w:rPr>
        <w:t>e.g.</w:t>
      </w:r>
      <w:proofErr w:type="gramEnd"/>
      <w:r w:rsidRPr="000F5408">
        <w:rPr>
          <w:rFonts w:ascii="Times New Roman" w:hAnsi="Times New Roman"/>
          <w:lang w:val="en-US" w:eastAsia="en-US" w:bidi="ur-PK"/>
        </w:rPr>
        <w:t xml:space="preserve"> not directly addressing telemedicine adoption, implementation, barriers, facilitators, accessibility, quality, efficiency, or patient satisfaction). This left 32 studies that met all eligibility criteria and were included in the final synthesis presented in Chapter Four.</w:t>
      </w:r>
    </w:p>
    <w:p w14:paraId="5BB2D16C"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2" w:name="_Toc239804224"/>
      <w:r w:rsidRPr="000F5408">
        <w:rPr>
          <w:rFonts w:ascii="Times New Roman" w:hAnsi="Times New Roman"/>
          <w:b/>
          <w:bCs/>
          <w:sz w:val="28"/>
          <w:szCs w:val="28"/>
          <w:lang w:val="en-US" w:eastAsia="en-US" w:bidi="ur-PK"/>
        </w:rPr>
        <w:t>3.10 Quality Assessment of the Included Studies</w:t>
      </w:r>
      <w:bookmarkEnd w:id="32"/>
    </w:p>
    <w:p w14:paraId="7619080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Evaluating the methodological quality of included studies is essential to the credibility and reliability of a systematic review's results (</w:t>
      </w:r>
      <w:proofErr w:type="spellStart"/>
      <w:r w:rsidRPr="000F5408">
        <w:rPr>
          <w:rFonts w:ascii="Times New Roman" w:hAnsi="Times New Roman"/>
          <w:lang w:val="en-US" w:eastAsia="en-US" w:bidi="ur-PK"/>
        </w:rPr>
        <w:t>Aromataris</w:t>
      </w:r>
      <w:proofErr w:type="spellEnd"/>
      <w:r w:rsidRPr="000F5408">
        <w:rPr>
          <w:rFonts w:ascii="Times New Roman" w:hAnsi="Times New Roman"/>
          <w:lang w:val="en-US" w:eastAsia="en-US" w:bidi="ur-PK"/>
        </w:rPr>
        <w:t xml:space="preserve"> and Munn, 2020). Because the shortlisted evidence base spans multiple study designs — quantitative cross-sectional and survey studies, qualitative interview and focus-group studies, mixed-methods studies, and a small number of systematic/scoping reviews and descriptive reports (see Chapter Four, Table 4.1) — a single-design checklist such as CASP or a JBI critical appraisal checklist would require applying a different tool to each design subgroup and reporting results separately, complicating direct comparison across the shortlisted evidence base.</w:t>
      </w:r>
    </w:p>
    <w:p w14:paraId="3956E98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Mixed Methods Appraisal Tool (MMAT) (Hong et al., 2018) was therefore adopted, as it provides a single appraisal framework applicable across qualitative, quantitative descriptive, quantitative non-</w:t>
      </w:r>
      <w:proofErr w:type="spellStart"/>
      <w:r w:rsidRPr="000F5408">
        <w:rPr>
          <w:rFonts w:ascii="Times New Roman" w:hAnsi="Times New Roman"/>
          <w:lang w:val="en-US" w:eastAsia="en-US" w:bidi="ur-PK"/>
        </w:rPr>
        <w:t>randomised</w:t>
      </w:r>
      <w:proofErr w:type="spellEnd"/>
      <w:r w:rsidRPr="000F5408">
        <w:rPr>
          <w:rFonts w:ascii="Times New Roman" w:hAnsi="Times New Roman"/>
          <w:lang w:val="en-US" w:eastAsia="en-US" w:bidi="ur-PK"/>
        </w:rPr>
        <w:t xml:space="preserve">, quantitative </w:t>
      </w:r>
      <w:proofErr w:type="spellStart"/>
      <w:r w:rsidRPr="000F5408">
        <w:rPr>
          <w:rFonts w:ascii="Times New Roman" w:hAnsi="Times New Roman"/>
          <w:lang w:val="en-US" w:eastAsia="en-US" w:bidi="ur-PK"/>
        </w:rPr>
        <w:t>randomised</w:t>
      </w:r>
      <w:proofErr w:type="spellEnd"/>
      <w:r w:rsidRPr="000F5408">
        <w:rPr>
          <w:rFonts w:ascii="Times New Roman" w:hAnsi="Times New Roman"/>
          <w:lang w:val="en-US" w:eastAsia="en-US" w:bidi="ur-PK"/>
        </w:rPr>
        <w:t xml:space="preserve"> controlled, and mixed-methods designs. Each study was first screened against two general screening questions (clarity of the research question and appropriateness of the data collected to answer it), then classified by design category and assessed against the five design-specific MMAT quality criteria for that category (for example, for qualitative studies: appropriateness of the qualitative approach, adequacy of data collection, adequacy of findings from the data, coherence between data, analysis and interpretation, and coherence between qualitative data sources).</w:t>
      </w:r>
    </w:p>
    <w:p w14:paraId="564A0EB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Studies were not excluded on quality grounds alone, consistent with MMAT guidance that overall scores should not be used as a hard exclusion threshold; instead, quality ratings were used to </w:t>
      </w:r>
      <w:proofErr w:type="spellStart"/>
      <w:r w:rsidRPr="000F5408">
        <w:rPr>
          <w:rFonts w:ascii="Times New Roman" w:hAnsi="Times New Roman"/>
          <w:lang w:val="en-US" w:eastAsia="en-US" w:bidi="ur-PK"/>
        </w:rPr>
        <w:t>contextualise</w:t>
      </w:r>
      <w:proofErr w:type="spellEnd"/>
      <w:r w:rsidRPr="000F5408">
        <w:rPr>
          <w:rFonts w:ascii="Times New Roman" w:hAnsi="Times New Roman"/>
          <w:lang w:val="en-US" w:eastAsia="en-US" w:bidi="ur-PK"/>
        </w:rPr>
        <w:t xml:space="preserve"> the weight given to individual findings during thematic synthesis in Chapter Four, and are reported per study, alongside the reviewer's ratings against each criterion, in Appendix B.</w:t>
      </w:r>
    </w:p>
    <w:p w14:paraId="7222D260"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3" w:name="_Toc239804225"/>
      <w:r w:rsidRPr="000F5408">
        <w:rPr>
          <w:rFonts w:ascii="Times New Roman" w:hAnsi="Times New Roman"/>
          <w:b/>
          <w:bCs/>
          <w:sz w:val="28"/>
          <w:szCs w:val="28"/>
          <w:lang w:val="en-US" w:eastAsia="en-US" w:bidi="ur-PK"/>
        </w:rPr>
        <w:lastRenderedPageBreak/>
        <w:t>3.11 Data Extraction</w:t>
      </w:r>
      <w:bookmarkEnd w:id="33"/>
    </w:p>
    <w:p w14:paraId="3CED958D"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Following quality appraisal, data were systematically extracted using a structured extraction form to ensure consistency and </w:t>
      </w:r>
      <w:proofErr w:type="spellStart"/>
      <w:r w:rsidRPr="000F5408">
        <w:rPr>
          <w:rFonts w:ascii="Times New Roman" w:hAnsi="Times New Roman"/>
          <w:lang w:val="en-US" w:eastAsia="en-US" w:bidi="ur-PK"/>
        </w:rPr>
        <w:t>minimise</w:t>
      </w:r>
      <w:proofErr w:type="spellEnd"/>
      <w:r w:rsidRPr="000F5408">
        <w:rPr>
          <w:rFonts w:ascii="Times New Roman" w:hAnsi="Times New Roman"/>
          <w:lang w:val="en-US" w:eastAsia="en-US" w:bidi="ur-PK"/>
        </w:rPr>
        <w:t xml:space="preserve"> researcher bias (Page et al., 2021). The following information was collected from each study: author(s); publication year; country; research aim; research design; healthcare setting; sample characteristics (where applicable); key findings; drivers of telemedicine adoption; barriers to implementation; healthcare outcomes; policy implications; and study limitations.</w:t>
      </w:r>
    </w:p>
    <w:p w14:paraId="018F12A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Extracted data were </w:t>
      </w:r>
      <w:proofErr w:type="spellStart"/>
      <w:r w:rsidRPr="000F5408">
        <w:rPr>
          <w:rFonts w:ascii="Times New Roman" w:hAnsi="Times New Roman"/>
          <w:lang w:val="en-US" w:eastAsia="en-US" w:bidi="ur-PK"/>
        </w:rPr>
        <w:t>organised</w:t>
      </w:r>
      <w:proofErr w:type="spellEnd"/>
      <w:r w:rsidRPr="000F5408">
        <w:rPr>
          <w:rFonts w:ascii="Times New Roman" w:hAnsi="Times New Roman"/>
          <w:lang w:val="en-US" w:eastAsia="en-US" w:bidi="ur-PK"/>
        </w:rPr>
        <w:t xml:space="preserve"> into summary tables using Microsoft Excel to facilitate comparison between UK and Pakistani studies. Studies were re-read as necessary to verify interpretation and ensure the accuracy and completeness of the extracted information.</w:t>
      </w:r>
    </w:p>
    <w:p w14:paraId="68CA33C7"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4" w:name="_Toc239804226"/>
      <w:r w:rsidRPr="000F5408">
        <w:rPr>
          <w:rFonts w:ascii="Times New Roman" w:hAnsi="Times New Roman"/>
          <w:b/>
          <w:bCs/>
          <w:sz w:val="28"/>
          <w:szCs w:val="28"/>
          <w:lang w:val="en-US" w:eastAsia="en-US" w:bidi="ur-PK"/>
        </w:rPr>
        <w:t>3.12 Data Analysis Method</w:t>
      </w:r>
      <w:bookmarkEnd w:id="34"/>
    </w:p>
    <w:p w14:paraId="30314737"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Thematic analysis, a </w:t>
      </w:r>
      <w:proofErr w:type="spellStart"/>
      <w:r w:rsidRPr="000F5408">
        <w:rPr>
          <w:rFonts w:ascii="Times New Roman" w:hAnsi="Times New Roman"/>
          <w:lang w:val="en-US" w:eastAsia="en-US" w:bidi="ur-PK"/>
        </w:rPr>
        <w:t>recognised</w:t>
      </w:r>
      <w:proofErr w:type="spellEnd"/>
      <w:r w:rsidRPr="000F5408">
        <w:rPr>
          <w:rFonts w:ascii="Times New Roman" w:hAnsi="Times New Roman"/>
          <w:lang w:val="en-US" w:eastAsia="en-US" w:bidi="ur-PK"/>
        </w:rPr>
        <w:t xml:space="preserve"> method for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qualitative evidence across multiple studies (Braun and Clarke, 2022), was used to </w:t>
      </w:r>
      <w:proofErr w:type="spellStart"/>
      <w:r w:rsidRPr="000F5408">
        <w:rPr>
          <w:rFonts w:ascii="Times New Roman" w:hAnsi="Times New Roman"/>
          <w:lang w:val="en-US" w:eastAsia="en-US" w:bidi="ur-PK"/>
        </w:rPr>
        <w:t>analyse</w:t>
      </w:r>
      <w:proofErr w:type="spellEnd"/>
      <w:r w:rsidRPr="000F5408">
        <w:rPr>
          <w:rFonts w:ascii="Times New Roman" w:hAnsi="Times New Roman"/>
          <w:lang w:val="en-US" w:eastAsia="en-US" w:bidi="ur-PK"/>
        </w:rPr>
        <w:t xml:space="preserve"> the extracted data. Thematic analysis differs from meta-analysis in that it </w:t>
      </w:r>
      <w:proofErr w:type="spellStart"/>
      <w:r w:rsidRPr="000F5408">
        <w:rPr>
          <w:rFonts w:ascii="Times New Roman" w:hAnsi="Times New Roman"/>
          <w:lang w:val="en-US" w:eastAsia="en-US" w:bidi="ur-PK"/>
        </w:rPr>
        <w:t>synthesises</w:t>
      </w:r>
      <w:proofErr w:type="spellEnd"/>
      <w:r w:rsidRPr="000F5408">
        <w:rPr>
          <w:rFonts w:ascii="Times New Roman" w:hAnsi="Times New Roman"/>
          <w:lang w:val="en-US" w:eastAsia="en-US" w:bidi="ur-PK"/>
        </w:rPr>
        <w:t xml:space="preserve"> recurring patterns and concepts rather than statistical results, preserving contextual differences between studies — an approach well suited to the methodological heterogeneity, differing healthcare contexts, and varied outcome measures across the included studies.</w:t>
      </w:r>
    </w:p>
    <w:p w14:paraId="6D85D9D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analysis followed Braun and Clarke's (2022) six-stage framework: (1) </w:t>
      </w:r>
      <w:proofErr w:type="spellStart"/>
      <w:r w:rsidRPr="000F5408">
        <w:rPr>
          <w:rFonts w:ascii="Times New Roman" w:hAnsi="Times New Roman"/>
          <w:lang w:val="en-US" w:eastAsia="en-US" w:bidi="ur-PK"/>
        </w:rPr>
        <w:t>familiarisation</w:t>
      </w:r>
      <w:proofErr w:type="spellEnd"/>
      <w:r w:rsidRPr="000F5408">
        <w:rPr>
          <w:rFonts w:ascii="Times New Roman" w:hAnsi="Times New Roman"/>
          <w:lang w:val="en-US" w:eastAsia="en-US" w:bidi="ur-PK"/>
        </w:rPr>
        <w:t xml:space="preserve"> through repeated reading of included studies; (2) initial coding of findings relevant to the research objectives; (3) theme development, grouping related codes into broader themes; (4) theme review, refining themes and removing overlap; (5) theme definition, clearly defining each theme for consistency; and (6) interpretation and synthesis, comparing themes across the UK and Pakistan to develop evidence-based conclusions.</w:t>
      </w:r>
    </w:p>
    <w:p w14:paraId="4302737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Themes were identified relating to: drivers of telemedicine adoption; implementation barriers; healthcare accessibility;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patient satisfaction; healthcare efficiency; and policy and regulatory frameworks. Thematic analysis complements the interpretivist philosophy adopted in this study by enabling detailed interpretation of the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technological, and policy influences on telemedicine implementation.</w:t>
      </w:r>
    </w:p>
    <w:p w14:paraId="50150B07"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5" w:name="_Toc239804227"/>
      <w:r w:rsidRPr="000F5408">
        <w:rPr>
          <w:rFonts w:ascii="Times New Roman" w:hAnsi="Times New Roman"/>
          <w:b/>
          <w:bCs/>
          <w:sz w:val="28"/>
          <w:szCs w:val="28"/>
          <w:lang w:val="en-US" w:eastAsia="en-US" w:bidi="ur-PK"/>
        </w:rPr>
        <w:t>3.13 Ethical Considerations</w:t>
      </w:r>
      <w:bookmarkEnd w:id="35"/>
    </w:p>
    <w:p w14:paraId="5254E11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Ethical principles were upheld throughout, despite the exclusive use of secondary data. Formal ethical approval was not required, as no interviews, surveys, or observations were conducted; the study nonetheless followed principles of academic integrity, transparency, honesty, and responsible scholarship (Saunders et al., 2023). Ethical practice was ensured by relying only on publicly available literature and official publications; citing all sources using the Harvard referencing system; reporting </w:t>
      </w:r>
      <w:r w:rsidRPr="000F5408">
        <w:rPr>
          <w:rFonts w:ascii="Times New Roman" w:hAnsi="Times New Roman"/>
          <w:lang w:val="en-US" w:eastAsia="en-US" w:bidi="ur-PK"/>
        </w:rPr>
        <w:lastRenderedPageBreak/>
        <w:t xml:space="preserve">results without selective reporting; and recording every step of the review process to ensure transparency and reproducibility. These measures </w:t>
      </w:r>
      <w:proofErr w:type="spellStart"/>
      <w:r w:rsidRPr="000F5408">
        <w:rPr>
          <w:rFonts w:ascii="Times New Roman" w:hAnsi="Times New Roman"/>
          <w:lang w:val="en-US" w:eastAsia="en-US" w:bidi="ur-PK"/>
        </w:rPr>
        <w:t>minimised</w:t>
      </w:r>
      <w:proofErr w:type="spellEnd"/>
      <w:r w:rsidRPr="000F5408">
        <w:rPr>
          <w:rFonts w:ascii="Times New Roman" w:hAnsi="Times New Roman"/>
          <w:lang w:val="en-US" w:eastAsia="en-US" w:bidi="ur-PK"/>
        </w:rPr>
        <w:t xml:space="preserve"> the risk of plagiarism, researcher bias, and misrepresentation of published evidence.</w:t>
      </w:r>
    </w:p>
    <w:p w14:paraId="1D4CD9A6"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6" w:name="_Toc239804228"/>
      <w:r w:rsidRPr="000F5408">
        <w:rPr>
          <w:rFonts w:ascii="Times New Roman" w:hAnsi="Times New Roman"/>
          <w:b/>
          <w:bCs/>
          <w:sz w:val="28"/>
          <w:szCs w:val="28"/>
          <w:lang w:val="en-US" w:eastAsia="en-US" w:bidi="ur-PK"/>
        </w:rPr>
        <w:t>3.14 Reliability, Validity and Trustworthiness</w:t>
      </w:r>
      <w:bookmarkEnd w:id="36"/>
    </w:p>
    <w:p w14:paraId="28466D0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Research quality in a systematic literature review depends on the quality of the evidence included and the transparency of the review process. Reliability was supported through predetermined search strategies, clearly defined eligibility criteria, </w:t>
      </w:r>
      <w:proofErr w:type="spellStart"/>
      <w:r w:rsidRPr="000F5408">
        <w:rPr>
          <w:rFonts w:ascii="Times New Roman" w:hAnsi="Times New Roman"/>
          <w:lang w:val="en-US" w:eastAsia="en-US" w:bidi="ur-PK"/>
        </w:rPr>
        <w:t>standardised</w:t>
      </w:r>
      <w:proofErr w:type="spellEnd"/>
      <w:r w:rsidRPr="000F5408">
        <w:rPr>
          <w:rFonts w:ascii="Times New Roman" w:hAnsi="Times New Roman"/>
          <w:lang w:val="en-US" w:eastAsia="en-US" w:bidi="ur-PK"/>
        </w:rPr>
        <w:t xml:space="preserve"> data extraction, systematic quality assessment, and adherence to PRISMA 2020 guidelines (Saunders et al., 2023). Validity was supported by selecting studies directly relevant to telemedicine adoption and digital health transformation, with findings drawn from a variety of healthcare settings and internationally </w:t>
      </w:r>
      <w:proofErr w:type="spellStart"/>
      <w:r w:rsidRPr="000F5408">
        <w:rPr>
          <w:rFonts w:ascii="Times New Roman" w:hAnsi="Times New Roman"/>
          <w:lang w:val="en-US" w:eastAsia="en-US" w:bidi="ur-PK"/>
        </w:rPr>
        <w:t>recognised</w:t>
      </w:r>
      <w:proofErr w:type="spellEnd"/>
      <w:r w:rsidRPr="000F5408">
        <w:rPr>
          <w:rFonts w:ascii="Times New Roman" w:hAnsi="Times New Roman"/>
          <w:lang w:val="en-US" w:eastAsia="en-US" w:bidi="ur-PK"/>
        </w:rPr>
        <w:t xml:space="preserve"> databases to enhance applicability.</w:t>
      </w:r>
    </w:p>
    <w:p w14:paraId="30D26AF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Following Lincoln and Guba (1985), trustworthiness was addressed through four criteria: credibility, achieved through thorough database searches, peer-reviewed literature, and comparison across independent studies; transferability, supported by detailed descriptions of healthcare contexts in the UK and Pakistan; dependability, enhanced through a clear, documented review process; and confirmability, achieved by grounding conclusions in published evidence rather than personal interpretation.</w:t>
      </w:r>
    </w:p>
    <w:p w14:paraId="135E0DAD" w14:textId="77777777" w:rsidR="000F5408" w:rsidRPr="000F5408" w:rsidRDefault="000F5408" w:rsidP="000F5408">
      <w:pPr>
        <w:spacing w:before="320" w:after="200" w:line="240" w:lineRule="auto"/>
        <w:outlineLvl w:val="0"/>
        <w:rPr>
          <w:rFonts w:ascii="Times New Roman" w:hAnsi="Times New Roman"/>
          <w:sz w:val="32"/>
          <w:szCs w:val="32"/>
          <w:lang w:val="en-US" w:eastAsia="en-US" w:bidi="ur-PK"/>
        </w:rPr>
      </w:pPr>
      <w:bookmarkStart w:id="37" w:name="_Toc239804229"/>
      <w:r w:rsidRPr="000F5408">
        <w:rPr>
          <w:rFonts w:ascii="Times New Roman" w:hAnsi="Times New Roman"/>
          <w:b/>
          <w:bCs/>
          <w:sz w:val="28"/>
          <w:szCs w:val="28"/>
          <w:lang w:val="en-US" w:eastAsia="en-US" w:bidi="ur-PK"/>
        </w:rPr>
        <w:t>3.15 Chapter Summary</w:t>
      </w:r>
      <w:bookmarkEnd w:id="37"/>
    </w:p>
    <w:p w14:paraId="1A3F6311"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chapter has introduced the methodological approach used to examine telemedicine adoption in the United Kingdom and Pakistan through a qualitative systematic literature review. An interpretivist philosophy and inductive approach were adopted to support interpretation of evidence from diverse healthcare settings, and the review followed PRISMA 2020 guidelines to ensure methodological transparency and </w:t>
      </w:r>
      <w:proofErr w:type="spellStart"/>
      <w:r w:rsidRPr="000F5408">
        <w:rPr>
          <w:rFonts w:ascii="Times New Roman" w:hAnsi="Times New Roman"/>
          <w:lang w:val="en-US" w:eastAsia="en-US" w:bidi="ur-PK"/>
        </w:rPr>
        <w:t>rigour</w:t>
      </w:r>
      <w:proofErr w:type="spellEnd"/>
      <w:r w:rsidRPr="000F5408">
        <w:rPr>
          <w:rFonts w:ascii="Times New Roman" w:hAnsi="Times New Roman"/>
          <w:lang w:val="en-US" w:eastAsia="en-US" w:bidi="ur-PK"/>
        </w:rPr>
        <w:t>.</w:t>
      </w:r>
    </w:p>
    <w:p w14:paraId="0CC8460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chapter described the research strategy, data sources, search procedures with full reproducible search strings for both databases searched, inclusion and exclusion criteria, the Mixed Methods Appraisal Tool used for quality appraisal, data extraction, thematic analysis, ethical considerations, and the measures taken to ensure reliability, validity, and trustworthiness. The use of two databases rather than three or more is acknowledged directly as a limitation (Sections 3.6 and 5.6) rather than left unaddressed. Together, these processes constitute a strengthened, transparent approach for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current evidence on telemedicine adoption. The results of the systematic literature review are presented in the following chapter using thematic analysis and a comparison of implementation drivers, barriers, healthcare outcomes, and policy implications between the United Kingdom and Pakistan.</w:t>
      </w:r>
    </w:p>
    <w:p w14:paraId="7A32BBD3" w14:textId="77777777" w:rsidR="000F5408" w:rsidRPr="000F5408" w:rsidRDefault="000F5408" w:rsidP="000F5408">
      <w:pPr>
        <w:spacing w:after="200" w:line="360" w:lineRule="auto"/>
        <w:jc w:val="both"/>
        <w:rPr>
          <w:rFonts w:ascii="Times New Roman" w:hAnsi="Times New Roman"/>
          <w:lang w:val="en-US" w:eastAsia="en-US" w:bidi="ur-PK"/>
        </w:rPr>
      </w:pPr>
    </w:p>
    <w:p w14:paraId="075C8C96" w14:textId="77777777" w:rsidR="000F5408" w:rsidRPr="000F5408" w:rsidRDefault="000F5408" w:rsidP="000F5408">
      <w:pPr>
        <w:spacing w:after="200" w:line="360" w:lineRule="auto"/>
        <w:jc w:val="both"/>
        <w:rPr>
          <w:rFonts w:ascii="Times New Roman" w:hAnsi="Times New Roman"/>
          <w:lang w:val="en-US" w:eastAsia="en-US" w:bidi="ur-PK"/>
        </w:rPr>
      </w:pPr>
    </w:p>
    <w:p w14:paraId="6A895A14" w14:textId="77777777" w:rsidR="000F5408" w:rsidRPr="000F5408" w:rsidRDefault="000F5408" w:rsidP="000F5408">
      <w:pPr>
        <w:bidi/>
        <w:spacing w:after="400" w:line="240" w:lineRule="auto"/>
        <w:rPr>
          <w:rFonts w:ascii="Times New Roman" w:hAnsi="Times New Roman"/>
          <w:lang w:val="en-US" w:eastAsia="en-US" w:bidi="ur-PK"/>
        </w:rPr>
      </w:pPr>
    </w:p>
    <w:p w14:paraId="325195D2" w14:textId="77777777" w:rsidR="000F5408" w:rsidRPr="000F5408" w:rsidRDefault="000F5408" w:rsidP="000F5408">
      <w:pPr>
        <w:bidi/>
        <w:spacing w:after="400" w:line="240" w:lineRule="auto"/>
        <w:jc w:val="center"/>
        <w:rPr>
          <w:rFonts w:ascii="Times New Roman" w:hAnsi="Times New Roman"/>
          <w:sz w:val="20"/>
          <w:szCs w:val="20"/>
          <w:lang w:val="en-US" w:eastAsia="en-US" w:bidi="ur-PK"/>
        </w:rPr>
      </w:pPr>
      <w:r w:rsidRPr="000F5408">
        <w:rPr>
          <w:rFonts w:ascii="Times New Roman" w:hAnsi="Times New Roman"/>
          <w:b/>
          <w:bCs/>
          <w:sz w:val="32"/>
          <w:szCs w:val="32"/>
          <w:lang w:val="en-US" w:eastAsia="en-US" w:bidi="ur-PK"/>
        </w:rPr>
        <w:t>CHAPTER FOUR: FINDINGS AND THEMATIC ANALYSIS</w:t>
      </w:r>
    </w:p>
    <w:p w14:paraId="7EED69FC"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38" w:name="_Toc239804230"/>
      <w:r w:rsidRPr="000F5408">
        <w:rPr>
          <w:rFonts w:ascii="Times New Roman" w:hAnsi="Times New Roman"/>
          <w:b/>
          <w:bCs/>
          <w:sz w:val="26"/>
          <w:szCs w:val="26"/>
          <w:lang w:val="en-US" w:eastAsia="en-US" w:bidi="ur-PK"/>
        </w:rPr>
        <w:t>4.1 Introduction</w:t>
      </w:r>
      <w:bookmarkEnd w:id="38"/>
    </w:p>
    <w:p w14:paraId="07D4E4A8" w14:textId="437A9489" w:rsidR="005F4E39" w:rsidRPr="005F4E39" w:rsidRDefault="000F5408" w:rsidP="005F4E39">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 xml:space="preserve">This chapter presents the findings of the systematic review of the 32 shortlisted studies on telemedicine adoption and digital health transformation in the United Kingdom (UK) and Pakistan. The studies were </w:t>
      </w:r>
      <w:proofErr w:type="spellStart"/>
      <w:r w:rsidRPr="000F5408">
        <w:rPr>
          <w:rFonts w:ascii="Times New Roman" w:hAnsi="Times New Roman"/>
          <w:lang w:val="en-US" w:eastAsia="en-US" w:bidi="ur-PK"/>
        </w:rPr>
        <w:t>analysed</w:t>
      </w:r>
      <w:proofErr w:type="spellEnd"/>
      <w:r w:rsidRPr="000F5408">
        <w:rPr>
          <w:rFonts w:ascii="Times New Roman" w:hAnsi="Times New Roman"/>
          <w:lang w:val="en-US" w:eastAsia="en-US" w:bidi="ur-PK"/>
        </w:rPr>
        <w:t xml:space="preserve"> thematically, drawing on the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individual/provider, patient/socioeconomic, and regulatory dimensions that recur across the digital health implementation literature (e.g. the Non-adoption, Abandonment, Scale-up, Spread and Sustainability (NASSS) framework used by Jarvis et al. (2025), the </w:t>
      </w:r>
      <w:proofErr w:type="spellStart"/>
      <w:r w:rsidRPr="000F5408">
        <w:rPr>
          <w:rFonts w:ascii="Times New Roman" w:hAnsi="Times New Roman"/>
          <w:lang w:val="en-US" w:eastAsia="en-US" w:bidi="ur-PK"/>
        </w:rPr>
        <w:t>Normalisation</w:t>
      </w:r>
      <w:proofErr w:type="spellEnd"/>
      <w:r w:rsidRPr="000F5408">
        <w:rPr>
          <w:rFonts w:ascii="Times New Roman" w:hAnsi="Times New Roman"/>
          <w:lang w:val="en-US" w:eastAsia="en-US" w:bidi="ur-PK"/>
        </w:rPr>
        <w:t xml:space="preserve"> Process Theory (NPT) applied by Abdi et al. (2025), and the Consolidated Framework for Implementation Research (CFIR) used by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 The chapt</w:t>
      </w:r>
      <w:r w:rsidR="005F4E39">
        <w:rPr>
          <w:rFonts w:ascii="Times New Roman" w:hAnsi="Times New Roman"/>
          <w:lang w:val="en-US" w:eastAsia="en-US" w:bidi="ur-PK"/>
        </w:rPr>
        <w:t>er is structured around the six</w:t>
      </w:r>
      <w:r w:rsidRPr="000F5408">
        <w:rPr>
          <w:rFonts w:ascii="Times New Roman" w:hAnsi="Times New Roman"/>
          <w:lang w:val="en-US" w:eastAsia="en-US" w:bidi="ur-PK"/>
        </w:rPr>
        <w:t xml:space="preserve"> research questions set out in Chapter O</w:t>
      </w:r>
      <w:r w:rsidR="005F4E39">
        <w:rPr>
          <w:rFonts w:ascii="Times New Roman" w:hAnsi="Times New Roman"/>
          <w:lang w:val="en-US" w:eastAsia="en-US" w:bidi="ur-PK"/>
        </w:rPr>
        <w:t xml:space="preserve">ne: </w:t>
      </w:r>
      <w:r w:rsidR="005F4E39" w:rsidRPr="005F4E39">
        <w:rPr>
          <w:rFonts w:ascii="Times New Roman" w:hAnsi="Times New Roman"/>
          <w:lang w:eastAsia="en-US" w:bidi="ur-PK"/>
        </w:rPr>
        <w:t>the theoretical frameworks underpinning telemedicine adoption and their ability to explain system-level outcomes (RQ1); the factors affecting telemedicine adoption in the UK and Pakistan (RQ2); the similarities and differences in implementation barriers between the two health systems (RQ3); the impacts of telemedicine on accessibility, efficiency, quality of care and patient satisfaction (RQ4); gaps in the existing literature and policy evidence (RQ5); and recommendations for strengthening digital health transformation and telemedicine adoption, particularly in Pakistan (RQ6).</w:t>
      </w:r>
    </w:p>
    <w:p w14:paraId="4953D81F" w14:textId="28881686" w:rsidR="000F5408" w:rsidRPr="000F5408" w:rsidRDefault="000F5408" w:rsidP="005F4E39">
      <w:pPr>
        <w:spacing w:after="200" w:line="360" w:lineRule="auto"/>
        <w:jc w:val="both"/>
        <w:rPr>
          <w:rFonts w:ascii="Times New Roman" w:hAnsi="Times New Roman"/>
          <w:sz w:val="20"/>
          <w:szCs w:val="20"/>
          <w:lang w:val="en-US" w:eastAsia="en-US" w:bidi="ur-PK"/>
        </w:rPr>
      </w:pPr>
      <w:r w:rsidRPr="000F5408">
        <w:rPr>
          <w:rFonts w:ascii="Times New Roman" w:hAnsi="Times New Roman"/>
          <w:b/>
          <w:bCs/>
          <w:i/>
          <w:iCs/>
          <w:lang w:val="en-US" w:eastAsia="en-US" w:bidi="ur-PK"/>
        </w:rPr>
        <w:t>4.1.1 Approach to Theme Generation and Coding</w:t>
      </w:r>
    </w:p>
    <w:p w14:paraId="30970A9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Themes were generated following the six-stage thematic analysis process described in Section 3.12 (Braun and Clarke, 2022), applied here across the 32 shortlisted studies rather than within a single dataset. During </w:t>
      </w:r>
      <w:proofErr w:type="spellStart"/>
      <w:r w:rsidRPr="000F5408">
        <w:rPr>
          <w:rFonts w:ascii="Times New Roman" w:hAnsi="Times New Roman"/>
          <w:lang w:val="en-US" w:eastAsia="en-US" w:bidi="ur-PK"/>
        </w:rPr>
        <w:t>familiarisation</w:t>
      </w:r>
      <w:proofErr w:type="spellEnd"/>
      <w:r w:rsidRPr="000F5408">
        <w:rPr>
          <w:rFonts w:ascii="Times New Roman" w:hAnsi="Times New Roman"/>
          <w:lang w:val="en-US" w:eastAsia="en-US" w:bidi="ur-PK"/>
        </w:rPr>
        <w:t xml:space="preserve"> and initial coding, findings extracted from each study using the structured extraction form (Section 3.11) were coded at the level of the specific factor, barrier, or outcome reported — for example, "inadequate internet access" (Khurram et al., 2024) and "unreliable internet, electricity shortages" (Khan et al., 2025) were coded separately at first, then grouped, along with related codes from </w:t>
      </w: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et al. (2021) and </w:t>
      </w:r>
      <w:proofErr w:type="spellStart"/>
      <w:r w:rsidRPr="000F5408">
        <w:rPr>
          <w:rFonts w:ascii="Times New Roman" w:hAnsi="Times New Roman"/>
          <w:lang w:val="en-US" w:eastAsia="en-US" w:bidi="ur-PK"/>
        </w:rPr>
        <w:t>Kazi</w:t>
      </w:r>
      <w:proofErr w:type="spellEnd"/>
      <w:r w:rsidRPr="000F5408">
        <w:rPr>
          <w:rFonts w:ascii="Times New Roman" w:hAnsi="Times New Roman"/>
          <w:lang w:val="en-US" w:eastAsia="en-US" w:bidi="ur-PK"/>
        </w:rPr>
        <w:t xml:space="preserve"> et al. (2020), under the broader code "infrastructure reliability."</w:t>
      </w:r>
    </w:p>
    <w:p w14:paraId="2D7DD07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During theme development, related codes were grouped into candidate themes and cross-checked for recurrence across both the UK and Pakistani evidence bases: "infrastructure reliability," together with codes on platform interoperability and information governance drawn from the UK studies (</w:t>
      </w:r>
      <w:proofErr w:type="gramStart"/>
      <w:r w:rsidRPr="000F5408">
        <w:rPr>
          <w:rFonts w:ascii="Times New Roman" w:hAnsi="Times New Roman"/>
          <w:lang w:val="en-US" w:eastAsia="en-US" w:bidi="ur-PK"/>
        </w:rPr>
        <w:t>e.g.</w:t>
      </w:r>
      <w:proofErr w:type="gramEnd"/>
      <w:r w:rsidRPr="000F5408">
        <w:rPr>
          <w:rFonts w:ascii="Times New Roman" w:hAnsi="Times New Roman"/>
          <w:lang w:val="en-US" w:eastAsia="en-US" w:bidi="ur-PK"/>
        </w:rPr>
        <w:t xml:space="preserve"> Morris et al., 2023; Jarvis et al., 2025), was consolidated into the broader Technological Factors theme reported in Section 4.3.1. Similarly, codes concerning clinician training gaps, career-stage knowledge gradients, and prior pandemic-era experience were consolidated into the Individual and Provider-Level Factors theme (Section 4.3.3), while codes concerning statutory data governance, accreditation, and medico-</w:t>
      </w:r>
      <w:r w:rsidRPr="000F5408">
        <w:rPr>
          <w:rFonts w:ascii="Times New Roman" w:hAnsi="Times New Roman"/>
          <w:lang w:val="en-US" w:eastAsia="en-US" w:bidi="ur-PK"/>
        </w:rPr>
        <w:lastRenderedPageBreak/>
        <w:t>legal risk were consolidated into the Regulatory and Policy Factors theme (Section 4.3.5), given its centrality to the UK–Pakistan comparison established in Chapter One.</w:t>
      </w:r>
    </w:p>
    <w:p w14:paraId="4EB44DD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During theme review and definition, candidate themes were checked against the theoretical frameworks discussed in Chapter Two (TAM, UTAUT, DOI) and the implementation-science frameworks used within the primary studies themselves (NASSS, NPT, CFIR), to ensure that each theme could be defined with reference to an existing conceptual vocabulary rather than an ad hoc label; this cross-referencing step is reported explicitly for each theme, in the Theoretical Integration paragraphs that close Sections 4.3, 4.4 and 4.5 below. Finally, in the interpretation and synthesis stage, themes were compared across the UK and Pakistani evidence bases to identify where the same theme carried a different substantive meaning in each context (for example,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concerning NHS workflow integration in the UK versus public/private sector capacity in Pakistan) — a distinction reported throughout Section 4.3 and </w:t>
      </w:r>
      <w:proofErr w:type="spellStart"/>
      <w:r w:rsidRPr="000F5408">
        <w:rPr>
          <w:rFonts w:ascii="Times New Roman" w:hAnsi="Times New Roman"/>
          <w:lang w:val="en-US" w:eastAsia="en-US" w:bidi="ur-PK"/>
        </w:rPr>
        <w:t>summarised</w:t>
      </w:r>
      <w:proofErr w:type="spellEnd"/>
      <w:r w:rsidRPr="000F5408">
        <w:rPr>
          <w:rFonts w:ascii="Times New Roman" w:hAnsi="Times New Roman"/>
          <w:lang w:val="en-US" w:eastAsia="en-US" w:bidi="ur-PK"/>
        </w:rPr>
        <w:t xml:space="preserve"> in Table 4.2.</w:t>
      </w:r>
    </w:p>
    <w:p w14:paraId="761BD3D3"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39" w:name="_Toc239804231"/>
      <w:r w:rsidRPr="000F5408">
        <w:rPr>
          <w:rFonts w:ascii="Times New Roman" w:hAnsi="Times New Roman"/>
          <w:b/>
          <w:bCs/>
          <w:sz w:val="26"/>
          <w:szCs w:val="26"/>
          <w:lang w:val="en-US" w:eastAsia="en-US" w:bidi="ur-PK"/>
        </w:rPr>
        <w:t>4.2 Characteristics of the Included Studies</w:t>
      </w:r>
      <w:bookmarkEnd w:id="39"/>
    </w:p>
    <w:p w14:paraId="249A3CDE"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Of the 32 shortlisted articles, 17 were conducted in, or reported evidence from, the UK/NHS context (Abdi et al., 2025;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 2024; Anchors et al., 2023; </w:t>
      </w:r>
      <w:proofErr w:type="spellStart"/>
      <w:r w:rsidRPr="000F5408">
        <w:rPr>
          <w:rFonts w:ascii="Times New Roman" w:hAnsi="Times New Roman"/>
          <w:lang w:val="en-US" w:eastAsia="en-US" w:bidi="ur-PK"/>
        </w:rPr>
        <w:t>Chadd</w:t>
      </w:r>
      <w:proofErr w:type="spellEnd"/>
      <w:r w:rsidRPr="000F5408">
        <w:rPr>
          <w:rFonts w:ascii="Times New Roman" w:hAnsi="Times New Roman"/>
          <w:lang w:val="en-US" w:eastAsia="en-US" w:bidi="ur-PK"/>
        </w:rPr>
        <w:t xml:space="preserve"> et al., 2024; Charlton et al., 2024; Chaudhry et al., 2024; Chen et al., 2024; </w:t>
      </w:r>
      <w:proofErr w:type="spellStart"/>
      <w:r w:rsidRPr="000F5408">
        <w:rPr>
          <w:rFonts w:ascii="Times New Roman" w:hAnsi="Times New Roman"/>
          <w:lang w:val="en-US" w:eastAsia="en-US" w:bidi="ur-PK"/>
        </w:rPr>
        <w:t>Cheraghi</w:t>
      </w:r>
      <w:proofErr w:type="spellEnd"/>
      <w:r w:rsidRPr="000F5408">
        <w:rPr>
          <w:rFonts w:ascii="Times New Roman" w:hAnsi="Times New Roman"/>
          <w:lang w:val="en-US" w:eastAsia="en-US" w:bidi="ur-PK"/>
        </w:rPr>
        <w:t xml:space="preserve">-Sohi et al., 2023; Comer et al., 2025; </w:t>
      </w:r>
      <w:proofErr w:type="spellStart"/>
      <w:r w:rsidRPr="000F5408">
        <w:rPr>
          <w:rFonts w:ascii="Times New Roman" w:hAnsi="Times New Roman"/>
          <w:lang w:val="en-US" w:eastAsia="en-US" w:bidi="ur-PK"/>
        </w:rPr>
        <w:t>Cresswell</w:t>
      </w:r>
      <w:proofErr w:type="spellEnd"/>
      <w:r w:rsidRPr="000F5408">
        <w:rPr>
          <w:rFonts w:ascii="Times New Roman" w:hAnsi="Times New Roman"/>
          <w:lang w:val="en-US" w:eastAsia="en-US" w:bidi="ur-PK"/>
        </w:rPr>
        <w:t xml:space="preserve"> et al., 2022; </w:t>
      </w:r>
      <w:proofErr w:type="spellStart"/>
      <w:r w:rsidRPr="000F5408">
        <w:rPr>
          <w:rFonts w:ascii="Times New Roman" w:hAnsi="Times New Roman"/>
          <w:lang w:val="en-US" w:eastAsia="en-US" w:bidi="ur-PK"/>
        </w:rPr>
        <w:t>Farre</w:t>
      </w:r>
      <w:proofErr w:type="spellEnd"/>
      <w:r w:rsidRPr="000F5408">
        <w:rPr>
          <w:rFonts w:ascii="Times New Roman" w:hAnsi="Times New Roman"/>
          <w:lang w:val="en-US" w:eastAsia="en-US" w:bidi="ur-PK"/>
        </w:rPr>
        <w:t xml:space="preserve"> et al., 2023; Grant and </w:t>
      </w:r>
      <w:proofErr w:type="spellStart"/>
      <w:r w:rsidRPr="000F5408">
        <w:rPr>
          <w:rFonts w:ascii="Times New Roman" w:hAnsi="Times New Roman"/>
          <w:lang w:val="en-US" w:eastAsia="en-US" w:bidi="ur-PK"/>
        </w:rPr>
        <w:t>Skamagki</w:t>
      </w:r>
      <w:proofErr w:type="spellEnd"/>
      <w:r w:rsidRPr="000F5408">
        <w:rPr>
          <w:rFonts w:ascii="Times New Roman" w:hAnsi="Times New Roman"/>
          <w:lang w:val="en-US" w:eastAsia="en-US" w:bidi="ur-PK"/>
        </w:rPr>
        <w:t xml:space="preserve">, 2024; Hawley-Hague et al., 2024; </w:t>
      </w:r>
      <w:proofErr w:type="spellStart"/>
      <w:r w:rsidRPr="000F5408">
        <w:rPr>
          <w:rFonts w:ascii="Times New Roman" w:hAnsi="Times New Roman"/>
          <w:lang w:val="en-US" w:eastAsia="en-US" w:bidi="ur-PK"/>
        </w:rPr>
        <w:t>Hilari</w:t>
      </w:r>
      <w:proofErr w:type="spellEnd"/>
      <w:r w:rsidRPr="000F5408">
        <w:rPr>
          <w:rFonts w:ascii="Times New Roman" w:hAnsi="Times New Roman"/>
          <w:lang w:val="en-US" w:eastAsia="en-US" w:bidi="ur-PK"/>
        </w:rPr>
        <w:t xml:space="preserve"> et al., 2024; Jarvis et al., 2025; Morris et al., 2023; Xing et al., 2026), and 15 were conducted in Pakistan (</w:t>
      </w: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et al., 2021; Haider et al., 2022; Karim et al., 2024; </w:t>
      </w:r>
      <w:proofErr w:type="spellStart"/>
      <w:r w:rsidRPr="000F5408">
        <w:rPr>
          <w:rFonts w:ascii="Times New Roman" w:hAnsi="Times New Roman"/>
          <w:lang w:val="en-US" w:eastAsia="en-US" w:bidi="ur-PK"/>
        </w:rPr>
        <w:t>Kazi</w:t>
      </w:r>
      <w:proofErr w:type="spellEnd"/>
      <w:r w:rsidRPr="000F5408">
        <w:rPr>
          <w:rFonts w:ascii="Times New Roman" w:hAnsi="Times New Roman"/>
          <w:lang w:val="en-US" w:eastAsia="en-US" w:bidi="ur-PK"/>
        </w:rPr>
        <w:t xml:space="preserve"> et al., 2020; Khan et al., 2025; Khurram et al., 2024; Malik et al., 2025; Mansoor et al., 2025; </w:t>
      </w:r>
      <w:proofErr w:type="spellStart"/>
      <w:r w:rsidRPr="000F5408">
        <w:rPr>
          <w:rFonts w:ascii="Times New Roman" w:hAnsi="Times New Roman"/>
          <w:lang w:val="en-US" w:eastAsia="en-US" w:bidi="ur-PK"/>
        </w:rPr>
        <w:t>Mechael</w:t>
      </w:r>
      <w:proofErr w:type="spellEnd"/>
      <w:r w:rsidRPr="000F5408">
        <w:rPr>
          <w:rFonts w:ascii="Times New Roman" w:hAnsi="Times New Roman"/>
          <w:lang w:val="en-US" w:eastAsia="en-US" w:bidi="ur-PK"/>
        </w:rPr>
        <w:t xml:space="preserve"> et al., 2024; Raza et al., 2025; Saifullah et al., 2024;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 Tariq et al., 2023; </w:t>
      </w: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et al., 2024; </w:t>
      </w:r>
      <w:proofErr w:type="spellStart"/>
      <w:r w:rsidRPr="000F5408">
        <w:rPr>
          <w:rFonts w:ascii="Times New Roman" w:hAnsi="Times New Roman"/>
          <w:lang w:val="en-US" w:eastAsia="en-US" w:bidi="ur-PK"/>
        </w:rPr>
        <w:t>Yawar</w:t>
      </w:r>
      <w:proofErr w:type="spellEnd"/>
      <w:r w:rsidRPr="000F5408">
        <w:rPr>
          <w:rFonts w:ascii="Times New Roman" w:hAnsi="Times New Roman"/>
          <w:lang w:val="en-US" w:eastAsia="en-US" w:bidi="ur-PK"/>
        </w:rPr>
        <w:t xml:space="preserve"> and Asif, 2022). This near-even split allowed for a broadly balanced comparative synthesis, although the designs differ in important ways: the UK evidence base is dominated by profession-specific service evaluations and qualitative or mixed-methods studies of allied health telehealth (physiotherapy, speech and language therapy, occupational therapy, mental health, and rehabilitation services) delivered within NHS governance structures, whereas the Pakistani evidence base is dominated by cross-sectional surveys of provider and patient knowledge, attitudes, and acceptance of telemedicine delivered mainly through private-sector platforms (e.g. </w:t>
      </w:r>
      <w:proofErr w:type="spellStart"/>
      <w:r w:rsidRPr="000F5408">
        <w:rPr>
          <w:rFonts w:ascii="Times New Roman" w:hAnsi="Times New Roman"/>
          <w:lang w:val="en-US" w:eastAsia="en-US" w:bidi="ur-PK"/>
        </w:rPr>
        <w:t>Sehat</w:t>
      </w:r>
      <w:proofErr w:type="spellEnd"/>
      <w:r w:rsidRPr="000F5408">
        <w:rPr>
          <w:rFonts w:ascii="Times New Roman" w:hAnsi="Times New Roman"/>
          <w:lang w:val="en-US" w:eastAsia="en-US" w:bidi="ur-PK"/>
        </w:rPr>
        <w:t xml:space="preserve"> Kahani in Karim et al., 2024 and Khurram et al., 2024; </w:t>
      </w:r>
      <w:proofErr w:type="spellStart"/>
      <w:r w:rsidRPr="000F5408">
        <w:rPr>
          <w:rFonts w:ascii="Times New Roman" w:hAnsi="Times New Roman"/>
          <w:lang w:val="en-US" w:eastAsia="en-US" w:bidi="ur-PK"/>
        </w:rPr>
        <w:t>EZShifa</w:t>
      </w:r>
      <w:proofErr w:type="spellEnd"/>
      <w:r w:rsidRPr="000F5408">
        <w:rPr>
          <w:rFonts w:ascii="Times New Roman" w:hAnsi="Times New Roman"/>
          <w:lang w:val="en-US" w:eastAsia="en-US" w:bidi="ur-PK"/>
        </w:rPr>
        <w:t xml:space="preserve"> in Malik et al., 2025) and donor- or university-supported digital health interventions in maternal and child health (Haider et al., 2022; </w:t>
      </w:r>
      <w:proofErr w:type="spellStart"/>
      <w:r w:rsidRPr="000F5408">
        <w:rPr>
          <w:rFonts w:ascii="Times New Roman" w:hAnsi="Times New Roman"/>
          <w:lang w:val="en-US" w:eastAsia="en-US" w:bidi="ur-PK"/>
        </w:rPr>
        <w:t>Mechael</w:t>
      </w:r>
      <w:proofErr w:type="spellEnd"/>
      <w:r w:rsidRPr="000F5408">
        <w:rPr>
          <w:rFonts w:ascii="Times New Roman" w:hAnsi="Times New Roman"/>
          <w:lang w:val="en-US" w:eastAsia="en-US" w:bidi="ur-PK"/>
        </w:rPr>
        <w:t xml:space="preserve"> et al., 2024).</w:t>
      </w:r>
    </w:p>
    <w:p w14:paraId="4C1DC3D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A minority of studies bridge both systems conceptually by applying implementation-science frameworks (NASSS, NPT, CFIR, TAM, UTAUT) that are, in principle, transferable across contexts, even though in practice they have rarely been applied comparatively across the UK and Pakistan in a single piece of research — a gap this dissertation addresses directly.</w:t>
      </w:r>
    </w:p>
    <w:p w14:paraId="2CEE51D1"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 xml:space="preserve">Table 4.1 </w:t>
      </w:r>
      <w:proofErr w:type="spellStart"/>
      <w:r w:rsidRPr="000F5408">
        <w:rPr>
          <w:rFonts w:ascii="Times New Roman" w:hAnsi="Times New Roman"/>
          <w:lang w:val="en-US" w:eastAsia="en-US" w:bidi="ur-PK"/>
        </w:rPr>
        <w:t>summarises</w:t>
      </w:r>
      <w:proofErr w:type="spellEnd"/>
      <w:r w:rsidRPr="000F5408">
        <w:rPr>
          <w:rFonts w:ascii="Times New Roman" w:hAnsi="Times New Roman"/>
          <w:lang w:val="en-US" w:eastAsia="en-US" w:bidi="ur-PK"/>
        </w:rPr>
        <w:t xml:space="preserve"> the distribution of study designs across the two countries; the full list of the 32 shortlisted studies, with country, design, sample and clinical/service focus for each, is provided in Appendix A.</w:t>
      </w:r>
    </w:p>
    <w:p w14:paraId="4DC58270" w14:textId="77777777" w:rsidR="000F5408" w:rsidRPr="000F5408" w:rsidRDefault="000F5408" w:rsidP="000F5408">
      <w:pPr>
        <w:spacing w:after="160" w:line="240" w:lineRule="auto"/>
        <w:rPr>
          <w:rFonts w:ascii="Times New Roman" w:hAnsi="Times New Roman"/>
          <w:sz w:val="20"/>
          <w:szCs w:val="20"/>
          <w:lang w:val="en-US" w:eastAsia="en-US" w:bidi="ur-PK"/>
        </w:rPr>
      </w:pPr>
      <w:r w:rsidRPr="000F5408">
        <w:rPr>
          <w:rFonts w:ascii="Times New Roman" w:hAnsi="Times New Roman"/>
          <w:i/>
          <w:iCs/>
          <w:sz w:val="22"/>
          <w:szCs w:val="22"/>
          <w:lang w:val="en-US" w:eastAsia="en-US" w:bidi="ur-PK"/>
        </w:rPr>
        <w:t>Table 4.1: Distribution of Study Designs by Country</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2400"/>
        <w:gridCol w:w="2400"/>
      </w:tblGrid>
      <w:tr w:rsidR="000F5408" w:rsidRPr="000F5408" w14:paraId="42622EC1" w14:textId="77777777" w:rsidTr="000F5408">
        <w:tc>
          <w:tcPr>
            <w:tcW w:w="4200" w:type="dxa"/>
            <w:shd w:val="clear" w:color="auto" w:fill="D9E2F3"/>
          </w:tcPr>
          <w:p w14:paraId="2D29CF6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Study design</w:t>
            </w:r>
          </w:p>
        </w:tc>
        <w:tc>
          <w:tcPr>
            <w:tcW w:w="2400" w:type="dxa"/>
            <w:shd w:val="clear" w:color="auto" w:fill="D9E2F3"/>
          </w:tcPr>
          <w:p w14:paraId="3806EF5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UK studies (n)</w:t>
            </w:r>
          </w:p>
        </w:tc>
        <w:tc>
          <w:tcPr>
            <w:tcW w:w="2400" w:type="dxa"/>
            <w:shd w:val="clear" w:color="auto" w:fill="D9E2F3"/>
          </w:tcPr>
          <w:p w14:paraId="7D18FB0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Pakistan studies (n)</w:t>
            </w:r>
          </w:p>
        </w:tc>
      </w:tr>
      <w:tr w:rsidR="000F5408" w:rsidRPr="000F5408" w14:paraId="0F820825" w14:textId="77777777" w:rsidTr="000F5408">
        <w:tc>
          <w:tcPr>
            <w:tcW w:w="4200" w:type="dxa"/>
          </w:tcPr>
          <w:p w14:paraId="4BA8706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Cross-sectional / online survey (quantitative)</w:t>
            </w:r>
          </w:p>
        </w:tc>
        <w:tc>
          <w:tcPr>
            <w:tcW w:w="2400" w:type="dxa"/>
          </w:tcPr>
          <w:p w14:paraId="17ED653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3</w:t>
            </w:r>
          </w:p>
        </w:tc>
        <w:tc>
          <w:tcPr>
            <w:tcW w:w="2400" w:type="dxa"/>
          </w:tcPr>
          <w:p w14:paraId="0951504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9</w:t>
            </w:r>
          </w:p>
        </w:tc>
      </w:tr>
      <w:tr w:rsidR="000F5408" w:rsidRPr="000F5408" w14:paraId="73949E43" w14:textId="77777777" w:rsidTr="000F5408">
        <w:tc>
          <w:tcPr>
            <w:tcW w:w="4200" w:type="dxa"/>
          </w:tcPr>
          <w:p w14:paraId="0A7F1E1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Mixed methods (survey + qualitative)</w:t>
            </w:r>
          </w:p>
        </w:tc>
        <w:tc>
          <w:tcPr>
            <w:tcW w:w="2400" w:type="dxa"/>
          </w:tcPr>
          <w:p w14:paraId="49B1A64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5</w:t>
            </w:r>
          </w:p>
        </w:tc>
        <w:tc>
          <w:tcPr>
            <w:tcW w:w="2400" w:type="dxa"/>
          </w:tcPr>
          <w:p w14:paraId="3F45CB4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4</w:t>
            </w:r>
          </w:p>
        </w:tc>
      </w:tr>
      <w:tr w:rsidR="000F5408" w:rsidRPr="000F5408" w14:paraId="60ED98A5" w14:textId="77777777" w:rsidTr="000F5408">
        <w:tc>
          <w:tcPr>
            <w:tcW w:w="4200" w:type="dxa"/>
          </w:tcPr>
          <w:p w14:paraId="27885C0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Qualitative (interviews / focus groups / co-design)</w:t>
            </w:r>
          </w:p>
        </w:tc>
        <w:tc>
          <w:tcPr>
            <w:tcW w:w="2400" w:type="dxa"/>
          </w:tcPr>
          <w:p w14:paraId="353EB9A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5</w:t>
            </w:r>
          </w:p>
        </w:tc>
        <w:tc>
          <w:tcPr>
            <w:tcW w:w="2400" w:type="dxa"/>
          </w:tcPr>
          <w:p w14:paraId="426612D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3</w:t>
            </w:r>
          </w:p>
        </w:tc>
      </w:tr>
      <w:tr w:rsidR="000F5408" w:rsidRPr="000F5408" w14:paraId="5FA9F908" w14:textId="77777777" w:rsidTr="000F5408">
        <w:tc>
          <w:tcPr>
            <w:tcW w:w="4200" w:type="dxa"/>
          </w:tcPr>
          <w:p w14:paraId="1605EA4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Systematic review / scoping review</w:t>
            </w:r>
          </w:p>
        </w:tc>
        <w:tc>
          <w:tcPr>
            <w:tcW w:w="2400" w:type="dxa"/>
          </w:tcPr>
          <w:p w14:paraId="7BF974B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2</w:t>
            </w:r>
          </w:p>
        </w:tc>
        <w:tc>
          <w:tcPr>
            <w:tcW w:w="2400" w:type="dxa"/>
          </w:tcPr>
          <w:p w14:paraId="2BFE8E6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0</w:t>
            </w:r>
          </w:p>
        </w:tc>
      </w:tr>
      <w:tr w:rsidR="000F5408" w:rsidRPr="000F5408" w14:paraId="34388884" w14:textId="77777777" w:rsidTr="000F5408">
        <w:tc>
          <w:tcPr>
            <w:tcW w:w="4200" w:type="dxa"/>
          </w:tcPr>
          <w:p w14:paraId="16C38C2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 xml:space="preserve">SWOT analysis / mixed-methods </w:t>
            </w:r>
            <w:proofErr w:type="spellStart"/>
            <w:r w:rsidRPr="000F5408">
              <w:rPr>
                <w:rFonts w:ascii="Times New Roman" w:hAnsi="Times New Roman"/>
                <w:sz w:val="20"/>
                <w:szCs w:val="20"/>
                <w:lang w:val="en-US" w:eastAsia="en-US" w:bidi="ur-PK"/>
              </w:rPr>
              <w:t>programme</w:t>
            </w:r>
            <w:proofErr w:type="spellEnd"/>
            <w:r w:rsidRPr="000F5408">
              <w:rPr>
                <w:rFonts w:ascii="Times New Roman" w:hAnsi="Times New Roman"/>
                <w:sz w:val="20"/>
                <w:szCs w:val="20"/>
                <w:lang w:val="en-US" w:eastAsia="en-US" w:bidi="ur-PK"/>
              </w:rPr>
              <w:t xml:space="preserve"> evaluation</w:t>
            </w:r>
          </w:p>
        </w:tc>
        <w:tc>
          <w:tcPr>
            <w:tcW w:w="2400" w:type="dxa"/>
          </w:tcPr>
          <w:p w14:paraId="66E4DC1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0</w:t>
            </w:r>
          </w:p>
        </w:tc>
        <w:tc>
          <w:tcPr>
            <w:tcW w:w="2400" w:type="dxa"/>
          </w:tcPr>
          <w:p w14:paraId="74DBEDA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2</w:t>
            </w:r>
          </w:p>
        </w:tc>
      </w:tr>
      <w:tr w:rsidR="000F5408" w:rsidRPr="000F5408" w14:paraId="4858B755" w14:textId="77777777" w:rsidTr="000F5408">
        <w:tc>
          <w:tcPr>
            <w:tcW w:w="4200" w:type="dxa"/>
          </w:tcPr>
          <w:p w14:paraId="77DA04F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Descriptive / development report / narrative case study</w:t>
            </w:r>
          </w:p>
        </w:tc>
        <w:tc>
          <w:tcPr>
            <w:tcW w:w="2400" w:type="dxa"/>
          </w:tcPr>
          <w:p w14:paraId="01FE8AB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2</w:t>
            </w:r>
          </w:p>
        </w:tc>
        <w:tc>
          <w:tcPr>
            <w:tcW w:w="2400" w:type="dxa"/>
          </w:tcPr>
          <w:p w14:paraId="1D1BA36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2</w:t>
            </w:r>
          </w:p>
        </w:tc>
      </w:tr>
      <w:tr w:rsidR="000F5408" w:rsidRPr="000F5408" w14:paraId="21BE190B" w14:textId="77777777" w:rsidTr="000F5408">
        <w:tc>
          <w:tcPr>
            <w:tcW w:w="4200" w:type="dxa"/>
            <w:shd w:val="clear" w:color="auto" w:fill="D9E2F3"/>
          </w:tcPr>
          <w:p w14:paraId="0E7E0D9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Totals</w:t>
            </w:r>
          </w:p>
        </w:tc>
        <w:tc>
          <w:tcPr>
            <w:tcW w:w="2400" w:type="dxa"/>
            <w:shd w:val="clear" w:color="auto" w:fill="D9E2F3"/>
          </w:tcPr>
          <w:p w14:paraId="14DC78A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17</w:t>
            </w:r>
          </w:p>
        </w:tc>
        <w:tc>
          <w:tcPr>
            <w:tcW w:w="2400" w:type="dxa"/>
            <w:shd w:val="clear" w:color="auto" w:fill="D9E2F3"/>
          </w:tcPr>
          <w:p w14:paraId="690C8E5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15</w:t>
            </w:r>
          </w:p>
        </w:tc>
      </w:tr>
    </w:tbl>
    <w:p w14:paraId="14D388A0" w14:textId="77777777" w:rsidR="000F5408" w:rsidRPr="000F5408" w:rsidRDefault="000F5408" w:rsidP="000F5408">
      <w:pPr>
        <w:bidi/>
        <w:spacing w:before="200" w:after="200" w:line="240" w:lineRule="auto"/>
        <w:rPr>
          <w:rFonts w:ascii="Times New Roman" w:hAnsi="Times New Roman"/>
          <w:sz w:val="20"/>
          <w:szCs w:val="20"/>
          <w:lang w:val="en-US" w:eastAsia="en-US" w:bidi="ur-PK"/>
        </w:rPr>
      </w:pPr>
    </w:p>
    <w:p w14:paraId="122D1C7F" w14:textId="39565BB7" w:rsidR="000F5408" w:rsidRPr="000F5408" w:rsidRDefault="000F5408" w:rsidP="003C3551">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distribution is itself analytically informative: the UK evidence base leans towards qualitative and mixed-methods service evaluation embedded in specific clinical services, whereas the Pakistani evidence base leans towards quantitative cross-sectional surveys of awareness, knowledge, and acceptance. This difference in the unit and depth of analysis is returned to in the discussion in Chapter Five, since it affects what kind of comparative cl</w:t>
      </w:r>
      <w:r w:rsidR="003C3551">
        <w:rPr>
          <w:rFonts w:ascii="Times New Roman" w:hAnsi="Times New Roman"/>
          <w:lang w:val="en-US" w:eastAsia="en-US" w:bidi="ur-PK"/>
        </w:rPr>
        <w:t>aims the synthesis can support.</w:t>
      </w:r>
    </w:p>
    <w:p w14:paraId="63D5ADCC" w14:textId="77777777" w:rsidR="00EC5131" w:rsidRPr="00EC5131" w:rsidRDefault="00EC5131" w:rsidP="00EC5131">
      <w:pPr>
        <w:spacing w:before="200" w:after="120" w:line="240" w:lineRule="auto"/>
        <w:rPr>
          <w:rFonts w:asciiTheme="majorBidi" w:hAnsiTheme="majorBidi" w:cstheme="majorBidi"/>
          <w:b/>
          <w:bCs/>
          <w:sz w:val="26"/>
          <w:szCs w:val="26"/>
          <w:lang w:val="en-US" w:eastAsia="en-US" w:bidi="ur-PK"/>
        </w:rPr>
      </w:pPr>
      <w:r w:rsidRPr="00EC5131">
        <w:rPr>
          <w:rFonts w:asciiTheme="majorBidi" w:hAnsiTheme="majorBidi" w:cstheme="majorBidi"/>
          <w:b/>
          <w:bCs/>
          <w:sz w:val="26"/>
          <w:szCs w:val="26"/>
        </w:rPr>
        <w:t>4.3 Theoretical Frameworks and Conceptual Models (RQ1)</w:t>
      </w:r>
    </w:p>
    <w:p w14:paraId="17796193" w14:textId="77777777" w:rsidR="00EC5131" w:rsidRPr="00125FBD" w:rsidRDefault="00EC5131" w:rsidP="00EC5131">
      <w:pPr>
        <w:spacing w:before="200" w:after="120" w:line="240" w:lineRule="auto"/>
        <w:rPr>
          <w:rFonts w:asciiTheme="majorBidi" w:hAnsiTheme="majorBidi" w:cstheme="majorBidi"/>
          <w:b/>
          <w:bCs/>
          <w:i/>
          <w:iCs/>
          <w:sz w:val="20"/>
          <w:szCs w:val="20"/>
          <w:lang w:val="en-US" w:eastAsia="en-US" w:bidi="ur-PK"/>
        </w:rPr>
      </w:pPr>
      <w:r w:rsidRPr="00125FBD">
        <w:rPr>
          <w:rFonts w:asciiTheme="majorBidi" w:hAnsiTheme="majorBidi" w:cstheme="majorBidi"/>
          <w:b/>
          <w:bCs/>
          <w:i/>
          <w:iCs/>
        </w:rPr>
        <w:t>4.3.1 Theoretical and Implementation Frameworks in the Included Studies</w:t>
      </w:r>
    </w:p>
    <w:p w14:paraId="26A0FE8C" w14:textId="77777777" w:rsidR="00EC5131" w:rsidRPr="00EC5131" w:rsidRDefault="00EC5131" w:rsidP="00EC5131">
      <w:pPr>
        <w:spacing w:after="200" w:line="360" w:lineRule="auto"/>
        <w:jc w:val="both"/>
        <w:rPr>
          <w:rFonts w:asciiTheme="majorBidi" w:hAnsiTheme="majorBidi" w:cstheme="majorBidi"/>
          <w:sz w:val="20"/>
          <w:szCs w:val="20"/>
          <w:lang w:val="en-US" w:eastAsia="en-US" w:bidi="ur-PK"/>
        </w:rPr>
      </w:pPr>
      <w:r w:rsidRPr="00EC5131">
        <w:rPr>
          <w:rFonts w:asciiTheme="majorBidi" w:hAnsiTheme="majorBidi" w:cstheme="majorBidi"/>
          <w:lang w:val="en-US" w:eastAsia="en-US" w:bidi="ur-PK"/>
        </w:rPr>
        <w:t xml:space="preserve">A striking feature of the shortlisted literature is the sheer diversity of theoretical and implementation-science frameworks used to explain adoption, and the fact that almost no framework is used more than once across the 32 studies. UK studies </w:t>
      </w:r>
      <w:proofErr w:type="spellStart"/>
      <w:r w:rsidRPr="00EC5131">
        <w:rPr>
          <w:rFonts w:asciiTheme="majorBidi" w:hAnsiTheme="majorBidi" w:cstheme="majorBidi"/>
          <w:lang w:val="en-US" w:eastAsia="en-US" w:bidi="ur-PK"/>
        </w:rPr>
        <w:t>favoured</w:t>
      </w:r>
      <w:proofErr w:type="spellEnd"/>
      <w:r w:rsidRPr="00EC5131">
        <w:rPr>
          <w:rFonts w:asciiTheme="majorBidi" w:hAnsiTheme="majorBidi" w:cstheme="majorBidi"/>
          <w:lang w:val="en-US" w:eastAsia="en-US" w:bidi="ur-PK"/>
        </w:rPr>
        <w:t xml:space="preserve"> multi-level implementation frameworks that examine technology-in-context: Abdi et al. (2025) used </w:t>
      </w:r>
      <w:proofErr w:type="spellStart"/>
      <w:r w:rsidRPr="00EC5131">
        <w:rPr>
          <w:rFonts w:asciiTheme="majorBidi" w:hAnsiTheme="majorBidi" w:cstheme="majorBidi"/>
          <w:lang w:val="en-US" w:eastAsia="en-US" w:bidi="ur-PK"/>
        </w:rPr>
        <w:t>Normalisation</w:t>
      </w:r>
      <w:proofErr w:type="spellEnd"/>
      <w:r w:rsidRPr="00EC5131">
        <w:rPr>
          <w:rFonts w:asciiTheme="majorBidi" w:hAnsiTheme="majorBidi" w:cstheme="majorBidi"/>
          <w:lang w:val="en-US" w:eastAsia="en-US" w:bidi="ur-PK"/>
        </w:rPr>
        <w:t xml:space="preserve"> Process Theory (NPT) to unpack how a teleophthalmology platform became (or failed to become) embedded in routine optometry practice; Jarvis et al. (2025) used the NASSS framework to structure staff and service-user perceptions of the VERA rehabilitation technology across the domains of clinical condition, technology, value proposition, adopters, and </w:t>
      </w:r>
      <w:proofErr w:type="spellStart"/>
      <w:r w:rsidRPr="00EC5131">
        <w:rPr>
          <w:rFonts w:asciiTheme="majorBidi" w:hAnsiTheme="majorBidi" w:cstheme="majorBidi"/>
          <w:lang w:val="en-US" w:eastAsia="en-US" w:bidi="ur-PK"/>
        </w:rPr>
        <w:t>organisation</w:t>
      </w:r>
      <w:proofErr w:type="spellEnd"/>
      <w:r w:rsidRPr="00EC5131">
        <w:rPr>
          <w:rFonts w:asciiTheme="majorBidi" w:hAnsiTheme="majorBidi" w:cstheme="majorBidi"/>
          <w:lang w:val="en-US" w:eastAsia="en-US" w:bidi="ur-PK"/>
        </w:rPr>
        <w:t xml:space="preserve">; </w:t>
      </w:r>
      <w:proofErr w:type="spellStart"/>
      <w:r w:rsidRPr="00EC5131">
        <w:rPr>
          <w:rFonts w:asciiTheme="majorBidi" w:hAnsiTheme="majorBidi" w:cstheme="majorBidi"/>
          <w:lang w:val="en-US" w:eastAsia="en-US" w:bidi="ur-PK"/>
        </w:rPr>
        <w:t>Cheraghi</w:t>
      </w:r>
      <w:proofErr w:type="spellEnd"/>
      <w:r w:rsidRPr="00EC5131">
        <w:rPr>
          <w:rFonts w:asciiTheme="majorBidi" w:hAnsiTheme="majorBidi" w:cstheme="majorBidi"/>
          <w:lang w:val="en-US" w:eastAsia="en-US" w:bidi="ur-PK"/>
        </w:rPr>
        <w:t xml:space="preserve">-Sohi et al. (2023) applied the Domestication of Technology Model (DTM) to explore how mHealth apps were, or were not, incorporated into the everyday routines of people with dementia and their </w:t>
      </w:r>
      <w:proofErr w:type="spellStart"/>
      <w:r w:rsidRPr="00EC5131">
        <w:rPr>
          <w:rFonts w:asciiTheme="majorBidi" w:hAnsiTheme="majorBidi" w:cstheme="majorBidi"/>
          <w:lang w:val="en-US" w:eastAsia="en-US" w:bidi="ur-PK"/>
        </w:rPr>
        <w:t>carers</w:t>
      </w:r>
      <w:proofErr w:type="spellEnd"/>
      <w:r w:rsidRPr="00EC5131">
        <w:rPr>
          <w:rFonts w:asciiTheme="majorBidi" w:hAnsiTheme="majorBidi" w:cstheme="majorBidi"/>
          <w:lang w:val="en-US" w:eastAsia="en-US" w:bidi="ur-PK"/>
        </w:rPr>
        <w:t xml:space="preserve">; and Charlton et al. (2024) structured their national survey of </w:t>
      </w:r>
      <w:proofErr w:type="spellStart"/>
      <w:r w:rsidRPr="00EC5131">
        <w:rPr>
          <w:rFonts w:asciiTheme="majorBidi" w:hAnsiTheme="majorBidi" w:cstheme="majorBidi"/>
          <w:lang w:val="en-US" w:eastAsia="en-US" w:bidi="ur-PK"/>
        </w:rPr>
        <w:t>paediatric</w:t>
      </w:r>
      <w:proofErr w:type="spellEnd"/>
      <w:r w:rsidRPr="00EC5131">
        <w:rPr>
          <w:rFonts w:asciiTheme="majorBidi" w:hAnsiTheme="majorBidi" w:cstheme="majorBidi"/>
          <w:lang w:val="en-US" w:eastAsia="en-US" w:bidi="ur-PK"/>
        </w:rPr>
        <w:t xml:space="preserve"> speech and language therapists around the APEASE criteria.</w:t>
      </w:r>
    </w:p>
    <w:p w14:paraId="095218E7" w14:textId="77777777" w:rsidR="00EC5131" w:rsidRPr="00EC5131" w:rsidRDefault="00EC5131" w:rsidP="00EC5131">
      <w:pPr>
        <w:spacing w:after="200" w:line="360" w:lineRule="auto"/>
        <w:jc w:val="both"/>
        <w:rPr>
          <w:rFonts w:asciiTheme="majorBidi" w:hAnsiTheme="majorBidi" w:cstheme="majorBidi"/>
          <w:sz w:val="20"/>
          <w:szCs w:val="20"/>
          <w:lang w:val="en-US" w:eastAsia="en-US" w:bidi="ur-PK"/>
        </w:rPr>
      </w:pPr>
      <w:r w:rsidRPr="00EC5131">
        <w:rPr>
          <w:rFonts w:asciiTheme="majorBidi" w:hAnsiTheme="majorBidi" w:cstheme="majorBidi"/>
          <w:lang w:val="en-US" w:eastAsia="en-US" w:bidi="ur-PK"/>
        </w:rPr>
        <w:t xml:space="preserve">Pakistani studies, by contrast, drew more heavily on individual-level technology-acceptance and </w:t>
      </w:r>
      <w:proofErr w:type="spellStart"/>
      <w:r w:rsidRPr="00EC5131">
        <w:rPr>
          <w:rFonts w:asciiTheme="majorBidi" w:hAnsiTheme="majorBidi" w:cstheme="majorBidi"/>
          <w:lang w:val="en-US" w:eastAsia="en-US" w:bidi="ur-PK"/>
        </w:rPr>
        <w:t>behavioural</w:t>
      </w:r>
      <w:proofErr w:type="spellEnd"/>
      <w:r w:rsidRPr="00EC5131">
        <w:rPr>
          <w:rFonts w:asciiTheme="majorBidi" w:hAnsiTheme="majorBidi" w:cstheme="majorBidi"/>
          <w:lang w:val="en-US" w:eastAsia="en-US" w:bidi="ur-PK"/>
        </w:rPr>
        <w:t xml:space="preserve"> models: Khan et al. (2025) combined TAM with the Task–Technology Fit framework; Raza et al. (2025) extended UTAUT2/UTAUT3 with digital-divide and individual-trust constructs; Chen et al. (2024), the one UK study to foreground a </w:t>
      </w:r>
      <w:proofErr w:type="spellStart"/>
      <w:r w:rsidRPr="00EC5131">
        <w:rPr>
          <w:rFonts w:asciiTheme="majorBidi" w:hAnsiTheme="majorBidi" w:cstheme="majorBidi"/>
          <w:lang w:val="en-US" w:eastAsia="en-US" w:bidi="ur-PK"/>
        </w:rPr>
        <w:t>behavioural</w:t>
      </w:r>
      <w:proofErr w:type="spellEnd"/>
      <w:r w:rsidRPr="00EC5131">
        <w:rPr>
          <w:rFonts w:asciiTheme="majorBidi" w:hAnsiTheme="majorBidi" w:cstheme="majorBidi"/>
          <w:lang w:val="en-US" w:eastAsia="en-US" w:bidi="ur-PK"/>
        </w:rPr>
        <w:t xml:space="preserve">-psychology model, combined Protection Motivation Theory and Self-Regulation Theory; </w:t>
      </w:r>
      <w:proofErr w:type="spellStart"/>
      <w:r w:rsidRPr="00EC5131">
        <w:rPr>
          <w:rFonts w:asciiTheme="majorBidi" w:hAnsiTheme="majorBidi" w:cstheme="majorBidi"/>
          <w:lang w:val="en-US" w:eastAsia="en-US" w:bidi="ur-PK"/>
        </w:rPr>
        <w:t>Shahil-Feroz</w:t>
      </w:r>
      <w:proofErr w:type="spellEnd"/>
      <w:r w:rsidRPr="00EC5131">
        <w:rPr>
          <w:rFonts w:asciiTheme="majorBidi" w:hAnsiTheme="majorBidi" w:cstheme="majorBidi"/>
          <w:lang w:val="en-US" w:eastAsia="en-US" w:bidi="ur-PK"/>
        </w:rPr>
        <w:t xml:space="preserve"> et al. (2024) used CFIR to structure 57 </w:t>
      </w:r>
      <w:r w:rsidRPr="00EC5131">
        <w:rPr>
          <w:rFonts w:asciiTheme="majorBidi" w:hAnsiTheme="majorBidi" w:cstheme="majorBidi"/>
          <w:lang w:val="en-US" w:eastAsia="en-US" w:bidi="ur-PK"/>
        </w:rPr>
        <w:lastRenderedPageBreak/>
        <w:t xml:space="preserve">interviews on the </w:t>
      </w:r>
      <w:proofErr w:type="spellStart"/>
      <w:r w:rsidRPr="00EC5131">
        <w:rPr>
          <w:rFonts w:asciiTheme="majorBidi" w:hAnsiTheme="majorBidi" w:cstheme="majorBidi"/>
          <w:lang w:val="en-US" w:eastAsia="en-US" w:bidi="ur-PK"/>
        </w:rPr>
        <w:t>Raabta</w:t>
      </w:r>
      <w:proofErr w:type="spellEnd"/>
      <w:r w:rsidRPr="00EC5131">
        <w:rPr>
          <w:rFonts w:asciiTheme="majorBidi" w:hAnsiTheme="majorBidi" w:cstheme="majorBidi"/>
          <w:lang w:val="en-US" w:eastAsia="en-US" w:bidi="ur-PK"/>
        </w:rPr>
        <w:t xml:space="preserve"> telemonitoring </w:t>
      </w:r>
      <w:proofErr w:type="spellStart"/>
      <w:r w:rsidRPr="00EC5131">
        <w:rPr>
          <w:rFonts w:asciiTheme="majorBidi" w:hAnsiTheme="majorBidi" w:cstheme="majorBidi"/>
          <w:lang w:val="en-US" w:eastAsia="en-US" w:bidi="ur-PK"/>
        </w:rPr>
        <w:t>programme</w:t>
      </w:r>
      <w:proofErr w:type="spellEnd"/>
      <w:r w:rsidRPr="00EC5131">
        <w:rPr>
          <w:rFonts w:asciiTheme="majorBidi" w:hAnsiTheme="majorBidi" w:cstheme="majorBidi"/>
          <w:lang w:val="en-US" w:eastAsia="en-US" w:bidi="ur-PK"/>
        </w:rPr>
        <w:t xml:space="preserve">; </w:t>
      </w:r>
      <w:proofErr w:type="spellStart"/>
      <w:r w:rsidRPr="00EC5131">
        <w:rPr>
          <w:rFonts w:asciiTheme="majorBidi" w:hAnsiTheme="majorBidi" w:cstheme="majorBidi"/>
          <w:lang w:val="en-US" w:eastAsia="en-US" w:bidi="ur-PK"/>
        </w:rPr>
        <w:t>Kazi</w:t>
      </w:r>
      <w:proofErr w:type="spellEnd"/>
      <w:r w:rsidRPr="00EC5131">
        <w:rPr>
          <w:rFonts w:asciiTheme="majorBidi" w:hAnsiTheme="majorBidi" w:cstheme="majorBidi"/>
          <w:lang w:val="en-US" w:eastAsia="en-US" w:bidi="ur-PK"/>
        </w:rPr>
        <w:t xml:space="preserve"> et al. (2020) applied a SWOT analysis to 51 Pakistani digital health projects mapped against the WHO health-systems building blocks; and </w:t>
      </w:r>
      <w:proofErr w:type="spellStart"/>
      <w:r w:rsidRPr="00EC5131">
        <w:rPr>
          <w:rFonts w:asciiTheme="majorBidi" w:hAnsiTheme="majorBidi" w:cstheme="majorBidi"/>
          <w:lang w:val="en-US" w:eastAsia="en-US" w:bidi="ur-PK"/>
        </w:rPr>
        <w:t>Yawar</w:t>
      </w:r>
      <w:proofErr w:type="spellEnd"/>
      <w:r w:rsidRPr="00EC5131">
        <w:rPr>
          <w:rFonts w:asciiTheme="majorBidi" w:hAnsiTheme="majorBidi" w:cstheme="majorBidi"/>
          <w:lang w:val="en-US" w:eastAsia="en-US" w:bidi="ur-PK"/>
        </w:rPr>
        <w:t xml:space="preserve"> and Asif (2022) used Participatory Action Research (PAR) to co-develop a telehealth capacity-building system.</w:t>
      </w:r>
    </w:p>
    <w:p w14:paraId="2D9219CE" w14:textId="77777777" w:rsidR="00EC5131" w:rsidRPr="00EC5131" w:rsidRDefault="00EC5131" w:rsidP="00EC5131">
      <w:pPr>
        <w:spacing w:after="200" w:line="360" w:lineRule="auto"/>
        <w:jc w:val="both"/>
        <w:rPr>
          <w:rFonts w:asciiTheme="majorBidi" w:hAnsiTheme="majorBidi" w:cstheme="majorBidi"/>
          <w:sz w:val="20"/>
          <w:szCs w:val="20"/>
          <w:lang w:val="en-US" w:eastAsia="en-US" w:bidi="ur-PK"/>
        </w:rPr>
      </w:pPr>
      <w:r w:rsidRPr="00EC5131">
        <w:rPr>
          <w:rFonts w:asciiTheme="majorBidi" w:hAnsiTheme="majorBidi" w:cstheme="majorBidi"/>
          <w:lang w:val="en-US" w:eastAsia="en-US" w:bidi="ur-PK"/>
        </w:rPr>
        <w:t xml:space="preserve">This fragmentation of theoretical approach — with almost every study selecting a different framework suited to its own clinical or service context — is itself evidence for the second research gap identified in Chapter One: without a shared analytical framework applied consistently across both countries, it is difficult to build cumulative, comparable evidence about which specific mechanisms of adoption are common to both systems and which are context-specific. Where multi-level frameworks (NASSS, NPT, CFIR, DTM) were used, they tended to surface </w:t>
      </w:r>
      <w:proofErr w:type="spellStart"/>
      <w:r w:rsidRPr="00EC5131">
        <w:rPr>
          <w:rFonts w:asciiTheme="majorBidi" w:hAnsiTheme="majorBidi" w:cstheme="majorBidi"/>
          <w:lang w:val="en-US" w:eastAsia="en-US" w:bidi="ur-PK"/>
        </w:rPr>
        <w:t>organisational</w:t>
      </w:r>
      <w:proofErr w:type="spellEnd"/>
      <w:r w:rsidRPr="00EC5131">
        <w:rPr>
          <w:rFonts w:asciiTheme="majorBidi" w:hAnsiTheme="majorBidi" w:cstheme="majorBidi"/>
          <w:lang w:val="en-US" w:eastAsia="en-US" w:bidi="ur-PK"/>
        </w:rPr>
        <w:t xml:space="preserve"> and structural barriers that individual-level models (TAM, UTAUT, PMT) did not, reinforcing the argument developed further in Chapter Five that system-level frameworks are better suited to the comparative, policy-oriented aim of this dissertation.</w:t>
      </w:r>
    </w:p>
    <w:p w14:paraId="58F4BD0A" w14:textId="77777777" w:rsidR="00EC5131" w:rsidRPr="00125FBD" w:rsidRDefault="00EC5131" w:rsidP="00EC5131">
      <w:pPr>
        <w:spacing w:before="200" w:after="120" w:line="240" w:lineRule="auto"/>
        <w:rPr>
          <w:rFonts w:asciiTheme="majorBidi" w:hAnsiTheme="majorBidi" w:cstheme="majorBidi"/>
          <w:b/>
          <w:bCs/>
          <w:i/>
          <w:iCs/>
          <w:sz w:val="20"/>
          <w:szCs w:val="20"/>
          <w:lang w:val="en-US" w:eastAsia="en-US" w:bidi="ur-PK"/>
        </w:rPr>
      </w:pPr>
      <w:r w:rsidRPr="00125FBD">
        <w:rPr>
          <w:rFonts w:asciiTheme="majorBidi" w:hAnsiTheme="majorBidi" w:cstheme="majorBidi"/>
          <w:b/>
          <w:bCs/>
          <w:i/>
          <w:iCs/>
        </w:rPr>
        <w:t>4.3.2 Interpretation in Relation to TAM, UTAUT and DOI</w:t>
      </w:r>
    </w:p>
    <w:p w14:paraId="4005143B" w14:textId="7C64AEE2" w:rsidR="00EC5131" w:rsidRPr="00EC5131" w:rsidRDefault="00EC5131" w:rsidP="00EC5131">
      <w:pPr>
        <w:spacing w:after="200" w:line="360" w:lineRule="auto"/>
        <w:jc w:val="both"/>
        <w:rPr>
          <w:rFonts w:asciiTheme="majorBidi" w:hAnsiTheme="majorBidi" w:cstheme="majorBidi"/>
          <w:sz w:val="20"/>
          <w:szCs w:val="20"/>
          <w:lang w:val="en-US" w:eastAsia="en-US" w:bidi="ur-PK"/>
        </w:rPr>
      </w:pPr>
      <w:r w:rsidRPr="00EC5131">
        <w:rPr>
          <w:rFonts w:asciiTheme="majorBidi" w:hAnsiTheme="majorBidi" w:cstheme="majorBidi"/>
        </w:rPr>
        <w:t>Read against Chapter Two's theoretical framework, RQ1 shows TAM and UTAUT constructs operating largely as described in Section 2.4 — perceived usefuln</w:t>
      </w:r>
      <w:r w:rsidR="009D072E">
        <w:rPr>
          <w:rFonts w:asciiTheme="majorBidi" w:hAnsiTheme="majorBidi" w:cstheme="majorBidi"/>
        </w:rPr>
        <w:t>ess and ease of use (Section 4.4.3</w:t>
      </w:r>
      <w:r w:rsidRPr="00EC5131">
        <w:rPr>
          <w:rFonts w:asciiTheme="majorBidi" w:hAnsiTheme="majorBidi" w:cstheme="majorBidi"/>
        </w:rPr>
        <w:t>), performance expectancy and faci</w:t>
      </w:r>
      <w:r w:rsidR="009D072E">
        <w:rPr>
          <w:rFonts w:asciiTheme="majorBidi" w:hAnsiTheme="majorBidi" w:cstheme="majorBidi"/>
        </w:rPr>
        <w:t>li</w:t>
      </w:r>
      <w:r w:rsidR="00F14323">
        <w:rPr>
          <w:rFonts w:asciiTheme="majorBidi" w:hAnsiTheme="majorBidi" w:cstheme="majorBidi"/>
        </w:rPr>
        <w:t>tating conditions (Section 4.4.4</w:t>
      </w:r>
      <w:r w:rsidRPr="00EC5131">
        <w:rPr>
          <w:rFonts w:asciiTheme="majorBidi" w:hAnsiTheme="majorBidi" w:cstheme="majorBidi"/>
        </w:rPr>
        <w:t xml:space="preserve">) — but confirms the critical limitation already identified in Sections 2.4.1–2.4.2: these constructs describe why individual clinicians or patients accept telemedicine, without explaining why the surrounding system enables or constrains that acceptance so differently between countries. Diffusion of Innovation (DOI) theory offers a more specific lens on the organisational divergence reported in Section 4.6.2: the observability of visible, private-sector exemplar platforms such as </w:t>
      </w:r>
      <w:proofErr w:type="spellStart"/>
      <w:r w:rsidRPr="00EC5131">
        <w:rPr>
          <w:rFonts w:asciiTheme="majorBidi" w:hAnsiTheme="majorBidi" w:cstheme="majorBidi"/>
        </w:rPr>
        <w:t>Sehat</w:t>
      </w:r>
      <w:proofErr w:type="spellEnd"/>
      <w:r w:rsidRPr="00EC5131">
        <w:rPr>
          <w:rFonts w:asciiTheme="majorBidi" w:hAnsiTheme="majorBidi" w:cstheme="majorBidi"/>
        </w:rPr>
        <w:t xml:space="preserve"> Kahani and </w:t>
      </w:r>
      <w:proofErr w:type="spellStart"/>
      <w:r w:rsidRPr="00EC5131">
        <w:rPr>
          <w:rFonts w:asciiTheme="majorBidi" w:hAnsiTheme="majorBidi" w:cstheme="majorBidi"/>
        </w:rPr>
        <w:t>EZShifa</w:t>
      </w:r>
      <w:proofErr w:type="spellEnd"/>
      <w:r w:rsidRPr="00EC5131">
        <w:rPr>
          <w:rFonts w:asciiTheme="majorBidi" w:hAnsiTheme="majorBidi" w:cstheme="majorBidi"/>
        </w:rPr>
        <w:t xml:space="preserve">, and their apparent relative advantage over constrained public-sector alternatives, is consistent with Rogers's (2003) account of innovation diffusing fastest where relative advantage and observability are highest and where the innovation is compatible with existing (in this case, private, fee-for-service) ways of working — while the Pakistani public sector's slower uptake, per </w:t>
      </w:r>
      <w:proofErr w:type="spellStart"/>
      <w:r w:rsidRPr="00EC5131">
        <w:rPr>
          <w:rFonts w:asciiTheme="majorBidi" w:hAnsiTheme="majorBidi" w:cstheme="majorBidi"/>
        </w:rPr>
        <w:t>Shahil-Feroz</w:t>
      </w:r>
      <w:proofErr w:type="spellEnd"/>
      <w:r w:rsidRPr="00EC5131">
        <w:rPr>
          <w:rFonts w:asciiTheme="majorBidi" w:hAnsiTheme="majorBidi" w:cstheme="majorBidi"/>
        </w:rPr>
        <w:t xml:space="preserve"> et al. (2024), is consistent with DOI's prediction that low compatibility with existing organisational routines and resource constraints slow diffusion even where relative advantage is acknowledged in principle. This is a pattern DOI's system-wide diffusion lens captures more directly than TAM or UTAUT alone, and is the first of several instances in this chapter where the multi-level implementation frameworks used within the primary</w:t>
      </w:r>
      <w:r w:rsidR="009D072E">
        <w:rPr>
          <w:rFonts w:asciiTheme="majorBidi" w:hAnsiTheme="majorBidi" w:cstheme="majorBidi"/>
        </w:rPr>
        <w:t xml:space="preserve"> studies themselves (Section 4.4</w:t>
      </w:r>
      <w:r w:rsidRPr="00EC5131">
        <w:rPr>
          <w:rFonts w:asciiTheme="majorBidi" w:hAnsiTheme="majorBidi" w:cstheme="majorBidi"/>
        </w:rPr>
        <w:t>.6) point toward the same conclusion from the primary evidence.</w:t>
      </w:r>
    </w:p>
    <w:p w14:paraId="67AAFAB8" w14:textId="559B314D" w:rsidR="000F5408" w:rsidRPr="000F5408" w:rsidRDefault="00125FBD" w:rsidP="00216D7B">
      <w:pPr>
        <w:spacing w:before="260" w:after="160" w:line="240" w:lineRule="auto"/>
        <w:outlineLvl w:val="1"/>
        <w:rPr>
          <w:rFonts w:ascii="Times New Roman" w:hAnsi="Times New Roman"/>
          <w:sz w:val="26"/>
          <w:szCs w:val="26"/>
          <w:lang w:val="en-US" w:eastAsia="en-US" w:bidi="ur-PK"/>
        </w:rPr>
      </w:pPr>
      <w:bookmarkStart w:id="40" w:name="_Toc239804232"/>
      <w:r>
        <w:rPr>
          <w:rFonts w:ascii="Times New Roman" w:hAnsi="Times New Roman"/>
          <w:b/>
          <w:bCs/>
          <w:sz w:val="26"/>
          <w:szCs w:val="26"/>
          <w:lang w:val="en-US" w:eastAsia="en-US" w:bidi="ur-PK"/>
        </w:rPr>
        <w:t>4.4</w:t>
      </w:r>
      <w:r w:rsidR="000F5408" w:rsidRPr="000F5408">
        <w:rPr>
          <w:rFonts w:ascii="Times New Roman" w:hAnsi="Times New Roman"/>
          <w:b/>
          <w:bCs/>
          <w:sz w:val="26"/>
          <w:szCs w:val="26"/>
          <w:lang w:val="en-US" w:eastAsia="en-US" w:bidi="ur-PK"/>
        </w:rPr>
        <w:t xml:space="preserve"> Factors Affe</w:t>
      </w:r>
      <w:r w:rsidR="00216D7B">
        <w:rPr>
          <w:rFonts w:ascii="Times New Roman" w:hAnsi="Times New Roman"/>
          <w:b/>
          <w:bCs/>
          <w:sz w:val="26"/>
          <w:szCs w:val="26"/>
          <w:lang w:val="en-US" w:eastAsia="en-US" w:bidi="ur-PK"/>
        </w:rPr>
        <w:t>cting Telemedicine Adoption (RQ2</w:t>
      </w:r>
      <w:r w:rsidR="000F5408" w:rsidRPr="000F5408">
        <w:rPr>
          <w:rFonts w:ascii="Times New Roman" w:hAnsi="Times New Roman"/>
          <w:b/>
          <w:bCs/>
          <w:sz w:val="26"/>
          <w:szCs w:val="26"/>
          <w:lang w:val="en-US" w:eastAsia="en-US" w:bidi="ur-PK"/>
        </w:rPr>
        <w:t>)</w:t>
      </w:r>
      <w:bookmarkEnd w:id="40"/>
    </w:p>
    <w:p w14:paraId="256142B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Across both health systems, four recurring categories of adoption factor emerged from the coding process described in Section 4.1.1: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individual/provider-level, and </w:t>
      </w:r>
      <w:r w:rsidRPr="000F5408">
        <w:rPr>
          <w:rFonts w:ascii="Times New Roman" w:hAnsi="Times New Roman"/>
          <w:lang w:val="en-US" w:eastAsia="en-US" w:bidi="ur-PK"/>
        </w:rPr>
        <w:lastRenderedPageBreak/>
        <w:t>patient/socioeconomic and cultural factors, overlaid by a regulatory dimension treated separately in Section 4.3.5 given its centrality to the UK–Pakistan comparison.</w:t>
      </w:r>
    </w:p>
    <w:p w14:paraId="1F49CA44" w14:textId="3DDF90C0"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4.4</w:t>
      </w:r>
      <w:r w:rsidR="000F5408" w:rsidRPr="000F5408">
        <w:rPr>
          <w:rFonts w:ascii="Times New Roman" w:hAnsi="Times New Roman"/>
          <w:b/>
          <w:bCs/>
          <w:i/>
          <w:iCs/>
          <w:lang w:val="en-US" w:eastAsia="en-US" w:bidi="ur-PK"/>
        </w:rPr>
        <w:t>.1 Technological Factors</w:t>
      </w:r>
    </w:p>
    <w:p w14:paraId="6CE14D5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Infrastructure reliability was the most frequently coded technological determinant of adoption in the Pakistani literature. Khurram et al. (2024) found that 92% of </w:t>
      </w:r>
      <w:proofErr w:type="spellStart"/>
      <w:r w:rsidRPr="000F5408">
        <w:rPr>
          <w:rFonts w:ascii="Times New Roman" w:hAnsi="Times New Roman"/>
          <w:lang w:val="en-US" w:eastAsia="en-US" w:bidi="ur-PK"/>
        </w:rPr>
        <w:t>Sehat</w:t>
      </w:r>
      <w:proofErr w:type="spellEnd"/>
      <w:r w:rsidRPr="000F5408">
        <w:rPr>
          <w:rFonts w:ascii="Times New Roman" w:hAnsi="Times New Roman"/>
          <w:lang w:val="en-US" w:eastAsia="en-US" w:bidi="ur-PK"/>
        </w:rPr>
        <w:t xml:space="preserve"> Kahani providers identified inadequate internet access as a key challenge, while </w:t>
      </w:r>
      <w:proofErr w:type="spellStart"/>
      <w:r w:rsidRPr="000F5408">
        <w:rPr>
          <w:rFonts w:ascii="Times New Roman" w:hAnsi="Times New Roman"/>
          <w:lang w:val="en-US" w:eastAsia="en-US" w:bidi="ur-PK"/>
        </w:rPr>
        <w:t>Kazi</w:t>
      </w:r>
      <w:proofErr w:type="spellEnd"/>
      <w:r w:rsidRPr="000F5408">
        <w:rPr>
          <w:rFonts w:ascii="Times New Roman" w:hAnsi="Times New Roman"/>
          <w:lang w:val="en-US" w:eastAsia="en-US" w:bidi="ur-PK"/>
        </w:rPr>
        <w:t xml:space="preserve"> et al. (2020), in a SWOT analysis of 51 digital health projects, reported that an inability of the target population to use the technology or mobile phones was a barrier in 21% of projects and that cost was a barrier in 16%. </w:t>
      </w: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et al. (2021) similarly reported that more than half of Pakistani doctors surveyed cited non-availability of infrastructure and specific hardware as a constraint, and Khan et al. (2025) identified unreliable internet, electricity shortages, and a lack of multimedia resources as major barriers to the </w:t>
      </w:r>
      <w:proofErr w:type="gramStart"/>
      <w:r w:rsidRPr="000F5408">
        <w:rPr>
          <w:rFonts w:ascii="Times New Roman" w:hAnsi="Times New Roman"/>
          <w:lang w:val="en-US" w:eastAsia="en-US" w:bidi="ur-PK"/>
        </w:rPr>
        <w:t>School</w:t>
      </w:r>
      <w:proofErr w:type="gramEnd"/>
      <w:r w:rsidRPr="000F5408">
        <w:rPr>
          <w:rFonts w:ascii="Times New Roman" w:hAnsi="Times New Roman"/>
          <w:lang w:val="en-US" w:eastAsia="en-US" w:bidi="ur-PK"/>
        </w:rPr>
        <w:t xml:space="preserve"> eHealth Education Program Pakistan (</w:t>
      </w:r>
      <w:proofErr w:type="spellStart"/>
      <w:r w:rsidRPr="000F5408">
        <w:rPr>
          <w:rFonts w:ascii="Times New Roman" w:hAnsi="Times New Roman"/>
          <w:lang w:val="en-US" w:eastAsia="en-US" w:bidi="ur-PK"/>
        </w:rPr>
        <w:t>eSHEPP</w:t>
      </w:r>
      <w:proofErr w:type="spellEnd"/>
      <w:r w:rsidRPr="000F5408">
        <w:rPr>
          <w:rFonts w:ascii="Times New Roman" w:hAnsi="Times New Roman"/>
          <w:lang w:val="en-US" w:eastAsia="en-US" w:bidi="ur-PK"/>
        </w:rPr>
        <w:t>), even though students' digital familiarity and mobile access were simultaneously identified as facilitators. Haider et al. (2022) added a more granular finding: frontline health workers using a digital health intervention in peri-urban Karachi rated content quality, aesthetics, and ease of use highly (over 85% satisfaction), but satisfaction fell to only 45% on service quality specifically because of data-</w:t>
      </w:r>
      <w:proofErr w:type="spellStart"/>
      <w:r w:rsidRPr="000F5408">
        <w:rPr>
          <w:rFonts w:ascii="Times New Roman" w:hAnsi="Times New Roman"/>
          <w:lang w:val="en-US" w:eastAsia="en-US" w:bidi="ur-PK"/>
        </w:rPr>
        <w:t>synchronisation</w:t>
      </w:r>
      <w:proofErr w:type="spellEnd"/>
      <w:r w:rsidRPr="000F5408">
        <w:rPr>
          <w:rFonts w:ascii="Times New Roman" w:hAnsi="Times New Roman"/>
          <w:lang w:val="en-US" w:eastAsia="en-US" w:bidi="ur-PK"/>
        </w:rPr>
        <w:t xml:space="preserve"> failures and unstable network connections — showing that device-level usability and network-level reliability are distinct technological barriers that do not necessarily move together.</w:t>
      </w:r>
    </w:p>
    <w:p w14:paraId="1A6217F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Raza et al. (2025), applying an extended UTAUT framework to 495 Pakistani mHealth app users, add a further technological dimension: the 'digital divide' arising from uneven internet access and smartphone literacy was a significant obstacle to adoption of AI-enabled Internet of Things-based mHealth applications, and — notably — individual trust in these AI-enabled applications did not significantly predict adoption intention, suggesting that in a resource-constrained setting, basic access and digital literacy outweigh trust-based concerns as the binding technological constraint. In the UK, by contrast, technological barriers were coded less as an issue of basic infrastructure and more as one of platform reliability, interoperability, and fitness for clinical purpose: Anchors et al. (2023) found that IT issues were among the top perceived challenges for First Contact Physiotherapists using remote consultations, Jarvis et al. (2025) identified 'ease of use' and the ability to hold information in a single digital location as central to the value proposition of the VERA rehabilitation technology, and Morris et al. (2023) documented the substantial technical and information-governance work required to integrate the </w:t>
      </w:r>
      <w:proofErr w:type="spellStart"/>
      <w:r w:rsidRPr="000F5408">
        <w:rPr>
          <w:rFonts w:ascii="Times New Roman" w:hAnsi="Times New Roman"/>
          <w:lang w:val="en-US" w:eastAsia="en-US" w:bidi="ur-PK"/>
        </w:rPr>
        <w:t>myHealthE</w:t>
      </w:r>
      <w:proofErr w:type="spellEnd"/>
      <w:r w:rsidRPr="000F5408">
        <w:rPr>
          <w:rFonts w:ascii="Times New Roman" w:hAnsi="Times New Roman"/>
          <w:lang w:val="en-US" w:eastAsia="en-US" w:bidi="ur-PK"/>
        </w:rPr>
        <w:t xml:space="preserve"> remote outcome-measurement tool with NHS electronic health record infrastructure.</w:t>
      </w:r>
    </w:p>
    <w:p w14:paraId="403E52A5" w14:textId="16051519"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4.4</w:t>
      </w:r>
      <w:r w:rsidR="000F5408" w:rsidRPr="000F5408">
        <w:rPr>
          <w:rFonts w:ascii="Times New Roman" w:hAnsi="Times New Roman"/>
          <w:b/>
          <w:bCs/>
          <w:i/>
          <w:iCs/>
          <w:lang w:val="en-US" w:eastAsia="en-US" w:bidi="ur-PK"/>
        </w:rPr>
        <w:t xml:space="preserve">.2 </w:t>
      </w:r>
      <w:proofErr w:type="spellStart"/>
      <w:r w:rsidR="000F5408" w:rsidRPr="000F5408">
        <w:rPr>
          <w:rFonts w:ascii="Times New Roman" w:hAnsi="Times New Roman"/>
          <w:b/>
          <w:bCs/>
          <w:i/>
          <w:iCs/>
          <w:lang w:val="en-US" w:eastAsia="en-US" w:bidi="ur-PK"/>
        </w:rPr>
        <w:t>Organisational</w:t>
      </w:r>
      <w:proofErr w:type="spellEnd"/>
      <w:r w:rsidR="000F5408" w:rsidRPr="000F5408">
        <w:rPr>
          <w:rFonts w:ascii="Times New Roman" w:hAnsi="Times New Roman"/>
          <w:b/>
          <w:bCs/>
          <w:i/>
          <w:iCs/>
          <w:lang w:val="en-US" w:eastAsia="en-US" w:bidi="ur-PK"/>
        </w:rPr>
        <w:t xml:space="preserve"> Factors</w:t>
      </w:r>
    </w:p>
    <w:p w14:paraId="31F55DB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readiness and integration into wider service pathways emerged as decisive in both countries, but the locus of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investment differs markedly. In the UK, adoption was embedded within formal NHS </w:t>
      </w:r>
      <w:proofErr w:type="spellStart"/>
      <w:r w:rsidRPr="000F5408">
        <w:rPr>
          <w:rFonts w:ascii="Times New Roman" w:hAnsi="Times New Roman"/>
          <w:lang w:val="en-US" w:eastAsia="en-US" w:bidi="ur-PK"/>
        </w:rPr>
        <w:t>programmes</w:t>
      </w:r>
      <w:proofErr w:type="spellEnd"/>
      <w:r w:rsidRPr="000F5408">
        <w:rPr>
          <w:rFonts w:ascii="Times New Roman" w:hAnsi="Times New Roman"/>
          <w:lang w:val="en-US" w:eastAsia="en-US" w:bidi="ur-PK"/>
        </w:rPr>
        <w:t xml:space="preserve"> and governance structures — Abdi et al. (2025) noted that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factors such as investment in community optometry services shaped whether a </w:t>
      </w:r>
      <w:r w:rsidRPr="000F5408">
        <w:rPr>
          <w:rFonts w:ascii="Times New Roman" w:hAnsi="Times New Roman"/>
          <w:lang w:val="en-US" w:eastAsia="en-US" w:bidi="ur-PK"/>
        </w:rPr>
        <w:lastRenderedPageBreak/>
        <w:t xml:space="preserve">teleophthalmology referral platform was </w:t>
      </w:r>
      <w:proofErr w:type="spellStart"/>
      <w:r w:rsidRPr="000F5408">
        <w:rPr>
          <w:rFonts w:ascii="Times New Roman" w:hAnsi="Times New Roman"/>
          <w:lang w:val="en-US" w:eastAsia="en-US" w:bidi="ur-PK"/>
        </w:rPr>
        <w:t>normalised</w:t>
      </w:r>
      <w:proofErr w:type="spellEnd"/>
      <w:r w:rsidRPr="000F5408">
        <w:rPr>
          <w:rFonts w:ascii="Times New Roman" w:hAnsi="Times New Roman"/>
          <w:lang w:val="en-US" w:eastAsia="en-US" w:bidi="ur-PK"/>
        </w:rPr>
        <w:t xml:space="preserve"> into routine practice, while </w:t>
      </w:r>
      <w:proofErr w:type="spellStart"/>
      <w:r w:rsidRPr="000F5408">
        <w:rPr>
          <w:rFonts w:ascii="Times New Roman" w:hAnsi="Times New Roman"/>
          <w:lang w:val="en-US" w:eastAsia="en-US" w:bidi="ur-PK"/>
        </w:rPr>
        <w:t>Cresswell</w:t>
      </w:r>
      <w:proofErr w:type="spellEnd"/>
      <w:r w:rsidRPr="000F5408">
        <w:rPr>
          <w:rFonts w:ascii="Times New Roman" w:hAnsi="Times New Roman"/>
          <w:lang w:val="en-US" w:eastAsia="en-US" w:bidi="ur-PK"/>
        </w:rPr>
        <w:t xml:space="preserve"> et al. (2022) argued that formative evaluation of patient portals is essential to embed digital equity considerations within NHS system design, and Grant and </w:t>
      </w:r>
      <w:proofErr w:type="spellStart"/>
      <w:r w:rsidRPr="000F5408">
        <w:rPr>
          <w:rFonts w:ascii="Times New Roman" w:hAnsi="Times New Roman"/>
          <w:lang w:val="en-US" w:eastAsia="en-US" w:bidi="ur-PK"/>
        </w:rPr>
        <w:t>Skamagki</w:t>
      </w:r>
      <w:proofErr w:type="spellEnd"/>
      <w:r w:rsidRPr="000F5408">
        <w:rPr>
          <w:rFonts w:ascii="Times New Roman" w:hAnsi="Times New Roman"/>
          <w:lang w:val="en-US" w:eastAsia="en-US" w:bidi="ur-PK"/>
        </w:rPr>
        <w:t xml:space="preserve"> (2024) found that clinicians' perspectives on the </w:t>
      </w:r>
      <w:proofErr w:type="spellStart"/>
      <w:r w:rsidRPr="000F5408">
        <w:rPr>
          <w:rFonts w:ascii="Times New Roman" w:hAnsi="Times New Roman"/>
          <w:lang w:val="en-US" w:eastAsia="en-US" w:bidi="ur-PK"/>
        </w:rPr>
        <w:t>DiAL</w:t>
      </w:r>
      <w:proofErr w:type="spellEnd"/>
      <w:r w:rsidRPr="000F5408">
        <w:rPr>
          <w:rFonts w:ascii="Times New Roman" w:hAnsi="Times New Roman"/>
          <w:lang w:val="en-US" w:eastAsia="en-US" w:bidi="ur-PK"/>
        </w:rPr>
        <w:t xml:space="preserve"> remote physiotherapy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were shaped by how well the technology was integrated into existing referral and triage workflows. In Pakistan,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factors more often concerned the comparative readiness of the private versus the public health sector: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 found that the private sector was well-equipped for sustained implementation of the </w:t>
      </w:r>
      <w:proofErr w:type="spellStart"/>
      <w:r w:rsidRPr="000F5408">
        <w:rPr>
          <w:rFonts w:ascii="Times New Roman" w:hAnsi="Times New Roman"/>
          <w:lang w:val="en-US" w:eastAsia="en-US" w:bidi="ur-PK"/>
        </w:rPr>
        <w:t>Raabta</w:t>
      </w:r>
      <w:proofErr w:type="spellEnd"/>
      <w:r w:rsidRPr="000F5408">
        <w:rPr>
          <w:rFonts w:ascii="Times New Roman" w:hAnsi="Times New Roman"/>
          <w:lang w:val="en-US" w:eastAsia="en-US" w:bidi="ur-PK"/>
        </w:rPr>
        <w:t xml:space="preserve"> telemonitoring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while the public sector faced constraints of physical space, limited human and financial resources, and physician resistance. This asymmetry reflects the private-sector-led diffusion of telemedicine platforms noted in the background literature (Mahdi et al., 2022; Karim et al., 2024; Malik et al., 2025) and is returned to through a Diffusion of Innovation lens in the Theoretical Integration paragraph below.</w:t>
      </w:r>
    </w:p>
    <w:p w14:paraId="2D18B375" w14:textId="7DDB4464"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4.4</w:t>
      </w:r>
      <w:r w:rsidR="000F5408" w:rsidRPr="000F5408">
        <w:rPr>
          <w:rFonts w:ascii="Times New Roman" w:hAnsi="Times New Roman"/>
          <w:b/>
          <w:bCs/>
          <w:i/>
          <w:iCs/>
          <w:lang w:val="en-US" w:eastAsia="en-US" w:bidi="ur-PK"/>
        </w:rPr>
        <w:t>.3 Individual and Provider-Level Factors</w:t>
      </w:r>
    </w:p>
    <w:p w14:paraId="27A96D0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Provider knowledge, training, and prior experience were strong predictors of both acceptance and effective use in both settings. In Pakistan, </w:t>
      </w: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et al. (2021) reported that 73% of doctors surveyed had not received formal telemedicine training, and </w:t>
      </w: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et al. (2024) found that healthcare professionals in the private sector reported significantly higher awareness of telemedicine than those in the public sector (p = 0.03), while perceived benefits, professional reliance on the technology, and perceived improvements in care quality were all significant positive predictors of </w:t>
      </w:r>
      <w:proofErr w:type="spellStart"/>
      <w:r w:rsidRPr="000F5408">
        <w:rPr>
          <w:rFonts w:ascii="Times New Roman" w:hAnsi="Times New Roman"/>
          <w:lang w:val="en-US" w:eastAsia="en-US" w:bidi="ur-PK"/>
        </w:rPr>
        <w:t>utilisation</w:t>
      </w:r>
      <w:proofErr w:type="spellEnd"/>
      <w:r w:rsidRPr="000F5408">
        <w:rPr>
          <w:rFonts w:ascii="Times New Roman" w:hAnsi="Times New Roman"/>
          <w:lang w:val="en-US" w:eastAsia="en-US" w:bidi="ur-PK"/>
        </w:rPr>
        <w:t xml:space="preserve">. Mansoor et al. (2025) found a clear gradient of telemedicine familiarity and knowledge across career stage, with medical students scoring lowest, house officers highest, and consultants in between, pointing to curriculum and continuing-education gaps. In the UK, Anchors et al. (2023) found that although nearly two-thirds of First Contact Physiotherapists had not received relevant training in remote consultation, over half expressed interest in receiving it, while Charlton et al. (2024) and </w:t>
      </w:r>
      <w:proofErr w:type="spellStart"/>
      <w:r w:rsidRPr="000F5408">
        <w:rPr>
          <w:rFonts w:ascii="Times New Roman" w:hAnsi="Times New Roman"/>
          <w:lang w:val="en-US" w:eastAsia="en-US" w:bidi="ur-PK"/>
        </w:rPr>
        <w:t>Hilari</w:t>
      </w:r>
      <w:proofErr w:type="spellEnd"/>
      <w:r w:rsidRPr="000F5408">
        <w:rPr>
          <w:rFonts w:ascii="Times New Roman" w:hAnsi="Times New Roman"/>
          <w:lang w:val="en-US" w:eastAsia="en-US" w:bidi="ur-PK"/>
        </w:rPr>
        <w:t xml:space="preserve"> et al. (2024) both found that UK speech and language therapists' confidence and willingness to use telehealth depended heavily on prior experience gained during the COVID-19 pandemic and on the perceived reliability of remote assessment tools originally validated only for face-to-face use.</w:t>
      </w:r>
    </w:p>
    <w:p w14:paraId="29C8004E" w14:textId="3D89B0A8"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4.4</w:t>
      </w:r>
      <w:r w:rsidR="000F5408" w:rsidRPr="000F5408">
        <w:rPr>
          <w:rFonts w:ascii="Times New Roman" w:hAnsi="Times New Roman"/>
          <w:b/>
          <w:bCs/>
          <w:i/>
          <w:iCs/>
          <w:lang w:val="en-US" w:eastAsia="en-US" w:bidi="ur-PK"/>
        </w:rPr>
        <w:t>.4 Patient, Socioeconomic and Cultural Factors</w:t>
      </w:r>
    </w:p>
    <w:p w14:paraId="78C07F9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Patient-level digital and health literacy, language, and cultural context shaped adoption on both sides of the comparison, but manifested differently. In Pakistan,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 identified limited health and digital literacy, poor language proficiency, and cultural norms as barriers specific to public-sector patients' willingness to use the </w:t>
      </w:r>
      <w:proofErr w:type="spellStart"/>
      <w:r w:rsidRPr="000F5408">
        <w:rPr>
          <w:rFonts w:ascii="Times New Roman" w:hAnsi="Times New Roman"/>
          <w:lang w:val="en-US" w:eastAsia="en-US" w:bidi="ur-PK"/>
        </w:rPr>
        <w:t>Raabta</w:t>
      </w:r>
      <w:proofErr w:type="spellEnd"/>
      <w:r w:rsidRPr="000F5408">
        <w:rPr>
          <w:rFonts w:ascii="Times New Roman" w:hAnsi="Times New Roman"/>
          <w:lang w:val="en-US" w:eastAsia="en-US" w:bidi="ur-PK"/>
        </w:rPr>
        <w:t xml:space="preserve"> telemonitoring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and Khan et al. (2025) reported that cultural sensitivities around mental health, gender norms, and substance use required careful framing in adolescent digital health education. Malik et al. (2025) found that patient comfort and perceived quality of care, rather than sociodemographic characteristics, were the significant predictors </w:t>
      </w:r>
      <w:r w:rsidRPr="000F5408">
        <w:rPr>
          <w:rFonts w:ascii="Times New Roman" w:hAnsi="Times New Roman"/>
          <w:lang w:val="en-US" w:eastAsia="en-US" w:bidi="ur-PK"/>
        </w:rPr>
        <w:lastRenderedPageBreak/>
        <w:t xml:space="preserve">of telehealth acceptance among </w:t>
      </w:r>
      <w:proofErr w:type="spellStart"/>
      <w:r w:rsidRPr="000F5408">
        <w:rPr>
          <w:rFonts w:ascii="Times New Roman" w:hAnsi="Times New Roman"/>
          <w:lang w:val="en-US" w:eastAsia="en-US" w:bidi="ur-PK"/>
        </w:rPr>
        <w:t>EZShifa</w:t>
      </w:r>
      <w:proofErr w:type="spellEnd"/>
      <w:r w:rsidRPr="000F5408">
        <w:rPr>
          <w:rFonts w:ascii="Times New Roman" w:hAnsi="Times New Roman"/>
          <w:lang w:val="en-US" w:eastAsia="en-US" w:bidi="ur-PK"/>
        </w:rPr>
        <w:t xml:space="preserve"> users, while also reporting that telehealth consultations cost patients substantially less (a mean of PKR 2,000) than in-person visits (PKR 4,800). In the UK, Chaudhry et al. (2024) demonstrated that South Asian ethnic-minority patients using the FLO text-messaging system had significantly higher patient activation and self-management </w:t>
      </w:r>
      <w:proofErr w:type="spellStart"/>
      <w:r w:rsidRPr="000F5408">
        <w:rPr>
          <w:rFonts w:ascii="Times New Roman" w:hAnsi="Times New Roman"/>
          <w:lang w:val="en-US" w:eastAsia="en-US" w:bidi="ur-PK"/>
        </w:rPr>
        <w:t>behaviours</w:t>
      </w:r>
      <w:proofErr w:type="spellEnd"/>
      <w:r w:rsidRPr="000F5408">
        <w:rPr>
          <w:rFonts w:ascii="Times New Roman" w:hAnsi="Times New Roman"/>
          <w:lang w:val="en-US" w:eastAsia="en-US" w:bidi="ur-PK"/>
        </w:rPr>
        <w:t xml:space="preserve"> than non-users, but identified socio-demographic, normative, cultural, and religious factors that needed to be addressed through culturally sensitive design. </w:t>
      </w:r>
      <w:proofErr w:type="spellStart"/>
      <w:r w:rsidRPr="000F5408">
        <w:rPr>
          <w:rFonts w:ascii="Times New Roman" w:hAnsi="Times New Roman"/>
          <w:lang w:val="en-US" w:eastAsia="en-US" w:bidi="ur-PK"/>
        </w:rPr>
        <w:t>Farre</w:t>
      </w:r>
      <w:proofErr w:type="spellEnd"/>
      <w:r w:rsidRPr="000F5408">
        <w:rPr>
          <w:rFonts w:ascii="Times New Roman" w:hAnsi="Times New Roman"/>
          <w:lang w:val="en-US" w:eastAsia="en-US" w:bidi="ur-PK"/>
        </w:rPr>
        <w:t xml:space="preserve"> et al. (2023), in a scoping review of UK digital health interventions and health inequalities, concluded that most interventions had been designed around provider or system needs rather than the needs of disadvantaged service users — a finding echoed by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 (2024), who reported perceptions of increased barriers to access for vulnerable and older patients despite generally high satisfaction scores.</w:t>
      </w:r>
    </w:p>
    <w:p w14:paraId="0BEC6442" w14:textId="72C6A58E"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4.4</w:t>
      </w:r>
      <w:r w:rsidR="000F5408" w:rsidRPr="000F5408">
        <w:rPr>
          <w:rFonts w:ascii="Times New Roman" w:hAnsi="Times New Roman"/>
          <w:b/>
          <w:bCs/>
          <w:i/>
          <w:iCs/>
          <w:lang w:val="en-US" w:eastAsia="en-US" w:bidi="ur-PK"/>
        </w:rPr>
        <w:t>.5 Regulatory and Policy Factors</w:t>
      </w:r>
    </w:p>
    <w:p w14:paraId="06CEF0B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clearest structural divergence between the two systems concerns regulation and governance. </w:t>
      </w: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et al. (2021) found that Pakistani doctors were highly concerned about the non-availability of regulatory bodies, evaluation and accreditation of telemedicine service providers, and the associated risks of malpractice, missed diagnosis, prescription errors, and medico-legal exposure; Khurram et al. (2024) similarly reported legal issues as a barrier for 49% of </w:t>
      </w:r>
      <w:proofErr w:type="spellStart"/>
      <w:r w:rsidRPr="000F5408">
        <w:rPr>
          <w:rFonts w:ascii="Times New Roman" w:hAnsi="Times New Roman"/>
          <w:lang w:val="en-US" w:eastAsia="en-US" w:bidi="ur-PK"/>
        </w:rPr>
        <w:t>Sehat</w:t>
      </w:r>
      <w:proofErr w:type="spellEnd"/>
      <w:r w:rsidRPr="000F5408">
        <w:rPr>
          <w:rFonts w:ascii="Times New Roman" w:hAnsi="Times New Roman"/>
          <w:lang w:val="en-US" w:eastAsia="en-US" w:bidi="ur-PK"/>
        </w:rPr>
        <w:t xml:space="preserve"> Kahani providers, and </w:t>
      </w:r>
      <w:proofErr w:type="spellStart"/>
      <w:r w:rsidRPr="000F5408">
        <w:rPr>
          <w:rFonts w:ascii="Times New Roman" w:hAnsi="Times New Roman"/>
          <w:lang w:val="en-US" w:eastAsia="en-US" w:bidi="ur-PK"/>
        </w:rPr>
        <w:t>Kazi</w:t>
      </w:r>
      <w:proofErr w:type="spellEnd"/>
      <w:r w:rsidRPr="000F5408">
        <w:rPr>
          <w:rFonts w:ascii="Times New Roman" w:hAnsi="Times New Roman"/>
          <w:lang w:val="en-US" w:eastAsia="en-US" w:bidi="ur-PK"/>
        </w:rPr>
        <w:t xml:space="preserve"> et al. (2020) identified privacy concerns as a barrier in 12% of the digital health projects reviewed. By contrast, the UK studies consistently describe telemedicine as embedded within pre-existing statutory governance, data protection, and clinical accreditation frameworks: Morris et al. (2023) documented in detail the information-governance processes required before </w:t>
      </w:r>
      <w:proofErr w:type="spellStart"/>
      <w:r w:rsidRPr="000F5408">
        <w:rPr>
          <w:rFonts w:ascii="Times New Roman" w:hAnsi="Times New Roman"/>
          <w:lang w:val="en-US" w:eastAsia="en-US" w:bidi="ur-PK"/>
        </w:rPr>
        <w:t>myHealthE</w:t>
      </w:r>
      <w:proofErr w:type="spellEnd"/>
      <w:r w:rsidRPr="000F5408">
        <w:rPr>
          <w:rFonts w:ascii="Times New Roman" w:hAnsi="Times New Roman"/>
          <w:lang w:val="en-US" w:eastAsia="en-US" w:bidi="ur-PK"/>
        </w:rPr>
        <w:t xml:space="preserve"> could handle patient-identifiable data within NHS systems, and </w:t>
      </w:r>
      <w:proofErr w:type="spellStart"/>
      <w:r w:rsidRPr="000F5408">
        <w:rPr>
          <w:rFonts w:ascii="Times New Roman" w:hAnsi="Times New Roman"/>
          <w:lang w:val="en-US" w:eastAsia="en-US" w:bidi="ur-PK"/>
        </w:rPr>
        <w:t>Cresswell</w:t>
      </w:r>
      <w:proofErr w:type="spellEnd"/>
      <w:r w:rsidRPr="000F5408">
        <w:rPr>
          <w:rFonts w:ascii="Times New Roman" w:hAnsi="Times New Roman"/>
          <w:lang w:val="en-US" w:eastAsia="en-US" w:bidi="ur-PK"/>
        </w:rPr>
        <w:t xml:space="preserve"> et al. (2022) frame formative evaluation itself as a governance mechanism for ensuring resilience and equity. This confirms the problem identified in Chapter One: the UK's governance maturity is inseparable from decades of public investment (</w:t>
      </w:r>
      <w:proofErr w:type="gramStart"/>
      <w:r w:rsidRPr="000F5408">
        <w:rPr>
          <w:rFonts w:ascii="Times New Roman" w:hAnsi="Times New Roman"/>
          <w:lang w:val="en-US" w:eastAsia="en-US" w:bidi="ur-PK"/>
        </w:rPr>
        <w:t>e.g.</w:t>
      </w:r>
      <w:proofErr w:type="gramEnd"/>
      <w:r w:rsidRPr="000F5408">
        <w:rPr>
          <w:rFonts w:ascii="Times New Roman" w:hAnsi="Times New Roman"/>
          <w:lang w:val="en-US" w:eastAsia="en-US" w:bidi="ur-PK"/>
        </w:rPr>
        <w:t xml:space="preserve"> the Global Digital Exemplar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and the NHS Long Term Plan's digital-first agenda; NHS England, 2023), whereas Pakistan's telemedicine sector has expanded largely ahead of, rather than alongside, its regulatory architecture (Mahdi et al., 2022).</w:t>
      </w:r>
    </w:p>
    <w:p w14:paraId="4BF4C9C2" w14:textId="27DF0B20"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4.4</w:t>
      </w:r>
      <w:r w:rsidR="000F5408" w:rsidRPr="000F5408">
        <w:rPr>
          <w:rFonts w:ascii="Times New Roman" w:hAnsi="Times New Roman"/>
          <w:b/>
          <w:bCs/>
          <w:i/>
          <w:iCs/>
          <w:lang w:val="en-US" w:eastAsia="en-US" w:bidi="ur-PK"/>
        </w:rPr>
        <w:t>.6 The Role of Theoretical and Implementation Frameworks (Cross-Cutting)</w:t>
      </w:r>
    </w:p>
    <w:p w14:paraId="08ED034D"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 striking feature of the shortlisted literature is the sheer diversity of theoretical and implementation-science frameworks used to explain adoption, and the fact that almost no framework is used more than once across the 32 studies. UK studies </w:t>
      </w:r>
      <w:proofErr w:type="spellStart"/>
      <w:r w:rsidRPr="000F5408">
        <w:rPr>
          <w:rFonts w:ascii="Times New Roman" w:hAnsi="Times New Roman"/>
          <w:lang w:val="en-US" w:eastAsia="en-US" w:bidi="ur-PK"/>
        </w:rPr>
        <w:t>favoured</w:t>
      </w:r>
      <w:proofErr w:type="spellEnd"/>
      <w:r w:rsidRPr="000F5408">
        <w:rPr>
          <w:rFonts w:ascii="Times New Roman" w:hAnsi="Times New Roman"/>
          <w:lang w:val="en-US" w:eastAsia="en-US" w:bidi="ur-PK"/>
        </w:rPr>
        <w:t xml:space="preserve"> multi-level implementation frameworks that examine technology-in-context: Abdi et al. (2025) used </w:t>
      </w:r>
      <w:proofErr w:type="spellStart"/>
      <w:r w:rsidRPr="000F5408">
        <w:rPr>
          <w:rFonts w:ascii="Times New Roman" w:hAnsi="Times New Roman"/>
          <w:lang w:val="en-US" w:eastAsia="en-US" w:bidi="ur-PK"/>
        </w:rPr>
        <w:t>Normalisation</w:t>
      </w:r>
      <w:proofErr w:type="spellEnd"/>
      <w:r w:rsidRPr="000F5408">
        <w:rPr>
          <w:rFonts w:ascii="Times New Roman" w:hAnsi="Times New Roman"/>
          <w:lang w:val="en-US" w:eastAsia="en-US" w:bidi="ur-PK"/>
        </w:rPr>
        <w:t xml:space="preserve"> Process Theory (NPT) to unpack how a teleophthalmology platform became (or failed to become) embedded in routine optometry practice; Jarvis et al. (2025) used the NASSS framework to structure staff and service-user perceptions of the VERA rehabilitation technology across the domains of clinical condition, technology, value proposition, adopters, and </w:t>
      </w:r>
      <w:proofErr w:type="spellStart"/>
      <w:r w:rsidRPr="000F5408">
        <w:rPr>
          <w:rFonts w:ascii="Times New Roman" w:hAnsi="Times New Roman"/>
          <w:lang w:val="en-US" w:eastAsia="en-US" w:bidi="ur-PK"/>
        </w:rPr>
        <w:t>organisation</w:t>
      </w:r>
      <w:proofErr w:type="spell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Cheraghi</w:t>
      </w:r>
      <w:proofErr w:type="spellEnd"/>
      <w:r w:rsidRPr="000F5408">
        <w:rPr>
          <w:rFonts w:ascii="Times New Roman" w:hAnsi="Times New Roman"/>
          <w:lang w:val="en-US" w:eastAsia="en-US" w:bidi="ur-PK"/>
        </w:rPr>
        <w:t xml:space="preserve">-Sohi et al. (2023) applied the Domestication of Technology Model </w:t>
      </w:r>
      <w:r w:rsidRPr="000F5408">
        <w:rPr>
          <w:rFonts w:ascii="Times New Roman" w:hAnsi="Times New Roman"/>
          <w:lang w:val="en-US" w:eastAsia="en-US" w:bidi="ur-PK"/>
        </w:rPr>
        <w:lastRenderedPageBreak/>
        <w:t xml:space="preserve">(DTM) to explore how mHealth apps were, or were not, incorporated into the everyday routines of people with dementia and their </w:t>
      </w:r>
      <w:proofErr w:type="spellStart"/>
      <w:r w:rsidRPr="000F5408">
        <w:rPr>
          <w:rFonts w:ascii="Times New Roman" w:hAnsi="Times New Roman"/>
          <w:lang w:val="en-US" w:eastAsia="en-US" w:bidi="ur-PK"/>
        </w:rPr>
        <w:t>carers</w:t>
      </w:r>
      <w:proofErr w:type="spellEnd"/>
      <w:r w:rsidRPr="000F5408">
        <w:rPr>
          <w:rFonts w:ascii="Times New Roman" w:hAnsi="Times New Roman"/>
          <w:lang w:val="en-US" w:eastAsia="en-US" w:bidi="ur-PK"/>
        </w:rPr>
        <w:t xml:space="preserve">; and Charlton et al. (2024) structured their national survey of </w:t>
      </w:r>
      <w:proofErr w:type="spellStart"/>
      <w:r w:rsidRPr="000F5408">
        <w:rPr>
          <w:rFonts w:ascii="Times New Roman" w:hAnsi="Times New Roman"/>
          <w:lang w:val="en-US" w:eastAsia="en-US" w:bidi="ur-PK"/>
        </w:rPr>
        <w:t>paediatric</w:t>
      </w:r>
      <w:proofErr w:type="spellEnd"/>
      <w:r w:rsidRPr="000F5408">
        <w:rPr>
          <w:rFonts w:ascii="Times New Roman" w:hAnsi="Times New Roman"/>
          <w:lang w:val="en-US" w:eastAsia="en-US" w:bidi="ur-PK"/>
        </w:rPr>
        <w:t xml:space="preserve"> speech and language therapists around the APEASE criteria.</w:t>
      </w:r>
    </w:p>
    <w:p w14:paraId="07A4631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Pakistani studies, by contrast, drew more heavily on individual-level technology-acceptance and </w:t>
      </w:r>
      <w:proofErr w:type="spellStart"/>
      <w:r w:rsidRPr="000F5408">
        <w:rPr>
          <w:rFonts w:ascii="Times New Roman" w:hAnsi="Times New Roman"/>
          <w:lang w:val="en-US" w:eastAsia="en-US" w:bidi="ur-PK"/>
        </w:rPr>
        <w:t>behavioural</w:t>
      </w:r>
      <w:proofErr w:type="spellEnd"/>
      <w:r w:rsidRPr="000F5408">
        <w:rPr>
          <w:rFonts w:ascii="Times New Roman" w:hAnsi="Times New Roman"/>
          <w:lang w:val="en-US" w:eastAsia="en-US" w:bidi="ur-PK"/>
        </w:rPr>
        <w:t xml:space="preserve"> models: Khan et al. (2025) combined TAM with the Task–Technology Fit framework; Raza et al. (2025) extended UTAUT2/UTAUT3 with digital-divide and individual-trust constructs; Chen et al. (2024), the one UK study to foreground a </w:t>
      </w:r>
      <w:proofErr w:type="spellStart"/>
      <w:r w:rsidRPr="000F5408">
        <w:rPr>
          <w:rFonts w:ascii="Times New Roman" w:hAnsi="Times New Roman"/>
          <w:lang w:val="en-US" w:eastAsia="en-US" w:bidi="ur-PK"/>
        </w:rPr>
        <w:t>behavioural</w:t>
      </w:r>
      <w:proofErr w:type="spellEnd"/>
      <w:r w:rsidRPr="000F5408">
        <w:rPr>
          <w:rFonts w:ascii="Times New Roman" w:hAnsi="Times New Roman"/>
          <w:lang w:val="en-US" w:eastAsia="en-US" w:bidi="ur-PK"/>
        </w:rPr>
        <w:t xml:space="preserve">-psychology model, combined Protection Motivation Theory and Self-Regulation Theory;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 used CFIR to structure 57 interviews on the </w:t>
      </w:r>
      <w:proofErr w:type="spellStart"/>
      <w:r w:rsidRPr="000F5408">
        <w:rPr>
          <w:rFonts w:ascii="Times New Roman" w:hAnsi="Times New Roman"/>
          <w:lang w:val="en-US" w:eastAsia="en-US" w:bidi="ur-PK"/>
        </w:rPr>
        <w:t>Raabta</w:t>
      </w:r>
      <w:proofErr w:type="spellEnd"/>
      <w:r w:rsidRPr="000F5408">
        <w:rPr>
          <w:rFonts w:ascii="Times New Roman" w:hAnsi="Times New Roman"/>
          <w:lang w:val="en-US" w:eastAsia="en-US" w:bidi="ur-PK"/>
        </w:rPr>
        <w:t xml:space="preserve"> telemonitoring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Kazi</w:t>
      </w:r>
      <w:proofErr w:type="spellEnd"/>
      <w:r w:rsidRPr="000F5408">
        <w:rPr>
          <w:rFonts w:ascii="Times New Roman" w:hAnsi="Times New Roman"/>
          <w:lang w:val="en-US" w:eastAsia="en-US" w:bidi="ur-PK"/>
        </w:rPr>
        <w:t xml:space="preserve"> et al. (2020) applied a SWOT analysis to 51 Pakistani digital health projects mapped against the WHO health-systems building blocks; and </w:t>
      </w:r>
      <w:proofErr w:type="spellStart"/>
      <w:r w:rsidRPr="000F5408">
        <w:rPr>
          <w:rFonts w:ascii="Times New Roman" w:hAnsi="Times New Roman"/>
          <w:lang w:val="en-US" w:eastAsia="en-US" w:bidi="ur-PK"/>
        </w:rPr>
        <w:t>Yawar</w:t>
      </w:r>
      <w:proofErr w:type="spellEnd"/>
      <w:r w:rsidRPr="000F5408">
        <w:rPr>
          <w:rFonts w:ascii="Times New Roman" w:hAnsi="Times New Roman"/>
          <w:lang w:val="en-US" w:eastAsia="en-US" w:bidi="ur-PK"/>
        </w:rPr>
        <w:t xml:space="preserve"> and Asif (2022) used Participatory Action Research (PAR) to co-develop a telehealth capacity-building system.</w:t>
      </w:r>
    </w:p>
    <w:p w14:paraId="4879183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fragmentation of theoretical approach — with almost every study selecting a different framework suited to its own clinical or service context — is itself evidence for the second research gap identified in Chapter One: without a shared analytical framework applied consistently across both countries, it is difficult to build cumulative, comparable evidence about which specific mechanisms of adoption are common to both systems and which are context-specific. Where multi-level frameworks (NASSS, NPT, CFIR, DTM) were used, they tended to surface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and structural barriers that individual-level models (TAM, UTAUT, PMT) did not, reinforcing the argument developed further in Chapter Five that system-level frameworks are better suited to the comparative, policy-oriented aim of this dissertation.</w:t>
      </w:r>
    </w:p>
    <w:p w14:paraId="68A36AD8"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Theoretical Integration: Theme One</w:t>
      </w:r>
    </w:p>
    <w:p w14:paraId="6046D162" w14:textId="77777777" w:rsid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Read against Chapter Two's theoretical framework, Theme One shows TAM and UTAUT constructs operating largely as described in Section 2.4 — perceived usefulness and ease of use (Section 4.3.1), performance expectancy and facilitating conditions (Section 4.3.3) — but confirms the critical limitation already identified in Sections 2.4.1–2.4.2: these constructs describe why individual clinicians or patients accept telemedicine, without explaining why the surrounding system enables or constrains that acceptance so differently between countries. Diffusion of Innovation (DOI) theory offers a more specific lens on the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divergence reported in Section 4.3.2: the observability of visible, private-sector exemplar platforms such as </w:t>
      </w:r>
      <w:proofErr w:type="spellStart"/>
      <w:r w:rsidRPr="000F5408">
        <w:rPr>
          <w:rFonts w:ascii="Times New Roman" w:hAnsi="Times New Roman"/>
          <w:lang w:val="en-US" w:eastAsia="en-US" w:bidi="ur-PK"/>
        </w:rPr>
        <w:t>Sehat</w:t>
      </w:r>
      <w:proofErr w:type="spellEnd"/>
      <w:r w:rsidRPr="000F5408">
        <w:rPr>
          <w:rFonts w:ascii="Times New Roman" w:hAnsi="Times New Roman"/>
          <w:lang w:val="en-US" w:eastAsia="en-US" w:bidi="ur-PK"/>
        </w:rPr>
        <w:t xml:space="preserve"> Kahani and </w:t>
      </w:r>
      <w:proofErr w:type="spellStart"/>
      <w:r w:rsidRPr="000F5408">
        <w:rPr>
          <w:rFonts w:ascii="Times New Roman" w:hAnsi="Times New Roman"/>
          <w:lang w:val="en-US" w:eastAsia="en-US" w:bidi="ur-PK"/>
        </w:rPr>
        <w:t>EZShifa</w:t>
      </w:r>
      <w:proofErr w:type="spellEnd"/>
      <w:r w:rsidRPr="000F5408">
        <w:rPr>
          <w:rFonts w:ascii="Times New Roman" w:hAnsi="Times New Roman"/>
          <w:lang w:val="en-US" w:eastAsia="en-US" w:bidi="ur-PK"/>
        </w:rPr>
        <w:t xml:space="preserve">, and their apparent relative advantage over constrained public-sector alternatives, is consistent with Rogers's (2003) account of innovation diffusing fastest where relative advantage and observability are highest and where the innovation is compatible with existing (in this case, private, fee-for-service) ways of working — while the Pakistani public sector's slower uptake, per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 is consistent with DOI's prediction that low compatibility with existing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routines and resource constraints slow diffusion even where </w:t>
      </w:r>
      <w:r w:rsidRPr="000F5408">
        <w:rPr>
          <w:rFonts w:ascii="Times New Roman" w:hAnsi="Times New Roman"/>
          <w:lang w:val="en-US" w:eastAsia="en-US" w:bidi="ur-PK"/>
        </w:rPr>
        <w:lastRenderedPageBreak/>
        <w:t>relative advantage is acknowledged in principle. This is a pattern DOI's system-wide diffusion lens captures more directly than TAM or UTAUT alone, and is the first of several instances in this chapter where the multi-level implementation frameworks used within the primary studies themselves (Section 4.3.6) point toward the same conclusion from the primary evidence.</w:t>
      </w:r>
    </w:p>
    <w:p w14:paraId="3FF0A5DC" w14:textId="77777777" w:rsidR="00125FBD" w:rsidRPr="000F5408" w:rsidRDefault="00125FBD" w:rsidP="00125FBD">
      <w:pPr>
        <w:spacing w:before="260" w:after="160" w:line="240" w:lineRule="auto"/>
        <w:outlineLvl w:val="1"/>
        <w:rPr>
          <w:rFonts w:ascii="Times New Roman" w:hAnsi="Times New Roman"/>
          <w:sz w:val="26"/>
          <w:szCs w:val="26"/>
          <w:lang w:val="en-US" w:eastAsia="en-US" w:bidi="ur-PK"/>
        </w:rPr>
      </w:pPr>
      <w:bookmarkStart w:id="41" w:name="_Toc239804233"/>
      <w:r w:rsidRPr="000F5408">
        <w:rPr>
          <w:rFonts w:ascii="Times New Roman" w:hAnsi="Times New Roman"/>
          <w:b/>
          <w:bCs/>
          <w:sz w:val="26"/>
          <w:szCs w:val="26"/>
          <w:lang w:val="en-US" w:eastAsia="en-US" w:bidi="ur-PK"/>
        </w:rPr>
        <w:t>4.5 Similarities and Differences Between the UK and Pakistan (RQ3)</w:t>
      </w:r>
      <w:bookmarkEnd w:id="41"/>
    </w:p>
    <w:p w14:paraId="0E17B3C7" w14:textId="77777777" w:rsidR="00125FBD" w:rsidRPr="000F5408" w:rsidRDefault="00125FBD" w:rsidP="00125FBD">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synthesis reveals a health system that is technologically enabling but access-uneven in the UK, set against a health system that is access-motivated but infrastructurally and regulatorily fragile in Pakistan. Table 4.2 </w:t>
      </w:r>
      <w:proofErr w:type="spellStart"/>
      <w:r w:rsidRPr="000F5408">
        <w:rPr>
          <w:rFonts w:ascii="Times New Roman" w:hAnsi="Times New Roman"/>
          <w:lang w:val="en-US" w:eastAsia="en-US" w:bidi="ur-PK"/>
        </w:rPr>
        <w:t>summarises</w:t>
      </w:r>
      <w:proofErr w:type="spellEnd"/>
      <w:r w:rsidRPr="000F5408">
        <w:rPr>
          <w:rFonts w:ascii="Times New Roman" w:hAnsi="Times New Roman"/>
          <w:lang w:val="en-US" w:eastAsia="en-US" w:bidi="ur-PK"/>
        </w:rPr>
        <w:t xml:space="preserve"> the principal comparative findings drawn from the reviewed literature.</w:t>
      </w:r>
    </w:p>
    <w:p w14:paraId="3E589E61" w14:textId="77777777" w:rsidR="00125FBD" w:rsidRPr="000F5408" w:rsidRDefault="00125FBD" w:rsidP="00125FBD">
      <w:pPr>
        <w:spacing w:after="160" w:line="240" w:lineRule="auto"/>
        <w:rPr>
          <w:rFonts w:ascii="Times New Roman" w:hAnsi="Times New Roman"/>
          <w:sz w:val="20"/>
          <w:szCs w:val="20"/>
          <w:lang w:val="en-US" w:eastAsia="en-US" w:bidi="ur-PK"/>
        </w:rPr>
      </w:pPr>
      <w:r w:rsidRPr="000F5408">
        <w:rPr>
          <w:rFonts w:ascii="Times New Roman" w:hAnsi="Times New Roman"/>
          <w:i/>
          <w:iCs/>
          <w:sz w:val="22"/>
          <w:szCs w:val="22"/>
          <w:lang w:val="en-US" w:eastAsia="en-US" w:bidi="ur-PK"/>
        </w:rPr>
        <w:t>Table 4.2: Comparative Summary of Telemedicine Adoption in the UK and Pakistan</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400"/>
        <w:gridCol w:w="3400"/>
      </w:tblGrid>
      <w:tr w:rsidR="00125FBD" w:rsidRPr="000F5408" w14:paraId="3008323F" w14:textId="77777777" w:rsidTr="00247C8A">
        <w:tc>
          <w:tcPr>
            <w:tcW w:w="2200" w:type="dxa"/>
            <w:shd w:val="clear" w:color="auto" w:fill="D9E2F3"/>
          </w:tcPr>
          <w:p w14:paraId="68C0B4D8"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Dimension</w:t>
            </w:r>
          </w:p>
        </w:tc>
        <w:tc>
          <w:tcPr>
            <w:tcW w:w="3400" w:type="dxa"/>
            <w:shd w:val="clear" w:color="auto" w:fill="D9E2F3"/>
          </w:tcPr>
          <w:p w14:paraId="43E6B8DB"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United Kingdom</w:t>
            </w:r>
          </w:p>
        </w:tc>
        <w:tc>
          <w:tcPr>
            <w:tcW w:w="3400" w:type="dxa"/>
            <w:shd w:val="clear" w:color="auto" w:fill="D9E2F3"/>
          </w:tcPr>
          <w:p w14:paraId="054E831A"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b/>
                <w:bCs/>
                <w:sz w:val="20"/>
                <w:szCs w:val="20"/>
                <w:lang w:val="en-US" w:eastAsia="en-US" w:bidi="ur-PK"/>
              </w:rPr>
              <w:t>Pakistan</w:t>
            </w:r>
          </w:p>
        </w:tc>
      </w:tr>
      <w:tr w:rsidR="00125FBD" w:rsidRPr="000F5408" w14:paraId="034576D0" w14:textId="77777777" w:rsidTr="00247C8A">
        <w:tc>
          <w:tcPr>
            <w:tcW w:w="2200" w:type="dxa"/>
          </w:tcPr>
          <w:p w14:paraId="457C5E66"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Primary driver of adoption</w:t>
            </w:r>
          </w:p>
        </w:tc>
        <w:tc>
          <w:tcPr>
            <w:tcW w:w="3400" w:type="dxa"/>
          </w:tcPr>
          <w:p w14:paraId="4F3E3BC8"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Public investment and national policy (Global Digital Exemplar, NHS Long Term Plan digital-first agenda; NHS England, 2023)</w:t>
            </w:r>
          </w:p>
        </w:tc>
        <w:tc>
          <w:tcPr>
            <w:tcW w:w="3400" w:type="dxa"/>
          </w:tcPr>
          <w:p w14:paraId="2188417F"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Private-sector platforms and pandemic necessity (Karim et al., 2024; Khurram et al., 2024; Mahdi et al., 2022)</w:t>
            </w:r>
          </w:p>
        </w:tc>
      </w:tr>
      <w:tr w:rsidR="00125FBD" w:rsidRPr="000F5408" w14:paraId="3F5E53E0" w14:textId="77777777" w:rsidTr="00247C8A">
        <w:tc>
          <w:tcPr>
            <w:tcW w:w="2200" w:type="dxa"/>
          </w:tcPr>
          <w:p w14:paraId="1AEBBC97"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Governance and regulation</w:t>
            </w:r>
          </w:p>
        </w:tc>
        <w:tc>
          <w:tcPr>
            <w:tcW w:w="3400" w:type="dxa"/>
          </w:tcPr>
          <w:p w14:paraId="60AEBB15"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 xml:space="preserve">Embedded statutory data-governance, clinical accreditation and evaluation structures (Morris et al., 2023; </w:t>
            </w:r>
            <w:proofErr w:type="spellStart"/>
            <w:r w:rsidRPr="000F5408">
              <w:rPr>
                <w:rFonts w:ascii="Times New Roman" w:hAnsi="Times New Roman"/>
                <w:sz w:val="20"/>
                <w:szCs w:val="20"/>
                <w:lang w:val="en-US" w:eastAsia="en-US" w:bidi="ur-PK"/>
              </w:rPr>
              <w:t>Cresswell</w:t>
            </w:r>
            <w:proofErr w:type="spellEnd"/>
            <w:r w:rsidRPr="000F5408">
              <w:rPr>
                <w:rFonts w:ascii="Times New Roman" w:hAnsi="Times New Roman"/>
                <w:sz w:val="20"/>
                <w:szCs w:val="20"/>
                <w:lang w:val="en-US" w:eastAsia="en-US" w:bidi="ur-PK"/>
              </w:rPr>
              <w:t xml:space="preserve"> et al., 2022)</w:t>
            </w:r>
          </w:p>
        </w:tc>
        <w:tc>
          <w:tcPr>
            <w:tcW w:w="3400" w:type="dxa"/>
          </w:tcPr>
          <w:p w14:paraId="2A4BF763"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Absent or nascent regulatory bodies; concerns over accreditation, malpractice and medico-legal risk (</w:t>
            </w:r>
            <w:proofErr w:type="spellStart"/>
            <w:r w:rsidRPr="000F5408">
              <w:rPr>
                <w:rFonts w:ascii="Times New Roman" w:hAnsi="Times New Roman"/>
                <w:sz w:val="20"/>
                <w:szCs w:val="20"/>
                <w:lang w:val="en-US" w:eastAsia="en-US" w:bidi="ur-PK"/>
              </w:rPr>
              <w:t>Alam</w:t>
            </w:r>
            <w:proofErr w:type="spellEnd"/>
            <w:r w:rsidRPr="000F5408">
              <w:rPr>
                <w:rFonts w:ascii="Times New Roman" w:hAnsi="Times New Roman"/>
                <w:sz w:val="20"/>
                <w:szCs w:val="20"/>
                <w:lang w:val="en-US" w:eastAsia="en-US" w:bidi="ur-PK"/>
              </w:rPr>
              <w:t xml:space="preserve"> et al., 2021; Khurram et al., 2024)</w:t>
            </w:r>
          </w:p>
        </w:tc>
      </w:tr>
      <w:tr w:rsidR="00125FBD" w:rsidRPr="000F5408" w14:paraId="7DE0F3F6" w14:textId="77777777" w:rsidTr="00247C8A">
        <w:tc>
          <w:tcPr>
            <w:tcW w:w="2200" w:type="dxa"/>
          </w:tcPr>
          <w:p w14:paraId="20C49A15"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Infrastructure</w:t>
            </w:r>
          </w:p>
        </w:tc>
        <w:tc>
          <w:tcPr>
            <w:tcW w:w="3400" w:type="dxa"/>
          </w:tcPr>
          <w:p w14:paraId="3157EC13"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Reliable connectivity; barriers relate to platform integration and interoperability (Morris et al., 2023; Jarvis et al., 2025)</w:t>
            </w:r>
          </w:p>
        </w:tc>
        <w:tc>
          <w:tcPr>
            <w:tcW w:w="3400" w:type="dxa"/>
          </w:tcPr>
          <w:p w14:paraId="15086394"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 xml:space="preserve">Inconsistent internet/electricity access is a primary barrier (Khurram et al., 2024; </w:t>
            </w:r>
            <w:proofErr w:type="spellStart"/>
            <w:r w:rsidRPr="000F5408">
              <w:rPr>
                <w:rFonts w:ascii="Times New Roman" w:hAnsi="Times New Roman"/>
                <w:sz w:val="20"/>
                <w:szCs w:val="20"/>
                <w:lang w:val="en-US" w:eastAsia="en-US" w:bidi="ur-PK"/>
              </w:rPr>
              <w:t>Kazi</w:t>
            </w:r>
            <w:proofErr w:type="spellEnd"/>
            <w:r w:rsidRPr="000F5408">
              <w:rPr>
                <w:rFonts w:ascii="Times New Roman" w:hAnsi="Times New Roman"/>
                <w:sz w:val="20"/>
                <w:szCs w:val="20"/>
                <w:lang w:val="en-US" w:eastAsia="en-US" w:bidi="ur-PK"/>
              </w:rPr>
              <w:t xml:space="preserve"> et al., 2020; Khan et al., 2025)</w:t>
            </w:r>
          </w:p>
        </w:tc>
      </w:tr>
      <w:tr w:rsidR="00125FBD" w:rsidRPr="000F5408" w14:paraId="671D11D7" w14:textId="77777777" w:rsidTr="00247C8A">
        <w:tc>
          <w:tcPr>
            <w:tcW w:w="2200" w:type="dxa"/>
          </w:tcPr>
          <w:p w14:paraId="39FC2458"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Provider training</w:t>
            </w:r>
          </w:p>
        </w:tc>
        <w:tc>
          <w:tcPr>
            <w:tcW w:w="3400" w:type="dxa"/>
          </w:tcPr>
          <w:p w14:paraId="190B271A"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Uneven but improving post-COVID-19; profession-specific gaps remain (Anchors et al., 2023; Charlton et al., 2024)</w:t>
            </w:r>
          </w:p>
        </w:tc>
        <w:tc>
          <w:tcPr>
            <w:tcW w:w="3400" w:type="dxa"/>
          </w:tcPr>
          <w:p w14:paraId="5BE7CFD5"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Widespread lack of formal training; steep gradient by career stage (</w:t>
            </w:r>
            <w:proofErr w:type="spellStart"/>
            <w:r w:rsidRPr="000F5408">
              <w:rPr>
                <w:rFonts w:ascii="Times New Roman" w:hAnsi="Times New Roman"/>
                <w:sz w:val="20"/>
                <w:szCs w:val="20"/>
                <w:lang w:val="en-US" w:eastAsia="en-US" w:bidi="ur-PK"/>
              </w:rPr>
              <w:t>Alam</w:t>
            </w:r>
            <w:proofErr w:type="spellEnd"/>
            <w:r w:rsidRPr="000F5408">
              <w:rPr>
                <w:rFonts w:ascii="Times New Roman" w:hAnsi="Times New Roman"/>
                <w:sz w:val="20"/>
                <w:szCs w:val="20"/>
                <w:lang w:val="en-US" w:eastAsia="en-US" w:bidi="ur-PK"/>
              </w:rPr>
              <w:t xml:space="preserve"> et al., 2021; Mansoor et al., 2025)</w:t>
            </w:r>
          </w:p>
        </w:tc>
      </w:tr>
      <w:tr w:rsidR="00125FBD" w:rsidRPr="000F5408" w14:paraId="34B9349D" w14:textId="77777777" w:rsidTr="00247C8A">
        <w:tc>
          <w:tcPr>
            <w:tcW w:w="2200" w:type="dxa"/>
          </w:tcPr>
          <w:p w14:paraId="614261C9"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Equity focus</w:t>
            </w:r>
          </w:p>
        </w:tc>
        <w:tc>
          <w:tcPr>
            <w:tcW w:w="3400" w:type="dxa"/>
          </w:tcPr>
          <w:p w14:paraId="4AAE3F73"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Explicit but underdeveloped in practice; risk of widening gaps for digitally excluded groups (</w:t>
            </w:r>
            <w:proofErr w:type="spellStart"/>
            <w:r w:rsidRPr="000F5408">
              <w:rPr>
                <w:rFonts w:ascii="Times New Roman" w:hAnsi="Times New Roman"/>
                <w:sz w:val="20"/>
                <w:szCs w:val="20"/>
                <w:lang w:val="en-US" w:eastAsia="en-US" w:bidi="ur-PK"/>
              </w:rPr>
              <w:t>Farre</w:t>
            </w:r>
            <w:proofErr w:type="spellEnd"/>
            <w:r w:rsidRPr="000F5408">
              <w:rPr>
                <w:rFonts w:ascii="Times New Roman" w:hAnsi="Times New Roman"/>
                <w:sz w:val="20"/>
                <w:szCs w:val="20"/>
                <w:lang w:val="en-US" w:eastAsia="en-US" w:bidi="ur-PK"/>
              </w:rPr>
              <w:t xml:space="preserve"> et al., 2023; Xing et al., 2026)</w:t>
            </w:r>
          </w:p>
        </w:tc>
        <w:tc>
          <w:tcPr>
            <w:tcW w:w="3400" w:type="dxa"/>
          </w:tcPr>
          <w:p w14:paraId="19C4FA0B"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 xml:space="preserve">Urban-rural and public-private divide dominates; peri-urban interventions targeted at underserved groups (Haider et al., 2022; </w:t>
            </w:r>
            <w:proofErr w:type="spellStart"/>
            <w:r w:rsidRPr="000F5408">
              <w:rPr>
                <w:rFonts w:ascii="Times New Roman" w:hAnsi="Times New Roman"/>
                <w:sz w:val="20"/>
                <w:szCs w:val="20"/>
                <w:lang w:val="en-US" w:eastAsia="en-US" w:bidi="ur-PK"/>
              </w:rPr>
              <w:t>Mechael</w:t>
            </w:r>
            <w:proofErr w:type="spellEnd"/>
            <w:r w:rsidRPr="000F5408">
              <w:rPr>
                <w:rFonts w:ascii="Times New Roman" w:hAnsi="Times New Roman"/>
                <w:sz w:val="20"/>
                <w:szCs w:val="20"/>
                <w:lang w:val="en-US" w:eastAsia="en-US" w:bidi="ur-PK"/>
              </w:rPr>
              <w:t xml:space="preserve"> et al., 2024)</w:t>
            </w:r>
          </w:p>
        </w:tc>
      </w:tr>
      <w:tr w:rsidR="00125FBD" w:rsidRPr="000F5408" w14:paraId="58451E80" w14:textId="77777777" w:rsidTr="00247C8A">
        <w:tc>
          <w:tcPr>
            <w:tcW w:w="2200" w:type="dxa"/>
          </w:tcPr>
          <w:p w14:paraId="402442DA"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Dominant outcome evidence</w:t>
            </w:r>
          </w:p>
        </w:tc>
        <w:tc>
          <w:tcPr>
            <w:tcW w:w="3400" w:type="dxa"/>
          </w:tcPr>
          <w:p w14:paraId="4A257A8A"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High satisfaction; contested clinical validity of remote assessment (</w:t>
            </w:r>
            <w:proofErr w:type="spellStart"/>
            <w:r w:rsidRPr="000F5408">
              <w:rPr>
                <w:rFonts w:ascii="Times New Roman" w:hAnsi="Times New Roman"/>
                <w:sz w:val="20"/>
                <w:szCs w:val="20"/>
                <w:lang w:val="en-US" w:eastAsia="en-US" w:bidi="ur-PK"/>
              </w:rPr>
              <w:t>Alashek</w:t>
            </w:r>
            <w:proofErr w:type="spellEnd"/>
            <w:r w:rsidRPr="000F5408">
              <w:rPr>
                <w:rFonts w:ascii="Times New Roman" w:hAnsi="Times New Roman"/>
                <w:sz w:val="20"/>
                <w:szCs w:val="20"/>
                <w:lang w:val="en-US" w:eastAsia="en-US" w:bidi="ur-PK"/>
              </w:rPr>
              <w:t xml:space="preserve"> and Ali, 2024; </w:t>
            </w:r>
            <w:proofErr w:type="spellStart"/>
            <w:r w:rsidRPr="000F5408">
              <w:rPr>
                <w:rFonts w:ascii="Times New Roman" w:hAnsi="Times New Roman"/>
                <w:sz w:val="20"/>
                <w:szCs w:val="20"/>
                <w:lang w:val="en-US" w:eastAsia="en-US" w:bidi="ur-PK"/>
              </w:rPr>
              <w:t>Hilari</w:t>
            </w:r>
            <w:proofErr w:type="spellEnd"/>
            <w:r w:rsidRPr="000F5408">
              <w:rPr>
                <w:rFonts w:ascii="Times New Roman" w:hAnsi="Times New Roman"/>
                <w:sz w:val="20"/>
                <w:szCs w:val="20"/>
                <w:lang w:val="en-US" w:eastAsia="en-US" w:bidi="ur-PK"/>
              </w:rPr>
              <w:t xml:space="preserve"> et al., 2024)</w:t>
            </w:r>
          </w:p>
        </w:tc>
        <w:tc>
          <w:tcPr>
            <w:tcW w:w="3400" w:type="dxa"/>
          </w:tcPr>
          <w:p w14:paraId="1ADAD5B4" w14:textId="77777777" w:rsidR="00125FBD" w:rsidRPr="000F5408" w:rsidRDefault="00125FBD" w:rsidP="00247C8A">
            <w:pPr>
              <w:bidi/>
              <w:spacing w:line="240" w:lineRule="auto"/>
              <w:rPr>
                <w:rFonts w:ascii="Times New Roman" w:hAnsi="Times New Roman"/>
                <w:sz w:val="20"/>
                <w:szCs w:val="20"/>
                <w:lang w:val="en-US" w:eastAsia="en-US" w:bidi="ur-PK"/>
              </w:rPr>
            </w:pPr>
            <w:r w:rsidRPr="000F5408">
              <w:rPr>
                <w:rFonts w:ascii="Times New Roman" w:hAnsi="Times New Roman"/>
                <w:sz w:val="20"/>
                <w:szCs w:val="20"/>
                <w:lang w:val="en-US" w:eastAsia="en-US" w:bidi="ur-PK"/>
              </w:rPr>
              <w:t>High acceptance and cost savings; provider competence and quality assurance gaps (Malik et al., 2025; Karim et al., 2024)</w:t>
            </w:r>
          </w:p>
        </w:tc>
      </w:tr>
    </w:tbl>
    <w:p w14:paraId="6EAFF29B" w14:textId="77777777" w:rsidR="00125FBD" w:rsidRPr="000F5408" w:rsidRDefault="00125FBD" w:rsidP="00125FBD">
      <w:pPr>
        <w:bidi/>
        <w:spacing w:before="200" w:after="200" w:line="240" w:lineRule="auto"/>
        <w:rPr>
          <w:rFonts w:ascii="Times New Roman" w:hAnsi="Times New Roman"/>
          <w:sz w:val="20"/>
          <w:szCs w:val="20"/>
          <w:lang w:val="en-US" w:eastAsia="en-US" w:bidi="ur-PK"/>
        </w:rPr>
      </w:pPr>
    </w:p>
    <w:p w14:paraId="6EFB29E7" w14:textId="77777777" w:rsidR="00125FBD" w:rsidRPr="000F5408" w:rsidRDefault="00125FBD" w:rsidP="00125FBD">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Despite these differences, the underlying human factors of adoption were strikingly similar: in both countries, perceived usefulness, ease of use, and confirmation of expectations were consistently associated with continued use (Chen et al., 2024; </w:t>
      </w: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et al., 2024), echoing the individual-level constructs of TAM and UTAUT identified as dominant in the literature (WHO, 2022). This supports the study's second identified research gap — that technology-acceptance models capture individual adoption </w:t>
      </w:r>
      <w:proofErr w:type="spellStart"/>
      <w:r w:rsidRPr="000F5408">
        <w:rPr>
          <w:rFonts w:ascii="Times New Roman" w:hAnsi="Times New Roman"/>
          <w:lang w:val="en-US" w:eastAsia="en-US" w:bidi="ur-PK"/>
        </w:rPr>
        <w:t>behaviour</w:t>
      </w:r>
      <w:proofErr w:type="spellEnd"/>
      <w:r w:rsidRPr="000F5408">
        <w:rPr>
          <w:rFonts w:ascii="Times New Roman" w:hAnsi="Times New Roman"/>
          <w:lang w:val="en-US" w:eastAsia="en-US" w:bidi="ur-PK"/>
        </w:rPr>
        <w:t xml:space="preserve"> reasonably well in both a developed and a developing system, but say little about the system-level outcomes (accessibility, efficiency, quality) that differ so markedly between the two contexts and that matter most to policymakers.</w:t>
      </w:r>
    </w:p>
    <w:p w14:paraId="2E380FAD" w14:textId="338696CE" w:rsidR="00125FBD" w:rsidRPr="000F5408" w:rsidRDefault="00125FBD" w:rsidP="00125FBD">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Theoretical Integration: Theme Three. The pattern in Table 4.2 is also well described by DOI theory's account of an innovation diffusing through a social system along different pathways depending on the compatibility of the innovation with existing structures: the UK's pathway (public investment, statutory </w:t>
      </w:r>
      <w:r w:rsidRPr="000F5408">
        <w:rPr>
          <w:rFonts w:ascii="Times New Roman" w:hAnsi="Times New Roman"/>
          <w:lang w:val="en-US" w:eastAsia="en-US" w:bidi="ur-PK"/>
        </w:rPr>
        <w:lastRenderedPageBreak/>
        <w:t xml:space="preserve">governance, embedded accreditation) reflects diffusion coordinated through formal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channels, while Pakistan's pathway (private platforms, pandemic necessity, uneven public/private uptake) reflects diffusion driven more by individual-adopter and market-level dynamics ahead of formal governance — a distinction with direct implications for which UK practices are structurally transferable, discussed in Chapter Five, Section 5.4.</w:t>
      </w:r>
    </w:p>
    <w:p w14:paraId="17DB928B" w14:textId="0566EF1F" w:rsidR="000F5408" w:rsidRPr="000F5408" w:rsidRDefault="00125FBD" w:rsidP="00216D7B">
      <w:pPr>
        <w:spacing w:before="260" w:after="160" w:line="240" w:lineRule="auto"/>
        <w:outlineLvl w:val="1"/>
        <w:rPr>
          <w:rFonts w:ascii="Times New Roman" w:hAnsi="Times New Roman"/>
          <w:sz w:val="26"/>
          <w:szCs w:val="26"/>
          <w:lang w:val="en-US" w:eastAsia="en-US" w:bidi="ur-PK"/>
        </w:rPr>
      </w:pPr>
      <w:bookmarkStart w:id="42" w:name="_Toc239804234"/>
      <w:r>
        <w:rPr>
          <w:rFonts w:ascii="Times New Roman" w:hAnsi="Times New Roman"/>
          <w:b/>
          <w:bCs/>
          <w:sz w:val="26"/>
          <w:szCs w:val="26"/>
          <w:lang w:val="en-US" w:eastAsia="en-US" w:bidi="ur-PK"/>
        </w:rPr>
        <w:t>4.6</w:t>
      </w:r>
      <w:r w:rsidR="000F5408" w:rsidRPr="000F5408">
        <w:rPr>
          <w:rFonts w:ascii="Times New Roman" w:hAnsi="Times New Roman"/>
          <w:b/>
          <w:bCs/>
          <w:sz w:val="26"/>
          <w:szCs w:val="26"/>
          <w:lang w:val="en-US" w:eastAsia="en-US" w:bidi="ur-PK"/>
        </w:rPr>
        <w:t xml:space="preserve"> Impact </w:t>
      </w:r>
      <w:r w:rsidR="00216D7B">
        <w:rPr>
          <w:rFonts w:ascii="Times New Roman" w:hAnsi="Times New Roman"/>
          <w:b/>
          <w:bCs/>
          <w:sz w:val="26"/>
          <w:szCs w:val="26"/>
          <w:lang w:val="en-US" w:eastAsia="en-US" w:bidi="ur-PK"/>
        </w:rPr>
        <w:t xml:space="preserve">of Telemedicine </w:t>
      </w:r>
      <w:r w:rsidR="000F5408" w:rsidRPr="000F5408">
        <w:rPr>
          <w:rFonts w:ascii="Times New Roman" w:hAnsi="Times New Roman"/>
          <w:b/>
          <w:bCs/>
          <w:sz w:val="26"/>
          <w:szCs w:val="26"/>
          <w:lang w:val="en-US" w:eastAsia="en-US" w:bidi="ur-PK"/>
        </w:rPr>
        <w:t xml:space="preserve">on </w:t>
      </w:r>
      <w:r w:rsidR="00EC5131">
        <w:rPr>
          <w:rFonts w:ascii="Times New Roman" w:hAnsi="Times New Roman"/>
          <w:b/>
          <w:bCs/>
          <w:sz w:val="26"/>
          <w:szCs w:val="26"/>
          <w:lang w:val="en-US" w:eastAsia="en-US" w:bidi="ur-PK"/>
        </w:rPr>
        <w:t xml:space="preserve">Healthcare </w:t>
      </w:r>
      <w:r w:rsidR="000F5408" w:rsidRPr="000F5408">
        <w:rPr>
          <w:rFonts w:ascii="Times New Roman" w:hAnsi="Times New Roman"/>
          <w:b/>
          <w:bCs/>
          <w:sz w:val="26"/>
          <w:szCs w:val="26"/>
          <w:lang w:val="en-US" w:eastAsia="en-US" w:bidi="ur-PK"/>
        </w:rPr>
        <w:t>Accessibility, Efficiency, Quality of Care an</w:t>
      </w:r>
      <w:r w:rsidR="00EC5131">
        <w:rPr>
          <w:rFonts w:ascii="Times New Roman" w:hAnsi="Times New Roman"/>
          <w:b/>
          <w:bCs/>
          <w:sz w:val="26"/>
          <w:szCs w:val="26"/>
          <w:lang w:val="en-US" w:eastAsia="en-US" w:bidi="ur-PK"/>
        </w:rPr>
        <w:t>d Patient Satisfaction (RQ4</w:t>
      </w:r>
      <w:r w:rsidR="000F5408" w:rsidRPr="000F5408">
        <w:rPr>
          <w:rFonts w:ascii="Times New Roman" w:hAnsi="Times New Roman"/>
          <w:b/>
          <w:bCs/>
          <w:sz w:val="26"/>
          <w:szCs w:val="26"/>
          <w:lang w:val="en-US" w:eastAsia="en-US" w:bidi="ur-PK"/>
        </w:rPr>
        <w:t>)</w:t>
      </w:r>
      <w:bookmarkEnd w:id="42"/>
    </w:p>
    <w:p w14:paraId="5D918E39" w14:textId="4F9B5155"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4.6</w:t>
      </w:r>
      <w:r w:rsidR="000F5408" w:rsidRPr="000F5408">
        <w:rPr>
          <w:rFonts w:ascii="Times New Roman" w:hAnsi="Times New Roman"/>
          <w:b/>
          <w:bCs/>
          <w:i/>
          <w:iCs/>
          <w:lang w:val="en-US" w:eastAsia="en-US" w:bidi="ur-PK"/>
        </w:rPr>
        <w:t>.1 Healthcare Accessibility</w:t>
      </w:r>
    </w:p>
    <w:p w14:paraId="340A159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Telemedicine's contribution to accessibility was most clearly evidenced in Pakistan's peri-urban and rural interventions. Haider et al. (2022) reported that a digital health intervention extended maternal and child healthcare into underserved peri-urban communities of Karachi, finding satisfaction above 85% among frontline workers on most usability dimensions, albeit with satisfaction falling to only 45% on service quality because of data-</w:t>
      </w:r>
      <w:proofErr w:type="spellStart"/>
      <w:r w:rsidRPr="000F5408">
        <w:rPr>
          <w:rFonts w:ascii="Times New Roman" w:hAnsi="Times New Roman"/>
          <w:lang w:val="en-US" w:eastAsia="en-US" w:bidi="ur-PK"/>
        </w:rPr>
        <w:t>synchronisation</w:t>
      </w:r>
      <w:proofErr w:type="spellEnd"/>
      <w:r w:rsidRPr="000F5408">
        <w:rPr>
          <w:rFonts w:ascii="Times New Roman" w:hAnsi="Times New Roman"/>
          <w:lang w:val="en-US" w:eastAsia="en-US" w:bidi="ur-PK"/>
        </w:rPr>
        <w:t xml:space="preserve"> and network problems. </w:t>
      </w:r>
      <w:proofErr w:type="spellStart"/>
      <w:r w:rsidRPr="000F5408">
        <w:rPr>
          <w:rFonts w:ascii="Times New Roman" w:hAnsi="Times New Roman"/>
          <w:lang w:val="en-US" w:eastAsia="en-US" w:bidi="ur-PK"/>
        </w:rPr>
        <w:t>Mechael</w:t>
      </w:r>
      <w:proofErr w:type="spellEnd"/>
      <w:r w:rsidRPr="000F5408">
        <w:rPr>
          <w:rFonts w:ascii="Times New Roman" w:hAnsi="Times New Roman"/>
          <w:lang w:val="en-US" w:eastAsia="en-US" w:bidi="ur-PK"/>
        </w:rPr>
        <w:t xml:space="preserve"> et al. (2024) found that the </w:t>
      </w:r>
      <w:proofErr w:type="spellStart"/>
      <w:r w:rsidRPr="000F5408">
        <w:rPr>
          <w:rFonts w:ascii="Times New Roman" w:hAnsi="Times New Roman"/>
          <w:lang w:val="en-US" w:eastAsia="en-US" w:bidi="ur-PK"/>
        </w:rPr>
        <w:t>Zindagi</w:t>
      </w:r>
      <w:proofErr w:type="spell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Mehfooz</w:t>
      </w:r>
      <w:proofErr w:type="spellEnd"/>
      <w:r w:rsidRPr="000F5408">
        <w:rPr>
          <w:rFonts w:ascii="Times New Roman" w:hAnsi="Times New Roman"/>
          <w:lang w:val="en-US" w:eastAsia="en-US" w:bidi="ur-PK"/>
        </w:rPr>
        <w:t xml:space="preserve"> electronic </w:t>
      </w:r>
      <w:proofErr w:type="spellStart"/>
      <w:r w:rsidRPr="000F5408">
        <w:rPr>
          <w:rFonts w:ascii="Times New Roman" w:hAnsi="Times New Roman"/>
          <w:lang w:val="en-US" w:eastAsia="en-US" w:bidi="ur-PK"/>
        </w:rPr>
        <w:t>immunisation</w:t>
      </w:r>
      <w:proofErr w:type="spellEnd"/>
      <w:r w:rsidRPr="000F5408">
        <w:rPr>
          <w:rFonts w:ascii="Times New Roman" w:hAnsi="Times New Roman"/>
          <w:lang w:val="en-US" w:eastAsia="en-US" w:bidi="ur-PK"/>
        </w:rPr>
        <w:t xml:space="preserve"> registry, implemented at scale in Sindh Province, contributed to improved vaccination coverage and a reduction in 'zero-dose' children between 2014 and 2018–19. Malik et al. (2025) provided direct patient-</w:t>
      </w:r>
      <w:proofErr w:type="spellStart"/>
      <w:r w:rsidRPr="000F5408">
        <w:rPr>
          <w:rFonts w:ascii="Times New Roman" w:hAnsi="Times New Roman"/>
          <w:lang w:val="en-US" w:eastAsia="en-US" w:bidi="ur-PK"/>
        </w:rPr>
        <w:t>centred</w:t>
      </w:r>
      <w:proofErr w:type="spellEnd"/>
      <w:r w:rsidRPr="000F5408">
        <w:rPr>
          <w:rFonts w:ascii="Times New Roman" w:hAnsi="Times New Roman"/>
          <w:lang w:val="en-US" w:eastAsia="en-US" w:bidi="ur-PK"/>
        </w:rPr>
        <w:t xml:space="preserve"> evidence that telehealth improved access at lower cost than in-person primary care in Pakistan. In the UK, accessibility gains were framed differently — chiefly as convenience and reduced travel burden for patients able to engage digitally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 2024; Anchors et al., 2023) — while Xing et al. (2026) and </w:t>
      </w:r>
      <w:proofErr w:type="spellStart"/>
      <w:r w:rsidRPr="000F5408">
        <w:rPr>
          <w:rFonts w:ascii="Times New Roman" w:hAnsi="Times New Roman"/>
          <w:lang w:val="en-US" w:eastAsia="en-US" w:bidi="ur-PK"/>
        </w:rPr>
        <w:t>Farre</w:t>
      </w:r>
      <w:proofErr w:type="spellEnd"/>
      <w:r w:rsidRPr="000F5408">
        <w:rPr>
          <w:rFonts w:ascii="Times New Roman" w:hAnsi="Times New Roman"/>
          <w:lang w:val="en-US" w:eastAsia="en-US" w:bidi="ur-PK"/>
        </w:rPr>
        <w:t xml:space="preserve"> et al. (2023) raised concerns that 'digital-first' primary care policy in NHS England risks widening access gaps for patients with lower digital literacy, connectivity, or English proficiency unless deliberately designed for equity.</w:t>
      </w:r>
    </w:p>
    <w:p w14:paraId="01EB4FD9" w14:textId="79AAA79B"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4.6</w:t>
      </w:r>
      <w:r w:rsidR="000F5408" w:rsidRPr="000F5408">
        <w:rPr>
          <w:rFonts w:ascii="Times New Roman" w:hAnsi="Times New Roman"/>
          <w:b/>
          <w:bCs/>
          <w:i/>
          <w:iCs/>
          <w:lang w:val="en-US" w:eastAsia="en-US" w:bidi="ur-PK"/>
        </w:rPr>
        <w:t>.2 Operational Efficiency</w:t>
      </w:r>
    </w:p>
    <w:p w14:paraId="3B62F35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Efficiency gains were reported in both systems but were evidenced through different metrics. In the UK, </w:t>
      </w:r>
      <w:proofErr w:type="spellStart"/>
      <w:r w:rsidRPr="000F5408">
        <w:rPr>
          <w:rFonts w:ascii="Times New Roman" w:hAnsi="Times New Roman"/>
          <w:lang w:val="en-US" w:eastAsia="en-US" w:bidi="ur-PK"/>
        </w:rPr>
        <w:t>Chadd</w:t>
      </w:r>
      <w:proofErr w:type="spellEnd"/>
      <w:r w:rsidRPr="000F5408">
        <w:rPr>
          <w:rFonts w:ascii="Times New Roman" w:hAnsi="Times New Roman"/>
          <w:lang w:val="en-US" w:eastAsia="en-US" w:bidi="ur-PK"/>
        </w:rPr>
        <w:t xml:space="preserve"> et al. (2024) used real-world data to show a substantial increase in the hours of speech and language therapy that people with aphasia received once a co-designed telehealth solution was adopted, directly addressing a long-standing service capacity gap. Morris et al. (2023) demonstrated that automating remote collection of patient-reported outcome measures reduced administrative burden within NHS Child and Adolescent Mental Health Services. In Pakistan, Malik et al. (2025) calculated incremental cost-effectiveness ratios showing that </w:t>
      </w:r>
      <w:proofErr w:type="spellStart"/>
      <w:r w:rsidRPr="000F5408">
        <w:rPr>
          <w:rFonts w:ascii="Times New Roman" w:hAnsi="Times New Roman"/>
          <w:lang w:val="en-US" w:eastAsia="en-US" w:bidi="ur-PK"/>
        </w:rPr>
        <w:t>EZShifa</w:t>
      </w:r>
      <w:proofErr w:type="spellEnd"/>
      <w:r w:rsidRPr="000F5408">
        <w:rPr>
          <w:rFonts w:ascii="Times New Roman" w:hAnsi="Times New Roman"/>
          <w:lang w:val="en-US" w:eastAsia="en-US" w:bidi="ur-PK"/>
        </w:rPr>
        <w:t xml:space="preserve"> telehealth was cost-saving relative to in-person care, and Saifullah et al. (2024) examined how specific dimensions of telehealth service quality contribute to more efficient service development in Pakistani healthcare </w:t>
      </w:r>
      <w:proofErr w:type="spellStart"/>
      <w:r w:rsidRPr="000F5408">
        <w:rPr>
          <w:rFonts w:ascii="Times New Roman" w:hAnsi="Times New Roman"/>
          <w:lang w:val="en-US" w:eastAsia="en-US" w:bidi="ur-PK"/>
        </w:rPr>
        <w:t>organisations</w:t>
      </w:r>
      <w:proofErr w:type="spellEnd"/>
      <w:r w:rsidRPr="000F5408">
        <w:rPr>
          <w:rFonts w:ascii="Times New Roman" w:hAnsi="Times New Roman"/>
          <w:lang w:val="en-US" w:eastAsia="en-US" w:bidi="ur-PK"/>
        </w:rPr>
        <w:t xml:space="preserve">. However, efficiency gains in Pakistan were frequently offset by the technological and infrastructural barriers noted in Section 4.3.1, meaning efficiency improvements were less consistently </w:t>
      </w:r>
      <w:proofErr w:type="spellStart"/>
      <w:r w:rsidRPr="000F5408">
        <w:rPr>
          <w:rFonts w:ascii="Times New Roman" w:hAnsi="Times New Roman"/>
          <w:lang w:val="en-US" w:eastAsia="en-US" w:bidi="ur-PK"/>
        </w:rPr>
        <w:t>realised</w:t>
      </w:r>
      <w:proofErr w:type="spellEnd"/>
      <w:r w:rsidRPr="000F5408">
        <w:rPr>
          <w:rFonts w:ascii="Times New Roman" w:hAnsi="Times New Roman"/>
          <w:lang w:val="en-US" w:eastAsia="en-US" w:bidi="ur-PK"/>
        </w:rPr>
        <w:t xml:space="preserve"> at scale than in the more infrastructurally mature NHS context.</w:t>
      </w:r>
    </w:p>
    <w:p w14:paraId="5E1D9989" w14:textId="06C5EEE2"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4.6</w:t>
      </w:r>
      <w:r w:rsidR="000F5408" w:rsidRPr="000F5408">
        <w:rPr>
          <w:rFonts w:ascii="Times New Roman" w:hAnsi="Times New Roman"/>
          <w:b/>
          <w:bCs/>
          <w:i/>
          <w:iCs/>
          <w:lang w:val="en-US" w:eastAsia="en-US" w:bidi="ur-PK"/>
        </w:rPr>
        <w:t>.3 Quality of Care</w:t>
      </w:r>
    </w:p>
    <w:p w14:paraId="3097FA3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 xml:space="preserve">Quality-of-care evidence was more equivocal than accessibility or satisfaction evidence in both countries. In the UK, several allied health studies raised concerns about the validity of remote clinical assessment: </w:t>
      </w:r>
      <w:proofErr w:type="spellStart"/>
      <w:r w:rsidRPr="000F5408">
        <w:rPr>
          <w:rFonts w:ascii="Times New Roman" w:hAnsi="Times New Roman"/>
          <w:lang w:val="en-US" w:eastAsia="en-US" w:bidi="ur-PK"/>
        </w:rPr>
        <w:t>Hilari</w:t>
      </w:r>
      <w:proofErr w:type="spellEnd"/>
      <w:r w:rsidRPr="000F5408">
        <w:rPr>
          <w:rFonts w:ascii="Times New Roman" w:hAnsi="Times New Roman"/>
          <w:lang w:val="en-US" w:eastAsia="en-US" w:bidi="ur-PK"/>
        </w:rPr>
        <w:t xml:space="preserve"> et al. (2024), Charlton et al. (2024), and Comer et al. (2025) all found that UK speech and language therapists questioned whether standard aphasia and </w:t>
      </w:r>
      <w:proofErr w:type="spellStart"/>
      <w:r w:rsidRPr="000F5408">
        <w:rPr>
          <w:rFonts w:ascii="Times New Roman" w:hAnsi="Times New Roman"/>
          <w:lang w:val="en-US" w:eastAsia="en-US" w:bidi="ur-PK"/>
        </w:rPr>
        <w:t>paediatric</w:t>
      </w:r>
      <w:proofErr w:type="spellEnd"/>
      <w:r w:rsidRPr="000F5408">
        <w:rPr>
          <w:rFonts w:ascii="Times New Roman" w:hAnsi="Times New Roman"/>
          <w:lang w:val="en-US" w:eastAsia="en-US" w:bidi="ur-PK"/>
        </w:rPr>
        <w:t xml:space="preserve"> assessments — validated for face-to-face administration — could be reliably delivered by telehealth, and Grant and </w:t>
      </w:r>
      <w:proofErr w:type="spellStart"/>
      <w:r w:rsidRPr="000F5408">
        <w:rPr>
          <w:rFonts w:ascii="Times New Roman" w:hAnsi="Times New Roman"/>
          <w:lang w:val="en-US" w:eastAsia="en-US" w:bidi="ur-PK"/>
        </w:rPr>
        <w:t>Skamagki</w:t>
      </w:r>
      <w:proofErr w:type="spellEnd"/>
      <w:r w:rsidRPr="000F5408">
        <w:rPr>
          <w:rFonts w:ascii="Times New Roman" w:hAnsi="Times New Roman"/>
          <w:lang w:val="en-US" w:eastAsia="en-US" w:bidi="ur-PK"/>
        </w:rPr>
        <w:t xml:space="preserve"> (2024) reported that physiotherapists using the </w:t>
      </w:r>
      <w:proofErr w:type="spellStart"/>
      <w:r w:rsidRPr="000F5408">
        <w:rPr>
          <w:rFonts w:ascii="Times New Roman" w:hAnsi="Times New Roman"/>
          <w:lang w:val="en-US" w:eastAsia="en-US" w:bidi="ur-PK"/>
        </w:rPr>
        <w:t>DiAL</w:t>
      </w:r>
      <w:proofErr w:type="spellEnd"/>
      <w:r w:rsidRPr="000F5408">
        <w:rPr>
          <w:rFonts w:ascii="Times New Roman" w:hAnsi="Times New Roman"/>
          <w:lang w:val="en-US" w:eastAsia="en-US" w:bidi="ur-PK"/>
        </w:rPr>
        <w:t xml:space="preserve"> remote patient management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perceived compromised clinical reasoning and reduced ability to conduct hands-on examination remotely, a concern echoed by Anchors et al. (2023) regarding 'compromised efficacy' as the key challenge for First Contact Physiotherapists. Abdi et al. (2025) found that clinicians' overall assessment of the teleophthalmology platform depended heavily on whether feedback from secondary eye care met their expectations. Comer et al. (2025) extended this concern specifically to patient choice: UK speech and language therapists in their study valued being able to offer people with aphasia a choice between telehealth and face-to-face assessment, and identified a continuing shortage of assessments </w:t>
      </w:r>
      <w:proofErr w:type="spellStart"/>
      <w:r w:rsidRPr="000F5408">
        <w:rPr>
          <w:rFonts w:ascii="Times New Roman" w:hAnsi="Times New Roman"/>
          <w:lang w:val="en-US" w:eastAsia="en-US" w:bidi="ur-PK"/>
        </w:rPr>
        <w:t>standardised</w:t>
      </w:r>
      <w:proofErr w:type="spellEnd"/>
      <w:r w:rsidRPr="000F5408">
        <w:rPr>
          <w:rFonts w:ascii="Times New Roman" w:hAnsi="Times New Roman"/>
          <w:lang w:val="en-US" w:eastAsia="en-US" w:bidi="ur-PK"/>
        </w:rPr>
        <w:t xml:space="preserve"> for telehealth delivery as the main barrier to wider, quality-assured use. </w:t>
      </w:r>
      <w:proofErr w:type="spellStart"/>
      <w:r w:rsidRPr="000F5408">
        <w:rPr>
          <w:rFonts w:ascii="Times New Roman" w:hAnsi="Times New Roman"/>
          <w:lang w:val="en-US" w:eastAsia="en-US" w:bidi="ur-PK"/>
        </w:rPr>
        <w:t>Cheraghi</w:t>
      </w:r>
      <w:proofErr w:type="spellEnd"/>
      <w:r w:rsidRPr="000F5408">
        <w:rPr>
          <w:rFonts w:ascii="Times New Roman" w:hAnsi="Times New Roman"/>
          <w:lang w:val="en-US" w:eastAsia="en-US" w:bidi="ur-PK"/>
        </w:rPr>
        <w:t xml:space="preserve">-Sohi et al. (2023) added a further nuance from the dementia-care literature: most participants in their study did not sustain use of a co-designed mHealth app over the study period, concluding that quality and usefulness for this population cannot be assessed independently of the progressive nature of the condition and the burden already carried by </w:t>
      </w:r>
      <w:proofErr w:type="spellStart"/>
      <w:r w:rsidRPr="000F5408">
        <w:rPr>
          <w:rFonts w:ascii="Times New Roman" w:hAnsi="Times New Roman"/>
          <w:lang w:val="en-US" w:eastAsia="en-US" w:bidi="ur-PK"/>
        </w:rPr>
        <w:t>carers</w:t>
      </w:r>
      <w:proofErr w:type="spellEnd"/>
      <w:r w:rsidRPr="000F5408">
        <w:rPr>
          <w:rFonts w:ascii="Times New Roman" w:hAnsi="Times New Roman"/>
          <w:lang w:val="en-US" w:eastAsia="en-US" w:bidi="ur-PK"/>
        </w:rPr>
        <w:t xml:space="preserve">. In Pakistan, quality-of-care evidence </w:t>
      </w:r>
      <w:proofErr w:type="spellStart"/>
      <w:r w:rsidRPr="000F5408">
        <w:rPr>
          <w:rFonts w:ascii="Times New Roman" w:hAnsi="Times New Roman"/>
          <w:lang w:val="en-US" w:eastAsia="en-US" w:bidi="ur-PK"/>
        </w:rPr>
        <w:t>centred</w:t>
      </w:r>
      <w:proofErr w:type="spellEnd"/>
      <w:r w:rsidRPr="000F5408">
        <w:rPr>
          <w:rFonts w:ascii="Times New Roman" w:hAnsi="Times New Roman"/>
          <w:lang w:val="en-US" w:eastAsia="en-US" w:bidi="ur-PK"/>
        </w:rPr>
        <w:t xml:space="preserve"> on provider competence gaps: Karim et al. (2024) found gaps in clinicians' knowledge and competence in delivering telemedicine, and Mansoor et al. (2025) found that clinicians, despite greater familiarity than students, still reported only moderate knowledge scores, suggesting quality assurance mechanisms for remote consultation remain underdeveloped relative to the UK's more established clinical governance structures.</w:t>
      </w:r>
    </w:p>
    <w:p w14:paraId="51668A23" w14:textId="77E7A39B"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4.6</w:t>
      </w:r>
      <w:r w:rsidR="000F5408" w:rsidRPr="000F5408">
        <w:rPr>
          <w:rFonts w:ascii="Times New Roman" w:hAnsi="Times New Roman"/>
          <w:b/>
          <w:bCs/>
          <w:i/>
          <w:iCs/>
          <w:lang w:val="en-US" w:eastAsia="en-US" w:bidi="ur-PK"/>
        </w:rPr>
        <w:t>.4 Patient and Provider Satisfaction</w:t>
      </w:r>
    </w:p>
    <w:p w14:paraId="65CE341C"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Satisfaction was consistently the most positive outcome domain across both countries.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Ali's (2024) systematic review of 27 UK studies found satisfaction scores of 9–10 out of 10, or ranging from 73.3% to 100%, with convenience rated highly across every specialty examined and clinician satisfaction also high despite connection failures and confidentiality concerns; willingness to continue using telemedicine after the pandemic was high among both patients and providers. Hawley-Hague et al. (2024) similarly concluded that remote physiotherapy was safe, feasible, and broadly acceptable, while noting it was unsuitable for some patients and clinical presentations and should be combined with in-person care. In Pakistan, Khurram et al. (2024) reported a </w:t>
      </w:r>
      <w:proofErr w:type="spellStart"/>
      <w:r w:rsidRPr="000F5408">
        <w:rPr>
          <w:rFonts w:ascii="Times New Roman" w:hAnsi="Times New Roman"/>
          <w:lang w:val="en-US" w:eastAsia="en-US" w:bidi="ur-PK"/>
        </w:rPr>
        <w:t>favourable</w:t>
      </w:r>
      <w:proofErr w:type="spellEnd"/>
      <w:r w:rsidRPr="000F5408">
        <w:rPr>
          <w:rFonts w:ascii="Times New Roman" w:hAnsi="Times New Roman"/>
          <w:lang w:val="en-US" w:eastAsia="en-US" w:bidi="ur-PK"/>
        </w:rPr>
        <w:t xml:space="preserve"> mean Telehealth Usability Questionnaire score of 5.73 (± 0.4) out of 7 among </w:t>
      </w:r>
      <w:proofErr w:type="spellStart"/>
      <w:r w:rsidRPr="000F5408">
        <w:rPr>
          <w:rFonts w:ascii="Times New Roman" w:hAnsi="Times New Roman"/>
          <w:lang w:val="en-US" w:eastAsia="en-US" w:bidi="ur-PK"/>
        </w:rPr>
        <w:t>Sehat</w:t>
      </w:r>
      <w:proofErr w:type="spellEnd"/>
      <w:r w:rsidRPr="000F5408">
        <w:rPr>
          <w:rFonts w:ascii="Times New Roman" w:hAnsi="Times New Roman"/>
          <w:lang w:val="en-US" w:eastAsia="en-US" w:bidi="ur-PK"/>
        </w:rPr>
        <w:t xml:space="preserve"> Kahani providers, and Malik et al. (2025) and </w:t>
      </w: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et al. (2024) both reported high patient and provider satisfaction and positive perceived benefits, with </w:t>
      </w: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et al. (2024) finding statistically significant associations between telemedicine </w:t>
      </w:r>
      <w:proofErr w:type="spellStart"/>
      <w:r w:rsidRPr="000F5408">
        <w:rPr>
          <w:rFonts w:ascii="Times New Roman" w:hAnsi="Times New Roman"/>
          <w:lang w:val="en-US" w:eastAsia="en-US" w:bidi="ur-PK"/>
        </w:rPr>
        <w:t>utilisation</w:t>
      </w:r>
      <w:proofErr w:type="spellEnd"/>
      <w:r w:rsidRPr="000F5408">
        <w:rPr>
          <w:rFonts w:ascii="Times New Roman" w:hAnsi="Times New Roman"/>
          <w:lang w:val="en-US" w:eastAsia="en-US" w:bidi="ur-PK"/>
        </w:rPr>
        <w:t xml:space="preserve"> and perceived benefits over disadvantages (β = 1.03, p = 0.017). Chen et al. (2024) added a UK-based </w:t>
      </w:r>
      <w:proofErr w:type="spellStart"/>
      <w:r w:rsidRPr="000F5408">
        <w:rPr>
          <w:rFonts w:ascii="Times New Roman" w:hAnsi="Times New Roman"/>
          <w:lang w:val="en-US" w:eastAsia="en-US" w:bidi="ur-PK"/>
        </w:rPr>
        <w:t>behavioural</w:t>
      </w:r>
      <w:proofErr w:type="spellEnd"/>
      <w:r w:rsidRPr="000F5408">
        <w:rPr>
          <w:rFonts w:ascii="Times New Roman" w:hAnsi="Times New Roman"/>
          <w:lang w:val="en-US" w:eastAsia="en-US" w:bidi="ur-PK"/>
        </w:rPr>
        <w:t xml:space="preserve"> explanation for sustained satisfaction and continued use, finding </w:t>
      </w:r>
      <w:r w:rsidRPr="000F5408">
        <w:rPr>
          <w:rFonts w:ascii="Times New Roman" w:hAnsi="Times New Roman"/>
          <w:lang w:val="en-US" w:eastAsia="en-US" w:bidi="ur-PK"/>
        </w:rPr>
        <w:lastRenderedPageBreak/>
        <w:t>that expectation confirmation, system quality, and information quality positively influenced UK adults' self-efficacy and continued use of online health consultation services after pandemic restrictions were lifted, moderated by perceived health risk.</w:t>
      </w:r>
    </w:p>
    <w:p w14:paraId="32B1F662" w14:textId="6503C2F2" w:rsidR="000F5408" w:rsidRPr="000F5408" w:rsidRDefault="00125FBD" w:rsidP="000F5408">
      <w:pPr>
        <w:spacing w:before="200" w:after="120" w:line="240" w:lineRule="auto"/>
        <w:rPr>
          <w:rFonts w:ascii="Times New Roman" w:hAnsi="Times New Roman"/>
          <w:sz w:val="20"/>
          <w:szCs w:val="20"/>
          <w:lang w:val="en-US" w:eastAsia="en-US" w:bidi="ur-PK"/>
        </w:rPr>
      </w:pPr>
      <w:r>
        <w:rPr>
          <w:rFonts w:ascii="Times New Roman" w:hAnsi="Times New Roman"/>
          <w:b/>
          <w:bCs/>
          <w:i/>
          <w:iCs/>
          <w:lang w:val="en-US" w:eastAsia="en-US" w:bidi="ur-PK"/>
        </w:rPr>
        <w:t>4.6</w:t>
      </w:r>
      <w:r w:rsidR="000F5408" w:rsidRPr="000F5408">
        <w:rPr>
          <w:rFonts w:ascii="Times New Roman" w:hAnsi="Times New Roman"/>
          <w:b/>
          <w:bCs/>
          <w:i/>
          <w:iCs/>
          <w:lang w:val="en-US" w:eastAsia="en-US" w:bidi="ur-PK"/>
        </w:rPr>
        <w:t>.5 Digital Mental Health: A UK Observation Requiring Further Pakistani Evidence</w:t>
      </w:r>
    </w:p>
    <w:p w14:paraId="7045C9C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Digital mental health services surfaced in the UK evidence base as a domain where quality concerns are especially pronounced, because the therapeutic relationship itself is central to the intervention. Morris et al. (2023) documented the substantial governance and technical work needed before </w:t>
      </w:r>
      <w:proofErr w:type="spellStart"/>
      <w:r w:rsidRPr="000F5408">
        <w:rPr>
          <w:rFonts w:ascii="Times New Roman" w:hAnsi="Times New Roman"/>
          <w:lang w:val="en-US" w:eastAsia="en-US" w:bidi="ur-PK"/>
        </w:rPr>
        <w:t>myHealthE</w:t>
      </w:r>
      <w:proofErr w:type="spellEnd"/>
      <w:r w:rsidRPr="000F5408">
        <w:rPr>
          <w:rFonts w:ascii="Times New Roman" w:hAnsi="Times New Roman"/>
          <w:lang w:val="en-US" w:eastAsia="en-US" w:bidi="ur-PK"/>
        </w:rPr>
        <w:t xml:space="preserve"> could automate the remote collection of patient-reported outcome measures within NHS Child and Adolescent Mental Health Services, while </w:t>
      </w:r>
      <w:proofErr w:type="spellStart"/>
      <w:r w:rsidRPr="000F5408">
        <w:rPr>
          <w:rFonts w:ascii="Times New Roman" w:hAnsi="Times New Roman"/>
          <w:lang w:val="en-US" w:eastAsia="en-US" w:bidi="ur-PK"/>
        </w:rPr>
        <w:t>Cresswell</w:t>
      </w:r>
      <w:proofErr w:type="spellEnd"/>
      <w:r w:rsidRPr="000F5408">
        <w:rPr>
          <w:rFonts w:ascii="Times New Roman" w:hAnsi="Times New Roman"/>
          <w:lang w:val="en-US" w:eastAsia="en-US" w:bidi="ur-PK"/>
        </w:rPr>
        <w:t xml:space="preserve"> et al. (2022) argued more broadly that formative, equity-focused evaluation is essential wherever digital tools intermediate a clinically sensitive relationship, to avoid new tools inadvertently disadvantaging patients who most need support. No study addressing digital mental health specifically in Pakistan met this review's eligibility criteria for full-text data extraction (Section 3.9), so this domain cannot currently be compared across the two systems; it is flagged here as a gap for future comparative research (Section 5.7) rather than as a finding capable of supporting a UK-Pakistan comparison at this time.</w:t>
      </w:r>
    </w:p>
    <w:p w14:paraId="405A5EF0"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Theoretical Integration: Theme Two</w:t>
      </w:r>
    </w:p>
    <w:p w14:paraId="65F8E50B"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outcome evidence in Theme Two is where the limits of TAM and UTAUT, flagged in Chapter Two's critical evaluation (Section 2.4.4), are most visible empirically: both models predict that high perceived usefulness and performance expectancy should translate into positive outcomes, yet Section 4.4.3 shows high satisfaction (an acceptance-model outcome) coexisting with contested clinical validity (a service-delivery outcome) in the same UK studies — for example, </w:t>
      </w: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and Ali's (2024) high aggregate satisfaction figures sit alongside </w:t>
      </w:r>
      <w:proofErr w:type="spellStart"/>
      <w:r w:rsidRPr="000F5408">
        <w:rPr>
          <w:rFonts w:ascii="Times New Roman" w:hAnsi="Times New Roman"/>
          <w:lang w:val="en-US" w:eastAsia="en-US" w:bidi="ur-PK"/>
        </w:rPr>
        <w:t>Hilari</w:t>
      </w:r>
      <w:proofErr w:type="spellEnd"/>
      <w:r w:rsidRPr="000F5408">
        <w:rPr>
          <w:rFonts w:ascii="Times New Roman" w:hAnsi="Times New Roman"/>
          <w:lang w:val="en-US" w:eastAsia="en-US" w:bidi="ur-PK"/>
        </w:rPr>
        <w:t xml:space="preserve"> et al.'s (2024) and Grant and </w:t>
      </w:r>
      <w:proofErr w:type="spellStart"/>
      <w:r w:rsidRPr="000F5408">
        <w:rPr>
          <w:rFonts w:ascii="Times New Roman" w:hAnsi="Times New Roman"/>
          <w:lang w:val="en-US" w:eastAsia="en-US" w:bidi="ur-PK"/>
        </w:rPr>
        <w:t>Skamagki's</w:t>
      </w:r>
      <w:proofErr w:type="spellEnd"/>
      <w:r w:rsidRPr="000F5408">
        <w:rPr>
          <w:rFonts w:ascii="Times New Roman" w:hAnsi="Times New Roman"/>
          <w:lang w:val="en-US" w:eastAsia="en-US" w:bidi="ur-PK"/>
        </w:rPr>
        <w:t xml:space="preserve"> (2024) concerns about diagnostic and clinical-reasoning validity. This is consistent with the second research gap identified in Chapter One: acceptance and system-level service outcomes are conceptually distinct, and a review </w:t>
      </w:r>
      <w:proofErr w:type="spellStart"/>
      <w:r w:rsidRPr="000F5408">
        <w:rPr>
          <w:rFonts w:ascii="Times New Roman" w:hAnsi="Times New Roman"/>
          <w:lang w:val="en-US" w:eastAsia="en-US" w:bidi="ur-PK"/>
        </w:rPr>
        <w:t>organised</w:t>
      </w:r>
      <w:proofErr w:type="spellEnd"/>
      <w:r w:rsidRPr="000F5408">
        <w:rPr>
          <w:rFonts w:ascii="Times New Roman" w:hAnsi="Times New Roman"/>
          <w:lang w:val="en-US" w:eastAsia="en-US" w:bidi="ur-PK"/>
        </w:rPr>
        <w:t xml:space="preserve"> solely around acceptance constructs would have missed this divergence. DOI theory's distinction between the rate of adoption and the ultimate consequences of an innovation offers one way of framing this gap: rapid, high-satisfaction diffusion (observability, relative advantage) does not, in DOI terms, guarantee that an innovation's functional consequences match its adopters' expectations — a distinction directly visible in the UK evidence and worth stating explicitly here rather than leaving implicit.</w:t>
      </w:r>
    </w:p>
    <w:p w14:paraId="58BC1E7D" w14:textId="344C3884" w:rsidR="000F5408" w:rsidRPr="000F5408" w:rsidRDefault="00125FBD" w:rsidP="00125FBD">
      <w:pPr>
        <w:spacing w:before="260" w:after="160" w:line="240" w:lineRule="auto"/>
        <w:outlineLvl w:val="1"/>
        <w:rPr>
          <w:rFonts w:ascii="Times New Roman" w:hAnsi="Times New Roman"/>
          <w:sz w:val="26"/>
          <w:szCs w:val="26"/>
          <w:lang w:val="en-US" w:eastAsia="en-US" w:bidi="ur-PK"/>
        </w:rPr>
      </w:pPr>
      <w:bookmarkStart w:id="43" w:name="_Toc239804235"/>
      <w:r>
        <w:rPr>
          <w:rFonts w:ascii="Times New Roman" w:hAnsi="Times New Roman"/>
          <w:b/>
          <w:bCs/>
          <w:sz w:val="26"/>
          <w:szCs w:val="26"/>
          <w:lang w:val="en-US" w:eastAsia="en-US" w:bidi="ur-PK"/>
        </w:rPr>
        <w:t xml:space="preserve">4.7 </w:t>
      </w:r>
      <w:r w:rsidRPr="00125FBD">
        <w:rPr>
          <w:rFonts w:ascii="Times New Roman" w:hAnsi="Times New Roman"/>
          <w:b/>
          <w:bCs/>
          <w:sz w:val="26"/>
          <w:szCs w:val="26"/>
          <w:lang w:eastAsia="en-US" w:bidi="ur-PK"/>
        </w:rPr>
        <w:t>Gaps in the Existing Litera</w:t>
      </w:r>
      <w:r>
        <w:rPr>
          <w:rFonts w:ascii="Times New Roman" w:hAnsi="Times New Roman"/>
          <w:b/>
          <w:bCs/>
          <w:sz w:val="26"/>
          <w:szCs w:val="26"/>
          <w:lang w:eastAsia="en-US" w:bidi="ur-PK"/>
        </w:rPr>
        <w:t>ture and Healthcare Policy (RQ5</w:t>
      </w:r>
      <w:r w:rsidR="000F5408" w:rsidRPr="000F5408">
        <w:rPr>
          <w:rFonts w:ascii="Times New Roman" w:hAnsi="Times New Roman"/>
          <w:b/>
          <w:bCs/>
          <w:sz w:val="26"/>
          <w:szCs w:val="26"/>
          <w:lang w:val="en-US" w:eastAsia="en-US" w:bidi="ur-PK"/>
        </w:rPr>
        <w:t>)</w:t>
      </w:r>
      <w:bookmarkEnd w:id="43"/>
    </w:p>
    <w:p w14:paraId="2BCAA458" w14:textId="77777777" w:rsidR="00125FBD" w:rsidRPr="00125FBD" w:rsidRDefault="00125FBD" w:rsidP="00125FBD">
      <w:pPr>
        <w:spacing w:before="260" w:after="160" w:line="240" w:lineRule="auto"/>
        <w:outlineLvl w:val="1"/>
        <w:rPr>
          <w:rFonts w:ascii="Times New Roman" w:hAnsi="Times New Roman"/>
          <w:b/>
          <w:bCs/>
          <w:i/>
          <w:iCs/>
          <w:lang w:val="en-US" w:eastAsia="en-US" w:bidi="ur-PK"/>
        </w:rPr>
      </w:pPr>
      <w:bookmarkStart w:id="44" w:name="_Toc239804236"/>
      <w:r w:rsidRPr="00125FBD">
        <w:rPr>
          <w:rFonts w:ascii="Times New Roman" w:hAnsi="Times New Roman"/>
          <w:b/>
          <w:bCs/>
          <w:i/>
          <w:iCs/>
          <w:lang w:eastAsia="en-US" w:bidi="ur-PK"/>
        </w:rPr>
        <w:t>4.7.1 Comparative and Contextual Evidence Gap</w:t>
      </w:r>
      <w:bookmarkEnd w:id="44"/>
    </w:p>
    <w:p w14:paraId="180F951E" w14:textId="77777777" w:rsidR="00125FBD" w:rsidRPr="00125FBD" w:rsidRDefault="00125FBD" w:rsidP="0023506C">
      <w:pPr>
        <w:spacing w:after="200" w:line="360" w:lineRule="auto"/>
        <w:outlineLvl w:val="1"/>
        <w:rPr>
          <w:rFonts w:ascii="Times New Roman" w:hAnsi="Times New Roman"/>
          <w:lang w:val="en-US" w:eastAsia="en-US" w:bidi="ur-PK"/>
        </w:rPr>
      </w:pPr>
      <w:bookmarkStart w:id="45" w:name="_Toc239797313"/>
      <w:bookmarkStart w:id="46" w:name="_Toc239804066"/>
      <w:bookmarkStart w:id="47" w:name="_Toc239804237"/>
      <w:r w:rsidRPr="00125FBD">
        <w:rPr>
          <w:rFonts w:ascii="Times New Roman" w:hAnsi="Times New Roman"/>
          <w:lang w:eastAsia="en-US" w:bidi="ur-PK"/>
        </w:rPr>
        <w:t xml:space="preserve">The comparative synthesis identifies a continuing gap in direct UK–Pakistan evidence. The included literature is largely organised around single-country studies, specific clinical services, or individual </w:t>
      </w:r>
      <w:r w:rsidRPr="00125FBD">
        <w:rPr>
          <w:rFonts w:ascii="Times New Roman" w:hAnsi="Times New Roman"/>
          <w:lang w:eastAsia="en-US" w:bidi="ur-PK"/>
        </w:rPr>
        <w:lastRenderedPageBreak/>
        <w:t>technology-acceptance questions. This limits the ability to determine which adoption mechanisms are common across both health systems and which depend on differences in funding, governance, infrastructure, and service organisation.</w:t>
      </w:r>
      <w:bookmarkEnd w:id="45"/>
      <w:bookmarkEnd w:id="46"/>
      <w:bookmarkEnd w:id="47"/>
    </w:p>
    <w:p w14:paraId="28D86EE0" w14:textId="77777777" w:rsidR="00125FBD" w:rsidRPr="00125FBD" w:rsidRDefault="00125FBD" w:rsidP="00125FBD">
      <w:pPr>
        <w:spacing w:before="260" w:after="160" w:line="240" w:lineRule="auto"/>
        <w:outlineLvl w:val="1"/>
        <w:rPr>
          <w:rFonts w:ascii="Times New Roman" w:hAnsi="Times New Roman"/>
          <w:b/>
          <w:bCs/>
          <w:i/>
          <w:iCs/>
          <w:lang w:val="en-US" w:eastAsia="en-US" w:bidi="ur-PK"/>
        </w:rPr>
      </w:pPr>
      <w:bookmarkStart w:id="48" w:name="_Toc239804238"/>
      <w:r w:rsidRPr="00125FBD">
        <w:rPr>
          <w:rFonts w:ascii="Times New Roman" w:hAnsi="Times New Roman"/>
          <w:b/>
          <w:bCs/>
          <w:i/>
          <w:iCs/>
          <w:lang w:eastAsia="en-US" w:bidi="ur-PK"/>
        </w:rPr>
        <w:t>4.7.2 System-Level and Longitudinal Outcome Evidence Gap</w:t>
      </w:r>
      <w:bookmarkEnd w:id="48"/>
    </w:p>
    <w:p w14:paraId="12224C16" w14:textId="77777777" w:rsidR="00125FBD" w:rsidRPr="00125FBD" w:rsidRDefault="00125FBD" w:rsidP="0023506C">
      <w:pPr>
        <w:spacing w:after="200" w:line="360" w:lineRule="auto"/>
        <w:outlineLvl w:val="1"/>
        <w:rPr>
          <w:rFonts w:ascii="Times New Roman" w:hAnsi="Times New Roman"/>
          <w:lang w:val="en-US" w:eastAsia="en-US" w:bidi="ur-PK"/>
        </w:rPr>
      </w:pPr>
      <w:bookmarkStart w:id="49" w:name="_Toc239797315"/>
      <w:bookmarkStart w:id="50" w:name="_Toc239804068"/>
      <w:bookmarkStart w:id="51" w:name="_Toc239804239"/>
      <w:r w:rsidRPr="00125FBD">
        <w:rPr>
          <w:rFonts w:ascii="Times New Roman" w:hAnsi="Times New Roman"/>
          <w:lang w:eastAsia="en-US" w:bidi="ur-PK"/>
        </w:rPr>
        <w:t>A second gap concerns system-level and longitudinal outcomes. Much of the evidence measures acceptance, satisfaction, awareness, or perceived usefulness, whereas fewer studies examine sustained implementation, clinical quality, cost-effectiveness, or longer-term service outcomes. The UK evidence contains stronger service-level evaluation, but it still shows important gaps in specialty-specific clinical validity and equity. In Pakistan, patient-level, longitudinal, and comparative outcome evidence is particularly limited.</w:t>
      </w:r>
      <w:bookmarkEnd w:id="49"/>
      <w:bookmarkEnd w:id="50"/>
      <w:bookmarkEnd w:id="51"/>
    </w:p>
    <w:p w14:paraId="48CDB11F" w14:textId="77777777" w:rsidR="00125FBD" w:rsidRPr="00125FBD" w:rsidRDefault="00125FBD" w:rsidP="00125FBD">
      <w:pPr>
        <w:spacing w:before="260" w:after="160" w:line="240" w:lineRule="auto"/>
        <w:outlineLvl w:val="1"/>
        <w:rPr>
          <w:rFonts w:ascii="Times New Roman" w:hAnsi="Times New Roman"/>
          <w:b/>
          <w:bCs/>
          <w:i/>
          <w:iCs/>
          <w:lang w:val="en-US" w:eastAsia="en-US" w:bidi="ur-PK"/>
        </w:rPr>
      </w:pPr>
      <w:bookmarkStart w:id="52" w:name="_Toc239804240"/>
      <w:r w:rsidRPr="00125FBD">
        <w:rPr>
          <w:rFonts w:ascii="Times New Roman" w:hAnsi="Times New Roman"/>
          <w:b/>
          <w:bCs/>
          <w:i/>
          <w:iCs/>
          <w:lang w:eastAsia="en-US" w:bidi="ur-PK"/>
        </w:rPr>
        <w:t>4.7.3 Policy and Transferability Evidence Gap</w:t>
      </w:r>
      <w:bookmarkEnd w:id="52"/>
    </w:p>
    <w:p w14:paraId="1610D6E5" w14:textId="77777777" w:rsidR="00125FBD" w:rsidRPr="00125FBD" w:rsidRDefault="00125FBD" w:rsidP="0023506C">
      <w:pPr>
        <w:spacing w:after="200" w:line="360" w:lineRule="auto"/>
        <w:outlineLvl w:val="1"/>
        <w:rPr>
          <w:rFonts w:ascii="Times New Roman" w:hAnsi="Times New Roman"/>
          <w:lang w:val="en-US" w:eastAsia="en-US" w:bidi="ur-PK"/>
        </w:rPr>
      </w:pPr>
      <w:bookmarkStart w:id="53" w:name="_Toc239797317"/>
      <w:bookmarkStart w:id="54" w:name="_Toc239804070"/>
      <w:bookmarkStart w:id="55" w:name="_Toc239804241"/>
      <w:r w:rsidRPr="00125FBD">
        <w:rPr>
          <w:rFonts w:ascii="Times New Roman" w:hAnsi="Times New Roman"/>
          <w:lang w:eastAsia="en-US" w:bidi="ur-PK"/>
        </w:rPr>
        <w:t>A third gap concerns policy evidence and transferability. The review identifies substantial differences in regulatory maturity, public-sector capacity, infrastructure, and funding models, yet there is limited empirical evidence showing how implementation practices from a mature NHS context can be adapted to a resource-constrained and predominantly private-sector environment. The findings therefore support context-sensitive policy development rather than direct replication of UK arrangements. This gap provides the basis for the transferability analysis and recommendations presented in Chapter Five.</w:t>
      </w:r>
      <w:bookmarkEnd w:id="53"/>
      <w:bookmarkEnd w:id="54"/>
      <w:bookmarkEnd w:id="55"/>
    </w:p>
    <w:p w14:paraId="50FDEF51" w14:textId="629DDB71"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56" w:name="_Toc239804242"/>
      <w:r w:rsidRPr="000F5408">
        <w:rPr>
          <w:rFonts w:ascii="Times New Roman" w:hAnsi="Times New Roman"/>
          <w:b/>
          <w:bCs/>
          <w:sz w:val="26"/>
          <w:szCs w:val="26"/>
          <w:lang w:val="en-US" w:eastAsia="en-US" w:bidi="ur-PK"/>
        </w:rPr>
        <w:t>4</w:t>
      </w:r>
      <w:r w:rsidR="00247C8A">
        <w:rPr>
          <w:rFonts w:ascii="Times New Roman" w:hAnsi="Times New Roman"/>
          <w:b/>
          <w:bCs/>
          <w:sz w:val="26"/>
          <w:szCs w:val="26"/>
          <w:lang w:val="en-US" w:eastAsia="en-US" w:bidi="ur-PK"/>
        </w:rPr>
        <w:t>.8</w:t>
      </w:r>
      <w:r w:rsidRPr="000F5408">
        <w:rPr>
          <w:rFonts w:ascii="Times New Roman" w:hAnsi="Times New Roman"/>
          <w:b/>
          <w:bCs/>
          <w:sz w:val="26"/>
          <w:szCs w:val="26"/>
          <w:lang w:val="en-US" w:eastAsia="en-US" w:bidi="ur-PK"/>
        </w:rPr>
        <w:t xml:space="preserve"> Chapter Summary</w:t>
      </w:r>
      <w:bookmarkEnd w:id="56"/>
    </w:p>
    <w:p w14:paraId="5CCF0EEB" w14:textId="77777777" w:rsidR="00CB6218" w:rsidRPr="00CB6218" w:rsidRDefault="000F5408" w:rsidP="00CB6218">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 xml:space="preserve">This chapter has </w:t>
      </w:r>
      <w:proofErr w:type="spellStart"/>
      <w:r w:rsidRPr="000F5408">
        <w:rPr>
          <w:rFonts w:ascii="Times New Roman" w:hAnsi="Times New Roman"/>
          <w:lang w:val="en-US" w:eastAsia="en-US" w:bidi="ur-PK"/>
        </w:rPr>
        <w:t>synthesised</w:t>
      </w:r>
      <w:proofErr w:type="spellEnd"/>
      <w:r w:rsidRPr="000F5408">
        <w:rPr>
          <w:rFonts w:ascii="Times New Roman" w:hAnsi="Times New Roman"/>
          <w:lang w:val="en-US" w:eastAsia="en-US" w:bidi="ur-PK"/>
        </w:rPr>
        <w:t xml:space="preserve"> evidence from 32 shortlisted studies, coded and grouped into themes through the process described in Section 4.1.1, to show that telemedicine adoption in the UK and Pakistan is shaped by overlapping categories of factor — technological,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individual, socioeconomic, and regulatory — but that the balance and severity of these factors differ substantially between a publicly funded, governance-mature system and a privately led, infrastructurally constrained one. Read against the theoretical framework in Chapter Two, TAM and UTAUT constructs explain individual-level continued use reasonably well in both systems, but Diffusion of Innovation theory provides the more useful lens for explaining why the two systems have diffused telemedicine along such different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xml:space="preserve"> pathways (Sections 4.3.2, 4.5). </w:t>
      </w:r>
      <w:r w:rsidR="00CB6218" w:rsidRPr="00CB6218">
        <w:rPr>
          <w:rFonts w:ascii="Times New Roman" w:hAnsi="Times New Roman"/>
          <w:lang w:eastAsia="en-US" w:bidi="ur-PK"/>
        </w:rPr>
        <w:t>Available studies generally report positive user acceptance and satisfaction, although the Pakistani evidence base is considerably thinner, while both systems show gaps in the evidence for telemedicine's impact on clinical quality. Pakistan in particular shows a persistent gap between demand for and readiness to sustain telemedicine at scale. Chapter Five discusses these findings in relation to the dissertation's six research questions and sets out recommendations for strengthening digital health transformation in developing health systems.</w:t>
      </w:r>
    </w:p>
    <w:p w14:paraId="0967298D" w14:textId="77777777" w:rsidR="00D848B2" w:rsidRDefault="00D848B2" w:rsidP="009E4994">
      <w:pPr>
        <w:bidi/>
        <w:spacing w:before="500" w:after="400" w:line="240" w:lineRule="auto"/>
        <w:rPr>
          <w:rFonts w:ascii="Times New Roman" w:hAnsi="Times New Roman"/>
          <w:lang w:val="en-US" w:eastAsia="en-US" w:bidi="ur-PK"/>
        </w:rPr>
      </w:pPr>
    </w:p>
    <w:p w14:paraId="29AA961B" w14:textId="77777777" w:rsidR="000F5408" w:rsidRPr="000F5408" w:rsidRDefault="000F5408" w:rsidP="00D848B2">
      <w:pPr>
        <w:bidi/>
        <w:spacing w:before="500" w:after="400" w:line="240" w:lineRule="auto"/>
        <w:jc w:val="center"/>
        <w:rPr>
          <w:rFonts w:ascii="Times New Roman" w:hAnsi="Times New Roman"/>
          <w:sz w:val="20"/>
          <w:szCs w:val="20"/>
          <w:lang w:val="en-US" w:eastAsia="en-US" w:bidi="ur-PK"/>
        </w:rPr>
      </w:pPr>
      <w:r w:rsidRPr="000F5408">
        <w:rPr>
          <w:rFonts w:ascii="Times New Roman" w:hAnsi="Times New Roman"/>
          <w:b/>
          <w:bCs/>
          <w:sz w:val="32"/>
          <w:szCs w:val="32"/>
          <w:lang w:val="en-US" w:eastAsia="en-US" w:bidi="ur-PK"/>
        </w:rPr>
        <w:lastRenderedPageBreak/>
        <w:t>CHAPTER FIVE: DISCUSSION, CONCLUSIONS AND RECOMMENDATIONS</w:t>
      </w:r>
    </w:p>
    <w:p w14:paraId="104D47ED"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57" w:name="_Toc239804243"/>
      <w:r w:rsidRPr="000F5408">
        <w:rPr>
          <w:rFonts w:ascii="Times New Roman" w:hAnsi="Times New Roman"/>
          <w:b/>
          <w:bCs/>
          <w:sz w:val="26"/>
          <w:szCs w:val="26"/>
          <w:lang w:val="en-US" w:eastAsia="en-US" w:bidi="ur-PK"/>
        </w:rPr>
        <w:t>5.1 Introduction</w:t>
      </w:r>
      <w:bookmarkEnd w:id="57"/>
    </w:p>
    <w:p w14:paraId="7FCD18D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chapter discusses the findings presented in Chapter Four in relation to the research aim, objectives, research questions, and the three research gaps identified in Chapter One. It first discusses the findings in relation to existing theory, then answers each research question directly, before considering what elements of UK practice are structurally transferable to Pakistan and what are not, setting out the study's practical recommendations, its contribution to knowledge, its limitations, and directions for future research.</w:t>
      </w:r>
    </w:p>
    <w:p w14:paraId="7A3E4CA9"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58" w:name="_Toc239804244"/>
      <w:r w:rsidRPr="000F5408">
        <w:rPr>
          <w:rFonts w:ascii="Times New Roman" w:hAnsi="Times New Roman"/>
          <w:b/>
          <w:bCs/>
          <w:sz w:val="26"/>
          <w:szCs w:val="26"/>
          <w:lang w:val="en-US" w:eastAsia="en-US" w:bidi="ur-PK"/>
        </w:rPr>
        <w:t>5.2 Discussion of Findings in Relation to Theory</w:t>
      </w:r>
      <w:bookmarkEnd w:id="58"/>
    </w:p>
    <w:p w14:paraId="430FF2E5"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The findings support the research gap identified in Chapter One regarding the limited explanatory power of individual-level technology-acceptance models such as TAM and UTAUT for system-level policy questions (WHO, 2022). While constructs such as perceived usefulness, self-efficacy, and expectation confirmation (Chen et al., 2024) or perceived benefits and reliance (</w:t>
      </w: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et al., 2024) explained continued individual use in both countries, they did not, on their own, explain why the two systems differ so markedly in accessibility, efficiency, and regulatory maturity. Implementation-science frameworks applied in individual UK studies — NASSS (Jarvis et al., 2025), NPT (Abdi et al., 2025) — proved more useful for capturing multi-level adoption dynamics (individual, technological, and </w:t>
      </w:r>
      <w:proofErr w:type="spellStart"/>
      <w:r w:rsidRPr="000F5408">
        <w:rPr>
          <w:rFonts w:ascii="Times New Roman" w:hAnsi="Times New Roman"/>
          <w:lang w:val="en-US" w:eastAsia="en-US" w:bidi="ur-PK"/>
        </w:rPr>
        <w:t>organisational</w:t>
      </w:r>
      <w:proofErr w:type="spellEnd"/>
      <w:r w:rsidRPr="000F5408">
        <w:rPr>
          <w:rFonts w:ascii="Times New Roman" w:hAnsi="Times New Roman"/>
          <w:lang w:val="en-US" w:eastAsia="en-US" w:bidi="ur-PK"/>
        </w:rPr>
        <w:t>), and CFIR performed a similar function in the one Pakistani study that applied it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w:t>
      </w:r>
    </w:p>
    <w:p w14:paraId="55E60CA3"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Diffusion of Innovation theory adds a further, previously underused, layer to this discussion. As set out in the Theoretical Integration paragraphs in Chapter Four (Sections 4.3, 4.4, 4.5), DOI's constructs of relative advantage, compatibility, and observability describe the UK's coordinated, governance-led diffusion pathway and Pakistan's private-sector-led, market-driven pathway more precisely than TAM or UTAUT alone, and also help explain why high satisfaction (rapid, visible diffusion) has not guaranteed high clinical-quality assurance (an innovation's functional consequences) in either country. Together, this suggests that a multi-level implementation framework — combining individual-level acceptance constructs with a system-level diffusion or implementation-science lens — offers the more appropriate analytical approach for comparative, system-level analysis of the kind this dissertation undertakes, directly addressing the second research gap.</w:t>
      </w:r>
    </w:p>
    <w:p w14:paraId="757FB40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The evidence also supports the first research gap: comparative literature connecting UK and Pakistani telemedicine research is genuinely scarce, and the two national literatures have evolved with different units of analysis — UK research privileges profession-specific service evaluation within existing governance structures, while Pakistani research privileges population-level acceptance and readiness </w:t>
      </w:r>
      <w:r w:rsidRPr="000F5408">
        <w:rPr>
          <w:rFonts w:ascii="Times New Roman" w:hAnsi="Times New Roman"/>
          <w:lang w:val="en-US" w:eastAsia="en-US" w:bidi="ur-PK"/>
        </w:rPr>
        <w:lastRenderedPageBreak/>
        <w:t xml:space="preserve">surveys. </w:t>
      </w:r>
      <w:proofErr w:type="spellStart"/>
      <w:r w:rsidRPr="000F5408">
        <w:rPr>
          <w:rFonts w:ascii="Times New Roman" w:hAnsi="Times New Roman"/>
          <w:lang w:val="en-US" w:eastAsia="en-US" w:bidi="ur-PK"/>
        </w:rPr>
        <w:t>Synthesising</w:t>
      </w:r>
      <w:proofErr w:type="spellEnd"/>
      <w:r w:rsidRPr="000F5408">
        <w:rPr>
          <w:rFonts w:ascii="Times New Roman" w:hAnsi="Times New Roman"/>
          <w:lang w:val="en-US" w:eastAsia="en-US" w:bidi="ur-PK"/>
        </w:rPr>
        <w:t xml:space="preserve"> both literatures within one thematic structure, as this dissertation has done, allows the systemic drivers of divergence (regulation, infrastructure investment, sector ownership) to be seen more clearly than either literature shows in isolation.</w:t>
      </w:r>
    </w:p>
    <w:p w14:paraId="3F2BA467"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59" w:name="_Toc239804245"/>
      <w:r w:rsidRPr="000F5408">
        <w:rPr>
          <w:rFonts w:ascii="Times New Roman" w:hAnsi="Times New Roman"/>
          <w:b/>
          <w:bCs/>
          <w:sz w:val="26"/>
          <w:szCs w:val="26"/>
          <w:lang w:val="en-US" w:eastAsia="en-US" w:bidi="ur-PK"/>
        </w:rPr>
        <w:t>5.3 Answering the Research Questions</w:t>
      </w:r>
      <w:bookmarkEnd w:id="59"/>
    </w:p>
    <w:p w14:paraId="084ECE20" w14:textId="687492F7" w:rsidR="000F5408" w:rsidRPr="000F5408" w:rsidRDefault="000F5408" w:rsidP="00AD1BB1">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RQ1: </w:t>
      </w:r>
      <w:r w:rsidR="00AD1BB1" w:rsidRPr="00AD1BB1">
        <w:rPr>
          <w:rFonts w:ascii="Times New Roman" w:hAnsi="Times New Roman"/>
          <w:lang w:eastAsia="en-US" w:bidi="ur-PK"/>
        </w:rPr>
        <w:t>Which theoretical frameworks and conceptual models are most relevant to understanding digital health transformation and telemedicine adoption, and to what extent do existing models — such as TAM and UTAUT — account for system-level service delivery outcomes? The findings indicate that TAM and UTAUT are useful for explaining individual-level acceptance, perceived usefulness, ease of use, behavioural intention and continued use, but they do not adequately capture system-level implementation conditions. Diffusion of Innovation (DOI), NASSS, NPT and CFIR provide complementary perspectives on organisational readiness, implementation, routinisation, sustainability and wider system conditions. Taken together, the evidence supports a multi-level theoretical approach rather than reliance on individual-level technology-acceptance models alone.</w:t>
      </w:r>
    </w:p>
    <w:p w14:paraId="524658C5" w14:textId="10C55217" w:rsidR="000F5408" w:rsidRPr="00AD1BB1" w:rsidRDefault="000F5408" w:rsidP="00AD1BB1">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 xml:space="preserve">RQ2: </w:t>
      </w:r>
      <w:r w:rsidR="00AD1BB1" w:rsidRPr="00AD1BB1">
        <w:rPr>
          <w:rFonts w:ascii="Times New Roman" w:hAnsi="Times New Roman"/>
          <w:lang w:eastAsia="en-US" w:bidi="ur-PK"/>
        </w:rPr>
        <w:t>What are the key factors influencing the adoption of telemedicine in the healthcare systems of the United Kingdom and Pakistan? Adoption in both countries is shaped by technological reliability, organisational readiness, provider training and confidence, patient and socioeconomic context, and regulatory clarity (Section 4.3). The UK's factors cluster around integration, workforce adaptation and equity within an established digital infrastructure, whereas Pakistan's cluster around building reliable infrastructure, regulatory capacity and provider competence required for telemedicine to move beyond fragmented and pandemic-driven uptake.</w:t>
      </w:r>
    </w:p>
    <w:p w14:paraId="6FC871C7" w14:textId="35AB3C5D" w:rsidR="000F5408" w:rsidRPr="000F5408" w:rsidRDefault="000F5408" w:rsidP="00AD1BB1">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RQ3: </w:t>
      </w:r>
      <w:r w:rsidR="00AD1BB1" w:rsidRPr="00AD1BB1">
        <w:rPr>
          <w:rFonts w:ascii="Times New Roman" w:hAnsi="Times New Roman"/>
          <w:lang w:eastAsia="en-US" w:bidi="ur-PK"/>
        </w:rPr>
        <w:t>What are the key similarities and differences in the technological, organisational, regulatory and socioeconomic barriers to telemedicine implementation between the United Kingdom and Pakistan? The two systems share barriers involving digital skills, workflow integration, trust and access, but their severity and structural causes differ. Pakistan faces more acute constraints in connectivity, electricity, regulation, training and the public/private organisational divide, while UK barriers are more strongly associated with integration, professional concerns, service redesign and digital exclusion among specific underserved groups (Section 4.5, Table 4.2).</w:t>
      </w:r>
    </w:p>
    <w:p w14:paraId="77C1D4ED" w14:textId="0FDEC7D6" w:rsidR="000F5408" w:rsidRPr="00AD1BB1" w:rsidRDefault="000F5408" w:rsidP="00AD1BB1">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 xml:space="preserve">RQ4: </w:t>
      </w:r>
      <w:r w:rsidR="00AD1BB1" w:rsidRPr="00AD1BB1">
        <w:rPr>
          <w:rFonts w:ascii="Times New Roman" w:hAnsi="Times New Roman"/>
          <w:lang w:eastAsia="en-US" w:bidi="ur-PK"/>
        </w:rPr>
        <w:t xml:space="preserve">What are the effects of telemedicine on healthcare accessibility, operational efficiency, quality of care and patient satisfaction in the United Kingdom and Pakistan? The included studies generally report improved access, convenience and aspects of service efficiency, including reduced travel or cost burdens in some Pakistani contexts and improved convenience and service throughput in UK settings. Evidence on quality of care is weaker and more contested: UK allied health professionals raised concerns about the clinical validity of some remote assessments, while Pakistani studies identified gaps in provider </w:t>
      </w:r>
      <w:r w:rsidR="00AD1BB1" w:rsidRPr="00AD1BB1">
        <w:rPr>
          <w:rFonts w:ascii="Times New Roman" w:hAnsi="Times New Roman"/>
          <w:lang w:eastAsia="en-US" w:bidi="ur-PK"/>
        </w:rPr>
        <w:lastRenderedPageBreak/>
        <w:t>competence and quality assurance. User acceptance and satisfaction are generally positive, although the Pakistani evidence base is thinner and does not support a comparable national-level satisfaction estimate.</w:t>
      </w:r>
    </w:p>
    <w:p w14:paraId="62128F31" w14:textId="075C7E32" w:rsidR="000F5408" w:rsidRDefault="000F5408" w:rsidP="00AD1BB1">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RQ5: </w:t>
      </w:r>
      <w:r w:rsidR="00AD1BB1" w:rsidRPr="00AD1BB1">
        <w:rPr>
          <w:rFonts w:ascii="Times New Roman" w:hAnsi="Times New Roman"/>
          <w:lang w:eastAsia="en-US" w:bidi="ur-PK"/>
        </w:rPr>
        <w:t>What gaps exist in the current literature and in healthcare policy regarding telemedicine implementation, particularly in relation to comparative evidence between developed and developing health systems? Three principal gaps remain. First, direct comparative UK–Pakistan evidence is scarce. Second, the literature often relies on individual-level technology-acceptance models without adequately integrating system-level implementation and diffusion perspectives. Third, barriers are frequently described without sufficient analysis of which established practices are transferable across different funding, governance and infrastructure contexts. These gaps limit the strength of policy conclusions that can be drawn from the existing evidence.</w:t>
      </w:r>
    </w:p>
    <w:p w14:paraId="16CA678D" w14:textId="77777777" w:rsidR="00AD1BB1" w:rsidRPr="00AD1BB1" w:rsidRDefault="00AD1BB1" w:rsidP="00AD1BB1">
      <w:pPr>
        <w:spacing w:after="200" w:line="360" w:lineRule="auto"/>
        <w:jc w:val="both"/>
        <w:rPr>
          <w:rFonts w:ascii="Times New Roman" w:hAnsi="Times New Roman"/>
          <w:lang w:eastAsia="en-US" w:bidi="ur-PK"/>
        </w:rPr>
      </w:pPr>
      <w:r w:rsidRPr="00AD1BB1">
        <w:rPr>
          <w:rFonts w:ascii="Times New Roman" w:hAnsi="Times New Roman"/>
          <w:lang w:eastAsia="en-US" w:bidi="ur-PK"/>
        </w:rPr>
        <w:t>RQ6: What evidence-based recommendations can be made to strengthen digital health transformation and telemedicine adoption in developing healthcare systems, particularly Pakistan? The recommendations developed from the synthesis and transferability analysis are set out in Section 5.5. They centre on establishing appropriate telemedicine regulation and accreditation, targeted investment in connectivity and electricity, standardised provider training, equity-focused evaluation, culturally and linguistically appropriate digital health content, and stronger public-sector telemedicine capacity. These recommendations prioritise practices that are procedurally transferable from the UK while recognising structural differences that prevent direct replication of the UK's funding and governance model.</w:t>
      </w:r>
    </w:p>
    <w:p w14:paraId="1BED1EB3" w14:textId="77777777" w:rsidR="00AD1BB1" w:rsidRPr="000F5408" w:rsidRDefault="00AD1BB1" w:rsidP="00AD1BB1">
      <w:pPr>
        <w:spacing w:after="200" w:line="360" w:lineRule="auto"/>
        <w:jc w:val="both"/>
        <w:rPr>
          <w:rFonts w:ascii="Times New Roman" w:hAnsi="Times New Roman"/>
          <w:sz w:val="20"/>
          <w:szCs w:val="20"/>
          <w:lang w:val="en-US" w:eastAsia="en-US" w:bidi="ur-PK"/>
        </w:rPr>
      </w:pPr>
    </w:p>
    <w:p w14:paraId="7D0C37D1"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60" w:name="_Toc239804246"/>
      <w:r w:rsidRPr="000F5408">
        <w:rPr>
          <w:rFonts w:ascii="Times New Roman" w:hAnsi="Times New Roman"/>
          <w:b/>
          <w:bCs/>
          <w:sz w:val="26"/>
          <w:szCs w:val="26"/>
          <w:lang w:val="en-US" w:eastAsia="en-US" w:bidi="ur-PK"/>
        </w:rPr>
        <w:t>5.4 Transferability: What Can and Cannot Be Transferred from the UK to Pakistan</w:t>
      </w:r>
      <w:bookmarkEnd w:id="60"/>
    </w:p>
    <w:p w14:paraId="58C65824"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Consistent with the dissertation's third identified research gap — </w:t>
      </w:r>
      <w:proofErr w:type="gramStart"/>
      <w:r w:rsidRPr="000F5408">
        <w:rPr>
          <w:rFonts w:ascii="Times New Roman" w:hAnsi="Times New Roman"/>
          <w:lang w:val="en-US" w:eastAsia="en-US" w:bidi="ur-PK"/>
        </w:rPr>
        <w:t>that barriers</w:t>
      </w:r>
      <w:proofErr w:type="gramEnd"/>
      <w:r w:rsidRPr="000F5408">
        <w:rPr>
          <w:rFonts w:ascii="Times New Roman" w:hAnsi="Times New Roman"/>
          <w:lang w:val="en-US" w:eastAsia="en-US" w:bidi="ur-PK"/>
        </w:rPr>
        <w:t xml:space="preserve"> are often listed without assessment of what is structurally transferable — this section distinguishes elements of UK practice that depend on funding and governance models unlikely to be replicable in the short term from elements that are procedural, low-cost, and more readily transferable.</w:t>
      </w:r>
    </w:p>
    <w:p w14:paraId="4C3049CC"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Transferable elements</w:t>
      </w:r>
    </w:p>
    <w:p w14:paraId="738C0673"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Formative and iterative evaluation practices used to surface equity risks before scale-up (</w:t>
      </w:r>
      <w:proofErr w:type="spellStart"/>
      <w:r w:rsidRPr="000F5408">
        <w:rPr>
          <w:rFonts w:ascii="Times New Roman" w:hAnsi="Times New Roman"/>
          <w:lang w:val="en-US" w:eastAsia="en-US" w:bidi="ur-PK"/>
        </w:rPr>
        <w:t>Cresswell</w:t>
      </w:r>
      <w:proofErr w:type="spellEnd"/>
      <w:r w:rsidRPr="000F5408">
        <w:rPr>
          <w:rFonts w:ascii="Times New Roman" w:hAnsi="Times New Roman"/>
          <w:lang w:val="en-US" w:eastAsia="en-US" w:bidi="ur-PK"/>
        </w:rPr>
        <w:t xml:space="preserve"> et al., 2022) do not require large capital investment and could be adopted by Pakistani platforms such as </w:t>
      </w:r>
      <w:proofErr w:type="spellStart"/>
      <w:r w:rsidRPr="000F5408">
        <w:rPr>
          <w:rFonts w:ascii="Times New Roman" w:hAnsi="Times New Roman"/>
          <w:lang w:val="en-US" w:eastAsia="en-US" w:bidi="ur-PK"/>
        </w:rPr>
        <w:t>Sehat</w:t>
      </w:r>
      <w:proofErr w:type="spellEnd"/>
      <w:r w:rsidRPr="000F5408">
        <w:rPr>
          <w:rFonts w:ascii="Times New Roman" w:hAnsi="Times New Roman"/>
          <w:lang w:val="en-US" w:eastAsia="en-US" w:bidi="ur-PK"/>
        </w:rPr>
        <w:t xml:space="preserve"> Kahani or </w:t>
      </w:r>
      <w:proofErr w:type="spellStart"/>
      <w:r w:rsidRPr="000F5408">
        <w:rPr>
          <w:rFonts w:ascii="Times New Roman" w:hAnsi="Times New Roman"/>
          <w:lang w:val="en-US" w:eastAsia="en-US" w:bidi="ur-PK"/>
        </w:rPr>
        <w:t>EZShifa</w:t>
      </w:r>
      <w:proofErr w:type="spellEnd"/>
      <w:r w:rsidRPr="000F5408">
        <w:rPr>
          <w:rFonts w:ascii="Times New Roman" w:hAnsi="Times New Roman"/>
          <w:lang w:val="en-US" w:eastAsia="en-US" w:bidi="ur-PK"/>
        </w:rPr>
        <w:t>.</w:t>
      </w:r>
    </w:p>
    <w:p w14:paraId="5DE066D5"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Co-design methodologies that involve service users and frontline staff in shaping telehealth tools (</w:t>
      </w:r>
      <w:proofErr w:type="spellStart"/>
      <w:r w:rsidRPr="000F5408">
        <w:rPr>
          <w:rFonts w:ascii="Times New Roman" w:hAnsi="Times New Roman"/>
          <w:lang w:val="en-US" w:eastAsia="en-US" w:bidi="ur-PK"/>
        </w:rPr>
        <w:t>Chadd</w:t>
      </w:r>
      <w:proofErr w:type="spellEnd"/>
      <w:r w:rsidRPr="000F5408">
        <w:rPr>
          <w:rFonts w:ascii="Times New Roman" w:hAnsi="Times New Roman"/>
          <w:lang w:val="en-US" w:eastAsia="en-US" w:bidi="ur-PK"/>
        </w:rPr>
        <w:t xml:space="preserve"> et al., 2024; Jarvis et al., 2025; </w:t>
      </w:r>
      <w:proofErr w:type="spellStart"/>
      <w:r w:rsidRPr="000F5408">
        <w:rPr>
          <w:rFonts w:ascii="Times New Roman" w:hAnsi="Times New Roman"/>
          <w:lang w:val="en-US" w:eastAsia="en-US" w:bidi="ur-PK"/>
        </w:rPr>
        <w:t>Yawar</w:t>
      </w:r>
      <w:proofErr w:type="spellEnd"/>
      <w:r w:rsidRPr="000F5408">
        <w:rPr>
          <w:rFonts w:ascii="Times New Roman" w:hAnsi="Times New Roman"/>
          <w:lang w:val="en-US" w:eastAsia="en-US" w:bidi="ur-PK"/>
        </w:rPr>
        <w:t xml:space="preserve"> and Asif, 2022) are process-based and have already been used successfully in Pakistani pilots (</w:t>
      </w:r>
      <w:proofErr w:type="spellStart"/>
      <w:r w:rsidRPr="000F5408">
        <w:rPr>
          <w:rFonts w:ascii="Times New Roman" w:hAnsi="Times New Roman"/>
          <w:lang w:val="en-US" w:eastAsia="en-US" w:bidi="ur-PK"/>
        </w:rPr>
        <w:t>Yawar</w:t>
      </w:r>
      <w:proofErr w:type="spellEnd"/>
      <w:r w:rsidRPr="000F5408">
        <w:rPr>
          <w:rFonts w:ascii="Times New Roman" w:hAnsi="Times New Roman"/>
          <w:lang w:val="en-US" w:eastAsia="en-US" w:bidi="ur-PK"/>
        </w:rPr>
        <w:t xml:space="preserve"> and Asif, 2022), suggesting wider replication is feasible.</w:t>
      </w:r>
    </w:p>
    <w:p w14:paraId="04D5D95E"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lastRenderedPageBreak/>
        <w:t xml:space="preserve">Structured, criteria-based practitioner training frameworks, such as the APEASE criteria used by Charlton et al. (2024), offer a low-cost template for </w:t>
      </w:r>
      <w:proofErr w:type="spellStart"/>
      <w:r w:rsidRPr="000F5408">
        <w:rPr>
          <w:rFonts w:ascii="Times New Roman" w:hAnsi="Times New Roman"/>
          <w:lang w:val="en-US" w:eastAsia="en-US" w:bidi="ur-PK"/>
        </w:rPr>
        <w:t>standardising</w:t>
      </w:r>
      <w:proofErr w:type="spellEnd"/>
      <w:r w:rsidRPr="000F5408">
        <w:rPr>
          <w:rFonts w:ascii="Times New Roman" w:hAnsi="Times New Roman"/>
          <w:lang w:val="en-US" w:eastAsia="en-US" w:bidi="ur-PK"/>
        </w:rPr>
        <w:t xml:space="preserve"> telemedicine training curricula in Pakistani medical education, addressing the training gradient identified by Mansoor et al. (2025).</w:t>
      </w:r>
    </w:p>
    <w:p w14:paraId="1B00926A" w14:textId="77777777" w:rsidR="000F5408" w:rsidRPr="000F5408" w:rsidRDefault="000F5408" w:rsidP="000F5408">
      <w:pPr>
        <w:spacing w:before="200" w:after="120" w:line="240" w:lineRule="auto"/>
        <w:rPr>
          <w:rFonts w:ascii="Times New Roman" w:hAnsi="Times New Roman"/>
          <w:sz w:val="20"/>
          <w:szCs w:val="20"/>
          <w:lang w:val="en-US" w:eastAsia="en-US" w:bidi="ur-PK"/>
        </w:rPr>
      </w:pPr>
      <w:r w:rsidRPr="000F5408">
        <w:rPr>
          <w:rFonts w:ascii="Times New Roman" w:hAnsi="Times New Roman"/>
          <w:b/>
          <w:bCs/>
          <w:i/>
          <w:iCs/>
          <w:lang w:val="en-US" w:eastAsia="en-US" w:bidi="ur-PK"/>
        </w:rPr>
        <w:t>Non-transferable, or only partially transferable, elements</w:t>
      </w:r>
    </w:p>
    <w:p w14:paraId="7FFDA6E0"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 xml:space="preserve">The scale of NHS public investment underpinning the Global Digital Exemplar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and the digital-first primary care agenda (NHS England, 2023) reflects a funding model and tax-based health system unlikely to be replicated in Pakistan's predominantly private, out-of-pocket financed telemedicine sector in the near term (Mahdi et al., 2022).</w:t>
      </w:r>
    </w:p>
    <w:p w14:paraId="40F7CC52"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The UK's mature statutory data-governance and clinical accreditation architecture (Morris et al., 2023) took years to develop and cannot simply be imported; Pakistan instead needs a locally appropriate regulatory body sequenced to its own private-sector-led market structure.</w:t>
      </w:r>
    </w:p>
    <w:p w14:paraId="7D6643D2"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 xml:space="preserve">Universal, always-available broadband and electricity infrastructure, which UK studies largely take as given (Jarvis et al., 2025; Morris et al., 2023), is the deepest structural constraint in Pakistan (Khan et al., 2025; </w:t>
      </w:r>
      <w:proofErr w:type="spellStart"/>
      <w:r w:rsidRPr="000F5408">
        <w:rPr>
          <w:rFonts w:ascii="Times New Roman" w:hAnsi="Times New Roman"/>
          <w:lang w:val="en-US" w:eastAsia="en-US" w:bidi="ur-PK"/>
        </w:rPr>
        <w:t>Kazi</w:t>
      </w:r>
      <w:proofErr w:type="spellEnd"/>
      <w:r w:rsidRPr="000F5408">
        <w:rPr>
          <w:rFonts w:ascii="Times New Roman" w:hAnsi="Times New Roman"/>
          <w:lang w:val="en-US" w:eastAsia="en-US" w:bidi="ur-PK"/>
        </w:rPr>
        <w:t xml:space="preserve"> et al., 2020) and requires long-term, cross-sectoral infrastructure investment rather than health-sector policy alone.</w:t>
      </w:r>
    </w:p>
    <w:p w14:paraId="5744CDEB"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61" w:name="_Toc239804247"/>
      <w:r w:rsidRPr="000F5408">
        <w:rPr>
          <w:rFonts w:ascii="Times New Roman" w:hAnsi="Times New Roman"/>
          <w:b/>
          <w:bCs/>
          <w:sz w:val="26"/>
          <w:szCs w:val="26"/>
          <w:lang w:val="en-US" w:eastAsia="en-US" w:bidi="ur-PK"/>
        </w:rPr>
        <w:t>5.5 Recommendations</w:t>
      </w:r>
      <w:bookmarkEnd w:id="61"/>
    </w:p>
    <w:p w14:paraId="059C8951"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Drawing on the evidence </w:t>
      </w:r>
      <w:proofErr w:type="spellStart"/>
      <w:r w:rsidRPr="000F5408">
        <w:rPr>
          <w:rFonts w:ascii="Times New Roman" w:hAnsi="Times New Roman"/>
          <w:lang w:val="en-US" w:eastAsia="en-US" w:bidi="ur-PK"/>
        </w:rPr>
        <w:t>synthesised</w:t>
      </w:r>
      <w:proofErr w:type="spellEnd"/>
      <w:r w:rsidRPr="000F5408">
        <w:rPr>
          <w:rFonts w:ascii="Times New Roman" w:hAnsi="Times New Roman"/>
          <w:lang w:val="en-US" w:eastAsia="en-US" w:bidi="ur-PK"/>
        </w:rPr>
        <w:t xml:space="preserve"> in Chapter Four and the transferability analysis above, the following recommendations are made, primarily for Pakistani policymakers, with reference to the specific transferable UK practices identified.</w:t>
      </w:r>
    </w:p>
    <w:p w14:paraId="614C8CD7"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Establish a dedicated telemedicine regulatory and accreditation body to address the malpractice, missed-diagnosis, and medico-legal concerns raised by Pakistani doctors (</w:t>
      </w: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et al., 2021) and the legal barriers reported by </w:t>
      </w:r>
      <w:proofErr w:type="spellStart"/>
      <w:r w:rsidRPr="000F5408">
        <w:rPr>
          <w:rFonts w:ascii="Times New Roman" w:hAnsi="Times New Roman"/>
          <w:lang w:val="en-US" w:eastAsia="en-US" w:bidi="ur-PK"/>
        </w:rPr>
        <w:t>Sehat</w:t>
      </w:r>
      <w:proofErr w:type="spellEnd"/>
      <w:r w:rsidRPr="000F5408">
        <w:rPr>
          <w:rFonts w:ascii="Times New Roman" w:hAnsi="Times New Roman"/>
          <w:lang w:val="en-US" w:eastAsia="en-US" w:bidi="ur-PK"/>
        </w:rPr>
        <w:t xml:space="preserve"> Kahani providers (Khurram et al., 2024), closing the single largest structural gap identified in this review.</w:t>
      </w:r>
    </w:p>
    <w:p w14:paraId="50C3F895"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proofErr w:type="spellStart"/>
      <w:r w:rsidRPr="000F5408">
        <w:rPr>
          <w:rFonts w:ascii="Times New Roman" w:hAnsi="Times New Roman"/>
          <w:lang w:val="en-US" w:eastAsia="en-US" w:bidi="ur-PK"/>
        </w:rPr>
        <w:t>Prioritise</w:t>
      </w:r>
      <w:proofErr w:type="spellEnd"/>
      <w:r w:rsidRPr="000F5408">
        <w:rPr>
          <w:rFonts w:ascii="Times New Roman" w:hAnsi="Times New Roman"/>
          <w:lang w:val="en-US" w:eastAsia="en-US" w:bidi="ur-PK"/>
        </w:rPr>
        <w:t xml:space="preserve"> targeted infrastructure investment (connectivity and electricity) in peri-urban and rural districts where digital health interventions already show promise, building on the demonstrated reach of maternal and child health and </w:t>
      </w:r>
      <w:proofErr w:type="spellStart"/>
      <w:r w:rsidRPr="000F5408">
        <w:rPr>
          <w:rFonts w:ascii="Times New Roman" w:hAnsi="Times New Roman"/>
          <w:lang w:val="en-US" w:eastAsia="en-US" w:bidi="ur-PK"/>
        </w:rPr>
        <w:t>immunisation</w:t>
      </w:r>
      <w:proofErr w:type="spellEnd"/>
      <w:r w:rsidRPr="000F5408">
        <w:rPr>
          <w:rFonts w:ascii="Times New Roman" w:hAnsi="Times New Roman"/>
          <w:lang w:val="en-US" w:eastAsia="en-US" w:bidi="ur-PK"/>
        </w:rPr>
        <w:t xml:space="preserve"> platforms (Haider et al., 2022; </w:t>
      </w:r>
      <w:proofErr w:type="spellStart"/>
      <w:r w:rsidRPr="000F5408">
        <w:rPr>
          <w:rFonts w:ascii="Times New Roman" w:hAnsi="Times New Roman"/>
          <w:lang w:val="en-US" w:eastAsia="en-US" w:bidi="ur-PK"/>
        </w:rPr>
        <w:t>Mechael</w:t>
      </w:r>
      <w:proofErr w:type="spellEnd"/>
      <w:r w:rsidRPr="000F5408">
        <w:rPr>
          <w:rFonts w:ascii="Times New Roman" w:hAnsi="Times New Roman"/>
          <w:lang w:val="en-US" w:eastAsia="en-US" w:bidi="ur-PK"/>
        </w:rPr>
        <w:t xml:space="preserve"> et al., 2024).</w:t>
      </w:r>
    </w:p>
    <w:p w14:paraId="09245C3A"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 xml:space="preserve">Introduce </w:t>
      </w:r>
      <w:proofErr w:type="spellStart"/>
      <w:r w:rsidRPr="000F5408">
        <w:rPr>
          <w:rFonts w:ascii="Times New Roman" w:hAnsi="Times New Roman"/>
          <w:lang w:val="en-US" w:eastAsia="en-US" w:bidi="ur-PK"/>
        </w:rPr>
        <w:t>standardised</w:t>
      </w:r>
      <w:proofErr w:type="spellEnd"/>
      <w:r w:rsidRPr="000F5408">
        <w:rPr>
          <w:rFonts w:ascii="Times New Roman" w:hAnsi="Times New Roman"/>
          <w:lang w:val="en-US" w:eastAsia="en-US" w:bidi="ur-PK"/>
        </w:rPr>
        <w:t xml:space="preserve">, criteria-based telemedicine training into undergraduate and continuing medical education, using structured frameworks comparable to APEASE (Charlton et al., 2024), to close the career-stage knowledge gradient identified by Mansoor et al. (2025) and the training gaps reported by </w:t>
      </w: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et al. (2021).</w:t>
      </w:r>
    </w:p>
    <w:p w14:paraId="52F2C65B"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lastRenderedPageBreak/>
        <w:t xml:space="preserve">Require formative, equity-focused evaluation as a condition of scale-up for publicly and donor-funded digital health interventions, adapting the UK patient-portal evaluation approach of </w:t>
      </w:r>
      <w:proofErr w:type="spellStart"/>
      <w:r w:rsidRPr="000F5408">
        <w:rPr>
          <w:rFonts w:ascii="Times New Roman" w:hAnsi="Times New Roman"/>
          <w:lang w:val="en-US" w:eastAsia="en-US" w:bidi="ur-PK"/>
        </w:rPr>
        <w:t>Cresswell</w:t>
      </w:r>
      <w:proofErr w:type="spellEnd"/>
      <w:r w:rsidRPr="000F5408">
        <w:rPr>
          <w:rFonts w:ascii="Times New Roman" w:hAnsi="Times New Roman"/>
          <w:lang w:val="en-US" w:eastAsia="en-US" w:bidi="ur-PK"/>
        </w:rPr>
        <w:t xml:space="preserve"> et al. (2022), so that interventions are assessed for their reach to disadvantaged groups before, not after, wide deployment.</w:t>
      </w:r>
    </w:p>
    <w:p w14:paraId="46B06E1F"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Develop culturally and linguistically tailored digital health content, following the lessons of Khan et al. (2025) on bilingual, offline-accessible design and Chaudhry et al. (2024) on culturally sensitive messaging for South Asian populations, to improve reach among patients with lower digital and health literacy.</w:t>
      </w:r>
    </w:p>
    <w:p w14:paraId="797D65AA"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proofErr w:type="spellStart"/>
      <w:r w:rsidRPr="000F5408">
        <w:rPr>
          <w:rFonts w:ascii="Times New Roman" w:hAnsi="Times New Roman"/>
          <w:lang w:val="en-US" w:eastAsia="en-US" w:bidi="ur-PK"/>
        </w:rPr>
        <w:t>Incentivise</w:t>
      </w:r>
      <w:proofErr w:type="spellEnd"/>
      <w:r w:rsidRPr="000F5408">
        <w:rPr>
          <w:rFonts w:ascii="Times New Roman" w:hAnsi="Times New Roman"/>
          <w:lang w:val="en-US" w:eastAsia="en-US" w:bidi="ur-PK"/>
        </w:rPr>
        <w:t xml:space="preserve"> public-sector telemedicine capacity to reduce the public/private divide identified by </w:t>
      </w: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et al. (2024), for example by adapting the nurse-led and paramedic-supported delivery models the study found more feasible in resource-constrained public settings.</w:t>
      </w:r>
    </w:p>
    <w:p w14:paraId="5AB212C2"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62" w:name="_Toc239804248"/>
      <w:r w:rsidRPr="000F5408">
        <w:rPr>
          <w:rFonts w:ascii="Times New Roman" w:hAnsi="Times New Roman"/>
          <w:b/>
          <w:bCs/>
          <w:sz w:val="26"/>
          <w:szCs w:val="26"/>
          <w:lang w:val="en-US" w:eastAsia="en-US" w:bidi="ur-PK"/>
        </w:rPr>
        <w:t>5.6 Contribution to Knowledge</w:t>
      </w:r>
      <w:bookmarkEnd w:id="62"/>
    </w:p>
    <w:p w14:paraId="7C867ACF"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This dissertation makes four specific contributions that extend beyond a restatement of the individual studies reviewed. First, it directly addresses the first research gap identified in Chapter One by producing the first synthesis, to this author's knowledge, to bring the UK and Pakistani telemedicine literatures into a single comparative thematic structure rather than treating them as separate national bodies of evidence — revealing, in the process, that the two literatures differ not only in findings but in their characteristic unit of analysis (profession-specific service evaluation in the UK versus population-level acceptance survey in Pakistan; Section 4.2), a methodological observation that is itself a finding of the review, not merely a limitation of it.</w:t>
      </w:r>
    </w:p>
    <w:p w14:paraId="4E224B5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Second, it addresses the second research gap by demonstrating empirically — through the Theoretical Integration analysis in Sections 4.3 to 4.5 — that individual-level technology-acceptance constructs (TAM, UTAUT) and system-level diffusion or implementation-science constructs (DOI, NASSS, NPT, CFIR) explain different, complementary parts of the adoption picture, and that reliance on acceptance models alone (as in much of the wider literature identified in Chapter Two) would have concealed the divergence, documented in Section 4.4.3, between high aggregate satisfaction and contested clinical validity within the same UK evidence base.</w:t>
      </w:r>
    </w:p>
    <w:p w14:paraId="14B11110"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Third, it addresses the third research gap by moving beyond a descriptive list of barriers to a structured transferability analysis (Section 5.4) that classifies specific UK practices as procedurally transferable, partially transferable, or structurally non-transferable to Pakistan — reframing the policy question from "what does the UK do that Pakistan does not" to "which of the UK's specific practices could Pakistan adopt given its own funding and governance constraints," a distinction with direct practical value for Pakistani policymakers.</w:t>
      </w:r>
    </w:p>
    <w:p w14:paraId="67E85F16"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lastRenderedPageBreak/>
        <w:t>Fourth, the recommendations in Section 5.5 translate this analysis into a specific, sequenced policy agenda for a developing health system, rather than a generic call for greater digital investment — a contribution the systematic review's own literature (Section 2.10.1) identified as largely absent from prior comparative telemedicine research.</w:t>
      </w:r>
    </w:p>
    <w:p w14:paraId="5894CBBF"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63" w:name="_Toc239804249"/>
      <w:r w:rsidRPr="000F5408">
        <w:rPr>
          <w:rFonts w:ascii="Times New Roman" w:hAnsi="Times New Roman"/>
          <w:b/>
          <w:bCs/>
          <w:sz w:val="26"/>
          <w:szCs w:val="26"/>
          <w:lang w:val="en-US" w:eastAsia="en-US" w:bidi="ur-PK"/>
        </w:rPr>
        <w:t>5.7 Limitations of the Study</w:t>
      </w:r>
      <w:bookmarkEnd w:id="63"/>
    </w:p>
    <w:p w14:paraId="5F5948C9"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As a systematic literature review, this dissertation is limited by the scope, quality, and heterogeneity of the 32 shortlisted primary studies rather than by primary data collection of its own. The UK and Pakistani evidence </w:t>
      </w:r>
      <w:proofErr w:type="gramStart"/>
      <w:r w:rsidRPr="000F5408">
        <w:rPr>
          <w:rFonts w:ascii="Times New Roman" w:hAnsi="Times New Roman"/>
          <w:lang w:val="en-US" w:eastAsia="en-US" w:bidi="ur-PK"/>
        </w:rPr>
        <w:t>bases</w:t>
      </w:r>
      <w:proofErr w:type="gramEnd"/>
      <w:r w:rsidRPr="000F5408">
        <w:rPr>
          <w:rFonts w:ascii="Times New Roman" w:hAnsi="Times New Roman"/>
          <w:lang w:val="en-US" w:eastAsia="en-US" w:bidi="ur-PK"/>
        </w:rPr>
        <w:t xml:space="preserve"> differ in study design (predominantly qualitative service evaluations in the UK versus predominantly cross-sectional surveys in Pakistan), which constrains direct statistical comparison and means the synthesis is necessarily narrative and thematic rather than meta-analytic. Several UK studies focus on specific allied health professions (speech and language therapy, physiotherapy) rather than telemedicine generally, which may not fully represent NHS digital primary and secondary care. Several Pakistani studies rely on convenience or purposive sampling with modest response rates (</w:t>
      </w:r>
      <w:proofErr w:type="gramStart"/>
      <w:r w:rsidRPr="000F5408">
        <w:rPr>
          <w:rFonts w:ascii="Times New Roman" w:hAnsi="Times New Roman"/>
          <w:lang w:val="en-US" w:eastAsia="en-US" w:bidi="ur-PK"/>
        </w:rPr>
        <w:t>e.g.</w:t>
      </w:r>
      <w:proofErr w:type="gram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et al., 2024, 23.0%), which may limit </w:t>
      </w:r>
      <w:proofErr w:type="spellStart"/>
      <w:r w:rsidRPr="000F5408">
        <w:rPr>
          <w:rFonts w:ascii="Times New Roman" w:hAnsi="Times New Roman"/>
          <w:lang w:val="en-US" w:eastAsia="en-US" w:bidi="ur-PK"/>
        </w:rPr>
        <w:t>generalisability</w:t>
      </w:r>
      <w:proofErr w:type="spellEnd"/>
      <w:r w:rsidRPr="000F5408">
        <w:rPr>
          <w:rFonts w:ascii="Times New Roman" w:hAnsi="Times New Roman"/>
          <w:lang w:val="en-US" w:eastAsia="en-US" w:bidi="ur-PK"/>
        </w:rPr>
        <w:t>. Finally, publication bias toward positive findings, and the exclusion of grey literature and non-English sources, cannot be ruled out.</w:t>
      </w:r>
    </w:p>
    <w:p w14:paraId="7F4A1E28"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64" w:name="_Toc239804250"/>
      <w:r w:rsidRPr="000F5408">
        <w:rPr>
          <w:rFonts w:ascii="Times New Roman" w:hAnsi="Times New Roman"/>
          <w:b/>
          <w:bCs/>
          <w:sz w:val="26"/>
          <w:szCs w:val="26"/>
          <w:lang w:val="en-US" w:eastAsia="en-US" w:bidi="ur-PK"/>
        </w:rPr>
        <w:t>5.8 Suggestions for Future Research</w:t>
      </w:r>
      <w:bookmarkEnd w:id="64"/>
    </w:p>
    <w:p w14:paraId="5973EE40"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Prospective, comparative studies that apply a single implementation framework (</w:t>
      </w:r>
      <w:proofErr w:type="gramStart"/>
      <w:r w:rsidRPr="000F5408">
        <w:rPr>
          <w:rFonts w:ascii="Times New Roman" w:hAnsi="Times New Roman"/>
          <w:lang w:val="en-US" w:eastAsia="en-US" w:bidi="ur-PK"/>
        </w:rPr>
        <w:t>e.g.</w:t>
      </w:r>
      <w:proofErr w:type="gramEnd"/>
      <w:r w:rsidRPr="000F5408">
        <w:rPr>
          <w:rFonts w:ascii="Times New Roman" w:hAnsi="Times New Roman"/>
          <w:lang w:val="en-US" w:eastAsia="en-US" w:bidi="ur-PK"/>
        </w:rPr>
        <w:t xml:space="preserve"> NASSS or CFIR) concurrently across UK and Pakistani sites, enabling more direct comparison than retrospective synthesis allows.</w:t>
      </w:r>
    </w:p>
    <w:p w14:paraId="4F87E1B2"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Longitudinal research tracking clinical outcomes and cost-effectiveness of Pakistani telemedicine platforms beyond the acceptance and satisfaction stage, extending the cost-effectiveness approach piloted by Malik et al. (2025).</w:t>
      </w:r>
    </w:p>
    <w:p w14:paraId="2AEA3857"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 xml:space="preserve">Research explicitly designed around the needs of digitally excluded and clinically vulnerable populations in both countries, responding directly to the gap identified by </w:t>
      </w:r>
      <w:proofErr w:type="spellStart"/>
      <w:r w:rsidRPr="000F5408">
        <w:rPr>
          <w:rFonts w:ascii="Times New Roman" w:hAnsi="Times New Roman"/>
          <w:lang w:val="en-US" w:eastAsia="en-US" w:bidi="ur-PK"/>
        </w:rPr>
        <w:t>Farre</w:t>
      </w:r>
      <w:proofErr w:type="spellEnd"/>
      <w:r w:rsidRPr="000F5408">
        <w:rPr>
          <w:rFonts w:ascii="Times New Roman" w:hAnsi="Times New Roman"/>
          <w:lang w:val="en-US" w:eastAsia="en-US" w:bidi="ur-PK"/>
        </w:rPr>
        <w:t xml:space="preserve"> et al. (2023).</w:t>
      </w:r>
    </w:p>
    <w:p w14:paraId="768030CD" w14:textId="77777777" w:rsidR="000F5408" w:rsidRPr="000F5408" w:rsidRDefault="000F5408" w:rsidP="000F5408">
      <w:pPr>
        <w:numPr>
          <w:ilvl w:val="0"/>
          <w:numId w:val="6"/>
        </w:numPr>
        <w:spacing w:after="100" w:line="360" w:lineRule="auto"/>
        <w:rPr>
          <w:rFonts w:ascii="Times New Roman" w:hAnsi="Times New Roman"/>
          <w:sz w:val="20"/>
          <w:szCs w:val="20"/>
          <w:lang w:val="en-US" w:eastAsia="en-US" w:bidi="ur-PK"/>
        </w:rPr>
      </w:pPr>
      <w:r w:rsidRPr="000F5408">
        <w:rPr>
          <w:rFonts w:ascii="Times New Roman" w:hAnsi="Times New Roman"/>
          <w:lang w:val="en-US" w:eastAsia="en-US" w:bidi="ur-PK"/>
        </w:rPr>
        <w:t>Evaluation of the specific regulatory and training interventions recommended in Section 5.5, once implemented, to test their real-world effect on adoption and quality of care in Pakistan.</w:t>
      </w:r>
    </w:p>
    <w:p w14:paraId="2EDD2874" w14:textId="77777777" w:rsidR="000F5408" w:rsidRPr="000F5408" w:rsidRDefault="000F5408" w:rsidP="000F5408">
      <w:pPr>
        <w:spacing w:before="260" w:after="160" w:line="240" w:lineRule="auto"/>
        <w:outlineLvl w:val="1"/>
        <w:rPr>
          <w:rFonts w:ascii="Times New Roman" w:hAnsi="Times New Roman"/>
          <w:sz w:val="26"/>
          <w:szCs w:val="26"/>
          <w:lang w:val="en-US" w:eastAsia="en-US" w:bidi="ur-PK"/>
        </w:rPr>
      </w:pPr>
      <w:bookmarkStart w:id="65" w:name="_Toc239804251"/>
      <w:r w:rsidRPr="000F5408">
        <w:rPr>
          <w:rFonts w:ascii="Times New Roman" w:hAnsi="Times New Roman"/>
          <w:b/>
          <w:bCs/>
          <w:sz w:val="26"/>
          <w:szCs w:val="26"/>
          <w:lang w:val="en-US" w:eastAsia="en-US" w:bidi="ur-PK"/>
        </w:rPr>
        <w:t>5.9 Conclusion</w:t>
      </w:r>
      <w:bookmarkEnd w:id="65"/>
    </w:p>
    <w:p w14:paraId="7565A6E8" w14:textId="77777777" w:rsidR="000F5408" w:rsidRPr="000F5408" w:rsidRDefault="000F5408" w:rsidP="000F5408">
      <w:pPr>
        <w:spacing w:after="200" w:line="360" w:lineRule="auto"/>
        <w:jc w:val="both"/>
        <w:rPr>
          <w:rFonts w:ascii="Times New Roman" w:hAnsi="Times New Roman"/>
          <w:sz w:val="20"/>
          <w:szCs w:val="20"/>
          <w:lang w:val="en-US" w:eastAsia="en-US" w:bidi="ur-PK"/>
        </w:rPr>
      </w:pPr>
      <w:r w:rsidRPr="000F5408">
        <w:rPr>
          <w:rFonts w:ascii="Times New Roman" w:hAnsi="Times New Roman"/>
          <w:lang w:val="en-US" w:eastAsia="en-US" w:bidi="ur-PK"/>
        </w:rPr>
        <w:t xml:space="preserve">This dissertation set out to critically </w:t>
      </w:r>
      <w:proofErr w:type="spellStart"/>
      <w:r w:rsidRPr="000F5408">
        <w:rPr>
          <w:rFonts w:ascii="Times New Roman" w:hAnsi="Times New Roman"/>
          <w:lang w:val="en-US" w:eastAsia="en-US" w:bidi="ur-PK"/>
        </w:rPr>
        <w:t>analyse</w:t>
      </w:r>
      <w:proofErr w:type="spellEnd"/>
      <w:r w:rsidRPr="000F5408">
        <w:rPr>
          <w:rFonts w:ascii="Times New Roman" w:hAnsi="Times New Roman"/>
          <w:lang w:val="en-US" w:eastAsia="en-US" w:bidi="ur-PK"/>
        </w:rPr>
        <w:t xml:space="preserve"> the process of digital health transformation and telemedicine adoption in the United Kingdom and Pakistan through a systematic review of 32 shortlisted studies. The synthesis shows that while both health systems share similar individual-level psychological drivers of telemedicine adoption and both report high user satisfaction, they diverge sharply in governance maturity, infrastructural reliability, and the sector leading implementation, with Pakistan's telemedicine </w:t>
      </w:r>
      <w:r w:rsidRPr="000F5408">
        <w:rPr>
          <w:rFonts w:ascii="Times New Roman" w:hAnsi="Times New Roman"/>
          <w:lang w:val="en-US" w:eastAsia="en-US" w:bidi="ur-PK"/>
        </w:rPr>
        <w:lastRenderedPageBreak/>
        <w:t>sector expanding largely ahead of the regulatory and infrastructural foundations that underpin the NHS's more coordinated digital-first model.</w:t>
      </w:r>
    </w:p>
    <w:p w14:paraId="57C0F808" w14:textId="77777777" w:rsidR="000F5408" w:rsidRPr="000F5408" w:rsidRDefault="000F5408" w:rsidP="000F5408">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Returning directly to the three research gaps identified in Chapter One: this dissertation has (</w:t>
      </w:r>
      <w:proofErr w:type="spellStart"/>
      <w:r w:rsidRPr="000F5408">
        <w:rPr>
          <w:rFonts w:ascii="Times New Roman" w:hAnsi="Times New Roman"/>
          <w:lang w:val="en-US" w:eastAsia="en-US" w:bidi="ur-PK"/>
        </w:rPr>
        <w:t>i</w:t>
      </w:r>
      <w:proofErr w:type="spellEnd"/>
      <w:r w:rsidRPr="000F5408">
        <w:rPr>
          <w:rFonts w:ascii="Times New Roman" w:hAnsi="Times New Roman"/>
          <w:lang w:val="en-US" w:eastAsia="en-US" w:bidi="ur-PK"/>
        </w:rPr>
        <w:t>) produced comparative UK–Pakistan evidence where direct comparison was previously scarce, (ii) shown that individual-level acceptance models and system-level implementation frameworks explain different, complementary aspects of adoption rather than one being reducible to the other, and (iii) replaced a descriptive list of barriers with a structured account of what is and is not structurally transferable between the two systems. By identifying which elements of UK practice are procedurally transferable — formative evaluation, co-design, structured training — and which depend on funding and governance models not readily replicable in the short term, this dissertation provides evidence-based, context-sensitive recommendations intended to support Pakistani policymakers in strengthening telemedicine adoption without assuming that success in a mature, publicly funded system can simply be transplanted into a nascent, privately led one.</w:t>
      </w:r>
    </w:p>
    <w:p w14:paraId="6E835891" w14:textId="77777777" w:rsidR="000F5408" w:rsidRDefault="000F5408" w:rsidP="000F5408">
      <w:pPr>
        <w:spacing w:after="200" w:line="360" w:lineRule="auto"/>
        <w:jc w:val="both"/>
        <w:rPr>
          <w:rFonts w:ascii="Times New Roman" w:hAnsi="Times New Roman"/>
          <w:lang w:val="en-US" w:eastAsia="en-US" w:bidi="ur-PK"/>
        </w:rPr>
      </w:pPr>
    </w:p>
    <w:p w14:paraId="566357D6" w14:textId="77777777" w:rsidR="00E85A24" w:rsidRDefault="00E85A24" w:rsidP="000F5408">
      <w:pPr>
        <w:spacing w:after="200" w:line="360" w:lineRule="auto"/>
        <w:jc w:val="both"/>
        <w:rPr>
          <w:rFonts w:ascii="Times New Roman" w:hAnsi="Times New Roman"/>
          <w:lang w:val="en-US" w:eastAsia="en-US" w:bidi="ur-PK"/>
        </w:rPr>
      </w:pPr>
    </w:p>
    <w:p w14:paraId="3C2D950B" w14:textId="77777777" w:rsidR="00E85A24" w:rsidRDefault="00E85A24" w:rsidP="000F5408">
      <w:pPr>
        <w:spacing w:after="200" w:line="360" w:lineRule="auto"/>
        <w:jc w:val="both"/>
        <w:rPr>
          <w:rFonts w:ascii="Times New Roman" w:hAnsi="Times New Roman"/>
          <w:lang w:val="en-US" w:eastAsia="en-US" w:bidi="ur-PK"/>
        </w:rPr>
      </w:pPr>
    </w:p>
    <w:p w14:paraId="3BBB9AD7" w14:textId="77777777" w:rsidR="00E85A24" w:rsidRDefault="00E85A24" w:rsidP="000F5408">
      <w:pPr>
        <w:spacing w:after="200" w:line="360" w:lineRule="auto"/>
        <w:jc w:val="both"/>
        <w:rPr>
          <w:rFonts w:ascii="Times New Roman" w:hAnsi="Times New Roman"/>
          <w:lang w:val="en-US" w:eastAsia="en-US" w:bidi="ur-PK"/>
        </w:rPr>
      </w:pPr>
    </w:p>
    <w:p w14:paraId="27300DC3" w14:textId="77777777" w:rsidR="00E85A24" w:rsidRDefault="00E85A24" w:rsidP="000F5408">
      <w:pPr>
        <w:spacing w:after="200" w:line="360" w:lineRule="auto"/>
        <w:jc w:val="both"/>
        <w:rPr>
          <w:rFonts w:ascii="Times New Roman" w:hAnsi="Times New Roman"/>
          <w:lang w:val="en-US" w:eastAsia="en-US" w:bidi="ur-PK"/>
        </w:rPr>
      </w:pPr>
    </w:p>
    <w:p w14:paraId="798CBBA4" w14:textId="77777777" w:rsidR="00E85A24" w:rsidRDefault="00E85A24" w:rsidP="000F5408">
      <w:pPr>
        <w:spacing w:after="200" w:line="360" w:lineRule="auto"/>
        <w:jc w:val="both"/>
        <w:rPr>
          <w:rFonts w:ascii="Times New Roman" w:hAnsi="Times New Roman"/>
          <w:lang w:val="en-US" w:eastAsia="en-US" w:bidi="ur-PK"/>
        </w:rPr>
      </w:pPr>
    </w:p>
    <w:p w14:paraId="27077F8F" w14:textId="77777777" w:rsidR="00E85A24" w:rsidRDefault="00E85A24" w:rsidP="000F5408">
      <w:pPr>
        <w:spacing w:after="200" w:line="360" w:lineRule="auto"/>
        <w:jc w:val="both"/>
        <w:rPr>
          <w:rFonts w:ascii="Times New Roman" w:hAnsi="Times New Roman"/>
          <w:lang w:val="en-US" w:eastAsia="en-US" w:bidi="ur-PK"/>
        </w:rPr>
      </w:pPr>
    </w:p>
    <w:p w14:paraId="65B569E3" w14:textId="77777777" w:rsidR="00E85A24" w:rsidRDefault="00E85A24" w:rsidP="000F5408">
      <w:pPr>
        <w:spacing w:after="200" w:line="360" w:lineRule="auto"/>
        <w:jc w:val="both"/>
        <w:rPr>
          <w:rFonts w:ascii="Times New Roman" w:hAnsi="Times New Roman"/>
          <w:lang w:val="en-US" w:eastAsia="en-US" w:bidi="ur-PK"/>
        </w:rPr>
      </w:pPr>
    </w:p>
    <w:p w14:paraId="6EAB0244" w14:textId="77777777" w:rsidR="00E85A24" w:rsidRDefault="00E85A24" w:rsidP="000F5408">
      <w:pPr>
        <w:spacing w:after="200" w:line="360" w:lineRule="auto"/>
        <w:jc w:val="both"/>
        <w:rPr>
          <w:rFonts w:ascii="Times New Roman" w:hAnsi="Times New Roman"/>
          <w:lang w:val="en-US" w:eastAsia="en-US" w:bidi="ur-PK"/>
        </w:rPr>
      </w:pPr>
    </w:p>
    <w:p w14:paraId="352475C6" w14:textId="77777777" w:rsidR="00713D20" w:rsidRDefault="00713D20" w:rsidP="000F5408">
      <w:pPr>
        <w:spacing w:after="200" w:line="360" w:lineRule="auto"/>
        <w:jc w:val="both"/>
        <w:rPr>
          <w:rFonts w:ascii="Times New Roman" w:hAnsi="Times New Roman"/>
          <w:lang w:val="en-US" w:eastAsia="en-US" w:bidi="ur-PK"/>
        </w:rPr>
      </w:pPr>
    </w:p>
    <w:p w14:paraId="52C6EC3E" w14:textId="77777777" w:rsidR="00713D20" w:rsidRDefault="00713D20" w:rsidP="000F5408">
      <w:pPr>
        <w:spacing w:after="200" w:line="360" w:lineRule="auto"/>
        <w:jc w:val="both"/>
        <w:rPr>
          <w:rFonts w:ascii="Times New Roman" w:hAnsi="Times New Roman"/>
          <w:lang w:val="en-US" w:eastAsia="en-US" w:bidi="ur-PK"/>
        </w:rPr>
      </w:pPr>
    </w:p>
    <w:p w14:paraId="3461F305" w14:textId="77777777" w:rsidR="00713D20" w:rsidRDefault="00713D20" w:rsidP="000F5408">
      <w:pPr>
        <w:spacing w:after="200" w:line="360" w:lineRule="auto"/>
        <w:jc w:val="both"/>
        <w:rPr>
          <w:rFonts w:ascii="Times New Roman" w:hAnsi="Times New Roman"/>
          <w:lang w:val="en-US" w:eastAsia="en-US" w:bidi="ur-PK"/>
        </w:rPr>
      </w:pPr>
    </w:p>
    <w:p w14:paraId="2CB4E142" w14:textId="77777777" w:rsidR="00713D20" w:rsidRDefault="00713D20" w:rsidP="000F5408">
      <w:pPr>
        <w:spacing w:after="200" w:line="360" w:lineRule="auto"/>
        <w:jc w:val="both"/>
        <w:rPr>
          <w:rFonts w:ascii="Times New Roman" w:hAnsi="Times New Roman"/>
          <w:lang w:val="en-US" w:eastAsia="en-US" w:bidi="ur-PK"/>
        </w:rPr>
      </w:pPr>
    </w:p>
    <w:p w14:paraId="32325DAB" w14:textId="77777777" w:rsidR="00713D20" w:rsidRDefault="00713D20" w:rsidP="000F5408">
      <w:pPr>
        <w:spacing w:after="200" w:line="360" w:lineRule="auto"/>
        <w:jc w:val="both"/>
        <w:rPr>
          <w:rFonts w:ascii="Times New Roman" w:hAnsi="Times New Roman"/>
          <w:lang w:val="en-US" w:eastAsia="en-US" w:bidi="ur-PK"/>
        </w:rPr>
      </w:pPr>
    </w:p>
    <w:p w14:paraId="514047E8" w14:textId="77777777" w:rsidR="00713D20" w:rsidRDefault="00713D20" w:rsidP="000F5408">
      <w:pPr>
        <w:spacing w:after="200" w:line="360" w:lineRule="auto"/>
        <w:jc w:val="both"/>
        <w:rPr>
          <w:rFonts w:ascii="Times New Roman" w:hAnsi="Times New Roman"/>
          <w:lang w:val="en-US" w:eastAsia="en-US" w:bidi="ur-PK"/>
        </w:rPr>
      </w:pPr>
    </w:p>
    <w:p w14:paraId="3FE9B43A"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r w:rsidRPr="000F5408">
        <w:rPr>
          <w:rFonts w:ascii="Times New Roman" w:hAnsi="Times New Roman"/>
          <w:b/>
          <w:bCs/>
          <w:sz w:val="30"/>
          <w:szCs w:val="30"/>
          <w:lang w:val="en-US" w:eastAsia="en-US" w:bidi="ur-PK"/>
        </w:rPr>
        <w:lastRenderedPageBreak/>
        <w:t>REFERENCES</w:t>
      </w:r>
    </w:p>
    <w:p w14:paraId="03B3F12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Abdi, S.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(2025) “Implementing a teleophthalmology referral platform in routine practice: Understanding a digital health intervention implementation using </w:t>
      </w:r>
      <w:proofErr w:type="spellStart"/>
      <w:r w:rsidRPr="000F5408">
        <w:rPr>
          <w:rFonts w:ascii="Times New Roman" w:hAnsi="Times New Roman"/>
          <w:lang w:val="en-US" w:eastAsia="en-US" w:bidi="ur-PK"/>
        </w:rPr>
        <w:t>normalisation</w:t>
      </w:r>
      <w:proofErr w:type="spellEnd"/>
      <w:r w:rsidRPr="000F5408">
        <w:rPr>
          <w:rFonts w:ascii="Times New Roman" w:hAnsi="Times New Roman"/>
          <w:lang w:val="en-US" w:eastAsia="en-US" w:bidi="ur-PK"/>
        </w:rPr>
        <w:t xml:space="preserve"> process theory,” </w:t>
      </w:r>
      <w:r w:rsidRPr="000F5408">
        <w:rPr>
          <w:rFonts w:ascii="Times New Roman" w:hAnsi="Times New Roman"/>
          <w:i/>
          <w:iCs/>
          <w:lang w:val="en-US" w:eastAsia="en-US" w:bidi="ur-PK"/>
        </w:rPr>
        <w:t>DIGITAL HEALTH</w:t>
      </w:r>
      <w:r w:rsidRPr="000F5408">
        <w:rPr>
          <w:rFonts w:ascii="Times New Roman" w:hAnsi="Times New Roman"/>
          <w:lang w:val="en-US" w:eastAsia="en-US" w:bidi="ur-PK"/>
        </w:rPr>
        <w:t xml:space="preserve">, 11, p. 20552076241303812. Available at: </w:t>
      </w:r>
      <w:hyperlink r:id="rId11" w:history="1">
        <w:r w:rsidRPr="000F5408">
          <w:rPr>
            <w:rFonts w:ascii="Times New Roman" w:hAnsi="Times New Roman"/>
            <w:color w:val="0563C1"/>
            <w:u w:val="single"/>
            <w:lang w:val="en-US" w:eastAsia="en-US" w:bidi="ur-PK"/>
          </w:rPr>
          <w:t>https://doi.org/10.1177/20552076241303812</w:t>
        </w:r>
      </w:hyperlink>
      <w:r w:rsidRPr="000F5408">
        <w:rPr>
          <w:rFonts w:ascii="Times New Roman" w:hAnsi="Times New Roman"/>
          <w:lang w:val="en-US" w:eastAsia="en-US" w:bidi="ur-PK"/>
        </w:rPr>
        <w:t>.</w:t>
      </w:r>
    </w:p>
    <w:p w14:paraId="29376E70"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4E948F8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Ahsan, M.M. and Siddique, Z. (2022) “Industry 4.0 in Healthcare: A systematic review,” </w:t>
      </w:r>
      <w:r w:rsidRPr="000F5408">
        <w:rPr>
          <w:rFonts w:ascii="Times New Roman" w:hAnsi="Times New Roman"/>
          <w:i/>
          <w:iCs/>
          <w:lang w:val="en-US" w:eastAsia="en-US" w:bidi="ur-PK"/>
        </w:rPr>
        <w:t>International Journal of Information Management Data Insights</w:t>
      </w:r>
      <w:r w:rsidRPr="000F5408">
        <w:rPr>
          <w:rFonts w:ascii="Times New Roman" w:hAnsi="Times New Roman"/>
          <w:lang w:val="en-US" w:eastAsia="en-US" w:bidi="ur-PK"/>
        </w:rPr>
        <w:t xml:space="preserve">, 2(1), p. 100079. Available at: </w:t>
      </w:r>
      <w:hyperlink r:id="rId12" w:history="1">
        <w:r w:rsidRPr="000F5408">
          <w:rPr>
            <w:rFonts w:ascii="Times New Roman" w:hAnsi="Times New Roman"/>
            <w:color w:val="0563C1"/>
            <w:u w:val="single"/>
            <w:lang w:val="en-US" w:eastAsia="en-US" w:bidi="ur-PK"/>
          </w:rPr>
          <w:t>https://doi.org/10.1016/j.jjimei.2022.100079</w:t>
        </w:r>
      </w:hyperlink>
      <w:r w:rsidRPr="000F5408">
        <w:rPr>
          <w:rFonts w:ascii="Times New Roman" w:hAnsi="Times New Roman"/>
          <w:lang w:val="en-US" w:eastAsia="en-US" w:bidi="ur-PK"/>
        </w:rPr>
        <w:t>.</w:t>
      </w:r>
    </w:p>
    <w:p w14:paraId="3453543C"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7BD356FD"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Alam</w:t>
      </w:r>
      <w:proofErr w:type="spellEnd"/>
      <w:r w:rsidRPr="000F5408">
        <w:rPr>
          <w:rFonts w:ascii="Times New Roman" w:hAnsi="Times New Roman"/>
          <w:lang w:val="en-US" w:eastAsia="en-US" w:bidi="ur-PK"/>
        </w:rPr>
        <w:t xml:space="preserve">, L.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(2021) “Is Telemedicine our cup of tea? A nationwide cross-sectional survey regarding doctors’ experience and perceptions,” </w:t>
      </w:r>
      <w:r w:rsidRPr="000F5408">
        <w:rPr>
          <w:rFonts w:ascii="Times New Roman" w:hAnsi="Times New Roman"/>
          <w:i/>
          <w:iCs/>
          <w:lang w:val="en-US" w:eastAsia="en-US" w:bidi="ur-PK"/>
        </w:rPr>
        <w:t>Pakistan Journal of Medical Sciences</w:t>
      </w:r>
      <w:r w:rsidRPr="000F5408">
        <w:rPr>
          <w:rFonts w:ascii="Times New Roman" w:hAnsi="Times New Roman"/>
          <w:lang w:val="en-US" w:eastAsia="en-US" w:bidi="ur-PK"/>
        </w:rPr>
        <w:t xml:space="preserve">, 37(5). Available at: </w:t>
      </w:r>
      <w:hyperlink r:id="rId13" w:history="1">
        <w:r w:rsidRPr="000F5408">
          <w:rPr>
            <w:rFonts w:ascii="Times New Roman" w:hAnsi="Times New Roman"/>
            <w:color w:val="0563C1"/>
            <w:u w:val="single"/>
            <w:lang w:val="en-US" w:eastAsia="en-US" w:bidi="ur-PK"/>
          </w:rPr>
          <w:t>https://doi.org/10.12669/pjms.37.5.3970</w:t>
        </w:r>
      </w:hyperlink>
      <w:r w:rsidRPr="000F5408">
        <w:rPr>
          <w:rFonts w:ascii="Times New Roman" w:hAnsi="Times New Roman"/>
          <w:lang w:val="en-US" w:eastAsia="en-US" w:bidi="ur-PK"/>
        </w:rPr>
        <w:t>.</w:t>
      </w:r>
    </w:p>
    <w:p w14:paraId="75BD15E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71FE31A1" w14:textId="77777777" w:rsid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Alashek</w:t>
      </w:r>
      <w:proofErr w:type="spell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Wa</w:t>
      </w:r>
      <w:proofErr w:type="spellEnd"/>
      <w:r w:rsidRPr="000F5408">
        <w:rPr>
          <w:rFonts w:ascii="Times New Roman" w:hAnsi="Times New Roman"/>
          <w:lang w:val="en-US" w:eastAsia="en-US" w:bidi="ur-PK"/>
        </w:rPr>
        <w:t xml:space="preserve">. and Ali, Sa. (2024) “Satisfaction with telemedicine use during COVID-19 pandemic in the UK: a systematic review,” </w:t>
      </w:r>
      <w:r w:rsidRPr="000F5408">
        <w:rPr>
          <w:rFonts w:ascii="Times New Roman" w:hAnsi="Times New Roman"/>
          <w:i/>
          <w:iCs/>
          <w:lang w:val="en-US" w:eastAsia="en-US" w:bidi="ur-PK"/>
        </w:rPr>
        <w:t>Libyan Journal of Medicine</w:t>
      </w:r>
      <w:r w:rsidRPr="000F5408">
        <w:rPr>
          <w:rFonts w:ascii="Times New Roman" w:hAnsi="Times New Roman"/>
          <w:lang w:val="en-US" w:eastAsia="en-US" w:bidi="ur-PK"/>
        </w:rPr>
        <w:t xml:space="preserve">, 19(1), p. 2301829. Available at: </w:t>
      </w:r>
      <w:hyperlink r:id="rId14" w:history="1">
        <w:r w:rsidRPr="000F5408">
          <w:rPr>
            <w:rFonts w:ascii="Times New Roman" w:hAnsi="Times New Roman"/>
            <w:color w:val="0563C1"/>
            <w:u w:val="single"/>
            <w:lang w:val="en-US" w:eastAsia="en-US" w:bidi="ur-PK"/>
          </w:rPr>
          <w:t>https://doi.org/10.1080/19932820.2024.2301829</w:t>
        </w:r>
      </w:hyperlink>
      <w:r w:rsidRPr="000F5408">
        <w:rPr>
          <w:rFonts w:ascii="Times New Roman" w:hAnsi="Times New Roman"/>
          <w:lang w:val="en-US" w:eastAsia="en-US" w:bidi="ur-PK"/>
        </w:rPr>
        <w:t>.</w:t>
      </w:r>
    </w:p>
    <w:p w14:paraId="3E20BDA6" w14:textId="77777777" w:rsidR="00F14323" w:rsidRDefault="00F14323" w:rsidP="000F5408">
      <w:pPr>
        <w:widowControl w:val="0"/>
        <w:autoSpaceDE w:val="0"/>
        <w:autoSpaceDN w:val="0"/>
        <w:adjustRightInd w:val="0"/>
        <w:spacing w:after="240" w:line="240" w:lineRule="auto"/>
        <w:rPr>
          <w:rFonts w:ascii="Times New Roman" w:hAnsi="Times New Roman"/>
          <w:lang w:val="en-US" w:eastAsia="en-US" w:bidi="ur-PK"/>
        </w:rPr>
      </w:pPr>
    </w:p>
    <w:p w14:paraId="09186A91" w14:textId="0498506B" w:rsidR="00F14323" w:rsidRDefault="00F14323" w:rsidP="00F14323">
      <w:pPr>
        <w:widowControl w:val="0"/>
        <w:autoSpaceDE w:val="0"/>
        <w:autoSpaceDN w:val="0"/>
        <w:adjustRightInd w:val="0"/>
        <w:spacing w:after="240" w:line="240" w:lineRule="auto"/>
        <w:rPr>
          <w:rFonts w:ascii="Times New Roman" w:hAnsi="Times New Roman"/>
          <w:lang w:val="en-US" w:eastAsia="en-US" w:bidi="ur-PK"/>
        </w:rPr>
      </w:pPr>
      <w:proofErr w:type="spellStart"/>
      <w:r w:rsidRPr="00F14323">
        <w:rPr>
          <w:rFonts w:ascii="Times New Roman" w:hAnsi="Times New Roman"/>
          <w:lang w:eastAsia="en-US" w:bidi="ur-PK"/>
        </w:rPr>
        <w:t>Alsyouf</w:t>
      </w:r>
      <w:proofErr w:type="spellEnd"/>
      <w:r w:rsidRPr="00F14323">
        <w:rPr>
          <w:rFonts w:ascii="Times New Roman" w:hAnsi="Times New Roman"/>
          <w:lang w:eastAsia="en-US" w:bidi="ur-PK"/>
        </w:rPr>
        <w:t xml:space="preserve">, A. et al. (2022) ‘The Role of Personality and Top Management Support in Continuance Intention to Use Electronic Health Record Systems among Nurses’, International Journal of Environmental Research and Public Health, 19(17), p. 11125. Available at: </w:t>
      </w:r>
      <w:hyperlink r:id="rId15" w:history="1">
        <w:r w:rsidRPr="007F121D">
          <w:rPr>
            <w:rStyle w:val="Hyperlink"/>
            <w:rFonts w:ascii="Times New Roman" w:hAnsi="Times New Roman"/>
            <w:lang w:eastAsia="en-US" w:bidi="ur-PK"/>
          </w:rPr>
          <w:t>https://doi.org/10.3390/ijerph191711125</w:t>
        </w:r>
      </w:hyperlink>
    </w:p>
    <w:p w14:paraId="3FC2F14A"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34AF6AD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Anchors, Z.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(2023) “The impact of remote consultations on the health and wellbeing of first contact physiotherapists in primary care: A mixed methods study,” </w:t>
      </w:r>
      <w:r w:rsidRPr="000F5408">
        <w:rPr>
          <w:rFonts w:ascii="Times New Roman" w:hAnsi="Times New Roman"/>
          <w:i/>
          <w:iCs/>
          <w:lang w:val="en-US" w:eastAsia="en-US" w:bidi="ur-PK"/>
        </w:rPr>
        <w:t>Musculoskeletal Care</w:t>
      </w:r>
      <w:r w:rsidRPr="000F5408">
        <w:rPr>
          <w:rFonts w:ascii="Times New Roman" w:hAnsi="Times New Roman"/>
          <w:lang w:val="en-US" w:eastAsia="en-US" w:bidi="ur-PK"/>
        </w:rPr>
        <w:t xml:space="preserve">, 21(3), pp. 655–666. Available at: </w:t>
      </w:r>
      <w:hyperlink r:id="rId16" w:history="1">
        <w:r w:rsidRPr="000F5408">
          <w:rPr>
            <w:rFonts w:ascii="Times New Roman" w:hAnsi="Times New Roman"/>
            <w:color w:val="0563C1"/>
            <w:u w:val="single"/>
            <w:lang w:val="en-US" w:eastAsia="en-US" w:bidi="ur-PK"/>
          </w:rPr>
          <w:t>https://doi.org/10.1002/msc.1737</w:t>
        </w:r>
      </w:hyperlink>
      <w:r w:rsidRPr="000F5408">
        <w:rPr>
          <w:rFonts w:ascii="Times New Roman" w:hAnsi="Times New Roman"/>
          <w:lang w:val="en-US" w:eastAsia="en-US" w:bidi="ur-PK"/>
        </w:rPr>
        <w:t>.</w:t>
      </w:r>
    </w:p>
    <w:p w14:paraId="48A29478"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042F451F" w14:textId="265B4EBF" w:rsid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proofErr w:type="spellStart"/>
      <w:r w:rsidRPr="00F14323">
        <w:rPr>
          <w:rFonts w:ascii="Times New Roman" w:hAnsi="Times New Roman"/>
          <w:lang w:eastAsia="en-US" w:bidi="ur-PK"/>
        </w:rPr>
        <w:t>Aromataris</w:t>
      </w:r>
      <w:proofErr w:type="spellEnd"/>
      <w:r w:rsidRPr="00F14323">
        <w:rPr>
          <w:rFonts w:ascii="Times New Roman" w:hAnsi="Times New Roman"/>
          <w:lang w:eastAsia="en-US" w:bidi="ur-PK"/>
        </w:rPr>
        <w:t xml:space="preserve">, E. and Munn, Z. (2020) ‘Chapter 1: JBI Systematic Reviews’, in </w:t>
      </w:r>
      <w:proofErr w:type="spellStart"/>
      <w:r w:rsidRPr="00F14323">
        <w:rPr>
          <w:rFonts w:ascii="Times New Roman" w:hAnsi="Times New Roman"/>
          <w:lang w:eastAsia="en-US" w:bidi="ur-PK"/>
        </w:rPr>
        <w:t>Aromataris</w:t>
      </w:r>
      <w:proofErr w:type="spellEnd"/>
      <w:r w:rsidRPr="00F14323">
        <w:rPr>
          <w:rFonts w:ascii="Times New Roman" w:hAnsi="Times New Roman"/>
          <w:lang w:eastAsia="en-US" w:bidi="ur-PK"/>
        </w:rPr>
        <w:t xml:space="preserve">, E. and Munn, Z. (eds.) JBI Manual for Evidence Synthesis. Adelaide: JBI. Available at: </w:t>
      </w:r>
      <w:hyperlink r:id="rId17" w:tgtFrame="_new" w:history="1">
        <w:r w:rsidRPr="00F14323">
          <w:rPr>
            <w:rStyle w:val="Hyperlink"/>
            <w:rFonts w:ascii="Times New Roman" w:hAnsi="Times New Roman"/>
            <w:lang w:eastAsia="en-US" w:bidi="ur-PK"/>
          </w:rPr>
          <w:t>https://synthesismanual.jbi.global</w:t>
        </w:r>
      </w:hyperlink>
    </w:p>
    <w:p w14:paraId="02841A7F" w14:textId="77777777" w:rsidR="00F14323" w:rsidRP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p>
    <w:p w14:paraId="247B60C0"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Bilal, W.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(2022) “Digital health and telemedicine in Pakistan: Improving maternal healthcare,” </w:t>
      </w:r>
      <w:r w:rsidRPr="000F5408">
        <w:rPr>
          <w:rFonts w:ascii="Times New Roman" w:hAnsi="Times New Roman"/>
          <w:i/>
          <w:iCs/>
          <w:lang w:val="en-US" w:eastAsia="en-US" w:bidi="ur-PK"/>
        </w:rPr>
        <w:t>Annals of Medicine &amp; Surgery</w:t>
      </w:r>
      <w:r w:rsidRPr="000F5408">
        <w:rPr>
          <w:rFonts w:ascii="Times New Roman" w:hAnsi="Times New Roman"/>
          <w:lang w:val="en-US" w:eastAsia="en-US" w:bidi="ur-PK"/>
        </w:rPr>
        <w:t xml:space="preserve">, 81. Available at: </w:t>
      </w:r>
      <w:hyperlink r:id="rId18" w:history="1">
        <w:r w:rsidRPr="000F5408">
          <w:rPr>
            <w:rFonts w:ascii="Times New Roman" w:hAnsi="Times New Roman"/>
            <w:color w:val="0563C1"/>
            <w:u w:val="single"/>
            <w:lang w:val="en-US" w:eastAsia="en-US" w:bidi="ur-PK"/>
          </w:rPr>
          <w:t>https://doi.org/10.1016/j.amsu.2022.104425</w:t>
        </w:r>
      </w:hyperlink>
      <w:r w:rsidRPr="000F5408">
        <w:rPr>
          <w:rFonts w:ascii="Times New Roman" w:hAnsi="Times New Roman"/>
          <w:lang w:val="en-US" w:eastAsia="en-US" w:bidi="ur-PK"/>
        </w:rPr>
        <w:t>.</w:t>
      </w:r>
    </w:p>
    <w:p w14:paraId="2C3B58DA" w14:textId="77777777" w:rsidR="000F5408" w:rsidRPr="000F5408" w:rsidRDefault="000F5408" w:rsidP="009147D5">
      <w:pPr>
        <w:bidi/>
        <w:spacing w:after="200" w:line="320" w:lineRule="auto"/>
        <w:jc w:val="right"/>
        <w:rPr>
          <w:rFonts w:ascii="Times New Roman" w:hAnsi="Times New Roman"/>
          <w:color w:val="000000"/>
          <w:sz w:val="22"/>
          <w:szCs w:val="22"/>
          <w:lang w:val="en-US" w:eastAsia="en-US" w:bidi="ur-PK"/>
        </w:rPr>
      </w:pPr>
      <w:r w:rsidRPr="000F5408">
        <w:rPr>
          <w:rFonts w:ascii="Times New Roman" w:hAnsi="Times New Roman"/>
          <w:color w:val="000000"/>
          <w:sz w:val="22"/>
          <w:szCs w:val="22"/>
          <w:lang w:val="en-US" w:eastAsia="en-US" w:bidi="ur-PK"/>
        </w:rPr>
        <w:t>Braun, V. and Clarke, V. (2022) Thematic Analysis: A Practical Guide. London: Sage.</w:t>
      </w:r>
    </w:p>
    <w:p w14:paraId="7BCC7863" w14:textId="77777777" w:rsidR="000F5408" w:rsidRPr="000F5408" w:rsidRDefault="000F5408" w:rsidP="000F5408">
      <w:pPr>
        <w:bidi/>
        <w:spacing w:after="200" w:line="320" w:lineRule="auto"/>
        <w:ind w:left="720" w:hanging="720"/>
        <w:jc w:val="right"/>
        <w:rPr>
          <w:rFonts w:ascii="Times New Roman" w:hAnsi="Times New Roman"/>
          <w:sz w:val="20"/>
          <w:szCs w:val="20"/>
          <w:lang w:val="en-US" w:eastAsia="en-US" w:bidi="ur-PK"/>
        </w:rPr>
      </w:pPr>
    </w:p>
    <w:p w14:paraId="6E335BF5"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Chadd</w:t>
      </w:r>
      <w:proofErr w:type="spellEnd"/>
      <w:r w:rsidRPr="000F5408">
        <w:rPr>
          <w:rFonts w:ascii="Times New Roman" w:hAnsi="Times New Roman"/>
          <w:lang w:val="en-US" w:eastAsia="en-US" w:bidi="ur-PK"/>
        </w:rPr>
        <w:t xml:space="preserve">, K.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“Improving efficiency through innovation in the ‘real-world’: Feasibility of a co-designed telehealth solution for individuals with aphasia,” </w:t>
      </w:r>
      <w:r w:rsidRPr="000F5408">
        <w:rPr>
          <w:rFonts w:ascii="Times New Roman" w:hAnsi="Times New Roman"/>
          <w:i/>
          <w:iCs/>
          <w:lang w:val="en-US" w:eastAsia="en-US" w:bidi="ur-PK"/>
        </w:rPr>
        <w:t>Advances in Communication and Swallowing</w:t>
      </w:r>
      <w:r w:rsidRPr="000F5408">
        <w:rPr>
          <w:rFonts w:ascii="Times New Roman" w:hAnsi="Times New Roman"/>
          <w:lang w:val="en-US" w:eastAsia="en-US" w:bidi="ur-PK"/>
        </w:rPr>
        <w:t xml:space="preserve">. Edited by H. Kelly, Á. Kearns, and S. Bell, 27(1), pp. 17–27. Available at: </w:t>
      </w:r>
      <w:hyperlink r:id="rId19" w:history="1">
        <w:r w:rsidRPr="000F5408">
          <w:rPr>
            <w:rFonts w:ascii="Times New Roman" w:hAnsi="Times New Roman"/>
            <w:color w:val="0563C1"/>
            <w:u w:val="single"/>
            <w:lang w:val="en-US" w:eastAsia="en-US" w:bidi="ur-PK"/>
          </w:rPr>
          <w:t>https://doi.org/10.3233/ACS-220018</w:t>
        </w:r>
      </w:hyperlink>
      <w:r w:rsidRPr="000F5408">
        <w:rPr>
          <w:rFonts w:ascii="Times New Roman" w:hAnsi="Times New Roman"/>
          <w:lang w:val="en-US" w:eastAsia="en-US" w:bidi="ur-PK"/>
        </w:rPr>
        <w:t>.</w:t>
      </w:r>
    </w:p>
    <w:p w14:paraId="435BB8B8"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30CA4848"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Charlton, J.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“UK </w:t>
      </w:r>
      <w:proofErr w:type="spellStart"/>
      <w:r w:rsidRPr="000F5408">
        <w:rPr>
          <w:rFonts w:ascii="Times New Roman" w:hAnsi="Times New Roman"/>
          <w:lang w:val="en-US" w:eastAsia="en-US" w:bidi="ur-PK"/>
        </w:rPr>
        <w:t>paediatric</w:t>
      </w:r>
      <w:proofErr w:type="spellEnd"/>
      <w:r w:rsidRPr="000F5408">
        <w:rPr>
          <w:rFonts w:ascii="Times New Roman" w:hAnsi="Times New Roman"/>
          <w:lang w:val="en-US" w:eastAsia="en-US" w:bidi="ur-PK"/>
        </w:rPr>
        <w:t xml:space="preserve"> speech and language therapists’ perceptions on the use of telehealth in current and future clinical practice: An application of the APEASE criteria,” </w:t>
      </w:r>
      <w:r w:rsidRPr="000F5408">
        <w:rPr>
          <w:rFonts w:ascii="Times New Roman" w:hAnsi="Times New Roman"/>
          <w:i/>
          <w:iCs/>
          <w:lang w:val="en-US" w:eastAsia="en-US" w:bidi="ur-PK"/>
        </w:rPr>
        <w:t>International Journal of Language &amp; Communication Disorders</w:t>
      </w:r>
      <w:r w:rsidRPr="000F5408">
        <w:rPr>
          <w:rFonts w:ascii="Times New Roman" w:hAnsi="Times New Roman"/>
          <w:lang w:val="en-US" w:eastAsia="en-US" w:bidi="ur-PK"/>
        </w:rPr>
        <w:t xml:space="preserve">, 59(3), pp. 1163–1179. Available at: </w:t>
      </w:r>
      <w:hyperlink r:id="rId20" w:history="1">
        <w:r w:rsidRPr="000F5408">
          <w:rPr>
            <w:rFonts w:ascii="Times New Roman" w:hAnsi="Times New Roman"/>
            <w:color w:val="0563C1"/>
            <w:u w:val="single"/>
            <w:lang w:val="en-US" w:eastAsia="en-US" w:bidi="ur-PK"/>
          </w:rPr>
          <w:t>https://doi.org/10.1111/1460-6984.12988</w:t>
        </w:r>
      </w:hyperlink>
      <w:r w:rsidRPr="000F5408">
        <w:rPr>
          <w:rFonts w:ascii="Times New Roman" w:hAnsi="Times New Roman"/>
          <w:lang w:val="en-US" w:eastAsia="en-US" w:bidi="ur-PK"/>
        </w:rPr>
        <w:t>.</w:t>
      </w:r>
    </w:p>
    <w:p w14:paraId="5B43B90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501E880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Chaudhry, T., Ormandy, P. and </w:t>
      </w:r>
      <w:proofErr w:type="spellStart"/>
      <w:r w:rsidRPr="000F5408">
        <w:rPr>
          <w:rFonts w:ascii="Times New Roman" w:hAnsi="Times New Roman"/>
          <w:lang w:val="en-US" w:eastAsia="en-US" w:bidi="ur-PK"/>
        </w:rPr>
        <w:t>Vasilica</w:t>
      </w:r>
      <w:proofErr w:type="spellEnd"/>
      <w:r w:rsidRPr="000F5408">
        <w:rPr>
          <w:rFonts w:ascii="Times New Roman" w:hAnsi="Times New Roman"/>
          <w:lang w:val="en-US" w:eastAsia="en-US" w:bidi="ur-PK"/>
        </w:rPr>
        <w:t xml:space="preserve">, C. (2024) “Using FLO text-messages to enhance health </w:t>
      </w:r>
      <w:proofErr w:type="spellStart"/>
      <w:r w:rsidRPr="000F5408">
        <w:rPr>
          <w:rFonts w:ascii="Times New Roman" w:hAnsi="Times New Roman"/>
          <w:lang w:val="en-US" w:eastAsia="en-US" w:bidi="ur-PK"/>
        </w:rPr>
        <w:t>behaviours</w:t>
      </w:r>
      <w:proofErr w:type="spellEnd"/>
      <w:r w:rsidRPr="000F5408">
        <w:rPr>
          <w:rFonts w:ascii="Times New Roman" w:hAnsi="Times New Roman"/>
          <w:lang w:val="en-US" w:eastAsia="en-US" w:bidi="ur-PK"/>
        </w:rPr>
        <w:t xml:space="preserve"> and self-management of long-term conditions in South-Asian patients,” </w:t>
      </w:r>
      <w:r w:rsidRPr="000F5408">
        <w:rPr>
          <w:rFonts w:ascii="Times New Roman" w:hAnsi="Times New Roman"/>
          <w:i/>
          <w:iCs/>
          <w:lang w:val="en-US" w:eastAsia="en-US" w:bidi="ur-PK"/>
        </w:rPr>
        <w:t>DIGITAL HEALTH</w:t>
      </w:r>
      <w:r w:rsidRPr="000F5408">
        <w:rPr>
          <w:rFonts w:ascii="Times New Roman" w:hAnsi="Times New Roman"/>
          <w:lang w:val="en-US" w:eastAsia="en-US" w:bidi="ur-PK"/>
        </w:rPr>
        <w:t xml:space="preserve">, 10, p. 20552076241242558. Available at: </w:t>
      </w:r>
      <w:hyperlink r:id="rId21" w:history="1">
        <w:r w:rsidRPr="000F5408">
          <w:rPr>
            <w:rFonts w:ascii="Times New Roman" w:hAnsi="Times New Roman"/>
            <w:color w:val="0563C1"/>
            <w:u w:val="single"/>
            <w:lang w:val="en-US" w:eastAsia="en-US" w:bidi="ur-PK"/>
          </w:rPr>
          <w:t>https://doi.org/10.1177/20552076241242558</w:t>
        </w:r>
      </w:hyperlink>
      <w:r w:rsidRPr="000F5408">
        <w:rPr>
          <w:rFonts w:ascii="Times New Roman" w:hAnsi="Times New Roman"/>
          <w:lang w:val="en-US" w:eastAsia="en-US" w:bidi="ur-PK"/>
        </w:rPr>
        <w:t>.</w:t>
      </w:r>
    </w:p>
    <w:p w14:paraId="3E5554C0"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6AA12C4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Chen, A., Chu, W.-M. and Peng, N. (2024) “Promoting new users’ online health consultation services usage behavior strategically,” </w:t>
      </w:r>
      <w:r w:rsidRPr="000F5408">
        <w:rPr>
          <w:rFonts w:ascii="Times New Roman" w:hAnsi="Times New Roman"/>
          <w:i/>
          <w:iCs/>
          <w:lang w:val="en-US" w:eastAsia="en-US" w:bidi="ur-PK"/>
        </w:rPr>
        <w:t>Health Marketing Quarterly</w:t>
      </w:r>
      <w:r w:rsidRPr="000F5408">
        <w:rPr>
          <w:rFonts w:ascii="Times New Roman" w:hAnsi="Times New Roman"/>
          <w:lang w:val="en-US" w:eastAsia="en-US" w:bidi="ur-PK"/>
        </w:rPr>
        <w:t xml:space="preserve">, 41(2), pp. 214–239. Available at: </w:t>
      </w:r>
      <w:hyperlink r:id="rId22" w:history="1">
        <w:r w:rsidRPr="000F5408">
          <w:rPr>
            <w:rFonts w:ascii="Times New Roman" w:hAnsi="Times New Roman"/>
            <w:color w:val="0563C1"/>
            <w:u w:val="single"/>
            <w:lang w:val="en-US" w:eastAsia="en-US" w:bidi="ur-PK"/>
          </w:rPr>
          <w:t>https://doi.org/10.1080/07359683.2024.2340196</w:t>
        </w:r>
      </w:hyperlink>
      <w:r w:rsidRPr="000F5408">
        <w:rPr>
          <w:rFonts w:ascii="Times New Roman" w:hAnsi="Times New Roman"/>
          <w:lang w:val="en-US" w:eastAsia="en-US" w:bidi="ur-PK"/>
        </w:rPr>
        <w:t>.</w:t>
      </w:r>
    </w:p>
    <w:p w14:paraId="442C9A8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7E30F4B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Cheraghi</w:t>
      </w:r>
      <w:proofErr w:type="spellEnd"/>
      <w:r w:rsidRPr="000F5408">
        <w:rPr>
          <w:rFonts w:ascii="Times New Roman" w:hAnsi="Times New Roman"/>
          <w:lang w:val="en-US" w:eastAsia="en-US" w:bidi="ur-PK"/>
        </w:rPr>
        <w:t xml:space="preserve">-Sohi, S.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(2023) “A study to explore the usefulness of a mobile health application to support people with mild cognitive and/or communication impairment due to dementia and their </w:t>
      </w:r>
      <w:proofErr w:type="spellStart"/>
      <w:r w:rsidRPr="000F5408">
        <w:rPr>
          <w:rFonts w:ascii="Times New Roman" w:hAnsi="Times New Roman"/>
          <w:lang w:val="en-US" w:eastAsia="en-US" w:bidi="ur-PK"/>
        </w:rPr>
        <w:t>carers</w:t>
      </w:r>
      <w:proofErr w:type="spellEnd"/>
      <w:r w:rsidRPr="000F5408">
        <w:rPr>
          <w:rFonts w:ascii="Times New Roman" w:hAnsi="Times New Roman"/>
          <w:lang w:val="en-US" w:eastAsia="en-US" w:bidi="ur-PK"/>
        </w:rPr>
        <w:t xml:space="preserve">,” </w:t>
      </w:r>
      <w:r w:rsidRPr="000F5408">
        <w:rPr>
          <w:rFonts w:ascii="Times New Roman" w:hAnsi="Times New Roman"/>
          <w:i/>
          <w:iCs/>
          <w:lang w:val="en-US" w:eastAsia="en-US" w:bidi="ur-PK"/>
        </w:rPr>
        <w:t>DIGITAL HEALTH</w:t>
      </w:r>
      <w:r w:rsidRPr="000F5408">
        <w:rPr>
          <w:rFonts w:ascii="Times New Roman" w:hAnsi="Times New Roman"/>
          <w:lang w:val="en-US" w:eastAsia="en-US" w:bidi="ur-PK"/>
        </w:rPr>
        <w:t xml:space="preserve">, 9, p. 20552076231173560. Available at: </w:t>
      </w:r>
      <w:hyperlink r:id="rId23" w:history="1">
        <w:r w:rsidRPr="000F5408">
          <w:rPr>
            <w:rFonts w:ascii="Times New Roman" w:hAnsi="Times New Roman"/>
            <w:color w:val="0563C1"/>
            <w:u w:val="single"/>
            <w:lang w:val="en-US" w:eastAsia="en-US" w:bidi="ur-PK"/>
          </w:rPr>
          <w:t>https://doi.org/10.1177/20552076231173560</w:t>
        </w:r>
      </w:hyperlink>
      <w:r w:rsidRPr="000F5408">
        <w:rPr>
          <w:rFonts w:ascii="Times New Roman" w:hAnsi="Times New Roman"/>
          <w:lang w:val="en-US" w:eastAsia="en-US" w:bidi="ur-PK"/>
        </w:rPr>
        <w:t>.</w:t>
      </w:r>
    </w:p>
    <w:p w14:paraId="372A3D12"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6A75B4C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Comer, A.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(2025) “Experiences and perspectives of UK speech and language therapists on telehealth assessment with people living with post‐stroke aphasia,” </w:t>
      </w:r>
      <w:r w:rsidRPr="000F5408">
        <w:rPr>
          <w:rFonts w:ascii="Times New Roman" w:hAnsi="Times New Roman"/>
          <w:i/>
          <w:iCs/>
          <w:lang w:val="en-US" w:eastAsia="en-US" w:bidi="ur-PK"/>
        </w:rPr>
        <w:t>International Journal of Language &amp; Communication Disorders</w:t>
      </w:r>
      <w:r w:rsidRPr="000F5408">
        <w:rPr>
          <w:rFonts w:ascii="Times New Roman" w:hAnsi="Times New Roman"/>
          <w:lang w:val="en-US" w:eastAsia="en-US" w:bidi="ur-PK"/>
        </w:rPr>
        <w:t xml:space="preserve">, 60(2), p. e70018. Available at: </w:t>
      </w:r>
      <w:hyperlink r:id="rId24" w:history="1">
        <w:r w:rsidRPr="000F5408">
          <w:rPr>
            <w:rFonts w:ascii="Times New Roman" w:hAnsi="Times New Roman"/>
            <w:color w:val="0563C1"/>
            <w:u w:val="single"/>
            <w:lang w:val="en-US" w:eastAsia="en-US" w:bidi="ur-PK"/>
          </w:rPr>
          <w:t>https://doi.org/10.1111/1460-6984.70018</w:t>
        </w:r>
      </w:hyperlink>
      <w:r w:rsidRPr="000F5408">
        <w:rPr>
          <w:rFonts w:ascii="Times New Roman" w:hAnsi="Times New Roman"/>
          <w:lang w:val="en-US" w:eastAsia="en-US" w:bidi="ur-PK"/>
        </w:rPr>
        <w:t>.</w:t>
      </w:r>
    </w:p>
    <w:p w14:paraId="40A51CF2"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195443E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Cresswell</w:t>
      </w:r>
      <w:proofErr w:type="spellEnd"/>
      <w:r w:rsidRPr="000F5408">
        <w:rPr>
          <w:rFonts w:ascii="Times New Roman" w:hAnsi="Times New Roman"/>
          <w:lang w:val="en-US" w:eastAsia="en-US" w:bidi="ur-PK"/>
        </w:rPr>
        <w:t xml:space="preserve">, K.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(2022) “The Role of Formative Evaluation in Promoting Digitally-based Health Equity and Reducing Bias for Resilient Health Systems: The Case of Patient Portals,” </w:t>
      </w:r>
      <w:r w:rsidRPr="000F5408">
        <w:rPr>
          <w:rFonts w:ascii="Times New Roman" w:hAnsi="Times New Roman"/>
          <w:i/>
          <w:iCs/>
          <w:lang w:val="en-US" w:eastAsia="en-US" w:bidi="ur-PK"/>
        </w:rPr>
        <w:t>Yearbook of Medical Informatics</w:t>
      </w:r>
      <w:r w:rsidRPr="000F5408">
        <w:rPr>
          <w:rFonts w:ascii="Times New Roman" w:hAnsi="Times New Roman"/>
          <w:lang w:val="en-US" w:eastAsia="en-US" w:bidi="ur-PK"/>
        </w:rPr>
        <w:t xml:space="preserve">, 31(01), pp. 033–039. Available at: </w:t>
      </w:r>
      <w:hyperlink r:id="rId25" w:history="1">
        <w:r w:rsidRPr="000F5408">
          <w:rPr>
            <w:rFonts w:ascii="Times New Roman" w:hAnsi="Times New Roman"/>
            <w:color w:val="0563C1"/>
            <w:u w:val="single"/>
            <w:lang w:val="en-US" w:eastAsia="en-US" w:bidi="ur-PK"/>
          </w:rPr>
          <w:t>https://doi.org/10.1055/s-0042-1742498</w:t>
        </w:r>
      </w:hyperlink>
      <w:r w:rsidRPr="000F5408">
        <w:rPr>
          <w:rFonts w:ascii="Times New Roman" w:hAnsi="Times New Roman"/>
          <w:lang w:val="en-US" w:eastAsia="en-US" w:bidi="ur-PK"/>
        </w:rPr>
        <w:t>.</w:t>
      </w:r>
    </w:p>
    <w:p w14:paraId="50BE0CD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0344048F" w14:textId="03B6D5AB" w:rsid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r w:rsidRPr="00F14323">
        <w:rPr>
          <w:rFonts w:ascii="Times New Roman" w:hAnsi="Times New Roman"/>
          <w:lang w:eastAsia="en-US" w:bidi="ur-PK"/>
        </w:rPr>
        <w:t xml:space="preserve">Creswell, J.W. and Creswell, J.D. (2023) Research Design: Qualitative, Quantitative, and Mixed Methods Approaches. 6th </w:t>
      </w:r>
      <w:proofErr w:type="spellStart"/>
      <w:r w:rsidRPr="00F14323">
        <w:rPr>
          <w:rFonts w:ascii="Times New Roman" w:hAnsi="Times New Roman"/>
          <w:lang w:eastAsia="en-US" w:bidi="ur-PK"/>
        </w:rPr>
        <w:t>edn</w:t>
      </w:r>
      <w:proofErr w:type="spellEnd"/>
      <w:r w:rsidRPr="00F14323">
        <w:rPr>
          <w:rFonts w:ascii="Times New Roman" w:hAnsi="Times New Roman"/>
          <w:lang w:eastAsia="en-US" w:bidi="ur-PK"/>
        </w:rPr>
        <w:t>. Thousand Oaks, CA: SAGE Publications.</w:t>
      </w:r>
    </w:p>
    <w:p w14:paraId="25B57A47" w14:textId="77777777" w:rsidR="00F14323" w:rsidRP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p>
    <w:p w14:paraId="636F8D7B"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Davis, F.D. (1989) “Perceived Usefulness, Perceived Ease of Use, and User Acceptance of Information Technology,” </w:t>
      </w:r>
      <w:r w:rsidRPr="000F5408">
        <w:rPr>
          <w:rFonts w:ascii="Times New Roman" w:hAnsi="Times New Roman"/>
          <w:i/>
          <w:iCs/>
          <w:lang w:val="en-US" w:eastAsia="en-US" w:bidi="ur-PK"/>
        </w:rPr>
        <w:t>MIS Quarterly</w:t>
      </w:r>
      <w:r w:rsidRPr="000F5408">
        <w:rPr>
          <w:rFonts w:ascii="Times New Roman" w:hAnsi="Times New Roman"/>
          <w:lang w:val="en-US" w:eastAsia="en-US" w:bidi="ur-PK"/>
        </w:rPr>
        <w:t xml:space="preserve">, 13(3), pp. 319–340. Available at: </w:t>
      </w:r>
      <w:hyperlink r:id="rId26" w:history="1">
        <w:r w:rsidRPr="000F5408">
          <w:rPr>
            <w:rFonts w:ascii="Times New Roman" w:hAnsi="Times New Roman"/>
            <w:color w:val="0563C1"/>
            <w:u w:val="single"/>
            <w:lang w:val="en-US" w:eastAsia="en-US" w:bidi="ur-PK"/>
          </w:rPr>
          <w:t>https://doi.org/10.2307/249008</w:t>
        </w:r>
      </w:hyperlink>
      <w:r w:rsidRPr="000F5408">
        <w:rPr>
          <w:rFonts w:ascii="Times New Roman" w:hAnsi="Times New Roman"/>
          <w:lang w:val="en-US" w:eastAsia="en-US" w:bidi="ur-PK"/>
        </w:rPr>
        <w:t>.</w:t>
      </w:r>
    </w:p>
    <w:p w14:paraId="499395FB" w14:textId="427EEC6E" w:rsid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r w:rsidRPr="00F14323">
        <w:rPr>
          <w:rFonts w:ascii="Times New Roman" w:hAnsi="Times New Roman"/>
          <w:lang w:eastAsia="en-US" w:bidi="ur-PK"/>
        </w:rPr>
        <w:t xml:space="preserve">Department of Health and Social Care and NHS England (2022) A plan for digital health and social care. London: Department of Health and Social Care. Available at: </w:t>
      </w:r>
      <w:hyperlink r:id="rId27" w:tgtFrame="_new" w:history="1">
        <w:r w:rsidRPr="00F14323">
          <w:rPr>
            <w:rStyle w:val="Hyperlink"/>
            <w:rFonts w:ascii="Times New Roman" w:hAnsi="Times New Roman"/>
            <w:lang w:eastAsia="en-US" w:bidi="ur-PK"/>
          </w:rPr>
          <w:t>https://www.gov.uk/government/publications/a-plan-for-digital-health-and-social-care</w:t>
        </w:r>
      </w:hyperlink>
    </w:p>
    <w:p w14:paraId="3DBA74D5" w14:textId="77777777" w:rsidR="00F14323" w:rsidRPr="000F5408" w:rsidRDefault="00F14323" w:rsidP="000F5408">
      <w:pPr>
        <w:widowControl w:val="0"/>
        <w:autoSpaceDE w:val="0"/>
        <w:autoSpaceDN w:val="0"/>
        <w:adjustRightInd w:val="0"/>
        <w:spacing w:after="240" w:line="240" w:lineRule="auto"/>
        <w:rPr>
          <w:rFonts w:ascii="Times New Roman" w:hAnsi="Times New Roman"/>
          <w:lang w:val="en-US" w:eastAsia="en-US" w:bidi="ur-PK"/>
        </w:rPr>
      </w:pPr>
    </w:p>
    <w:p w14:paraId="3DED970D"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Farre</w:t>
      </w:r>
      <w:proofErr w:type="spellEnd"/>
      <w:r w:rsidRPr="000F5408">
        <w:rPr>
          <w:rFonts w:ascii="Times New Roman" w:hAnsi="Times New Roman"/>
          <w:lang w:val="en-US" w:eastAsia="en-US" w:bidi="ur-PK"/>
        </w:rPr>
        <w:t xml:space="preserve">, A.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(2023) “Exploring the use of digital technology to deliver healthcare services with explicit consideration of health inequalities in UK settings: A scoping review,” </w:t>
      </w:r>
      <w:r w:rsidRPr="000F5408">
        <w:rPr>
          <w:rFonts w:ascii="Times New Roman" w:hAnsi="Times New Roman"/>
          <w:i/>
          <w:iCs/>
          <w:lang w:val="en-US" w:eastAsia="en-US" w:bidi="ur-PK"/>
        </w:rPr>
        <w:t>DIGITAL HEALTH</w:t>
      </w:r>
      <w:r w:rsidRPr="000F5408">
        <w:rPr>
          <w:rFonts w:ascii="Times New Roman" w:hAnsi="Times New Roman"/>
          <w:lang w:val="en-US" w:eastAsia="en-US" w:bidi="ur-PK"/>
        </w:rPr>
        <w:t xml:space="preserve">, 9, p. 20552076231185442. Available at: </w:t>
      </w:r>
      <w:hyperlink r:id="rId28" w:history="1">
        <w:r w:rsidRPr="000F5408">
          <w:rPr>
            <w:rFonts w:ascii="Times New Roman" w:hAnsi="Times New Roman"/>
            <w:color w:val="0563C1"/>
            <w:u w:val="single"/>
            <w:lang w:val="en-US" w:eastAsia="en-US" w:bidi="ur-PK"/>
          </w:rPr>
          <w:t>https://doi.org/10.1177/20552076231185442</w:t>
        </w:r>
      </w:hyperlink>
      <w:r w:rsidRPr="000F5408">
        <w:rPr>
          <w:rFonts w:ascii="Times New Roman" w:hAnsi="Times New Roman"/>
          <w:lang w:val="en-US" w:eastAsia="en-US" w:bidi="ur-PK"/>
        </w:rPr>
        <w:t>.</w:t>
      </w:r>
    </w:p>
    <w:p w14:paraId="5EC89188"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4F83F701"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Grant, H. and </w:t>
      </w:r>
      <w:proofErr w:type="spellStart"/>
      <w:r w:rsidRPr="000F5408">
        <w:rPr>
          <w:rFonts w:ascii="Times New Roman" w:hAnsi="Times New Roman"/>
          <w:lang w:val="en-US" w:eastAsia="en-US" w:bidi="ur-PK"/>
        </w:rPr>
        <w:t>Skamagki</w:t>
      </w:r>
      <w:proofErr w:type="spellEnd"/>
      <w:r w:rsidRPr="000F5408">
        <w:rPr>
          <w:rFonts w:ascii="Times New Roman" w:hAnsi="Times New Roman"/>
          <w:lang w:val="en-US" w:eastAsia="en-US" w:bidi="ur-PK"/>
        </w:rPr>
        <w:t xml:space="preserve">, G. (2024) “Clinicians’ perspectives on remote patient management: A qualitative exploration of physiotherapists using the </w:t>
      </w:r>
      <w:proofErr w:type="spellStart"/>
      <w:r w:rsidRPr="000F5408">
        <w:rPr>
          <w:rFonts w:ascii="Times New Roman" w:hAnsi="Times New Roman"/>
          <w:lang w:val="en-US" w:eastAsia="en-US" w:bidi="ur-PK"/>
        </w:rPr>
        <w:t>DiAL</w:t>
      </w:r>
      <w:proofErr w:type="spellEnd"/>
      <w:r w:rsidRPr="000F5408">
        <w:rPr>
          <w:rFonts w:ascii="Times New Roman" w:hAnsi="Times New Roman"/>
          <w:lang w:val="en-US" w:eastAsia="en-US" w:bidi="ur-PK"/>
        </w:rPr>
        <w:t xml:space="preserve"> (Direct Access Line)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w:t>
      </w:r>
      <w:r w:rsidRPr="000F5408">
        <w:rPr>
          <w:rFonts w:ascii="Times New Roman" w:hAnsi="Times New Roman"/>
          <w:i/>
          <w:iCs/>
          <w:lang w:val="en-US" w:eastAsia="en-US" w:bidi="ur-PK"/>
        </w:rPr>
        <w:t>Musculoskeletal Science and Practice</w:t>
      </w:r>
      <w:r w:rsidRPr="000F5408">
        <w:rPr>
          <w:rFonts w:ascii="Times New Roman" w:hAnsi="Times New Roman"/>
          <w:lang w:val="en-US" w:eastAsia="en-US" w:bidi="ur-PK"/>
        </w:rPr>
        <w:t xml:space="preserve">, 73, p. 103132. Available at: </w:t>
      </w:r>
      <w:hyperlink r:id="rId29" w:history="1">
        <w:r w:rsidRPr="000F5408">
          <w:rPr>
            <w:rFonts w:ascii="Times New Roman" w:hAnsi="Times New Roman"/>
            <w:color w:val="0563C1"/>
            <w:u w:val="single"/>
            <w:lang w:val="en-US" w:eastAsia="en-US" w:bidi="ur-PK"/>
          </w:rPr>
          <w:t>https://doi.org/10.1016/j.msksp.2024.103132</w:t>
        </w:r>
      </w:hyperlink>
      <w:r w:rsidRPr="000F5408">
        <w:rPr>
          <w:rFonts w:ascii="Times New Roman" w:hAnsi="Times New Roman"/>
          <w:lang w:val="en-US" w:eastAsia="en-US" w:bidi="ur-PK"/>
        </w:rPr>
        <w:t>.</w:t>
      </w:r>
    </w:p>
    <w:p w14:paraId="14A7D116"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698BB7E5" w14:textId="5224B4CF" w:rsidR="000F5408" w:rsidRDefault="000F5408" w:rsidP="002269D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Haider, K.A.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(2022) “Health workers’ experience of a digital health intervention implemented in peri-urban communities in Karachi, Pakistan,” </w:t>
      </w:r>
      <w:r w:rsidRPr="000F5408">
        <w:rPr>
          <w:rFonts w:ascii="Times New Roman" w:hAnsi="Times New Roman"/>
          <w:i/>
          <w:iCs/>
          <w:lang w:val="en-US" w:eastAsia="en-US" w:bidi="ur-PK"/>
        </w:rPr>
        <w:t>DIGITAL HEALTH</w:t>
      </w:r>
      <w:r w:rsidRPr="000F5408">
        <w:rPr>
          <w:rFonts w:ascii="Times New Roman" w:hAnsi="Times New Roman"/>
          <w:lang w:val="en-US" w:eastAsia="en-US" w:bidi="ur-PK"/>
        </w:rPr>
        <w:t xml:space="preserve">, 8, p. 205520762211290. Available at: </w:t>
      </w:r>
      <w:hyperlink r:id="rId30" w:history="1">
        <w:r w:rsidRPr="000F5408">
          <w:rPr>
            <w:rFonts w:ascii="Times New Roman" w:hAnsi="Times New Roman"/>
            <w:color w:val="0563C1"/>
            <w:u w:val="single"/>
            <w:lang w:val="en-US" w:eastAsia="en-US" w:bidi="ur-PK"/>
          </w:rPr>
          <w:t>https://doi.org/10.1177/20552076221129076</w:t>
        </w:r>
      </w:hyperlink>
      <w:r w:rsidRPr="000F5408">
        <w:rPr>
          <w:rFonts w:ascii="Times New Roman" w:hAnsi="Times New Roman"/>
          <w:lang w:val="en-US" w:eastAsia="en-US" w:bidi="ur-PK"/>
        </w:rPr>
        <w:t>.</w:t>
      </w:r>
    </w:p>
    <w:p w14:paraId="65395DA3" w14:textId="77777777" w:rsidR="002269D8" w:rsidRPr="000F5408" w:rsidRDefault="002269D8" w:rsidP="002269D8">
      <w:pPr>
        <w:widowControl w:val="0"/>
        <w:autoSpaceDE w:val="0"/>
        <w:autoSpaceDN w:val="0"/>
        <w:adjustRightInd w:val="0"/>
        <w:spacing w:after="240" w:line="240" w:lineRule="auto"/>
        <w:rPr>
          <w:rFonts w:ascii="Times New Roman" w:hAnsi="Times New Roman"/>
          <w:lang w:val="en-US" w:eastAsia="en-US" w:bidi="ur-PK"/>
        </w:rPr>
      </w:pPr>
    </w:p>
    <w:p w14:paraId="301AC4D4"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Hawley-Hague, H.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“Exploring the delivery of remote physiotherapy during the COVID-19 pandemic: UK wide service evaluation,” </w:t>
      </w:r>
      <w:r w:rsidRPr="000F5408">
        <w:rPr>
          <w:rFonts w:ascii="Times New Roman" w:hAnsi="Times New Roman"/>
          <w:i/>
          <w:iCs/>
          <w:lang w:val="en-US" w:eastAsia="en-US" w:bidi="ur-PK"/>
        </w:rPr>
        <w:t>Physiotherapy Theory and Practice</w:t>
      </w:r>
      <w:r w:rsidRPr="000F5408">
        <w:rPr>
          <w:rFonts w:ascii="Times New Roman" w:hAnsi="Times New Roman"/>
          <w:lang w:val="en-US" w:eastAsia="en-US" w:bidi="ur-PK"/>
        </w:rPr>
        <w:t xml:space="preserve">, 40(10), pp. 2241–2255. Available at: </w:t>
      </w:r>
      <w:hyperlink r:id="rId31" w:history="1">
        <w:r w:rsidRPr="000F5408">
          <w:rPr>
            <w:rFonts w:ascii="Times New Roman" w:hAnsi="Times New Roman"/>
            <w:color w:val="0563C1"/>
            <w:u w:val="single"/>
            <w:lang w:val="en-US" w:eastAsia="en-US" w:bidi="ur-PK"/>
          </w:rPr>
          <w:t>https://doi.org/10.1080/09593985.2023.2247069</w:t>
        </w:r>
      </w:hyperlink>
      <w:r w:rsidRPr="000F5408">
        <w:rPr>
          <w:rFonts w:ascii="Times New Roman" w:hAnsi="Times New Roman"/>
          <w:lang w:val="en-US" w:eastAsia="en-US" w:bidi="ur-PK"/>
        </w:rPr>
        <w:t>.</w:t>
      </w:r>
    </w:p>
    <w:p w14:paraId="0DFDBD6E"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5A58D23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Hilari</w:t>
      </w:r>
      <w:proofErr w:type="spellEnd"/>
      <w:r w:rsidRPr="000F5408">
        <w:rPr>
          <w:rFonts w:ascii="Times New Roman" w:hAnsi="Times New Roman"/>
          <w:lang w:val="en-US" w:eastAsia="en-US" w:bidi="ur-PK"/>
        </w:rPr>
        <w:t xml:space="preserve">, K.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“Telehealth practice in aphasia: A survey of UK speech and language therapists, with a focus on assessment,” </w:t>
      </w:r>
      <w:r w:rsidRPr="000F5408">
        <w:rPr>
          <w:rFonts w:ascii="Times New Roman" w:hAnsi="Times New Roman"/>
          <w:i/>
          <w:iCs/>
          <w:lang w:val="en-US" w:eastAsia="en-US" w:bidi="ur-PK"/>
        </w:rPr>
        <w:t>International Journal of Language &amp; Communication Disorders</w:t>
      </w:r>
      <w:r w:rsidRPr="000F5408">
        <w:rPr>
          <w:rFonts w:ascii="Times New Roman" w:hAnsi="Times New Roman"/>
          <w:lang w:val="en-US" w:eastAsia="en-US" w:bidi="ur-PK"/>
        </w:rPr>
        <w:t xml:space="preserve">, 59(4), pp. 1296–1307. Available at: </w:t>
      </w:r>
      <w:hyperlink r:id="rId32" w:history="1">
        <w:r w:rsidRPr="000F5408">
          <w:rPr>
            <w:rFonts w:ascii="Times New Roman" w:hAnsi="Times New Roman"/>
            <w:color w:val="0563C1"/>
            <w:u w:val="single"/>
            <w:lang w:val="en-US" w:eastAsia="en-US" w:bidi="ur-PK"/>
          </w:rPr>
          <w:t>https://doi.org/10.1111/1460-6984.12996</w:t>
        </w:r>
      </w:hyperlink>
      <w:r w:rsidRPr="000F5408">
        <w:rPr>
          <w:rFonts w:ascii="Times New Roman" w:hAnsi="Times New Roman"/>
          <w:lang w:val="en-US" w:eastAsia="en-US" w:bidi="ur-PK"/>
        </w:rPr>
        <w:t>.</w:t>
      </w:r>
    </w:p>
    <w:p w14:paraId="1C857D1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481CD7E3"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Hong, Q.N.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(2018) </w:t>
      </w:r>
      <w:r w:rsidRPr="000F5408">
        <w:rPr>
          <w:rFonts w:ascii="Times New Roman" w:hAnsi="Times New Roman"/>
          <w:i/>
          <w:iCs/>
          <w:lang w:val="en-US" w:eastAsia="en-US" w:bidi="ur-PK"/>
        </w:rPr>
        <w:t>Mixed Methods Appraisal Tool (MMAT), version 2018</w:t>
      </w:r>
      <w:r w:rsidRPr="000F5408">
        <w:rPr>
          <w:rFonts w:ascii="Times New Roman" w:hAnsi="Times New Roman"/>
          <w:lang w:val="en-US" w:eastAsia="en-US" w:bidi="ur-PK"/>
        </w:rPr>
        <w:t xml:space="preserve">. Registration of Copyright No. 1148552. Canadian Intellectual Property Office, Industry Canada. Available at: </w:t>
      </w:r>
      <w:hyperlink r:id="rId33" w:history="1">
        <w:r w:rsidRPr="000F5408">
          <w:rPr>
            <w:rFonts w:ascii="Times New Roman" w:hAnsi="Times New Roman"/>
            <w:color w:val="0563C1"/>
            <w:u w:val="single"/>
            <w:lang w:val="en-US" w:eastAsia="en-US" w:bidi="ur-PK"/>
          </w:rPr>
          <w:t>https://doi.org/10.17605/OSF.IO/6JQ5C</w:t>
        </w:r>
      </w:hyperlink>
      <w:r w:rsidRPr="000F5408">
        <w:rPr>
          <w:rFonts w:ascii="Times New Roman" w:hAnsi="Times New Roman"/>
          <w:lang w:val="en-US" w:eastAsia="en-US" w:bidi="ur-PK"/>
        </w:rPr>
        <w:t>.</w:t>
      </w:r>
    </w:p>
    <w:p w14:paraId="1592F4F6"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41CC3E82"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Jarvis, K.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(2025) “A pilot exploration of staff and service-user perceptions of a novel digital health technology (Virtual Engagement Rehabilitation Assistant) in complex inpatient rehabilitation,” </w:t>
      </w:r>
      <w:r w:rsidRPr="000F5408">
        <w:rPr>
          <w:rFonts w:ascii="Times New Roman" w:hAnsi="Times New Roman"/>
          <w:i/>
          <w:iCs/>
          <w:lang w:val="en-US" w:eastAsia="en-US" w:bidi="ur-PK"/>
        </w:rPr>
        <w:t>Disability and Rehabilitation: Assistive Technology</w:t>
      </w:r>
      <w:r w:rsidRPr="000F5408">
        <w:rPr>
          <w:rFonts w:ascii="Times New Roman" w:hAnsi="Times New Roman"/>
          <w:lang w:val="en-US" w:eastAsia="en-US" w:bidi="ur-PK"/>
        </w:rPr>
        <w:t xml:space="preserve">, 20(1), pp. 64–74. Available at: </w:t>
      </w:r>
      <w:hyperlink r:id="rId34" w:history="1">
        <w:r w:rsidRPr="000F5408">
          <w:rPr>
            <w:rFonts w:ascii="Times New Roman" w:hAnsi="Times New Roman"/>
            <w:color w:val="0563C1"/>
            <w:u w:val="single"/>
            <w:lang w:val="en-US" w:eastAsia="en-US" w:bidi="ur-PK"/>
          </w:rPr>
          <w:t>https://doi.org/10.1080/17483107.2024.2351499</w:t>
        </w:r>
      </w:hyperlink>
      <w:r w:rsidRPr="000F5408">
        <w:rPr>
          <w:rFonts w:ascii="Times New Roman" w:hAnsi="Times New Roman"/>
          <w:lang w:val="en-US" w:eastAsia="en-US" w:bidi="ur-PK"/>
        </w:rPr>
        <w:t>.</w:t>
      </w:r>
    </w:p>
    <w:p w14:paraId="5386E375"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78D0DE5C"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Kamal, S.A., Shafiq, M. and </w:t>
      </w:r>
      <w:proofErr w:type="spellStart"/>
      <w:r w:rsidRPr="000F5408">
        <w:rPr>
          <w:rFonts w:ascii="Times New Roman" w:hAnsi="Times New Roman"/>
          <w:lang w:val="en-US" w:eastAsia="en-US" w:bidi="ur-PK"/>
        </w:rPr>
        <w:t>Kakria</w:t>
      </w:r>
      <w:proofErr w:type="spellEnd"/>
      <w:r w:rsidRPr="000F5408">
        <w:rPr>
          <w:rFonts w:ascii="Times New Roman" w:hAnsi="Times New Roman"/>
          <w:lang w:val="en-US" w:eastAsia="en-US" w:bidi="ur-PK"/>
        </w:rPr>
        <w:t xml:space="preserve">, P. (2020) “Investigating acceptance of telemedicine services through an extended technology acceptance model (TAM),” </w:t>
      </w:r>
      <w:r w:rsidRPr="000F5408">
        <w:rPr>
          <w:rFonts w:ascii="Times New Roman" w:hAnsi="Times New Roman"/>
          <w:i/>
          <w:iCs/>
          <w:lang w:val="en-US" w:eastAsia="en-US" w:bidi="ur-PK"/>
        </w:rPr>
        <w:t>Technology in Society</w:t>
      </w:r>
      <w:r w:rsidRPr="000F5408">
        <w:rPr>
          <w:rFonts w:ascii="Times New Roman" w:hAnsi="Times New Roman"/>
          <w:lang w:val="en-US" w:eastAsia="en-US" w:bidi="ur-PK"/>
        </w:rPr>
        <w:t xml:space="preserve">, 60, p. 101212. Available at: </w:t>
      </w:r>
      <w:hyperlink r:id="rId35" w:history="1">
        <w:r w:rsidRPr="000F5408">
          <w:rPr>
            <w:rFonts w:ascii="Times New Roman" w:hAnsi="Times New Roman"/>
            <w:color w:val="0563C1"/>
            <w:u w:val="single"/>
            <w:lang w:val="en-US" w:eastAsia="en-US" w:bidi="ur-PK"/>
          </w:rPr>
          <w:t>https://doi.org/10.1016/j.techsoc.2019.101212</w:t>
        </w:r>
      </w:hyperlink>
      <w:r w:rsidRPr="000F5408">
        <w:rPr>
          <w:rFonts w:ascii="Times New Roman" w:hAnsi="Times New Roman"/>
          <w:lang w:val="en-US" w:eastAsia="en-US" w:bidi="ur-PK"/>
        </w:rPr>
        <w:t>.</w:t>
      </w:r>
    </w:p>
    <w:p w14:paraId="7FEF6DF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1F5AE1B8"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Karim, M.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“Analysis of telemedicine service delivery in Karachi, Pakistan: A cross-sectional survey examining practices and perspectives of healthcare providers,” </w:t>
      </w:r>
      <w:r w:rsidRPr="000F5408">
        <w:rPr>
          <w:rFonts w:ascii="Times New Roman" w:hAnsi="Times New Roman"/>
          <w:i/>
          <w:iCs/>
          <w:lang w:val="en-US" w:eastAsia="en-US" w:bidi="ur-PK"/>
        </w:rPr>
        <w:t>Clinical Epidemiology and Global Health</w:t>
      </w:r>
      <w:r w:rsidRPr="000F5408">
        <w:rPr>
          <w:rFonts w:ascii="Times New Roman" w:hAnsi="Times New Roman"/>
          <w:lang w:val="en-US" w:eastAsia="en-US" w:bidi="ur-PK"/>
        </w:rPr>
        <w:t xml:space="preserve">, 27, p. 101607. Available at: </w:t>
      </w:r>
      <w:hyperlink r:id="rId36" w:history="1">
        <w:r w:rsidRPr="000F5408">
          <w:rPr>
            <w:rFonts w:ascii="Times New Roman" w:hAnsi="Times New Roman"/>
            <w:color w:val="0563C1"/>
            <w:u w:val="single"/>
            <w:lang w:val="en-US" w:eastAsia="en-US" w:bidi="ur-PK"/>
          </w:rPr>
          <w:t>https://doi.org/10.1016/j.cegh.2024.101607</w:t>
        </w:r>
      </w:hyperlink>
      <w:r w:rsidRPr="000F5408">
        <w:rPr>
          <w:rFonts w:ascii="Times New Roman" w:hAnsi="Times New Roman"/>
          <w:lang w:val="en-US" w:eastAsia="en-US" w:bidi="ur-PK"/>
        </w:rPr>
        <w:t>.</w:t>
      </w:r>
    </w:p>
    <w:p w14:paraId="7C9217D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0BA9CF0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Kazi</w:t>
      </w:r>
      <w:proofErr w:type="spellEnd"/>
      <w:r w:rsidRPr="000F5408">
        <w:rPr>
          <w:rFonts w:ascii="Times New Roman" w:hAnsi="Times New Roman"/>
          <w:lang w:val="en-US" w:eastAsia="en-US" w:bidi="ur-PK"/>
        </w:rPr>
        <w:t xml:space="preserve">, A.M.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(2020) “Current Challenges of Digital Health Interventions in Pakistan: Mixed Methods Analysis,” </w:t>
      </w:r>
      <w:r w:rsidRPr="000F5408">
        <w:rPr>
          <w:rFonts w:ascii="Times New Roman" w:hAnsi="Times New Roman"/>
          <w:i/>
          <w:iCs/>
          <w:lang w:val="en-US" w:eastAsia="en-US" w:bidi="ur-PK"/>
        </w:rPr>
        <w:t>Journal of Medical Internet Research</w:t>
      </w:r>
      <w:r w:rsidRPr="000F5408">
        <w:rPr>
          <w:rFonts w:ascii="Times New Roman" w:hAnsi="Times New Roman"/>
          <w:lang w:val="en-US" w:eastAsia="en-US" w:bidi="ur-PK"/>
        </w:rPr>
        <w:t xml:space="preserve">, 22(9), p. e21691. Available at: </w:t>
      </w:r>
      <w:hyperlink r:id="rId37" w:history="1">
        <w:r w:rsidRPr="000F5408">
          <w:rPr>
            <w:rFonts w:ascii="Times New Roman" w:hAnsi="Times New Roman"/>
            <w:color w:val="0563C1"/>
            <w:u w:val="single"/>
            <w:lang w:val="en-US" w:eastAsia="en-US" w:bidi="ur-PK"/>
          </w:rPr>
          <w:t>https://doi.org/10.2196/21691</w:t>
        </w:r>
      </w:hyperlink>
      <w:r w:rsidRPr="000F5408">
        <w:rPr>
          <w:rFonts w:ascii="Times New Roman" w:hAnsi="Times New Roman"/>
          <w:lang w:val="en-US" w:eastAsia="en-US" w:bidi="ur-PK"/>
        </w:rPr>
        <w:t>.</w:t>
      </w:r>
    </w:p>
    <w:p w14:paraId="6E4585B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7C28DC5B" w14:textId="77777777" w:rsid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Khan, M.S.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(2025) “School eHealth education program Pakistan (</w:t>
      </w:r>
      <w:proofErr w:type="spellStart"/>
      <w:r w:rsidRPr="000F5408">
        <w:rPr>
          <w:rFonts w:ascii="Times New Roman" w:hAnsi="Times New Roman"/>
          <w:lang w:val="en-US" w:eastAsia="en-US" w:bidi="ur-PK"/>
        </w:rPr>
        <w:t>eSHEPP</w:t>
      </w:r>
      <w:proofErr w:type="spellEnd"/>
      <w:r w:rsidRPr="000F5408">
        <w:rPr>
          <w:rFonts w:ascii="Times New Roman" w:hAnsi="Times New Roman"/>
          <w:lang w:val="en-US" w:eastAsia="en-US" w:bidi="ur-PK"/>
        </w:rPr>
        <w:t xml:space="preserve">): an exploratory qualitative study of stakeholder perspectives on design, barriers, and facilitators,” </w:t>
      </w:r>
      <w:r w:rsidRPr="000F5408">
        <w:rPr>
          <w:rFonts w:ascii="Times New Roman" w:hAnsi="Times New Roman"/>
          <w:i/>
          <w:iCs/>
          <w:lang w:val="en-US" w:eastAsia="en-US" w:bidi="ur-PK"/>
        </w:rPr>
        <w:t>Journal of Health, Population and Nutrition</w:t>
      </w:r>
      <w:r w:rsidRPr="000F5408">
        <w:rPr>
          <w:rFonts w:ascii="Times New Roman" w:hAnsi="Times New Roman"/>
          <w:lang w:val="en-US" w:eastAsia="en-US" w:bidi="ur-PK"/>
        </w:rPr>
        <w:t xml:space="preserve">, 44(1), p. 432. Available at: </w:t>
      </w:r>
      <w:hyperlink r:id="rId38" w:history="1">
        <w:r w:rsidRPr="000F5408">
          <w:rPr>
            <w:rFonts w:ascii="Times New Roman" w:hAnsi="Times New Roman"/>
            <w:color w:val="0563C1"/>
            <w:u w:val="single"/>
            <w:lang w:val="en-US" w:eastAsia="en-US" w:bidi="ur-PK"/>
          </w:rPr>
          <w:t>https://doi.org/10.1186/s41043-025-01170-0</w:t>
        </w:r>
      </w:hyperlink>
      <w:r w:rsidRPr="000F5408">
        <w:rPr>
          <w:rFonts w:ascii="Times New Roman" w:hAnsi="Times New Roman"/>
          <w:lang w:val="en-US" w:eastAsia="en-US" w:bidi="ur-PK"/>
        </w:rPr>
        <w:t>.</w:t>
      </w:r>
    </w:p>
    <w:p w14:paraId="388EC25D" w14:textId="77777777" w:rsidR="00A96266" w:rsidRDefault="00A96266" w:rsidP="000F5408">
      <w:pPr>
        <w:widowControl w:val="0"/>
        <w:autoSpaceDE w:val="0"/>
        <w:autoSpaceDN w:val="0"/>
        <w:adjustRightInd w:val="0"/>
        <w:spacing w:after="240" w:line="240" w:lineRule="auto"/>
        <w:rPr>
          <w:rFonts w:ascii="Times New Roman" w:hAnsi="Times New Roman"/>
          <w:lang w:val="en-US" w:eastAsia="en-US" w:bidi="ur-PK"/>
        </w:rPr>
      </w:pPr>
    </w:p>
    <w:p w14:paraId="53ACBBB9" w14:textId="77777777" w:rsidR="00A96266" w:rsidRPr="00A96266" w:rsidRDefault="00A96266" w:rsidP="00A96266">
      <w:pPr>
        <w:widowControl w:val="0"/>
        <w:autoSpaceDE w:val="0"/>
        <w:autoSpaceDN w:val="0"/>
        <w:adjustRightInd w:val="0"/>
        <w:spacing w:after="240" w:line="240" w:lineRule="auto"/>
        <w:rPr>
          <w:rFonts w:ascii="Times New Roman" w:hAnsi="Times New Roman"/>
          <w:lang w:val="en-US" w:eastAsia="en-US" w:bidi="ur-PK"/>
        </w:rPr>
      </w:pPr>
      <w:r w:rsidRPr="00A96266">
        <w:rPr>
          <w:rFonts w:ascii="Times New Roman" w:hAnsi="Times New Roman"/>
          <w:lang w:eastAsia="en-US" w:bidi="ur-PK"/>
        </w:rPr>
        <w:t xml:space="preserve">Khurram, S.S. </w:t>
      </w:r>
      <w:r w:rsidRPr="00A96266">
        <w:rPr>
          <w:rFonts w:ascii="Times New Roman" w:hAnsi="Times New Roman"/>
          <w:i/>
          <w:iCs/>
          <w:lang w:val="en-US" w:eastAsia="en-US" w:bidi="ur-PK"/>
        </w:rPr>
        <w:t>et al.</w:t>
      </w:r>
      <w:r w:rsidRPr="00A96266">
        <w:rPr>
          <w:rFonts w:ascii="Times New Roman" w:hAnsi="Times New Roman"/>
          <w:lang w:val="en-US" w:eastAsia="en-US" w:bidi="ur-PK"/>
        </w:rPr>
        <w:t xml:space="preserve"> (2024) “Transitioning </w:t>
      </w:r>
      <w:proofErr w:type="gramStart"/>
      <w:r w:rsidRPr="00A96266">
        <w:rPr>
          <w:rFonts w:ascii="Times New Roman" w:hAnsi="Times New Roman"/>
          <w:lang w:val="en-US" w:eastAsia="en-US" w:bidi="ur-PK"/>
        </w:rPr>
        <w:t>From</w:t>
      </w:r>
      <w:proofErr w:type="gramEnd"/>
      <w:r w:rsidRPr="00A96266">
        <w:rPr>
          <w:rFonts w:ascii="Times New Roman" w:hAnsi="Times New Roman"/>
          <w:lang w:val="en-US" w:eastAsia="en-US" w:bidi="ur-PK"/>
        </w:rPr>
        <w:t xml:space="preserve"> Crisis to Continuity Post-COVID-19 Pandemic: Adoption of Telehealth by </w:t>
      </w:r>
      <w:proofErr w:type="spellStart"/>
      <w:r w:rsidRPr="00A96266">
        <w:rPr>
          <w:rFonts w:ascii="Times New Roman" w:hAnsi="Times New Roman"/>
          <w:lang w:val="en-US" w:eastAsia="en-US" w:bidi="ur-PK"/>
        </w:rPr>
        <w:t>Sehat</w:t>
      </w:r>
      <w:proofErr w:type="spellEnd"/>
      <w:r w:rsidRPr="00A96266">
        <w:rPr>
          <w:rFonts w:ascii="Times New Roman" w:hAnsi="Times New Roman"/>
          <w:lang w:val="en-US" w:eastAsia="en-US" w:bidi="ur-PK"/>
        </w:rPr>
        <w:t xml:space="preserve"> Kahani Healthcare Providers, Karachi, Pakistan,” </w:t>
      </w:r>
      <w:r w:rsidRPr="00A96266">
        <w:rPr>
          <w:rFonts w:ascii="Times New Roman" w:hAnsi="Times New Roman"/>
          <w:i/>
          <w:iCs/>
          <w:lang w:val="en-US" w:eastAsia="en-US" w:bidi="ur-PK"/>
        </w:rPr>
        <w:t>Telehealth and Medicine Today</w:t>
      </w:r>
      <w:r w:rsidRPr="00A96266">
        <w:rPr>
          <w:rFonts w:ascii="Times New Roman" w:hAnsi="Times New Roman"/>
          <w:lang w:val="en-US" w:eastAsia="en-US" w:bidi="ur-PK"/>
        </w:rPr>
        <w:t xml:space="preserve">, 9(6). Available at: </w:t>
      </w:r>
      <w:hyperlink r:id="rId39" w:history="1">
        <w:r w:rsidRPr="00A96266">
          <w:rPr>
            <w:rStyle w:val="Hyperlink"/>
            <w:rFonts w:ascii="Times New Roman" w:hAnsi="Times New Roman"/>
            <w:lang w:val="en-US" w:eastAsia="en-US" w:bidi="ur-PK"/>
          </w:rPr>
          <w:t>https://doi.org/10.30953/thmt.v9.541</w:t>
        </w:r>
      </w:hyperlink>
      <w:r w:rsidRPr="00A96266">
        <w:rPr>
          <w:rFonts w:ascii="Times New Roman" w:hAnsi="Times New Roman"/>
          <w:lang w:val="en-US" w:eastAsia="en-US" w:bidi="ur-PK"/>
        </w:rPr>
        <w:t>.</w:t>
      </w:r>
    </w:p>
    <w:p w14:paraId="27853E79" w14:textId="77777777" w:rsidR="00F14323" w:rsidRDefault="00F14323" w:rsidP="000F5408">
      <w:pPr>
        <w:widowControl w:val="0"/>
        <w:autoSpaceDE w:val="0"/>
        <w:autoSpaceDN w:val="0"/>
        <w:adjustRightInd w:val="0"/>
        <w:spacing w:after="240" w:line="240" w:lineRule="auto"/>
        <w:rPr>
          <w:rFonts w:ascii="Times New Roman" w:hAnsi="Times New Roman"/>
          <w:lang w:val="en-US" w:eastAsia="en-US" w:bidi="ur-PK"/>
        </w:rPr>
      </w:pPr>
    </w:p>
    <w:p w14:paraId="469A8585" w14:textId="7B732922" w:rsid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r w:rsidRPr="00F14323">
        <w:rPr>
          <w:rFonts w:ascii="Times New Roman" w:hAnsi="Times New Roman"/>
          <w:lang w:eastAsia="en-US" w:bidi="ur-PK"/>
        </w:rPr>
        <w:t xml:space="preserve">Ko, M., Azzopardi, M., </w:t>
      </w:r>
      <w:proofErr w:type="spellStart"/>
      <w:r w:rsidRPr="00F14323">
        <w:rPr>
          <w:rFonts w:ascii="Times New Roman" w:hAnsi="Times New Roman"/>
          <w:lang w:eastAsia="en-US" w:bidi="ur-PK"/>
        </w:rPr>
        <w:t>Loizou</w:t>
      </w:r>
      <w:proofErr w:type="spellEnd"/>
      <w:r w:rsidRPr="00F14323">
        <w:rPr>
          <w:rFonts w:ascii="Times New Roman" w:hAnsi="Times New Roman"/>
          <w:lang w:eastAsia="en-US" w:bidi="ur-PK"/>
        </w:rPr>
        <w:t xml:space="preserve">, C., </w:t>
      </w:r>
      <w:proofErr w:type="spellStart"/>
      <w:r w:rsidRPr="00F14323">
        <w:rPr>
          <w:rFonts w:ascii="Times New Roman" w:hAnsi="Times New Roman"/>
          <w:lang w:eastAsia="en-US" w:bidi="ur-PK"/>
        </w:rPr>
        <w:t>Logeswaran</w:t>
      </w:r>
      <w:proofErr w:type="spellEnd"/>
      <w:r w:rsidRPr="00F14323">
        <w:rPr>
          <w:rFonts w:ascii="Times New Roman" w:hAnsi="Times New Roman"/>
          <w:lang w:eastAsia="en-US" w:bidi="ur-PK"/>
        </w:rPr>
        <w:t xml:space="preserve">, A., Ng, B., </w:t>
      </w:r>
      <w:proofErr w:type="spellStart"/>
      <w:r w:rsidRPr="00F14323">
        <w:rPr>
          <w:rFonts w:ascii="Times New Roman" w:hAnsi="Times New Roman"/>
          <w:lang w:eastAsia="en-US" w:bidi="ur-PK"/>
        </w:rPr>
        <w:t>Pacho</w:t>
      </w:r>
      <w:proofErr w:type="spellEnd"/>
      <w:r w:rsidRPr="00F14323">
        <w:rPr>
          <w:rFonts w:ascii="Times New Roman" w:hAnsi="Times New Roman"/>
          <w:lang w:eastAsia="en-US" w:bidi="ur-PK"/>
        </w:rPr>
        <w:t xml:space="preserve">, A. and Chong, Y.J. (2025) ‘Telehealth and people with disabilities in the United Kingdom: a scoping review’, Frontiers in Public Health, 13, p. 1504318. Available at: </w:t>
      </w:r>
      <w:hyperlink r:id="rId40" w:history="1">
        <w:r w:rsidRPr="007F121D">
          <w:rPr>
            <w:rStyle w:val="Hyperlink"/>
            <w:rFonts w:ascii="Times New Roman" w:hAnsi="Times New Roman"/>
            <w:lang w:eastAsia="en-US" w:bidi="ur-PK"/>
          </w:rPr>
          <w:t>https://doi.org/10.3389/fpubh.2025.1504318</w:t>
        </w:r>
      </w:hyperlink>
    </w:p>
    <w:p w14:paraId="0BFDED4C" w14:textId="77777777" w:rsidR="00F14323" w:rsidRP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p>
    <w:p w14:paraId="31011FE6" w14:textId="77777777" w:rsid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Krasuska</w:t>
      </w:r>
      <w:proofErr w:type="spellEnd"/>
      <w:r w:rsidRPr="000F5408">
        <w:rPr>
          <w:rFonts w:ascii="Times New Roman" w:hAnsi="Times New Roman"/>
          <w:lang w:val="en-US" w:eastAsia="en-US" w:bidi="ur-PK"/>
        </w:rPr>
        <w:t xml:space="preserve">, M.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(2021) “Driving digital health transformation in hospitals: a formative qualitative evaluation of the English Global Digital Exemplar </w:t>
      </w:r>
      <w:proofErr w:type="spellStart"/>
      <w:r w:rsidRPr="000F5408">
        <w:rPr>
          <w:rFonts w:ascii="Times New Roman" w:hAnsi="Times New Roman"/>
          <w:lang w:val="en-US" w:eastAsia="en-US" w:bidi="ur-PK"/>
        </w:rPr>
        <w:t>programme</w:t>
      </w:r>
      <w:proofErr w:type="spellEnd"/>
      <w:r w:rsidRPr="000F5408">
        <w:rPr>
          <w:rFonts w:ascii="Times New Roman" w:hAnsi="Times New Roman"/>
          <w:lang w:val="en-US" w:eastAsia="en-US" w:bidi="ur-PK"/>
        </w:rPr>
        <w:t xml:space="preserve">,” </w:t>
      </w:r>
      <w:r w:rsidRPr="000F5408">
        <w:rPr>
          <w:rFonts w:ascii="Times New Roman" w:hAnsi="Times New Roman"/>
          <w:i/>
          <w:iCs/>
          <w:lang w:val="en-US" w:eastAsia="en-US" w:bidi="ur-PK"/>
        </w:rPr>
        <w:t>BMJ Health &amp; Care Informatics</w:t>
      </w:r>
      <w:r w:rsidRPr="000F5408">
        <w:rPr>
          <w:rFonts w:ascii="Times New Roman" w:hAnsi="Times New Roman"/>
          <w:lang w:val="en-US" w:eastAsia="en-US" w:bidi="ur-PK"/>
        </w:rPr>
        <w:t xml:space="preserve">, 28(1), p. e100429. Available at: </w:t>
      </w:r>
      <w:hyperlink r:id="rId41" w:history="1">
        <w:r w:rsidRPr="000F5408">
          <w:rPr>
            <w:rFonts w:ascii="Times New Roman" w:hAnsi="Times New Roman"/>
            <w:color w:val="0563C1"/>
            <w:u w:val="single"/>
            <w:lang w:val="en-US" w:eastAsia="en-US" w:bidi="ur-PK"/>
          </w:rPr>
          <w:t>https://doi.org/10.1136/bmjhci-2021-100429</w:t>
        </w:r>
      </w:hyperlink>
      <w:r w:rsidRPr="000F5408">
        <w:rPr>
          <w:rFonts w:ascii="Times New Roman" w:hAnsi="Times New Roman"/>
          <w:lang w:val="en-US" w:eastAsia="en-US" w:bidi="ur-PK"/>
        </w:rPr>
        <w:t>.</w:t>
      </w:r>
    </w:p>
    <w:p w14:paraId="0D5862FE" w14:textId="77777777" w:rsidR="00F14323" w:rsidRPr="000F5408" w:rsidRDefault="00F14323" w:rsidP="000F5408">
      <w:pPr>
        <w:widowControl w:val="0"/>
        <w:autoSpaceDE w:val="0"/>
        <w:autoSpaceDN w:val="0"/>
        <w:adjustRightInd w:val="0"/>
        <w:spacing w:after="240" w:line="240" w:lineRule="auto"/>
        <w:rPr>
          <w:rFonts w:ascii="Times New Roman" w:hAnsi="Times New Roman"/>
          <w:lang w:val="en-US" w:eastAsia="en-US" w:bidi="ur-PK"/>
        </w:rPr>
      </w:pPr>
    </w:p>
    <w:p w14:paraId="6BA62BA1" w14:textId="7F49F707" w:rsid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r w:rsidRPr="00F14323">
        <w:rPr>
          <w:rFonts w:ascii="Times New Roman" w:hAnsi="Times New Roman"/>
          <w:lang w:eastAsia="en-US" w:bidi="ur-PK"/>
        </w:rPr>
        <w:t xml:space="preserve">Kruse, C.S. and Heinemann, K. (2022) ‘Facilitators and Barriers to the Adoption of Telemedicine During the First Year of COVID-19: Systematic Review’, Journal of Medical Internet Research, 24(1), p. e31752. Available at: </w:t>
      </w:r>
      <w:hyperlink r:id="rId42" w:tgtFrame="_new" w:history="1">
        <w:r w:rsidRPr="00F14323">
          <w:rPr>
            <w:rStyle w:val="Hyperlink"/>
            <w:rFonts w:ascii="Times New Roman" w:hAnsi="Times New Roman"/>
            <w:lang w:eastAsia="en-US" w:bidi="ur-PK"/>
          </w:rPr>
          <w:t>https://doi.org/10.2196/31752</w:t>
        </w:r>
      </w:hyperlink>
      <w:r w:rsidRPr="00F14323">
        <w:rPr>
          <w:rFonts w:ascii="Times New Roman" w:hAnsi="Times New Roman"/>
          <w:lang w:eastAsia="en-US" w:bidi="ur-PK"/>
        </w:rPr>
        <w:t>.</w:t>
      </w:r>
    </w:p>
    <w:p w14:paraId="12DA512A" w14:textId="77777777" w:rsidR="00F14323" w:rsidRP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p>
    <w:p w14:paraId="60E4A7B6"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Lincoln, Y.S. and Guba, E.G. (1985) Naturalistic Inquiry. Beverly Hills, CA: Sage.</w:t>
      </w:r>
    </w:p>
    <w:p w14:paraId="3F02E46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6D023EB4"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Mahdi, S.S.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(2022) “The promise of telemedicine in Pakistan: A systematic review,” </w:t>
      </w:r>
      <w:r w:rsidRPr="000F5408">
        <w:rPr>
          <w:rFonts w:ascii="Times New Roman" w:hAnsi="Times New Roman"/>
          <w:i/>
          <w:iCs/>
          <w:lang w:val="en-US" w:eastAsia="en-US" w:bidi="ur-PK"/>
        </w:rPr>
        <w:t>Health Science Reports</w:t>
      </w:r>
      <w:r w:rsidRPr="000F5408">
        <w:rPr>
          <w:rFonts w:ascii="Times New Roman" w:hAnsi="Times New Roman"/>
          <w:lang w:val="en-US" w:eastAsia="en-US" w:bidi="ur-PK"/>
        </w:rPr>
        <w:t xml:space="preserve">, 5(1), p. e438. Available at: </w:t>
      </w:r>
      <w:hyperlink r:id="rId43" w:history="1">
        <w:r w:rsidRPr="000F5408">
          <w:rPr>
            <w:rFonts w:ascii="Times New Roman" w:hAnsi="Times New Roman"/>
            <w:color w:val="0563C1"/>
            <w:u w:val="single"/>
            <w:lang w:val="en-US" w:eastAsia="en-US" w:bidi="ur-PK"/>
          </w:rPr>
          <w:t>https://doi.org/10.1002/hsr2.438</w:t>
        </w:r>
      </w:hyperlink>
      <w:r w:rsidRPr="000F5408">
        <w:rPr>
          <w:rFonts w:ascii="Times New Roman" w:hAnsi="Times New Roman"/>
          <w:lang w:val="en-US" w:eastAsia="en-US" w:bidi="ur-PK"/>
        </w:rPr>
        <w:t>.</w:t>
      </w:r>
    </w:p>
    <w:p w14:paraId="0A2C6B11"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65141F66" w14:textId="38D09F31"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Malik, T.,</w:t>
      </w:r>
      <w:r w:rsidR="000B1140">
        <w:rPr>
          <w:rFonts w:ascii="Times New Roman" w:hAnsi="Times New Roman"/>
          <w:lang w:val="en-US" w:eastAsia="en-US" w:bidi="ur-PK"/>
        </w:rPr>
        <w:t xml:space="preserve"> Ong, S.C. and Butt, M.D. (2025</w:t>
      </w:r>
      <w:r w:rsidRPr="000F5408">
        <w:rPr>
          <w:rFonts w:ascii="Times New Roman" w:hAnsi="Times New Roman"/>
          <w:lang w:val="en-US" w:eastAsia="en-US" w:bidi="ur-PK"/>
        </w:rPr>
        <w:t>) “Enhancing healthcare access through telehealth: patient-</w:t>
      </w:r>
      <w:proofErr w:type="spellStart"/>
      <w:r w:rsidRPr="000F5408">
        <w:rPr>
          <w:rFonts w:ascii="Times New Roman" w:hAnsi="Times New Roman"/>
          <w:lang w:val="en-US" w:eastAsia="en-US" w:bidi="ur-PK"/>
        </w:rPr>
        <w:t>centred</w:t>
      </w:r>
      <w:proofErr w:type="spellEnd"/>
      <w:r w:rsidRPr="000F5408">
        <w:rPr>
          <w:rFonts w:ascii="Times New Roman" w:hAnsi="Times New Roman"/>
          <w:lang w:val="en-US" w:eastAsia="en-US" w:bidi="ur-PK"/>
        </w:rPr>
        <w:t xml:space="preserve"> insights from Pakistan’s primary care sector,” </w:t>
      </w:r>
      <w:r w:rsidRPr="000F5408">
        <w:rPr>
          <w:rFonts w:ascii="Times New Roman" w:hAnsi="Times New Roman"/>
          <w:i/>
          <w:iCs/>
          <w:lang w:val="en-US" w:eastAsia="en-US" w:bidi="ur-PK"/>
        </w:rPr>
        <w:t>BMC Health Services Research</w:t>
      </w:r>
      <w:r w:rsidRPr="000F5408">
        <w:rPr>
          <w:rFonts w:ascii="Times New Roman" w:hAnsi="Times New Roman"/>
          <w:lang w:val="en-US" w:eastAsia="en-US" w:bidi="ur-PK"/>
        </w:rPr>
        <w:t xml:space="preserve">, 25(1), p. 1597. Available at: </w:t>
      </w:r>
      <w:hyperlink r:id="rId44" w:history="1">
        <w:r w:rsidRPr="000F5408">
          <w:rPr>
            <w:rFonts w:ascii="Times New Roman" w:hAnsi="Times New Roman"/>
            <w:color w:val="0563C1"/>
            <w:u w:val="single"/>
            <w:lang w:val="en-US" w:eastAsia="en-US" w:bidi="ur-PK"/>
          </w:rPr>
          <w:t>https://doi.org/10.1186/s12913-025-13820-4</w:t>
        </w:r>
      </w:hyperlink>
      <w:r w:rsidRPr="000F5408">
        <w:rPr>
          <w:rFonts w:ascii="Times New Roman" w:hAnsi="Times New Roman"/>
          <w:lang w:val="en-US" w:eastAsia="en-US" w:bidi="ur-PK"/>
        </w:rPr>
        <w:t>.</w:t>
      </w:r>
    </w:p>
    <w:p w14:paraId="40246EE4"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50BEEFE0"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Mansoor, M.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(2025) “Telemedicine literacy: an explanatory sequential mixed-method inquiry into awareness and experiences of medical students and clinicians in Islamabad,” </w:t>
      </w:r>
      <w:r w:rsidRPr="000F5408">
        <w:rPr>
          <w:rFonts w:ascii="Times New Roman" w:hAnsi="Times New Roman"/>
          <w:i/>
          <w:iCs/>
          <w:lang w:val="en-US" w:eastAsia="en-US" w:bidi="ur-PK"/>
        </w:rPr>
        <w:t>BMC Medical Education</w:t>
      </w:r>
      <w:r w:rsidRPr="000F5408">
        <w:rPr>
          <w:rFonts w:ascii="Times New Roman" w:hAnsi="Times New Roman"/>
          <w:lang w:val="en-US" w:eastAsia="en-US" w:bidi="ur-PK"/>
        </w:rPr>
        <w:t xml:space="preserve">, 25(1), p. 1632. Available at: </w:t>
      </w:r>
      <w:hyperlink r:id="rId45" w:history="1">
        <w:r w:rsidRPr="000F5408">
          <w:rPr>
            <w:rFonts w:ascii="Times New Roman" w:hAnsi="Times New Roman"/>
            <w:color w:val="0563C1"/>
            <w:u w:val="single"/>
            <w:lang w:val="en-US" w:eastAsia="en-US" w:bidi="ur-PK"/>
          </w:rPr>
          <w:t>https://doi.org/10.1186/s12909-025-08102-w</w:t>
        </w:r>
      </w:hyperlink>
      <w:r w:rsidRPr="000F5408">
        <w:rPr>
          <w:rFonts w:ascii="Times New Roman" w:hAnsi="Times New Roman"/>
          <w:lang w:val="en-US" w:eastAsia="en-US" w:bidi="ur-PK"/>
        </w:rPr>
        <w:t>.</w:t>
      </w:r>
    </w:p>
    <w:p w14:paraId="4805566A"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0FD10BE2"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Mechael</w:t>
      </w:r>
      <w:proofErr w:type="spellEnd"/>
      <w:r w:rsidRPr="000F5408">
        <w:rPr>
          <w:rFonts w:ascii="Times New Roman" w:hAnsi="Times New Roman"/>
          <w:lang w:val="en-US" w:eastAsia="en-US" w:bidi="ur-PK"/>
        </w:rPr>
        <w:t xml:space="preserve">, P.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“Evaluating the ‘</w:t>
      </w:r>
      <w:proofErr w:type="spellStart"/>
      <w:r w:rsidRPr="000F5408">
        <w:rPr>
          <w:rFonts w:ascii="Times New Roman" w:hAnsi="Times New Roman"/>
          <w:lang w:val="en-US" w:eastAsia="en-US" w:bidi="ur-PK"/>
        </w:rPr>
        <w:t>Zindagi</w:t>
      </w:r>
      <w:proofErr w:type="spellEnd"/>
      <w:r w:rsidRPr="000F5408">
        <w:rPr>
          <w:rFonts w:ascii="Times New Roman" w:hAnsi="Times New Roman"/>
          <w:lang w:val="en-US" w:eastAsia="en-US" w:bidi="ur-PK"/>
        </w:rPr>
        <w:t xml:space="preserve"> </w:t>
      </w:r>
      <w:proofErr w:type="spellStart"/>
      <w:r w:rsidRPr="000F5408">
        <w:rPr>
          <w:rFonts w:ascii="Times New Roman" w:hAnsi="Times New Roman"/>
          <w:lang w:val="en-US" w:eastAsia="en-US" w:bidi="ur-PK"/>
        </w:rPr>
        <w:t>Mehfooz</w:t>
      </w:r>
      <w:proofErr w:type="spellEnd"/>
      <w:r w:rsidRPr="000F5408">
        <w:rPr>
          <w:rFonts w:ascii="Times New Roman" w:hAnsi="Times New Roman"/>
          <w:lang w:val="en-US" w:eastAsia="en-US" w:bidi="ur-PK"/>
        </w:rPr>
        <w:t xml:space="preserve">’ Electronic Immunization Registry and Suite of Digital Health Interventions to Improve the Coverage and Timeliness of Immunization Services in Sindh, Pakistan: Mixed Methods Study,” </w:t>
      </w:r>
      <w:r w:rsidRPr="000F5408">
        <w:rPr>
          <w:rFonts w:ascii="Times New Roman" w:hAnsi="Times New Roman"/>
          <w:i/>
          <w:iCs/>
          <w:lang w:val="en-US" w:eastAsia="en-US" w:bidi="ur-PK"/>
        </w:rPr>
        <w:t>Journal of Medical Internet Research</w:t>
      </w:r>
      <w:r w:rsidRPr="000F5408">
        <w:rPr>
          <w:rFonts w:ascii="Times New Roman" w:hAnsi="Times New Roman"/>
          <w:lang w:val="en-US" w:eastAsia="en-US" w:bidi="ur-PK"/>
        </w:rPr>
        <w:t xml:space="preserve">, 26, p. e52792. Available at: </w:t>
      </w:r>
      <w:hyperlink r:id="rId46" w:history="1">
        <w:r w:rsidRPr="000F5408">
          <w:rPr>
            <w:rFonts w:ascii="Times New Roman" w:hAnsi="Times New Roman"/>
            <w:color w:val="0563C1"/>
            <w:u w:val="single"/>
            <w:lang w:val="en-US" w:eastAsia="en-US" w:bidi="ur-PK"/>
          </w:rPr>
          <w:t>https://doi.org/10.2196/52792</w:t>
        </w:r>
      </w:hyperlink>
      <w:r w:rsidRPr="000F5408">
        <w:rPr>
          <w:rFonts w:ascii="Times New Roman" w:hAnsi="Times New Roman"/>
          <w:lang w:val="en-US" w:eastAsia="en-US" w:bidi="ur-PK"/>
        </w:rPr>
        <w:t>.</w:t>
      </w:r>
    </w:p>
    <w:p w14:paraId="61C19BBD"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5B809C2B"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Morris, A.C.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(2023) “Moving from development to implementation of digital innovations within the NHS: </w:t>
      </w:r>
      <w:proofErr w:type="spellStart"/>
      <w:r w:rsidRPr="000F5408">
        <w:rPr>
          <w:rFonts w:ascii="Times New Roman" w:hAnsi="Times New Roman"/>
          <w:lang w:val="en-US" w:eastAsia="en-US" w:bidi="ur-PK"/>
        </w:rPr>
        <w:t>myHealthE</w:t>
      </w:r>
      <w:proofErr w:type="spellEnd"/>
      <w:r w:rsidRPr="000F5408">
        <w:rPr>
          <w:rFonts w:ascii="Times New Roman" w:hAnsi="Times New Roman"/>
          <w:lang w:val="en-US" w:eastAsia="en-US" w:bidi="ur-PK"/>
        </w:rPr>
        <w:t xml:space="preserve">, a remote monitoring system for tracking patient outcomes in child and adolescent mental health services,” </w:t>
      </w:r>
      <w:r w:rsidRPr="000F5408">
        <w:rPr>
          <w:rFonts w:ascii="Times New Roman" w:hAnsi="Times New Roman"/>
          <w:i/>
          <w:iCs/>
          <w:lang w:val="en-US" w:eastAsia="en-US" w:bidi="ur-PK"/>
        </w:rPr>
        <w:t>DIGITAL HEALTH</w:t>
      </w:r>
      <w:r w:rsidRPr="000F5408">
        <w:rPr>
          <w:rFonts w:ascii="Times New Roman" w:hAnsi="Times New Roman"/>
          <w:lang w:val="en-US" w:eastAsia="en-US" w:bidi="ur-PK"/>
        </w:rPr>
        <w:t xml:space="preserve">, 9, p. 20552076231211551. Available at: </w:t>
      </w:r>
      <w:hyperlink r:id="rId47" w:history="1">
        <w:r w:rsidRPr="000F5408">
          <w:rPr>
            <w:rFonts w:ascii="Times New Roman" w:hAnsi="Times New Roman"/>
            <w:color w:val="0563C1"/>
            <w:u w:val="single"/>
            <w:lang w:val="en-US" w:eastAsia="en-US" w:bidi="ur-PK"/>
          </w:rPr>
          <w:t>https://doi.org/10.1177/20552076231211551</w:t>
        </w:r>
      </w:hyperlink>
      <w:r w:rsidRPr="000F5408">
        <w:rPr>
          <w:rFonts w:ascii="Times New Roman" w:hAnsi="Times New Roman"/>
          <w:lang w:val="en-US" w:eastAsia="en-US" w:bidi="ur-PK"/>
        </w:rPr>
        <w:t>.</w:t>
      </w:r>
    </w:p>
    <w:p w14:paraId="6FF3F6C8"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7D4F5CB3" w14:textId="77777777" w:rsid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Murphy, M.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(2021) “Implementation of remote consulting in UK primary care following the COVID-19 pandemic: a mixed-methods longitudinal study,” </w:t>
      </w:r>
      <w:r w:rsidRPr="000F5408">
        <w:rPr>
          <w:rFonts w:ascii="Times New Roman" w:hAnsi="Times New Roman"/>
          <w:i/>
          <w:iCs/>
          <w:lang w:val="en-US" w:eastAsia="en-US" w:bidi="ur-PK"/>
        </w:rPr>
        <w:t>British Journal of General Practice</w:t>
      </w:r>
      <w:r w:rsidRPr="000F5408">
        <w:rPr>
          <w:rFonts w:ascii="Times New Roman" w:hAnsi="Times New Roman"/>
          <w:lang w:val="en-US" w:eastAsia="en-US" w:bidi="ur-PK"/>
        </w:rPr>
        <w:t xml:space="preserve">, 71(704), pp. e166–e177. Available at: </w:t>
      </w:r>
      <w:hyperlink r:id="rId48" w:history="1">
        <w:r w:rsidRPr="000F5408">
          <w:rPr>
            <w:rFonts w:ascii="Times New Roman" w:hAnsi="Times New Roman"/>
            <w:color w:val="0563C1"/>
            <w:u w:val="single"/>
            <w:lang w:val="en-US" w:eastAsia="en-US" w:bidi="ur-PK"/>
          </w:rPr>
          <w:t>https://doi.org/10.3399/BJGP.2020.0948</w:t>
        </w:r>
      </w:hyperlink>
      <w:r w:rsidRPr="000F5408">
        <w:rPr>
          <w:rFonts w:ascii="Times New Roman" w:hAnsi="Times New Roman"/>
          <w:lang w:val="en-US" w:eastAsia="en-US" w:bidi="ur-PK"/>
        </w:rPr>
        <w:t>.</w:t>
      </w:r>
    </w:p>
    <w:p w14:paraId="35ABBBCD" w14:textId="77777777" w:rsidR="00F14323" w:rsidRPr="000F5408" w:rsidRDefault="00F14323" w:rsidP="000F5408">
      <w:pPr>
        <w:widowControl w:val="0"/>
        <w:autoSpaceDE w:val="0"/>
        <w:autoSpaceDN w:val="0"/>
        <w:adjustRightInd w:val="0"/>
        <w:spacing w:after="240" w:line="240" w:lineRule="auto"/>
        <w:rPr>
          <w:rFonts w:ascii="Times New Roman" w:hAnsi="Times New Roman"/>
          <w:lang w:val="en-US" w:eastAsia="en-US" w:bidi="ur-PK"/>
        </w:rPr>
      </w:pPr>
    </w:p>
    <w:p w14:paraId="68A43D94" w14:textId="1A89DB38" w:rsid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r w:rsidRPr="00F14323">
        <w:rPr>
          <w:rFonts w:ascii="Times New Roman" w:hAnsi="Times New Roman"/>
          <w:lang w:eastAsia="en-US" w:bidi="ur-PK"/>
        </w:rPr>
        <w:t xml:space="preserve">OECD (2023) The future of telemedicine after COVID-19. Paris: OECD Publishing. Available at: </w:t>
      </w:r>
      <w:hyperlink r:id="rId49" w:history="1">
        <w:r w:rsidRPr="007F121D">
          <w:rPr>
            <w:rStyle w:val="Hyperlink"/>
            <w:rFonts w:ascii="Times New Roman" w:hAnsi="Times New Roman"/>
            <w:lang w:eastAsia="en-US" w:bidi="ur-PK"/>
          </w:rPr>
          <w:t>https://doi.org/10.1787/d46e9a02-en</w:t>
        </w:r>
      </w:hyperlink>
    </w:p>
    <w:p w14:paraId="7504CE5E" w14:textId="77777777" w:rsidR="00F14323" w:rsidRP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p>
    <w:p w14:paraId="7FDB4F06"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Page, M.J.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(2021) “The PRISMA 2020 statement: An updated guideline for reporting systematic reviews,” </w:t>
      </w:r>
      <w:r w:rsidRPr="000F5408">
        <w:rPr>
          <w:rFonts w:ascii="Times New Roman" w:hAnsi="Times New Roman"/>
          <w:i/>
          <w:iCs/>
          <w:lang w:val="en-US" w:eastAsia="en-US" w:bidi="ur-PK"/>
        </w:rPr>
        <w:t>Journal of Clinical Epidemiology</w:t>
      </w:r>
      <w:r w:rsidRPr="000F5408">
        <w:rPr>
          <w:rFonts w:ascii="Times New Roman" w:hAnsi="Times New Roman"/>
          <w:lang w:val="en-US" w:eastAsia="en-US" w:bidi="ur-PK"/>
        </w:rPr>
        <w:t xml:space="preserve">, 134, pp. 178–189. Available at: </w:t>
      </w:r>
      <w:hyperlink r:id="rId50" w:history="1">
        <w:r w:rsidRPr="000F5408">
          <w:rPr>
            <w:rFonts w:ascii="Times New Roman" w:hAnsi="Times New Roman"/>
            <w:color w:val="0563C1"/>
            <w:u w:val="single"/>
            <w:lang w:val="en-US" w:eastAsia="en-US" w:bidi="ur-PK"/>
          </w:rPr>
          <w:t>https://doi.org/10.1016/j.jclinepi.2021.03.001</w:t>
        </w:r>
      </w:hyperlink>
      <w:r w:rsidRPr="000F5408">
        <w:rPr>
          <w:rFonts w:ascii="Times New Roman" w:hAnsi="Times New Roman"/>
          <w:lang w:val="en-US" w:eastAsia="en-US" w:bidi="ur-PK"/>
        </w:rPr>
        <w:t>.</w:t>
      </w:r>
    </w:p>
    <w:p w14:paraId="1B73877A"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3A21152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Raza, S.H.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(2025) “Catenation between mHealth application advertisements and cardiovascular diseases: moderation of artificial intelligence (AI)-enabled internet of things, digital divide, and individual trust,” </w:t>
      </w:r>
      <w:r w:rsidRPr="000F5408">
        <w:rPr>
          <w:rFonts w:ascii="Times New Roman" w:hAnsi="Times New Roman"/>
          <w:i/>
          <w:iCs/>
          <w:lang w:val="en-US" w:eastAsia="en-US" w:bidi="ur-PK"/>
        </w:rPr>
        <w:t>BMC Public Health</w:t>
      </w:r>
      <w:r w:rsidRPr="000F5408">
        <w:rPr>
          <w:rFonts w:ascii="Times New Roman" w:hAnsi="Times New Roman"/>
          <w:lang w:val="en-US" w:eastAsia="en-US" w:bidi="ur-PK"/>
        </w:rPr>
        <w:t xml:space="preserve">, 25(1), p. 1064. Available at: </w:t>
      </w:r>
      <w:hyperlink r:id="rId51" w:history="1">
        <w:r w:rsidRPr="000F5408">
          <w:rPr>
            <w:rFonts w:ascii="Times New Roman" w:hAnsi="Times New Roman"/>
            <w:color w:val="0563C1"/>
            <w:u w:val="single"/>
            <w:lang w:val="en-US" w:eastAsia="en-US" w:bidi="ur-PK"/>
          </w:rPr>
          <w:t>https://doi.org/10.1186/s12889-025-22082-y</w:t>
        </w:r>
      </w:hyperlink>
      <w:r w:rsidRPr="000F5408">
        <w:rPr>
          <w:rFonts w:ascii="Times New Roman" w:hAnsi="Times New Roman"/>
          <w:lang w:val="en-US" w:eastAsia="en-US" w:bidi="ur-PK"/>
        </w:rPr>
        <w:t>.</w:t>
      </w:r>
    </w:p>
    <w:p w14:paraId="223678F4"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1ECAEA0E"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Rogers, E.M. (2003) Diffusion of Innovations. 5th </w:t>
      </w:r>
      <w:proofErr w:type="spellStart"/>
      <w:r w:rsidRPr="000F5408">
        <w:rPr>
          <w:rFonts w:ascii="Times New Roman" w:hAnsi="Times New Roman"/>
          <w:lang w:val="en-US" w:eastAsia="en-US" w:bidi="ur-PK"/>
        </w:rPr>
        <w:t>edn</w:t>
      </w:r>
      <w:proofErr w:type="spellEnd"/>
      <w:r w:rsidRPr="000F5408">
        <w:rPr>
          <w:rFonts w:ascii="Times New Roman" w:hAnsi="Times New Roman"/>
          <w:lang w:val="en-US" w:eastAsia="en-US" w:bidi="ur-PK"/>
        </w:rPr>
        <w:t>. New York: Free Press.</w:t>
      </w:r>
    </w:p>
    <w:p w14:paraId="26473DE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161E8FD3"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Saifullah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“Enhancing telehealth services development in Pakistani healthcare sectors through examining various medical service quality characteristics,” </w:t>
      </w:r>
      <w:r w:rsidRPr="000F5408">
        <w:rPr>
          <w:rFonts w:ascii="Times New Roman" w:hAnsi="Times New Roman"/>
          <w:i/>
          <w:iCs/>
          <w:lang w:val="en-US" w:eastAsia="en-US" w:bidi="ur-PK"/>
        </w:rPr>
        <w:t>Frontiers in Public Health</w:t>
      </w:r>
      <w:r w:rsidRPr="000F5408">
        <w:rPr>
          <w:rFonts w:ascii="Times New Roman" w:hAnsi="Times New Roman"/>
          <w:lang w:val="en-US" w:eastAsia="en-US" w:bidi="ur-PK"/>
        </w:rPr>
        <w:t xml:space="preserve">, 12, p. 1376534. Available at: </w:t>
      </w:r>
      <w:hyperlink r:id="rId52" w:history="1">
        <w:r w:rsidRPr="000F5408">
          <w:rPr>
            <w:rFonts w:ascii="Times New Roman" w:hAnsi="Times New Roman"/>
            <w:color w:val="0563C1"/>
            <w:u w:val="single"/>
            <w:lang w:val="en-US" w:eastAsia="en-US" w:bidi="ur-PK"/>
          </w:rPr>
          <w:t>https://doi.org/10.3389/fpubh.2024.1376534</w:t>
        </w:r>
      </w:hyperlink>
      <w:r w:rsidRPr="000F5408">
        <w:rPr>
          <w:rFonts w:ascii="Times New Roman" w:hAnsi="Times New Roman"/>
          <w:lang w:val="en-US" w:eastAsia="en-US" w:bidi="ur-PK"/>
        </w:rPr>
        <w:t>.</w:t>
      </w:r>
    </w:p>
    <w:p w14:paraId="2D806161"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312483E8"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Saunders, M., Lewis, P. and Thornhill, A. (2023) </w:t>
      </w:r>
      <w:r w:rsidRPr="000F5408">
        <w:rPr>
          <w:rFonts w:ascii="Times New Roman" w:hAnsi="Times New Roman"/>
          <w:i/>
          <w:iCs/>
          <w:lang w:val="en-US" w:eastAsia="en-US" w:bidi="ur-PK"/>
        </w:rPr>
        <w:t>Research methods for business students</w:t>
      </w:r>
      <w:r w:rsidRPr="000F5408">
        <w:rPr>
          <w:rFonts w:ascii="Times New Roman" w:hAnsi="Times New Roman"/>
          <w:lang w:val="en-US" w:eastAsia="en-US" w:bidi="ur-PK"/>
        </w:rPr>
        <w:t>. Ninth edition. Harlow: Pearson.</w:t>
      </w:r>
    </w:p>
    <w:p w14:paraId="60E52190"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514579B0"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Shahil-Feroz</w:t>
      </w:r>
      <w:proofErr w:type="spellEnd"/>
      <w:r w:rsidRPr="000F5408">
        <w:rPr>
          <w:rFonts w:ascii="Times New Roman" w:hAnsi="Times New Roman"/>
          <w:lang w:val="en-US" w:eastAsia="en-US" w:bidi="ur-PK"/>
        </w:rPr>
        <w:t xml:space="preserve">, A.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(2024) “Perceived barriers and facilitators of implementing a sustained </w:t>
      </w:r>
      <w:r w:rsidRPr="000F5408">
        <w:rPr>
          <w:rFonts w:ascii="Times New Roman" w:hAnsi="Times New Roman"/>
          <w:lang w:val="en-US" w:eastAsia="en-US" w:bidi="ur-PK"/>
        </w:rPr>
        <w:lastRenderedPageBreak/>
        <w:t xml:space="preserve">smartphone-based telemonitoring program for pregnant women at high-risk for pre-eclampsia in the public and private sectors in Pakistan,” </w:t>
      </w:r>
      <w:r w:rsidRPr="000F5408">
        <w:rPr>
          <w:rFonts w:ascii="Times New Roman" w:hAnsi="Times New Roman"/>
          <w:i/>
          <w:iCs/>
          <w:lang w:val="en-US" w:eastAsia="en-US" w:bidi="ur-PK"/>
        </w:rPr>
        <w:t>DIGITAL HEALTH</w:t>
      </w:r>
      <w:r w:rsidRPr="000F5408">
        <w:rPr>
          <w:rFonts w:ascii="Times New Roman" w:hAnsi="Times New Roman"/>
          <w:lang w:val="en-US" w:eastAsia="en-US" w:bidi="ur-PK"/>
        </w:rPr>
        <w:t xml:space="preserve">, 10, p. 20552076241292682. Available at: </w:t>
      </w:r>
      <w:hyperlink r:id="rId53" w:history="1">
        <w:r w:rsidRPr="000F5408">
          <w:rPr>
            <w:rFonts w:ascii="Times New Roman" w:hAnsi="Times New Roman"/>
            <w:color w:val="0563C1"/>
            <w:u w:val="single"/>
            <w:lang w:val="en-US" w:eastAsia="en-US" w:bidi="ur-PK"/>
          </w:rPr>
          <w:t>https://doi.org/10.1177/20552076241292682</w:t>
        </w:r>
      </w:hyperlink>
      <w:r w:rsidRPr="000F5408">
        <w:rPr>
          <w:rFonts w:ascii="Times New Roman" w:hAnsi="Times New Roman"/>
          <w:lang w:val="en-US" w:eastAsia="en-US" w:bidi="ur-PK"/>
        </w:rPr>
        <w:t>.</w:t>
      </w:r>
    </w:p>
    <w:p w14:paraId="715A2FB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2BE6B849"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Snyder, H. (2019) “Literature review as a research methodology: An overview and guidelines,” </w:t>
      </w:r>
      <w:r w:rsidRPr="000F5408">
        <w:rPr>
          <w:rFonts w:ascii="Times New Roman" w:hAnsi="Times New Roman"/>
          <w:i/>
          <w:iCs/>
          <w:lang w:val="en-US" w:eastAsia="en-US" w:bidi="ur-PK"/>
        </w:rPr>
        <w:t>Journal of Business Research</w:t>
      </w:r>
      <w:r w:rsidRPr="000F5408">
        <w:rPr>
          <w:rFonts w:ascii="Times New Roman" w:hAnsi="Times New Roman"/>
          <w:lang w:val="en-US" w:eastAsia="en-US" w:bidi="ur-PK"/>
        </w:rPr>
        <w:t xml:space="preserve">, 104, pp. 333–339. Available at: </w:t>
      </w:r>
      <w:hyperlink r:id="rId54" w:history="1">
        <w:r w:rsidRPr="000F5408">
          <w:rPr>
            <w:rFonts w:ascii="Times New Roman" w:hAnsi="Times New Roman"/>
            <w:color w:val="0563C1"/>
            <w:u w:val="single"/>
            <w:lang w:val="en-US" w:eastAsia="en-US" w:bidi="ur-PK"/>
          </w:rPr>
          <w:t>https://doi.org/10.1016/j.jbusres.2019.07.039</w:t>
        </w:r>
      </w:hyperlink>
      <w:r w:rsidRPr="000F5408">
        <w:rPr>
          <w:rFonts w:ascii="Times New Roman" w:hAnsi="Times New Roman"/>
          <w:lang w:val="en-US" w:eastAsia="en-US" w:bidi="ur-PK"/>
        </w:rPr>
        <w:t>.</w:t>
      </w:r>
    </w:p>
    <w:p w14:paraId="4D3892C6"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0E638FF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Tariq, W.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(2023) “Impact of the COVID-19 pandemic on knowledge, perceptions, and effects of telemedicine among the general population of Pakistan: A national survey,” </w:t>
      </w:r>
      <w:r w:rsidRPr="000F5408">
        <w:rPr>
          <w:rFonts w:ascii="Times New Roman" w:hAnsi="Times New Roman"/>
          <w:i/>
          <w:iCs/>
          <w:lang w:val="en-US" w:eastAsia="en-US" w:bidi="ur-PK"/>
        </w:rPr>
        <w:t>Frontiers in Public Health</w:t>
      </w:r>
      <w:r w:rsidRPr="000F5408">
        <w:rPr>
          <w:rFonts w:ascii="Times New Roman" w:hAnsi="Times New Roman"/>
          <w:lang w:val="en-US" w:eastAsia="en-US" w:bidi="ur-PK"/>
        </w:rPr>
        <w:t xml:space="preserve">, 10, p. 1036800. Available at: </w:t>
      </w:r>
      <w:hyperlink r:id="rId55" w:history="1">
        <w:r w:rsidRPr="000F5408">
          <w:rPr>
            <w:rFonts w:ascii="Times New Roman" w:hAnsi="Times New Roman"/>
            <w:color w:val="0563C1"/>
            <w:u w:val="single"/>
            <w:lang w:val="en-US" w:eastAsia="en-US" w:bidi="ur-PK"/>
          </w:rPr>
          <w:t>https://doi.org/10.3389/fpubh.2022.1036800</w:t>
        </w:r>
      </w:hyperlink>
      <w:r w:rsidRPr="000F5408">
        <w:rPr>
          <w:rFonts w:ascii="Times New Roman" w:hAnsi="Times New Roman"/>
          <w:lang w:val="en-US" w:eastAsia="en-US" w:bidi="ur-PK"/>
        </w:rPr>
        <w:t>.</w:t>
      </w:r>
    </w:p>
    <w:p w14:paraId="1C97E9DA"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0AF31D3A"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Valdes, D.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(2022) “Global evidence on the rapid adoption of telemedicine in primary care during the first 2 years of the COVID-19 pandemic: a scoping review protocol,” </w:t>
      </w:r>
      <w:r w:rsidRPr="000F5408">
        <w:rPr>
          <w:rFonts w:ascii="Times New Roman" w:hAnsi="Times New Roman"/>
          <w:i/>
          <w:iCs/>
          <w:lang w:val="en-US" w:eastAsia="en-US" w:bidi="ur-PK"/>
        </w:rPr>
        <w:t>Systematic Reviews</w:t>
      </w:r>
      <w:r w:rsidRPr="000F5408">
        <w:rPr>
          <w:rFonts w:ascii="Times New Roman" w:hAnsi="Times New Roman"/>
          <w:lang w:val="en-US" w:eastAsia="en-US" w:bidi="ur-PK"/>
        </w:rPr>
        <w:t xml:space="preserve">, 11(1), p. 124. Available at: </w:t>
      </w:r>
      <w:hyperlink r:id="rId56" w:history="1">
        <w:r w:rsidRPr="000F5408">
          <w:rPr>
            <w:rFonts w:ascii="Times New Roman" w:hAnsi="Times New Roman"/>
            <w:color w:val="0563C1"/>
            <w:u w:val="single"/>
            <w:lang w:val="en-US" w:eastAsia="en-US" w:bidi="ur-PK"/>
          </w:rPr>
          <w:t>https://doi.org/10.1186/s13643-022-01934-3</w:t>
        </w:r>
      </w:hyperlink>
      <w:r w:rsidRPr="000F5408">
        <w:rPr>
          <w:rFonts w:ascii="Times New Roman" w:hAnsi="Times New Roman"/>
          <w:lang w:val="en-US" w:eastAsia="en-US" w:bidi="ur-PK"/>
        </w:rPr>
        <w:t>.</w:t>
      </w:r>
    </w:p>
    <w:p w14:paraId="2BB4E30F"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557777A3"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Venkatesh, V.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(2003) “User Acceptance of Information Technology: Toward A Unified View1,” </w:t>
      </w:r>
      <w:r w:rsidRPr="000F5408">
        <w:rPr>
          <w:rFonts w:ascii="Times New Roman" w:hAnsi="Times New Roman"/>
          <w:i/>
          <w:iCs/>
          <w:lang w:val="en-US" w:eastAsia="en-US" w:bidi="ur-PK"/>
        </w:rPr>
        <w:t>MIS Quarterly</w:t>
      </w:r>
      <w:r w:rsidRPr="000F5408">
        <w:rPr>
          <w:rFonts w:ascii="Times New Roman" w:hAnsi="Times New Roman"/>
          <w:lang w:val="en-US" w:eastAsia="en-US" w:bidi="ur-PK"/>
        </w:rPr>
        <w:t xml:space="preserve">, 27(3), pp. 425–478. Available at: </w:t>
      </w:r>
      <w:hyperlink r:id="rId57" w:history="1">
        <w:r w:rsidRPr="000F5408">
          <w:rPr>
            <w:rFonts w:ascii="Times New Roman" w:hAnsi="Times New Roman"/>
            <w:color w:val="0563C1"/>
            <w:u w:val="single"/>
            <w:lang w:val="en-US" w:eastAsia="en-US" w:bidi="ur-PK"/>
          </w:rPr>
          <w:t>https://doi.org/10.2307/30036540</w:t>
        </w:r>
      </w:hyperlink>
      <w:r w:rsidRPr="000F5408">
        <w:rPr>
          <w:rFonts w:ascii="Times New Roman" w:hAnsi="Times New Roman"/>
          <w:lang w:val="en-US" w:eastAsia="en-US" w:bidi="ur-PK"/>
        </w:rPr>
        <w:t>.</w:t>
      </w:r>
    </w:p>
    <w:p w14:paraId="6335831A"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1B8A18B7" w14:textId="3D252D77" w:rsidR="000F5408" w:rsidRDefault="000F5408" w:rsidP="000B1140">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Wasi</w:t>
      </w:r>
      <w:proofErr w:type="spellEnd"/>
      <w:r w:rsidRPr="000F5408">
        <w:rPr>
          <w:rFonts w:ascii="Times New Roman" w:hAnsi="Times New Roman"/>
          <w:lang w:val="en-US" w:eastAsia="en-US" w:bidi="ur-PK"/>
        </w:rPr>
        <w:t xml:space="preserve"> Abbas, M. </w:t>
      </w:r>
      <w:r w:rsidRPr="000F5408">
        <w:rPr>
          <w:rFonts w:ascii="Times New Roman" w:hAnsi="Times New Roman"/>
          <w:i/>
          <w:iCs/>
          <w:lang w:val="en-US" w:eastAsia="en-US" w:bidi="ur-PK"/>
        </w:rPr>
        <w:t>et al.</w:t>
      </w:r>
      <w:r w:rsidR="000B1140">
        <w:rPr>
          <w:rFonts w:ascii="Times New Roman" w:hAnsi="Times New Roman"/>
          <w:lang w:val="en-US" w:eastAsia="en-US" w:bidi="ur-PK"/>
        </w:rPr>
        <w:t xml:space="preserve"> (2024</w:t>
      </w:r>
      <w:r w:rsidRPr="000F5408">
        <w:rPr>
          <w:rFonts w:ascii="Times New Roman" w:hAnsi="Times New Roman"/>
          <w:lang w:val="en-US" w:eastAsia="en-US" w:bidi="ur-PK"/>
        </w:rPr>
        <w:t xml:space="preserve">) “Facilitators and barriers in acceptance of telemedicine among healthcare providers in Pakistan: A cross-sectional survey,” </w:t>
      </w:r>
      <w:r w:rsidRPr="000F5408">
        <w:rPr>
          <w:rFonts w:ascii="Times New Roman" w:hAnsi="Times New Roman"/>
          <w:i/>
          <w:iCs/>
          <w:lang w:val="en-US" w:eastAsia="en-US" w:bidi="ur-PK"/>
        </w:rPr>
        <w:t>The Journal of Medicine Access</w:t>
      </w:r>
      <w:r w:rsidRPr="000F5408">
        <w:rPr>
          <w:rFonts w:ascii="Times New Roman" w:hAnsi="Times New Roman"/>
          <w:lang w:val="en-US" w:eastAsia="en-US" w:bidi="ur-PK"/>
        </w:rPr>
        <w:t xml:space="preserve">, 8, p. 27550834241266413. Available at: </w:t>
      </w:r>
      <w:hyperlink r:id="rId58" w:history="1">
        <w:r w:rsidRPr="000F5408">
          <w:rPr>
            <w:rFonts w:ascii="Times New Roman" w:hAnsi="Times New Roman"/>
            <w:color w:val="0563C1"/>
            <w:u w:val="single"/>
            <w:lang w:val="en-US" w:eastAsia="en-US" w:bidi="ur-PK"/>
          </w:rPr>
          <w:t>https://doi.org/10.1177/27550834241266413</w:t>
        </w:r>
      </w:hyperlink>
      <w:r w:rsidRPr="000F5408">
        <w:rPr>
          <w:rFonts w:ascii="Times New Roman" w:hAnsi="Times New Roman"/>
          <w:lang w:val="en-US" w:eastAsia="en-US" w:bidi="ur-PK"/>
        </w:rPr>
        <w:t>.</w:t>
      </w:r>
    </w:p>
    <w:p w14:paraId="3A3C3021" w14:textId="77777777" w:rsidR="00F14323" w:rsidRDefault="00F14323" w:rsidP="000B1140">
      <w:pPr>
        <w:widowControl w:val="0"/>
        <w:autoSpaceDE w:val="0"/>
        <w:autoSpaceDN w:val="0"/>
        <w:adjustRightInd w:val="0"/>
        <w:spacing w:after="240" w:line="240" w:lineRule="auto"/>
        <w:rPr>
          <w:rFonts w:ascii="Times New Roman" w:hAnsi="Times New Roman"/>
          <w:lang w:val="en-US" w:eastAsia="en-US" w:bidi="ur-PK"/>
        </w:rPr>
      </w:pPr>
    </w:p>
    <w:p w14:paraId="320F2859" w14:textId="3EA45EAF" w:rsidR="00F14323" w:rsidRPr="000F5408" w:rsidRDefault="00F14323" w:rsidP="00F14323">
      <w:pPr>
        <w:widowControl w:val="0"/>
        <w:autoSpaceDE w:val="0"/>
        <w:autoSpaceDN w:val="0"/>
        <w:adjustRightInd w:val="0"/>
        <w:spacing w:after="240" w:line="240" w:lineRule="auto"/>
        <w:rPr>
          <w:rFonts w:ascii="Times New Roman" w:hAnsi="Times New Roman"/>
          <w:lang w:val="en-US" w:eastAsia="en-US" w:bidi="ur-PK"/>
        </w:rPr>
      </w:pPr>
      <w:r w:rsidRPr="00F14323">
        <w:rPr>
          <w:rFonts w:ascii="Times New Roman" w:hAnsi="Times New Roman"/>
          <w:lang w:eastAsia="en-US" w:bidi="ur-PK"/>
        </w:rPr>
        <w:t xml:space="preserve">World Health Organization (2022) Consolidated telemedicine implementation guide. Geneva: World Health Organization. Available at: </w:t>
      </w:r>
      <w:hyperlink r:id="rId59" w:tgtFrame="_new" w:history="1">
        <w:r w:rsidRPr="00F14323">
          <w:rPr>
            <w:rStyle w:val="Hyperlink"/>
            <w:rFonts w:ascii="Times New Roman" w:hAnsi="Times New Roman"/>
            <w:lang w:eastAsia="en-US" w:bidi="ur-PK"/>
          </w:rPr>
          <w:t>https://www.who.int/publications/i/item/9789240059184</w:t>
        </w:r>
      </w:hyperlink>
    </w:p>
    <w:p w14:paraId="1BE2E54C"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6A834CA7"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r w:rsidRPr="000F5408">
        <w:rPr>
          <w:rFonts w:ascii="Times New Roman" w:hAnsi="Times New Roman"/>
          <w:lang w:val="en-US" w:eastAsia="en-US" w:bidi="ur-PK"/>
        </w:rPr>
        <w:t xml:space="preserve">Xing, K. </w:t>
      </w:r>
      <w:r w:rsidRPr="000F5408">
        <w:rPr>
          <w:rFonts w:ascii="Times New Roman" w:hAnsi="Times New Roman"/>
          <w:i/>
          <w:iCs/>
          <w:lang w:val="en-US" w:eastAsia="en-US" w:bidi="ur-PK"/>
        </w:rPr>
        <w:t>et al.</w:t>
      </w:r>
      <w:r w:rsidRPr="000F5408">
        <w:rPr>
          <w:rFonts w:ascii="Times New Roman" w:hAnsi="Times New Roman"/>
          <w:lang w:val="en-US" w:eastAsia="en-US" w:bidi="ur-PK"/>
        </w:rPr>
        <w:t xml:space="preserve"> (2026) “Digital first primary care in NHS England: evaluating alignment with patient-centered care and implications for future practice,” </w:t>
      </w:r>
      <w:r w:rsidRPr="000F5408">
        <w:rPr>
          <w:rFonts w:ascii="Times New Roman" w:hAnsi="Times New Roman"/>
          <w:i/>
          <w:iCs/>
          <w:lang w:val="en-US" w:eastAsia="en-US" w:bidi="ur-PK"/>
        </w:rPr>
        <w:t>Frontiers in Digital Health</w:t>
      </w:r>
      <w:r w:rsidRPr="000F5408">
        <w:rPr>
          <w:rFonts w:ascii="Times New Roman" w:hAnsi="Times New Roman"/>
          <w:lang w:val="en-US" w:eastAsia="en-US" w:bidi="ur-PK"/>
        </w:rPr>
        <w:t xml:space="preserve">, 8, p. 1723805. Available at: </w:t>
      </w:r>
      <w:hyperlink r:id="rId60" w:history="1">
        <w:r w:rsidRPr="000F5408">
          <w:rPr>
            <w:rFonts w:ascii="Times New Roman" w:hAnsi="Times New Roman"/>
            <w:color w:val="0563C1"/>
            <w:u w:val="single"/>
            <w:lang w:val="en-US" w:eastAsia="en-US" w:bidi="ur-PK"/>
          </w:rPr>
          <w:t>https://doi.org/10.3389/fdgth.2026.1723805</w:t>
        </w:r>
      </w:hyperlink>
      <w:r w:rsidRPr="000F5408">
        <w:rPr>
          <w:rFonts w:ascii="Times New Roman" w:hAnsi="Times New Roman"/>
          <w:lang w:val="en-US" w:eastAsia="en-US" w:bidi="ur-PK"/>
        </w:rPr>
        <w:t>.</w:t>
      </w:r>
    </w:p>
    <w:p w14:paraId="4A209DC6"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60519F7A"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roofErr w:type="spellStart"/>
      <w:r w:rsidRPr="000F5408">
        <w:rPr>
          <w:rFonts w:ascii="Times New Roman" w:hAnsi="Times New Roman"/>
          <w:lang w:val="en-US" w:eastAsia="en-US" w:bidi="ur-PK"/>
        </w:rPr>
        <w:t>Yawar</w:t>
      </w:r>
      <w:proofErr w:type="spellEnd"/>
      <w:r w:rsidRPr="000F5408">
        <w:rPr>
          <w:rFonts w:ascii="Times New Roman" w:hAnsi="Times New Roman"/>
          <w:lang w:val="en-US" w:eastAsia="en-US" w:bidi="ur-PK"/>
        </w:rPr>
        <w:t xml:space="preserve">, R. and Asif, Z. (2022) “Capacity Building Using Digital Technology for Occupational Therapists and Caregivers in Pakistan: A Participatory Action Research Approach,” </w:t>
      </w:r>
      <w:r w:rsidRPr="000F5408">
        <w:rPr>
          <w:rFonts w:ascii="Times New Roman" w:hAnsi="Times New Roman"/>
          <w:i/>
          <w:iCs/>
          <w:lang w:val="en-US" w:eastAsia="en-US" w:bidi="ur-PK"/>
        </w:rPr>
        <w:t>International Journal of Telerehabilitation</w:t>
      </w:r>
      <w:r w:rsidRPr="000F5408">
        <w:rPr>
          <w:rFonts w:ascii="Times New Roman" w:hAnsi="Times New Roman"/>
          <w:lang w:val="en-US" w:eastAsia="en-US" w:bidi="ur-PK"/>
        </w:rPr>
        <w:t xml:space="preserve">, 14(2). Available at: </w:t>
      </w:r>
      <w:hyperlink r:id="rId61" w:history="1">
        <w:r w:rsidRPr="000F5408">
          <w:rPr>
            <w:rFonts w:ascii="Times New Roman" w:hAnsi="Times New Roman"/>
            <w:color w:val="0563C1"/>
            <w:u w:val="single"/>
            <w:lang w:val="en-US" w:eastAsia="en-US" w:bidi="ur-PK"/>
          </w:rPr>
          <w:t>https://doi.org/10.5195/ijt.2022.6509</w:t>
        </w:r>
      </w:hyperlink>
      <w:r w:rsidRPr="000F5408">
        <w:rPr>
          <w:rFonts w:ascii="Times New Roman" w:hAnsi="Times New Roman"/>
          <w:lang w:val="en-US" w:eastAsia="en-US" w:bidi="ur-PK"/>
        </w:rPr>
        <w:t>.</w:t>
      </w:r>
    </w:p>
    <w:p w14:paraId="365FF066" w14:textId="77777777" w:rsidR="000F5408" w:rsidRPr="000F5408" w:rsidRDefault="000F5408" w:rsidP="000F5408">
      <w:pPr>
        <w:widowControl w:val="0"/>
        <w:autoSpaceDE w:val="0"/>
        <w:autoSpaceDN w:val="0"/>
        <w:adjustRightInd w:val="0"/>
        <w:spacing w:after="240" w:line="240" w:lineRule="auto"/>
        <w:rPr>
          <w:rFonts w:ascii="Times New Roman" w:hAnsi="Times New Roman"/>
          <w:lang w:val="en-US" w:eastAsia="en-US" w:bidi="ur-PK"/>
        </w:rPr>
      </w:pPr>
    </w:p>
    <w:p w14:paraId="56EB3C30" w14:textId="77777777" w:rsidR="003A6314" w:rsidRDefault="003A6314" w:rsidP="000F5408">
      <w:pPr>
        <w:spacing w:after="200" w:line="360" w:lineRule="auto"/>
        <w:jc w:val="both"/>
        <w:rPr>
          <w:rFonts w:ascii="Times New Roman" w:hAnsi="Times New Roman"/>
          <w:lang w:val="en-US" w:eastAsia="en-US" w:bidi="ur-PK"/>
        </w:rPr>
      </w:pPr>
    </w:p>
    <w:p w14:paraId="75C072DD" w14:textId="77777777" w:rsidR="007C3AC9" w:rsidRPr="000F5408" w:rsidRDefault="007C3AC9" w:rsidP="000F5408">
      <w:pPr>
        <w:spacing w:after="200" w:line="360" w:lineRule="auto"/>
        <w:jc w:val="both"/>
        <w:rPr>
          <w:rFonts w:ascii="Times New Roman" w:hAnsi="Times New Roman"/>
          <w:lang w:val="en-US" w:eastAsia="en-US" w:bidi="ur-PK"/>
        </w:rPr>
      </w:pPr>
    </w:p>
    <w:p w14:paraId="0834F33D" w14:textId="77777777" w:rsidR="000F5408" w:rsidRPr="000F5408" w:rsidRDefault="000F5408" w:rsidP="000F5408">
      <w:pPr>
        <w:spacing w:after="300" w:line="240" w:lineRule="auto"/>
        <w:outlineLvl w:val="0"/>
        <w:rPr>
          <w:rFonts w:ascii="Times New Roman" w:hAnsi="Times New Roman"/>
          <w:sz w:val="32"/>
          <w:szCs w:val="32"/>
          <w:lang w:val="en-US" w:eastAsia="en-US" w:bidi="ur-PK"/>
        </w:rPr>
      </w:pPr>
      <w:bookmarkStart w:id="66" w:name="_Toc239804252"/>
      <w:r w:rsidRPr="000F5408">
        <w:rPr>
          <w:rFonts w:ascii="Times New Roman" w:hAnsi="Times New Roman"/>
          <w:b/>
          <w:bCs/>
          <w:sz w:val="30"/>
          <w:szCs w:val="30"/>
          <w:lang w:val="en-US" w:eastAsia="en-US" w:bidi="ur-PK"/>
        </w:rPr>
        <w:lastRenderedPageBreak/>
        <w:t>APPENDIX A: Studies Included in the Systematic Review (n = 32)</w:t>
      </w:r>
      <w:bookmarkEnd w:id="66"/>
    </w:p>
    <w:p w14:paraId="726420E2" w14:textId="1F0CCBF7" w:rsidR="000F5408" w:rsidRPr="000F5408" w:rsidRDefault="000F5408" w:rsidP="00E376E8">
      <w:pPr>
        <w:spacing w:after="200" w:line="340" w:lineRule="auto"/>
        <w:jc w:val="both"/>
        <w:rPr>
          <w:rFonts w:ascii="Times New Roman" w:hAnsi="Times New Roman"/>
          <w:lang w:val="en-US" w:eastAsia="en-US" w:bidi="ur-PK"/>
        </w:rPr>
      </w:pPr>
      <w:r w:rsidRPr="000F5408">
        <w:rPr>
          <w:rFonts w:ascii="Times New Roman" w:hAnsi="Times New Roman"/>
          <w:lang w:val="en-US" w:eastAsia="en-US" w:bidi="ur-PK"/>
        </w:rPr>
        <w:t>The table below lists all 32 studies included in the final synthesis presented in Chapter Four, drawn directly from the study's s</w:t>
      </w:r>
      <w:r w:rsidR="00E376E8">
        <w:rPr>
          <w:rFonts w:ascii="Times New Roman" w:hAnsi="Times New Roman"/>
          <w:lang w:val="en-US" w:eastAsia="en-US" w:bidi="ur-PK"/>
        </w:rPr>
        <w:t>creening records (Section 3.9).</w:t>
      </w:r>
    </w:p>
    <w:tbl>
      <w:tblPr>
        <w:tblW w:w="1021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22"/>
        <w:gridCol w:w="2873"/>
        <w:gridCol w:w="977"/>
        <w:gridCol w:w="1125"/>
        <w:gridCol w:w="1410"/>
        <w:gridCol w:w="3209"/>
      </w:tblGrid>
      <w:tr w:rsidR="000F5408" w:rsidRPr="000F5408" w14:paraId="59F14D15" w14:textId="77777777" w:rsidTr="00E376E8">
        <w:tc>
          <w:tcPr>
            <w:tcW w:w="622" w:type="dxa"/>
            <w:shd w:val="clear" w:color="auto" w:fill="D9E2F3"/>
          </w:tcPr>
          <w:p w14:paraId="064E610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18"/>
                <w:szCs w:val="18"/>
                <w:lang w:val="en-US" w:eastAsia="en-US" w:bidi="ur-PK"/>
              </w:rPr>
              <w:t>No.</w:t>
            </w:r>
          </w:p>
        </w:tc>
        <w:tc>
          <w:tcPr>
            <w:tcW w:w="2873" w:type="dxa"/>
            <w:shd w:val="clear" w:color="auto" w:fill="D9E2F3"/>
          </w:tcPr>
          <w:p w14:paraId="07EC5A9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18"/>
                <w:szCs w:val="18"/>
                <w:lang w:val="en-US" w:eastAsia="en-US" w:bidi="ur-PK"/>
              </w:rPr>
              <w:t>Author(s)</w:t>
            </w:r>
          </w:p>
        </w:tc>
        <w:tc>
          <w:tcPr>
            <w:tcW w:w="977" w:type="dxa"/>
            <w:shd w:val="clear" w:color="auto" w:fill="D9E2F3"/>
          </w:tcPr>
          <w:p w14:paraId="115B92DF"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18"/>
                <w:szCs w:val="18"/>
                <w:lang w:val="en-US" w:eastAsia="en-US" w:bidi="ur-PK"/>
              </w:rPr>
              <w:t>Year</w:t>
            </w:r>
          </w:p>
        </w:tc>
        <w:tc>
          <w:tcPr>
            <w:tcW w:w="1125" w:type="dxa"/>
            <w:shd w:val="clear" w:color="auto" w:fill="D9E2F3"/>
          </w:tcPr>
          <w:p w14:paraId="011E23D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18"/>
                <w:szCs w:val="18"/>
                <w:lang w:val="en-US" w:eastAsia="en-US" w:bidi="ur-PK"/>
              </w:rPr>
              <w:t>Country</w:t>
            </w:r>
          </w:p>
        </w:tc>
        <w:tc>
          <w:tcPr>
            <w:tcW w:w="1410" w:type="dxa"/>
            <w:shd w:val="clear" w:color="auto" w:fill="D9E2F3"/>
          </w:tcPr>
          <w:p w14:paraId="7C51DD1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18"/>
                <w:szCs w:val="18"/>
                <w:lang w:val="en-US" w:eastAsia="en-US" w:bidi="ur-PK"/>
              </w:rPr>
              <w:t>Design</w:t>
            </w:r>
          </w:p>
        </w:tc>
        <w:tc>
          <w:tcPr>
            <w:tcW w:w="3209" w:type="dxa"/>
            <w:shd w:val="clear" w:color="auto" w:fill="D9E2F3"/>
          </w:tcPr>
          <w:p w14:paraId="6B9BFAC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b/>
                <w:bCs/>
                <w:sz w:val="18"/>
                <w:szCs w:val="18"/>
                <w:lang w:val="en-US" w:eastAsia="en-US" w:bidi="ur-PK"/>
              </w:rPr>
              <w:t>Title</w:t>
            </w:r>
          </w:p>
        </w:tc>
      </w:tr>
      <w:tr w:rsidR="000F5408" w:rsidRPr="000F5408" w14:paraId="2610A391" w14:textId="77777777" w:rsidTr="00E376E8">
        <w:tc>
          <w:tcPr>
            <w:tcW w:w="622" w:type="dxa"/>
          </w:tcPr>
          <w:p w14:paraId="19270AE7" w14:textId="77777777" w:rsidR="000F5408" w:rsidRPr="000F5408" w:rsidRDefault="000F5408" w:rsidP="000F5408">
            <w:pPr>
              <w:bidi/>
              <w:spacing w:line="240" w:lineRule="auto"/>
              <w:rPr>
                <w:rFonts w:ascii="Times New Roman" w:hAnsi="Times New Roman"/>
                <w:sz w:val="18"/>
                <w:szCs w:val="18"/>
                <w:lang w:val="en-US" w:eastAsia="en-US" w:bidi="ur-PK"/>
              </w:rPr>
            </w:pPr>
            <w:r w:rsidRPr="000F5408">
              <w:rPr>
                <w:rFonts w:ascii="Times New Roman" w:hAnsi="Times New Roman"/>
                <w:sz w:val="18"/>
                <w:szCs w:val="18"/>
                <w:lang w:val="en-US" w:eastAsia="en-US" w:bidi="ur-PK"/>
              </w:rPr>
              <w:t>1</w:t>
            </w:r>
          </w:p>
          <w:p w14:paraId="09DA0574" w14:textId="77777777" w:rsidR="000F5408" w:rsidRPr="000F5408" w:rsidRDefault="000F5408" w:rsidP="000F5408">
            <w:pPr>
              <w:bidi/>
              <w:spacing w:line="240" w:lineRule="auto"/>
              <w:rPr>
                <w:rFonts w:ascii="Times New Roman" w:hAnsi="Times New Roman"/>
                <w:sz w:val="20"/>
                <w:szCs w:val="20"/>
                <w:lang w:val="en-US" w:eastAsia="en-US" w:bidi="ur-PK"/>
              </w:rPr>
            </w:pPr>
          </w:p>
          <w:p w14:paraId="0C0FFC33" w14:textId="77777777" w:rsidR="000F5408" w:rsidRPr="000F5408" w:rsidRDefault="000F5408" w:rsidP="000F5408">
            <w:pPr>
              <w:bidi/>
              <w:spacing w:line="240" w:lineRule="auto"/>
              <w:rPr>
                <w:rFonts w:ascii="Times New Roman" w:hAnsi="Times New Roman"/>
                <w:sz w:val="20"/>
                <w:szCs w:val="20"/>
                <w:lang w:val="en-US" w:eastAsia="en-US" w:bidi="ur-PK"/>
              </w:rPr>
            </w:pPr>
          </w:p>
          <w:p w14:paraId="5C4AE7D3" w14:textId="77777777" w:rsidR="000F5408" w:rsidRPr="000F5408" w:rsidRDefault="000F5408" w:rsidP="000F5408">
            <w:pPr>
              <w:bidi/>
              <w:spacing w:line="240" w:lineRule="auto"/>
              <w:rPr>
                <w:rFonts w:ascii="Times New Roman" w:hAnsi="Times New Roman"/>
                <w:sz w:val="20"/>
                <w:szCs w:val="20"/>
                <w:lang w:val="en-US" w:eastAsia="en-US" w:bidi="ur-PK"/>
              </w:rPr>
            </w:pPr>
          </w:p>
          <w:p w14:paraId="40AC6571" w14:textId="77777777" w:rsidR="000F5408" w:rsidRPr="000F5408" w:rsidRDefault="000F5408" w:rsidP="000F5408">
            <w:pPr>
              <w:bidi/>
              <w:spacing w:line="240" w:lineRule="auto"/>
              <w:rPr>
                <w:rFonts w:ascii="Times New Roman" w:hAnsi="Times New Roman"/>
                <w:sz w:val="20"/>
                <w:szCs w:val="20"/>
                <w:lang w:val="en-US" w:eastAsia="en-US" w:bidi="ur-PK"/>
              </w:rPr>
            </w:pPr>
          </w:p>
        </w:tc>
        <w:tc>
          <w:tcPr>
            <w:tcW w:w="2873" w:type="dxa"/>
          </w:tcPr>
          <w:p w14:paraId="30BC6716"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Alam</w:t>
            </w:r>
            <w:proofErr w:type="spellEnd"/>
            <w:r w:rsidRPr="000F5408">
              <w:rPr>
                <w:rFonts w:ascii="Times New Roman" w:hAnsi="Times New Roman"/>
                <w:sz w:val="18"/>
                <w:szCs w:val="18"/>
                <w:lang w:val="en-US" w:eastAsia="en-US" w:bidi="ur-PK"/>
              </w:rPr>
              <w:t xml:space="preserve">, L., </w:t>
            </w:r>
            <w:proofErr w:type="spellStart"/>
            <w:r w:rsidRPr="000F5408">
              <w:rPr>
                <w:rFonts w:ascii="Times New Roman" w:hAnsi="Times New Roman"/>
                <w:sz w:val="18"/>
                <w:szCs w:val="18"/>
                <w:lang w:val="en-US" w:eastAsia="en-US" w:bidi="ur-PK"/>
              </w:rPr>
              <w:t>Alam</w:t>
            </w:r>
            <w:proofErr w:type="spellEnd"/>
            <w:r w:rsidRPr="000F5408">
              <w:rPr>
                <w:rFonts w:ascii="Times New Roman" w:hAnsi="Times New Roman"/>
                <w:sz w:val="18"/>
                <w:szCs w:val="18"/>
                <w:lang w:val="en-US" w:eastAsia="en-US" w:bidi="ur-PK"/>
              </w:rPr>
              <w:t xml:space="preserve">, M., Malik, A.M. and </w:t>
            </w:r>
            <w:proofErr w:type="spellStart"/>
            <w:r w:rsidRPr="000F5408">
              <w:rPr>
                <w:rFonts w:ascii="Times New Roman" w:hAnsi="Times New Roman"/>
                <w:sz w:val="18"/>
                <w:szCs w:val="18"/>
                <w:lang w:val="en-US" w:eastAsia="en-US" w:bidi="ur-PK"/>
              </w:rPr>
              <w:t>Faraid</w:t>
            </w:r>
            <w:proofErr w:type="spellEnd"/>
            <w:r w:rsidRPr="000F5408">
              <w:rPr>
                <w:rFonts w:ascii="Times New Roman" w:hAnsi="Times New Roman"/>
                <w:sz w:val="18"/>
                <w:szCs w:val="18"/>
                <w:lang w:val="en-US" w:eastAsia="en-US" w:bidi="ur-PK"/>
              </w:rPr>
              <w:t>, V.</w:t>
            </w:r>
          </w:p>
        </w:tc>
        <w:tc>
          <w:tcPr>
            <w:tcW w:w="977" w:type="dxa"/>
          </w:tcPr>
          <w:p w14:paraId="46CB71F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2021</w:t>
            </w:r>
          </w:p>
        </w:tc>
        <w:tc>
          <w:tcPr>
            <w:tcW w:w="1125" w:type="dxa"/>
          </w:tcPr>
          <w:p w14:paraId="05DFC25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742F1A2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4E0B643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Is Telemedicine our cup of tea? A nationwide cross-sectional survey regarding doctors' experience and perceptions</w:t>
            </w:r>
          </w:p>
        </w:tc>
      </w:tr>
      <w:tr w:rsidR="000F5408" w:rsidRPr="000F5408" w14:paraId="3B1D626C" w14:textId="77777777" w:rsidTr="00E376E8">
        <w:tc>
          <w:tcPr>
            <w:tcW w:w="622" w:type="dxa"/>
          </w:tcPr>
          <w:p w14:paraId="675FC8B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w:t>
            </w:r>
          </w:p>
        </w:tc>
        <w:tc>
          <w:tcPr>
            <w:tcW w:w="2873" w:type="dxa"/>
          </w:tcPr>
          <w:p w14:paraId="60A4FD6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Haider, K.A., Gulam, O., </w:t>
            </w:r>
            <w:proofErr w:type="spellStart"/>
            <w:r w:rsidRPr="000F5408">
              <w:rPr>
                <w:rFonts w:ascii="Times New Roman" w:hAnsi="Times New Roman"/>
                <w:sz w:val="18"/>
                <w:szCs w:val="18"/>
                <w:lang w:val="en-US" w:eastAsia="en-US" w:bidi="ur-PK"/>
              </w:rPr>
              <w:t>Adamjee</w:t>
            </w:r>
            <w:proofErr w:type="spellEnd"/>
            <w:r w:rsidRPr="000F5408">
              <w:rPr>
                <w:rFonts w:ascii="Times New Roman" w:hAnsi="Times New Roman"/>
                <w:sz w:val="18"/>
                <w:szCs w:val="18"/>
                <w:lang w:val="en-US" w:eastAsia="en-US" w:bidi="ur-PK"/>
              </w:rPr>
              <w:t xml:space="preserve">, R., </w:t>
            </w:r>
            <w:proofErr w:type="spellStart"/>
            <w:r w:rsidRPr="000F5408">
              <w:rPr>
                <w:rFonts w:ascii="Times New Roman" w:hAnsi="Times New Roman"/>
                <w:sz w:val="18"/>
                <w:szCs w:val="18"/>
                <w:lang w:val="en-US" w:eastAsia="en-US" w:bidi="ur-PK"/>
              </w:rPr>
              <w:t>Balouch</w:t>
            </w:r>
            <w:proofErr w:type="spellEnd"/>
            <w:r w:rsidRPr="000F5408">
              <w:rPr>
                <w:rFonts w:ascii="Times New Roman" w:hAnsi="Times New Roman"/>
                <w:sz w:val="18"/>
                <w:szCs w:val="18"/>
                <w:lang w:val="en-US" w:eastAsia="en-US" w:bidi="ur-PK"/>
              </w:rPr>
              <w:t xml:space="preserve">, B. and </w:t>
            </w:r>
            <w:proofErr w:type="spellStart"/>
            <w:r w:rsidRPr="000F5408">
              <w:rPr>
                <w:rFonts w:ascii="Times New Roman" w:hAnsi="Times New Roman"/>
                <w:sz w:val="18"/>
                <w:szCs w:val="18"/>
                <w:lang w:val="en-US" w:eastAsia="en-US" w:bidi="ur-PK"/>
              </w:rPr>
              <w:t>Hoodbhoy</w:t>
            </w:r>
            <w:proofErr w:type="spellEnd"/>
            <w:r w:rsidRPr="000F5408">
              <w:rPr>
                <w:rFonts w:ascii="Times New Roman" w:hAnsi="Times New Roman"/>
                <w:sz w:val="18"/>
                <w:szCs w:val="18"/>
                <w:lang w:val="en-US" w:eastAsia="en-US" w:bidi="ur-PK"/>
              </w:rPr>
              <w:t>, Z.</w:t>
            </w:r>
          </w:p>
        </w:tc>
        <w:tc>
          <w:tcPr>
            <w:tcW w:w="977" w:type="dxa"/>
          </w:tcPr>
          <w:p w14:paraId="349A7D9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2022</w:t>
            </w:r>
          </w:p>
        </w:tc>
        <w:tc>
          <w:tcPr>
            <w:tcW w:w="1125" w:type="dxa"/>
          </w:tcPr>
          <w:p w14:paraId="25CFBDA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2DAC70D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Qualitative / mixed methods</w:t>
            </w:r>
          </w:p>
        </w:tc>
        <w:tc>
          <w:tcPr>
            <w:tcW w:w="3209" w:type="dxa"/>
          </w:tcPr>
          <w:p w14:paraId="4B70A2A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Health workers' experience of a digital health intervention implemented in peri-urban communities in Karachi, Pakistan</w:t>
            </w:r>
          </w:p>
        </w:tc>
      </w:tr>
      <w:tr w:rsidR="000F5408" w:rsidRPr="000F5408" w14:paraId="48A057AF" w14:textId="77777777" w:rsidTr="00E376E8">
        <w:tc>
          <w:tcPr>
            <w:tcW w:w="622" w:type="dxa"/>
          </w:tcPr>
          <w:p w14:paraId="71559D1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3</w:t>
            </w:r>
          </w:p>
        </w:tc>
        <w:tc>
          <w:tcPr>
            <w:tcW w:w="2873" w:type="dxa"/>
          </w:tcPr>
          <w:p w14:paraId="7C77EBE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Karim, M., Khurram, S.S., Aga, I.Z., </w:t>
            </w:r>
            <w:proofErr w:type="spellStart"/>
            <w:r w:rsidRPr="000F5408">
              <w:rPr>
                <w:rFonts w:ascii="Times New Roman" w:hAnsi="Times New Roman"/>
                <w:sz w:val="18"/>
                <w:szCs w:val="18"/>
                <w:lang w:val="en-US" w:eastAsia="en-US" w:bidi="ur-PK"/>
              </w:rPr>
              <w:t>Muzzamil</w:t>
            </w:r>
            <w:proofErr w:type="spellEnd"/>
            <w:r w:rsidRPr="000F5408">
              <w:rPr>
                <w:rFonts w:ascii="Times New Roman" w:hAnsi="Times New Roman"/>
                <w:sz w:val="18"/>
                <w:szCs w:val="18"/>
                <w:lang w:val="en-US" w:eastAsia="en-US" w:bidi="ur-PK"/>
              </w:rPr>
              <w:t>, M., Hashmi, S., Saeed, M. and Shafique, K.</w:t>
            </w:r>
          </w:p>
        </w:tc>
        <w:tc>
          <w:tcPr>
            <w:tcW w:w="977" w:type="dxa"/>
          </w:tcPr>
          <w:p w14:paraId="1FA286B1"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3915F291"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1A077C5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2C3A036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Analysis of telemedicine service delivery in Karachi, Pakistan: A cross-sectional survey examining practices and perspectives of healthcare providers</w:t>
            </w:r>
          </w:p>
        </w:tc>
      </w:tr>
      <w:tr w:rsidR="000F5408" w:rsidRPr="000F5408" w14:paraId="7DAB5157" w14:textId="77777777" w:rsidTr="00E376E8">
        <w:tc>
          <w:tcPr>
            <w:tcW w:w="622" w:type="dxa"/>
          </w:tcPr>
          <w:p w14:paraId="4A50BE4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4</w:t>
            </w:r>
          </w:p>
        </w:tc>
        <w:tc>
          <w:tcPr>
            <w:tcW w:w="2873" w:type="dxa"/>
          </w:tcPr>
          <w:p w14:paraId="16A14EC4"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Kazi</w:t>
            </w:r>
            <w:proofErr w:type="spellEnd"/>
            <w:r w:rsidRPr="000F5408">
              <w:rPr>
                <w:rFonts w:ascii="Times New Roman" w:hAnsi="Times New Roman"/>
                <w:sz w:val="18"/>
                <w:szCs w:val="18"/>
                <w:lang w:val="en-US" w:eastAsia="en-US" w:bidi="ur-PK"/>
              </w:rPr>
              <w:t xml:space="preserve">, A.M., Qazi, S.A., Ahsan, N., Khawaja, S., Sameen, F., Saqib, M., Mughal, M.A.K., </w:t>
            </w:r>
            <w:proofErr w:type="spellStart"/>
            <w:r w:rsidRPr="000F5408">
              <w:rPr>
                <w:rFonts w:ascii="Times New Roman" w:hAnsi="Times New Roman"/>
                <w:sz w:val="18"/>
                <w:szCs w:val="18"/>
                <w:lang w:val="en-US" w:eastAsia="en-US" w:bidi="ur-PK"/>
              </w:rPr>
              <w:t>Wajidali</w:t>
            </w:r>
            <w:proofErr w:type="spellEnd"/>
            <w:r w:rsidRPr="000F5408">
              <w:rPr>
                <w:rFonts w:ascii="Times New Roman" w:hAnsi="Times New Roman"/>
                <w:sz w:val="18"/>
                <w:szCs w:val="18"/>
                <w:lang w:val="en-US" w:eastAsia="en-US" w:bidi="ur-PK"/>
              </w:rPr>
              <w:t xml:space="preserve">, Z., Ali, S., Ahmed, R.M., </w:t>
            </w:r>
            <w:proofErr w:type="spellStart"/>
            <w:r w:rsidRPr="000F5408">
              <w:rPr>
                <w:rFonts w:ascii="Times New Roman" w:hAnsi="Times New Roman"/>
                <w:sz w:val="18"/>
                <w:szCs w:val="18"/>
                <w:lang w:val="en-US" w:eastAsia="en-US" w:bidi="ur-PK"/>
              </w:rPr>
              <w:t>Kalimuddin</w:t>
            </w:r>
            <w:proofErr w:type="spellEnd"/>
            <w:r w:rsidRPr="000F5408">
              <w:rPr>
                <w:rFonts w:ascii="Times New Roman" w:hAnsi="Times New Roman"/>
                <w:sz w:val="18"/>
                <w:szCs w:val="18"/>
                <w:lang w:val="en-US" w:eastAsia="en-US" w:bidi="ur-PK"/>
              </w:rPr>
              <w:t xml:space="preserve">, H., Rauf, Y., Mahmood, F., Zafar, S., Abbasi, T.A., </w:t>
            </w:r>
            <w:proofErr w:type="spellStart"/>
            <w:r w:rsidRPr="000F5408">
              <w:rPr>
                <w:rFonts w:ascii="Times New Roman" w:hAnsi="Times New Roman"/>
                <w:sz w:val="18"/>
                <w:szCs w:val="18"/>
                <w:lang w:val="en-US" w:eastAsia="en-US" w:bidi="ur-PK"/>
              </w:rPr>
              <w:t>Khoumbati</w:t>
            </w:r>
            <w:proofErr w:type="spellEnd"/>
            <w:r w:rsidRPr="000F5408">
              <w:rPr>
                <w:rFonts w:ascii="Times New Roman" w:hAnsi="Times New Roman"/>
                <w:sz w:val="18"/>
                <w:szCs w:val="18"/>
                <w:lang w:val="en-US" w:eastAsia="en-US" w:bidi="ur-PK"/>
              </w:rPr>
              <w:t xml:space="preserve">, K.U.R., Abbasi, M.A. and </w:t>
            </w:r>
            <w:proofErr w:type="spellStart"/>
            <w:r w:rsidRPr="000F5408">
              <w:rPr>
                <w:rFonts w:ascii="Times New Roman" w:hAnsi="Times New Roman"/>
                <w:sz w:val="18"/>
                <w:szCs w:val="18"/>
                <w:lang w:val="en-US" w:eastAsia="en-US" w:bidi="ur-PK"/>
              </w:rPr>
              <w:t>Stergioulas</w:t>
            </w:r>
            <w:proofErr w:type="spellEnd"/>
            <w:r w:rsidRPr="000F5408">
              <w:rPr>
                <w:rFonts w:ascii="Times New Roman" w:hAnsi="Times New Roman"/>
                <w:sz w:val="18"/>
                <w:szCs w:val="18"/>
                <w:lang w:val="en-US" w:eastAsia="en-US" w:bidi="ur-PK"/>
              </w:rPr>
              <w:t>, L.K.</w:t>
            </w:r>
          </w:p>
        </w:tc>
        <w:tc>
          <w:tcPr>
            <w:tcW w:w="977" w:type="dxa"/>
          </w:tcPr>
          <w:p w14:paraId="455770E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2020</w:t>
            </w:r>
          </w:p>
        </w:tc>
        <w:tc>
          <w:tcPr>
            <w:tcW w:w="1125" w:type="dxa"/>
          </w:tcPr>
          <w:p w14:paraId="4693DEA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31D1B37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Mixed methods (SWOT)</w:t>
            </w:r>
          </w:p>
        </w:tc>
        <w:tc>
          <w:tcPr>
            <w:tcW w:w="3209" w:type="dxa"/>
          </w:tcPr>
          <w:p w14:paraId="54DEAD4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Current Challenges of Digital Health Interventions in Pakistan: Mixed Methods Analysis</w:t>
            </w:r>
          </w:p>
        </w:tc>
      </w:tr>
      <w:tr w:rsidR="000F5408" w:rsidRPr="000F5408" w14:paraId="7DCDD949" w14:textId="77777777" w:rsidTr="00E376E8">
        <w:tc>
          <w:tcPr>
            <w:tcW w:w="622" w:type="dxa"/>
          </w:tcPr>
          <w:p w14:paraId="305C65C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5</w:t>
            </w:r>
          </w:p>
        </w:tc>
        <w:tc>
          <w:tcPr>
            <w:tcW w:w="2873" w:type="dxa"/>
          </w:tcPr>
          <w:p w14:paraId="63BA323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Khan, M.S., Almas, A., Samad, Z., Zimmerman, K.O. and Ali, T.S.</w:t>
            </w:r>
          </w:p>
        </w:tc>
        <w:tc>
          <w:tcPr>
            <w:tcW w:w="977" w:type="dxa"/>
          </w:tcPr>
          <w:p w14:paraId="7925C33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2025</w:t>
            </w:r>
          </w:p>
        </w:tc>
        <w:tc>
          <w:tcPr>
            <w:tcW w:w="1125" w:type="dxa"/>
          </w:tcPr>
          <w:p w14:paraId="38BF279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185F9E0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Mixed methods</w:t>
            </w:r>
          </w:p>
        </w:tc>
        <w:tc>
          <w:tcPr>
            <w:tcW w:w="3209" w:type="dxa"/>
          </w:tcPr>
          <w:p w14:paraId="273D82C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School eHealth Education Program Pakistan (</w:t>
            </w:r>
            <w:proofErr w:type="spellStart"/>
            <w:r w:rsidRPr="000F5408">
              <w:rPr>
                <w:rFonts w:ascii="Times New Roman" w:hAnsi="Times New Roman"/>
                <w:sz w:val="18"/>
                <w:szCs w:val="18"/>
                <w:lang w:val="en-US" w:eastAsia="en-US" w:bidi="ur-PK"/>
              </w:rPr>
              <w:t>eSHEPP</w:t>
            </w:r>
            <w:proofErr w:type="spellEnd"/>
            <w:r w:rsidRPr="000F5408">
              <w:rPr>
                <w:rFonts w:ascii="Times New Roman" w:hAnsi="Times New Roman"/>
                <w:sz w:val="18"/>
                <w:szCs w:val="18"/>
                <w:lang w:val="en-US" w:eastAsia="en-US" w:bidi="ur-PK"/>
              </w:rPr>
              <w:t>) to improve NCDs awareness in adolescents from urban Pakistan: a mixed method design protocol</w:t>
            </w:r>
          </w:p>
        </w:tc>
      </w:tr>
      <w:tr w:rsidR="000F5408" w:rsidRPr="000F5408" w14:paraId="7F4CDBCD" w14:textId="77777777" w:rsidTr="00E376E8">
        <w:tc>
          <w:tcPr>
            <w:tcW w:w="622" w:type="dxa"/>
          </w:tcPr>
          <w:p w14:paraId="5D15C80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6</w:t>
            </w:r>
          </w:p>
        </w:tc>
        <w:tc>
          <w:tcPr>
            <w:tcW w:w="2873" w:type="dxa"/>
          </w:tcPr>
          <w:p w14:paraId="27A8380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Khurram, S.S., Aga, I.Z., </w:t>
            </w:r>
            <w:proofErr w:type="spellStart"/>
            <w:r w:rsidRPr="000F5408">
              <w:rPr>
                <w:rFonts w:ascii="Times New Roman" w:hAnsi="Times New Roman"/>
                <w:sz w:val="18"/>
                <w:szCs w:val="18"/>
                <w:lang w:val="en-US" w:eastAsia="en-US" w:bidi="ur-PK"/>
              </w:rPr>
              <w:t>Muzzamil</w:t>
            </w:r>
            <w:proofErr w:type="spellEnd"/>
            <w:r w:rsidRPr="000F5408">
              <w:rPr>
                <w:rFonts w:ascii="Times New Roman" w:hAnsi="Times New Roman"/>
                <w:sz w:val="18"/>
                <w:szCs w:val="18"/>
                <w:lang w:val="en-US" w:eastAsia="en-US" w:bidi="ur-PK"/>
              </w:rPr>
              <w:t>, M., Karim, M. and Hashmi, S.</w:t>
            </w:r>
          </w:p>
        </w:tc>
        <w:tc>
          <w:tcPr>
            <w:tcW w:w="977" w:type="dxa"/>
          </w:tcPr>
          <w:p w14:paraId="7B79F27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10582A4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215ADEA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361C85F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Transitioning From Crisis to Continuity Post-COVID-19 Pandemic: Adoption of Telehealth by </w:t>
            </w:r>
            <w:proofErr w:type="spellStart"/>
            <w:r w:rsidRPr="000F5408">
              <w:rPr>
                <w:rFonts w:ascii="Times New Roman" w:hAnsi="Times New Roman"/>
                <w:sz w:val="18"/>
                <w:szCs w:val="18"/>
                <w:lang w:val="en-US" w:eastAsia="en-US" w:bidi="ur-PK"/>
              </w:rPr>
              <w:t>Sehat</w:t>
            </w:r>
            <w:proofErr w:type="spellEnd"/>
            <w:r w:rsidRPr="000F5408">
              <w:rPr>
                <w:rFonts w:ascii="Times New Roman" w:hAnsi="Times New Roman"/>
                <w:sz w:val="18"/>
                <w:szCs w:val="18"/>
                <w:lang w:val="en-US" w:eastAsia="en-US" w:bidi="ur-PK"/>
              </w:rPr>
              <w:t xml:space="preserve"> Kahani Healthcare Providers, Karachi, Pakistan</w:t>
            </w:r>
          </w:p>
        </w:tc>
      </w:tr>
      <w:tr w:rsidR="000F5408" w:rsidRPr="000F5408" w14:paraId="6EED4968" w14:textId="77777777" w:rsidTr="00E376E8">
        <w:tc>
          <w:tcPr>
            <w:tcW w:w="622" w:type="dxa"/>
          </w:tcPr>
          <w:p w14:paraId="42993DB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7</w:t>
            </w:r>
          </w:p>
        </w:tc>
        <w:tc>
          <w:tcPr>
            <w:tcW w:w="2873" w:type="dxa"/>
          </w:tcPr>
          <w:p w14:paraId="0BE13AE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Malik, T., Ong, S.C. and Butt, M.D.</w:t>
            </w:r>
          </w:p>
        </w:tc>
        <w:tc>
          <w:tcPr>
            <w:tcW w:w="977" w:type="dxa"/>
          </w:tcPr>
          <w:p w14:paraId="5A9C48F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2025</w:t>
            </w:r>
          </w:p>
        </w:tc>
        <w:tc>
          <w:tcPr>
            <w:tcW w:w="1125" w:type="dxa"/>
          </w:tcPr>
          <w:p w14:paraId="38A8F2C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44772A44" w14:textId="4A15FECE" w:rsidR="000F5408" w:rsidRPr="000F5408" w:rsidRDefault="00E376E8" w:rsidP="000F5408">
            <w:pPr>
              <w:bidi/>
              <w:spacing w:line="240" w:lineRule="auto"/>
              <w:rPr>
                <w:rFonts w:ascii="Times New Roman" w:hAnsi="Times New Roman"/>
                <w:sz w:val="20"/>
                <w:szCs w:val="20"/>
                <w:lang w:val="en-US" w:eastAsia="en-US" w:bidi="ur-PK"/>
              </w:rPr>
            </w:pPr>
            <w:r w:rsidRPr="0043400D">
              <w:rPr>
                <w:rFonts w:ascii="Times New Roman" w:hAnsi="Times New Roman"/>
                <w:sz w:val="18"/>
                <w:szCs w:val="18"/>
                <w:lang w:val="en-US" w:eastAsia="en-US"/>
              </w:rPr>
              <w:t>cost comparison/ICER analysis</w:t>
            </w:r>
          </w:p>
        </w:tc>
        <w:tc>
          <w:tcPr>
            <w:tcW w:w="3209" w:type="dxa"/>
          </w:tcPr>
          <w:p w14:paraId="2A9D485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Enhancing healthcare access through telehealth: patient-</w:t>
            </w:r>
            <w:proofErr w:type="spellStart"/>
            <w:r w:rsidRPr="000F5408">
              <w:rPr>
                <w:rFonts w:ascii="Times New Roman" w:hAnsi="Times New Roman"/>
                <w:sz w:val="18"/>
                <w:szCs w:val="18"/>
                <w:lang w:val="en-US" w:eastAsia="en-US" w:bidi="ur-PK"/>
              </w:rPr>
              <w:t>centred</w:t>
            </w:r>
            <w:proofErr w:type="spellEnd"/>
            <w:r w:rsidRPr="000F5408">
              <w:rPr>
                <w:rFonts w:ascii="Times New Roman" w:hAnsi="Times New Roman"/>
                <w:sz w:val="18"/>
                <w:szCs w:val="18"/>
                <w:lang w:val="en-US" w:eastAsia="en-US" w:bidi="ur-PK"/>
              </w:rPr>
              <w:t xml:space="preserve"> insights from Pakistan's primary care sector</w:t>
            </w:r>
          </w:p>
        </w:tc>
      </w:tr>
      <w:tr w:rsidR="000F5408" w:rsidRPr="000F5408" w14:paraId="58F42E12" w14:textId="77777777" w:rsidTr="00E376E8">
        <w:tc>
          <w:tcPr>
            <w:tcW w:w="622" w:type="dxa"/>
          </w:tcPr>
          <w:p w14:paraId="20261B2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8</w:t>
            </w:r>
          </w:p>
        </w:tc>
        <w:tc>
          <w:tcPr>
            <w:tcW w:w="2873" w:type="dxa"/>
          </w:tcPr>
          <w:p w14:paraId="70EBC70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Mansoor, M., Butt, A., Sarfraz, R., Imran, S., </w:t>
            </w:r>
            <w:proofErr w:type="spellStart"/>
            <w:r w:rsidRPr="000F5408">
              <w:rPr>
                <w:rFonts w:ascii="Times New Roman" w:hAnsi="Times New Roman"/>
                <w:sz w:val="18"/>
                <w:szCs w:val="18"/>
                <w:lang w:val="en-US" w:eastAsia="en-US" w:bidi="ur-PK"/>
              </w:rPr>
              <w:t>Masrur</w:t>
            </w:r>
            <w:proofErr w:type="spellEnd"/>
            <w:r w:rsidRPr="000F5408">
              <w:rPr>
                <w:rFonts w:ascii="Times New Roman" w:hAnsi="Times New Roman"/>
                <w:sz w:val="18"/>
                <w:szCs w:val="18"/>
                <w:lang w:val="en-US" w:eastAsia="en-US" w:bidi="ur-PK"/>
              </w:rPr>
              <w:t>, A. and Khan, M.R.</w:t>
            </w:r>
          </w:p>
        </w:tc>
        <w:tc>
          <w:tcPr>
            <w:tcW w:w="977" w:type="dxa"/>
          </w:tcPr>
          <w:p w14:paraId="203F7C6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2025</w:t>
            </w:r>
          </w:p>
        </w:tc>
        <w:tc>
          <w:tcPr>
            <w:tcW w:w="1125" w:type="dxa"/>
          </w:tcPr>
          <w:p w14:paraId="3E93ACD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4259B96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Mixed methods</w:t>
            </w:r>
          </w:p>
        </w:tc>
        <w:tc>
          <w:tcPr>
            <w:tcW w:w="3209" w:type="dxa"/>
          </w:tcPr>
          <w:p w14:paraId="07295D7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Telemedicine literacy: an explanatory sequential mixed-method inquiry into awareness and experiences of medical students and clinicians in Islamabad</w:t>
            </w:r>
          </w:p>
        </w:tc>
      </w:tr>
      <w:tr w:rsidR="000F5408" w:rsidRPr="000F5408" w14:paraId="66B25319" w14:textId="77777777" w:rsidTr="00E376E8">
        <w:tc>
          <w:tcPr>
            <w:tcW w:w="622" w:type="dxa"/>
          </w:tcPr>
          <w:p w14:paraId="2A98421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9</w:t>
            </w:r>
          </w:p>
        </w:tc>
        <w:tc>
          <w:tcPr>
            <w:tcW w:w="2873" w:type="dxa"/>
          </w:tcPr>
          <w:p w14:paraId="2E2BD56E"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Mechael</w:t>
            </w:r>
            <w:proofErr w:type="spellEnd"/>
            <w:r w:rsidRPr="000F5408">
              <w:rPr>
                <w:rFonts w:ascii="Times New Roman" w:hAnsi="Times New Roman"/>
                <w:sz w:val="18"/>
                <w:szCs w:val="18"/>
                <w:lang w:val="en-US" w:eastAsia="en-US" w:bidi="ur-PK"/>
              </w:rPr>
              <w:t xml:space="preserve">, P., Gilani, S., Ahmad, A., Lefevre, A., Mohan, D., Memon, A., Shah, M.T., Siddiqi, D.A., </w:t>
            </w:r>
            <w:proofErr w:type="spellStart"/>
            <w:r w:rsidRPr="000F5408">
              <w:rPr>
                <w:rFonts w:ascii="Times New Roman" w:hAnsi="Times New Roman"/>
                <w:sz w:val="18"/>
                <w:szCs w:val="18"/>
                <w:lang w:val="en-US" w:eastAsia="en-US" w:bidi="ur-PK"/>
              </w:rPr>
              <w:t>Chandir</w:t>
            </w:r>
            <w:proofErr w:type="spellEnd"/>
            <w:r w:rsidRPr="000F5408">
              <w:rPr>
                <w:rFonts w:ascii="Times New Roman" w:hAnsi="Times New Roman"/>
                <w:sz w:val="18"/>
                <w:szCs w:val="18"/>
                <w:lang w:val="en-US" w:eastAsia="en-US" w:bidi="ur-PK"/>
              </w:rPr>
              <w:t xml:space="preserve">, S. and </w:t>
            </w:r>
            <w:proofErr w:type="spellStart"/>
            <w:r w:rsidRPr="000F5408">
              <w:rPr>
                <w:rFonts w:ascii="Times New Roman" w:hAnsi="Times New Roman"/>
                <w:sz w:val="18"/>
                <w:szCs w:val="18"/>
                <w:lang w:val="en-US" w:eastAsia="en-US" w:bidi="ur-PK"/>
              </w:rPr>
              <w:t>Soundardjee</w:t>
            </w:r>
            <w:proofErr w:type="spellEnd"/>
            <w:r w:rsidRPr="000F5408">
              <w:rPr>
                <w:rFonts w:ascii="Times New Roman" w:hAnsi="Times New Roman"/>
                <w:sz w:val="18"/>
                <w:szCs w:val="18"/>
                <w:lang w:val="en-US" w:eastAsia="en-US" w:bidi="ur-PK"/>
              </w:rPr>
              <w:t>, R.</w:t>
            </w:r>
          </w:p>
        </w:tc>
        <w:tc>
          <w:tcPr>
            <w:tcW w:w="977" w:type="dxa"/>
          </w:tcPr>
          <w:p w14:paraId="62A7A07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53C40EAF"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2374296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Mixed methods</w:t>
            </w:r>
          </w:p>
        </w:tc>
        <w:tc>
          <w:tcPr>
            <w:tcW w:w="3209" w:type="dxa"/>
          </w:tcPr>
          <w:p w14:paraId="3A65992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Evaluating the "</w:t>
            </w:r>
            <w:proofErr w:type="spellStart"/>
            <w:r w:rsidRPr="000F5408">
              <w:rPr>
                <w:rFonts w:ascii="Times New Roman" w:hAnsi="Times New Roman"/>
                <w:sz w:val="18"/>
                <w:szCs w:val="18"/>
                <w:lang w:val="en-US" w:eastAsia="en-US" w:bidi="ur-PK"/>
              </w:rPr>
              <w:t>Zindagi</w:t>
            </w:r>
            <w:proofErr w:type="spellEnd"/>
            <w:r w:rsidRPr="000F5408">
              <w:rPr>
                <w:rFonts w:ascii="Times New Roman" w:hAnsi="Times New Roman"/>
                <w:sz w:val="18"/>
                <w:szCs w:val="18"/>
                <w:lang w:val="en-US" w:eastAsia="en-US" w:bidi="ur-PK"/>
              </w:rPr>
              <w:t xml:space="preserve"> </w:t>
            </w:r>
            <w:proofErr w:type="spellStart"/>
            <w:r w:rsidRPr="000F5408">
              <w:rPr>
                <w:rFonts w:ascii="Times New Roman" w:hAnsi="Times New Roman"/>
                <w:sz w:val="18"/>
                <w:szCs w:val="18"/>
                <w:lang w:val="en-US" w:eastAsia="en-US" w:bidi="ur-PK"/>
              </w:rPr>
              <w:t>Mehfooz</w:t>
            </w:r>
            <w:proofErr w:type="spellEnd"/>
            <w:r w:rsidRPr="000F5408">
              <w:rPr>
                <w:rFonts w:ascii="Times New Roman" w:hAnsi="Times New Roman"/>
                <w:sz w:val="18"/>
                <w:szCs w:val="18"/>
                <w:lang w:val="en-US" w:eastAsia="en-US" w:bidi="ur-PK"/>
              </w:rPr>
              <w:t>" Electronic Immunization Registry and Suite of Digital Health Interventions to Improve the Coverage and Timeliness of Immunization Services in Sindh, Pakistan: Mixed Methods Study</w:t>
            </w:r>
          </w:p>
        </w:tc>
      </w:tr>
      <w:tr w:rsidR="000F5408" w:rsidRPr="000F5408" w14:paraId="677B7D6E" w14:textId="77777777" w:rsidTr="00E376E8">
        <w:tc>
          <w:tcPr>
            <w:tcW w:w="622" w:type="dxa"/>
          </w:tcPr>
          <w:p w14:paraId="622ADAA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10</w:t>
            </w:r>
          </w:p>
        </w:tc>
        <w:tc>
          <w:tcPr>
            <w:tcW w:w="2873" w:type="dxa"/>
          </w:tcPr>
          <w:p w14:paraId="2113C43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Raza, S.H., </w:t>
            </w:r>
            <w:proofErr w:type="spellStart"/>
            <w:r w:rsidRPr="000F5408">
              <w:rPr>
                <w:rFonts w:ascii="Times New Roman" w:hAnsi="Times New Roman"/>
                <w:sz w:val="18"/>
                <w:szCs w:val="18"/>
                <w:lang w:val="en-US" w:eastAsia="en-US" w:bidi="ur-PK"/>
              </w:rPr>
              <w:t>Norin</w:t>
            </w:r>
            <w:proofErr w:type="spellEnd"/>
            <w:r w:rsidRPr="000F5408">
              <w:rPr>
                <w:rFonts w:ascii="Times New Roman" w:hAnsi="Times New Roman"/>
                <w:sz w:val="18"/>
                <w:szCs w:val="18"/>
                <w:lang w:val="en-US" w:eastAsia="en-US" w:bidi="ur-PK"/>
              </w:rPr>
              <w:t xml:space="preserve">, U., </w:t>
            </w:r>
            <w:proofErr w:type="spellStart"/>
            <w:r w:rsidRPr="000F5408">
              <w:rPr>
                <w:rFonts w:ascii="Times New Roman" w:hAnsi="Times New Roman"/>
                <w:sz w:val="18"/>
                <w:szCs w:val="18"/>
                <w:lang w:val="en-US" w:eastAsia="en-US" w:bidi="ur-PK"/>
              </w:rPr>
              <w:t>Ogadimma</w:t>
            </w:r>
            <w:proofErr w:type="spellEnd"/>
            <w:r w:rsidRPr="000F5408">
              <w:rPr>
                <w:rFonts w:ascii="Times New Roman" w:hAnsi="Times New Roman"/>
                <w:sz w:val="18"/>
                <w:szCs w:val="18"/>
                <w:lang w:val="en-US" w:eastAsia="en-US" w:bidi="ur-PK"/>
              </w:rPr>
              <w:t xml:space="preserve">, E.C., Zaman, U., Shah, A.A., Khan, S., </w:t>
            </w:r>
            <w:proofErr w:type="spellStart"/>
            <w:r w:rsidRPr="000F5408">
              <w:rPr>
                <w:rFonts w:ascii="Times New Roman" w:hAnsi="Times New Roman"/>
                <w:sz w:val="18"/>
                <w:szCs w:val="18"/>
                <w:lang w:val="en-US" w:eastAsia="en-US" w:bidi="ur-PK"/>
              </w:rPr>
              <w:t>Alkahtani</w:t>
            </w:r>
            <w:proofErr w:type="spellEnd"/>
            <w:r w:rsidRPr="000F5408">
              <w:rPr>
                <w:rFonts w:ascii="Times New Roman" w:hAnsi="Times New Roman"/>
                <w:sz w:val="18"/>
                <w:szCs w:val="18"/>
                <w:lang w:val="en-US" w:eastAsia="en-US" w:bidi="ur-PK"/>
              </w:rPr>
              <w:t xml:space="preserve">, H.K., </w:t>
            </w:r>
            <w:proofErr w:type="spellStart"/>
            <w:r w:rsidRPr="000F5408">
              <w:rPr>
                <w:rFonts w:ascii="Times New Roman" w:hAnsi="Times New Roman"/>
                <w:sz w:val="18"/>
                <w:szCs w:val="18"/>
                <w:lang w:val="en-US" w:eastAsia="en-US" w:bidi="ur-PK"/>
              </w:rPr>
              <w:t>Alkhowaiter</w:t>
            </w:r>
            <w:proofErr w:type="spellEnd"/>
            <w:r w:rsidRPr="000F5408">
              <w:rPr>
                <w:rFonts w:ascii="Times New Roman" w:hAnsi="Times New Roman"/>
                <w:sz w:val="18"/>
                <w:szCs w:val="18"/>
                <w:lang w:val="en-US" w:eastAsia="en-US" w:bidi="ur-PK"/>
              </w:rPr>
              <w:t>, M. and Khan, S.U.</w:t>
            </w:r>
          </w:p>
        </w:tc>
        <w:tc>
          <w:tcPr>
            <w:tcW w:w="977" w:type="dxa"/>
          </w:tcPr>
          <w:p w14:paraId="0E5C242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2025</w:t>
            </w:r>
          </w:p>
        </w:tc>
        <w:tc>
          <w:tcPr>
            <w:tcW w:w="1125" w:type="dxa"/>
          </w:tcPr>
          <w:p w14:paraId="7FE3339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4A3F491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78E4401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Catenation between mHealth application advertisements and cardiovascular diseases: moderation of artificial intelligence (AI)-enabled internet of things, digital divide, and individual trust</w:t>
            </w:r>
          </w:p>
        </w:tc>
      </w:tr>
      <w:tr w:rsidR="000F5408" w:rsidRPr="000F5408" w14:paraId="456F89F7" w14:textId="77777777" w:rsidTr="00E376E8">
        <w:tc>
          <w:tcPr>
            <w:tcW w:w="622" w:type="dxa"/>
          </w:tcPr>
          <w:p w14:paraId="0787E57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11</w:t>
            </w:r>
          </w:p>
        </w:tc>
        <w:tc>
          <w:tcPr>
            <w:tcW w:w="2873" w:type="dxa"/>
          </w:tcPr>
          <w:p w14:paraId="037ACD6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Saifullah, Ma, Z.Q., Li, M.X., Maqbool, M.Q. and Chen, J.</w:t>
            </w:r>
          </w:p>
        </w:tc>
        <w:tc>
          <w:tcPr>
            <w:tcW w:w="977" w:type="dxa"/>
          </w:tcPr>
          <w:p w14:paraId="1927246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0DACC63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383DA977" w14:textId="5D53670A" w:rsidR="000F5408" w:rsidRPr="000F5408" w:rsidRDefault="00E376E8" w:rsidP="000F5408">
            <w:pPr>
              <w:bidi/>
              <w:spacing w:line="240" w:lineRule="auto"/>
              <w:rPr>
                <w:rFonts w:ascii="Times New Roman" w:hAnsi="Times New Roman"/>
                <w:sz w:val="20"/>
                <w:szCs w:val="20"/>
                <w:lang w:val="en-US" w:eastAsia="en-US" w:bidi="ur-PK"/>
              </w:rPr>
            </w:pPr>
            <w:r w:rsidRPr="0043400D">
              <w:rPr>
                <w:rFonts w:ascii="Times New Roman" w:hAnsi="Times New Roman"/>
                <w:sz w:val="18"/>
                <w:szCs w:val="18"/>
                <w:lang w:val="en-US" w:eastAsia="en-US"/>
              </w:rPr>
              <w:t>Cross-sectional/analytical study</w:t>
            </w:r>
          </w:p>
        </w:tc>
        <w:tc>
          <w:tcPr>
            <w:tcW w:w="3209" w:type="dxa"/>
          </w:tcPr>
          <w:p w14:paraId="309B008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Enhancing telehealth services development in Pakistani healthcare sectors through examining various medical service quality characteristics</w:t>
            </w:r>
          </w:p>
        </w:tc>
      </w:tr>
      <w:tr w:rsidR="000F5408" w:rsidRPr="000F5408" w14:paraId="30A5EAEB" w14:textId="77777777" w:rsidTr="00E376E8">
        <w:tc>
          <w:tcPr>
            <w:tcW w:w="622" w:type="dxa"/>
          </w:tcPr>
          <w:p w14:paraId="630CA38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12</w:t>
            </w:r>
          </w:p>
        </w:tc>
        <w:tc>
          <w:tcPr>
            <w:tcW w:w="2873" w:type="dxa"/>
          </w:tcPr>
          <w:p w14:paraId="76EAEB07"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Shahil-Feroz</w:t>
            </w:r>
            <w:proofErr w:type="spellEnd"/>
            <w:r w:rsidRPr="000F5408">
              <w:rPr>
                <w:rFonts w:ascii="Times New Roman" w:hAnsi="Times New Roman"/>
                <w:sz w:val="18"/>
                <w:szCs w:val="18"/>
                <w:lang w:val="en-US" w:eastAsia="en-US" w:bidi="ur-PK"/>
              </w:rPr>
              <w:t xml:space="preserve">, A., Riaz, A., Yasmin, H., Saleem, S., </w:t>
            </w:r>
            <w:proofErr w:type="spellStart"/>
            <w:r w:rsidRPr="000F5408">
              <w:rPr>
                <w:rFonts w:ascii="Times New Roman" w:hAnsi="Times New Roman"/>
                <w:sz w:val="18"/>
                <w:szCs w:val="18"/>
                <w:lang w:val="en-US" w:eastAsia="en-US" w:bidi="ur-PK"/>
              </w:rPr>
              <w:t>Bhutta</w:t>
            </w:r>
            <w:proofErr w:type="spellEnd"/>
            <w:r w:rsidRPr="000F5408">
              <w:rPr>
                <w:rFonts w:ascii="Times New Roman" w:hAnsi="Times New Roman"/>
                <w:sz w:val="18"/>
                <w:szCs w:val="18"/>
                <w:lang w:val="en-US" w:eastAsia="en-US" w:bidi="ur-PK"/>
              </w:rPr>
              <w:t xml:space="preserve">, Z. and </w:t>
            </w:r>
            <w:proofErr w:type="spellStart"/>
            <w:r w:rsidRPr="000F5408">
              <w:rPr>
                <w:rFonts w:ascii="Times New Roman" w:hAnsi="Times New Roman"/>
                <w:sz w:val="18"/>
                <w:szCs w:val="18"/>
                <w:lang w:val="en-US" w:eastAsia="en-US" w:bidi="ur-PK"/>
              </w:rPr>
              <w:t>Seto</w:t>
            </w:r>
            <w:proofErr w:type="spellEnd"/>
            <w:r w:rsidRPr="000F5408">
              <w:rPr>
                <w:rFonts w:ascii="Times New Roman" w:hAnsi="Times New Roman"/>
                <w:sz w:val="18"/>
                <w:szCs w:val="18"/>
                <w:lang w:val="en-US" w:eastAsia="en-US" w:bidi="ur-PK"/>
              </w:rPr>
              <w:t>, E.</w:t>
            </w:r>
          </w:p>
        </w:tc>
        <w:tc>
          <w:tcPr>
            <w:tcW w:w="977" w:type="dxa"/>
          </w:tcPr>
          <w:p w14:paraId="2D475C1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25A48B3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347E756F"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Qualitative</w:t>
            </w:r>
          </w:p>
        </w:tc>
        <w:tc>
          <w:tcPr>
            <w:tcW w:w="3209" w:type="dxa"/>
          </w:tcPr>
          <w:p w14:paraId="726BE7B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Perceived barriers and facilitators of implementing a sustained smartphone-based telemonitoring program for pregnant women at high-risk for pre-eclampsia in the public and private sectors in Pakistan</w:t>
            </w:r>
          </w:p>
        </w:tc>
      </w:tr>
      <w:tr w:rsidR="000F5408" w:rsidRPr="000F5408" w14:paraId="63649187" w14:textId="77777777" w:rsidTr="00E376E8">
        <w:tc>
          <w:tcPr>
            <w:tcW w:w="622" w:type="dxa"/>
          </w:tcPr>
          <w:p w14:paraId="6832081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13</w:t>
            </w:r>
          </w:p>
        </w:tc>
        <w:tc>
          <w:tcPr>
            <w:tcW w:w="2873" w:type="dxa"/>
          </w:tcPr>
          <w:p w14:paraId="626E636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Tariq, W., </w:t>
            </w:r>
            <w:proofErr w:type="spellStart"/>
            <w:r w:rsidRPr="000F5408">
              <w:rPr>
                <w:rFonts w:ascii="Times New Roman" w:hAnsi="Times New Roman"/>
                <w:sz w:val="18"/>
                <w:szCs w:val="18"/>
                <w:lang w:val="en-US" w:eastAsia="en-US" w:bidi="ur-PK"/>
              </w:rPr>
              <w:t>Asar</w:t>
            </w:r>
            <w:proofErr w:type="spellEnd"/>
            <w:r w:rsidRPr="000F5408">
              <w:rPr>
                <w:rFonts w:ascii="Times New Roman" w:hAnsi="Times New Roman"/>
                <w:sz w:val="18"/>
                <w:szCs w:val="18"/>
                <w:lang w:val="en-US" w:eastAsia="en-US" w:bidi="ur-PK"/>
              </w:rPr>
              <w:t>, M.A.T., Tahir, M.J., Ullah, I., Ahmad, Q., Raza, A., Qureshi, M.K., Ahmed, A., Sarwar, M.Z., Ameer, M.A., Ullah, K., Siddiqi, H. and Asghar, M.S.</w:t>
            </w:r>
          </w:p>
        </w:tc>
        <w:tc>
          <w:tcPr>
            <w:tcW w:w="977" w:type="dxa"/>
          </w:tcPr>
          <w:p w14:paraId="3FE9487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2023</w:t>
            </w:r>
          </w:p>
        </w:tc>
        <w:tc>
          <w:tcPr>
            <w:tcW w:w="1125" w:type="dxa"/>
          </w:tcPr>
          <w:p w14:paraId="738D6DA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13B4352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0368B7E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Impact of the COVID-19 pandemic on knowledge, perceptions, and effects of telemedicine among the general population of Pakistan: A national survey</w:t>
            </w:r>
          </w:p>
        </w:tc>
      </w:tr>
      <w:tr w:rsidR="000F5408" w:rsidRPr="000F5408" w14:paraId="1ACD4D61" w14:textId="77777777" w:rsidTr="00E376E8">
        <w:tc>
          <w:tcPr>
            <w:tcW w:w="622" w:type="dxa"/>
          </w:tcPr>
          <w:p w14:paraId="242FDC1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14</w:t>
            </w:r>
          </w:p>
        </w:tc>
        <w:tc>
          <w:tcPr>
            <w:tcW w:w="2873" w:type="dxa"/>
          </w:tcPr>
          <w:p w14:paraId="5B1BDF82"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Wasi</w:t>
            </w:r>
            <w:proofErr w:type="spellEnd"/>
            <w:r w:rsidRPr="000F5408">
              <w:rPr>
                <w:rFonts w:ascii="Times New Roman" w:hAnsi="Times New Roman"/>
                <w:sz w:val="18"/>
                <w:szCs w:val="18"/>
                <w:lang w:val="en-US" w:eastAsia="en-US" w:bidi="ur-PK"/>
              </w:rPr>
              <w:t xml:space="preserve"> Abbas, M., Nawaz Tahir, H., Jaffar, N., Raza, G., Aman Ali, S. and </w:t>
            </w:r>
            <w:proofErr w:type="spellStart"/>
            <w:r w:rsidRPr="000F5408">
              <w:rPr>
                <w:rFonts w:ascii="Times New Roman" w:hAnsi="Times New Roman"/>
                <w:sz w:val="18"/>
                <w:szCs w:val="18"/>
                <w:lang w:val="en-US" w:eastAsia="en-US" w:bidi="ur-PK"/>
              </w:rPr>
              <w:t>Jabeen</w:t>
            </w:r>
            <w:proofErr w:type="spellEnd"/>
            <w:r w:rsidRPr="000F5408">
              <w:rPr>
                <w:rFonts w:ascii="Times New Roman" w:hAnsi="Times New Roman"/>
                <w:sz w:val="18"/>
                <w:szCs w:val="18"/>
                <w:lang w:val="en-US" w:eastAsia="en-US" w:bidi="ur-PK"/>
              </w:rPr>
              <w:t>, R.</w:t>
            </w:r>
          </w:p>
        </w:tc>
        <w:tc>
          <w:tcPr>
            <w:tcW w:w="977" w:type="dxa"/>
          </w:tcPr>
          <w:p w14:paraId="575A670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42303BF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4F79F95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155FE47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Facilitators and barriers in acceptance of telemedicine among healthcare providers in Pakistan: A cross-sectional survey</w:t>
            </w:r>
          </w:p>
        </w:tc>
      </w:tr>
      <w:tr w:rsidR="000F5408" w:rsidRPr="000F5408" w14:paraId="3D7D4843" w14:textId="77777777" w:rsidTr="00E376E8">
        <w:tc>
          <w:tcPr>
            <w:tcW w:w="622" w:type="dxa"/>
          </w:tcPr>
          <w:p w14:paraId="511E3E0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lastRenderedPageBreak/>
              <w:t>15</w:t>
            </w:r>
          </w:p>
        </w:tc>
        <w:tc>
          <w:tcPr>
            <w:tcW w:w="2873" w:type="dxa"/>
          </w:tcPr>
          <w:p w14:paraId="103E90CD"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Yawar</w:t>
            </w:r>
            <w:proofErr w:type="spellEnd"/>
            <w:r w:rsidRPr="000F5408">
              <w:rPr>
                <w:rFonts w:ascii="Times New Roman" w:hAnsi="Times New Roman"/>
                <w:sz w:val="18"/>
                <w:szCs w:val="18"/>
                <w:lang w:val="en-US" w:eastAsia="en-US" w:bidi="ur-PK"/>
              </w:rPr>
              <w:t>, R. and Asif, Z.</w:t>
            </w:r>
          </w:p>
        </w:tc>
        <w:tc>
          <w:tcPr>
            <w:tcW w:w="977" w:type="dxa"/>
          </w:tcPr>
          <w:p w14:paraId="4B45BE6C"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2022</w:t>
            </w:r>
          </w:p>
        </w:tc>
        <w:tc>
          <w:tcPr>
            <w:tcW w:w="1125" w:type="dxa"/>
          </w:tcPr>
          <w:p w14:paraId="4DA706A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Pakistan</w:t>
            </w:r>
          </w:p>
        </w:tc>
        <w:tc>
          <w:tcPr>
            <w:tcW w:w="1410" w:type="dxa"/>
          </w:tcPr>
          <w:p w14:paraId="1BB82C1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Participatory Action Research</w:t>
            </w:r>
          </w:p>
        </w:tc>
        <w:tc>
          <w:tcPr>
            <w:tcW w:w="3209" w:type="dxa"/>
          </w:tcPr>
          <w:p w14:paraId="037F160B"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Capacity Building Using Digital Technology for Occupational Therapists and Caregivers in Pakistan: A Participatory Action Research Approach</w:t>
            </w:r>
          </w:p>
        </w:tc>
      </w:tr>
      <w:tr w:rsidR="000F5408" w:rsidRPr="000F5408" w14:paraId="2B4891F1" w14:textId="77777777" w:rsidTr="00E376E8">
        <w:tc>
          <w:tcPr>
            <w:tcW w:w="622" w:type="dxa"/>
          </w:tcPr>
          <w:p w14:paraId="0A4A08E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16</w:t>
            </w:r>
          </w:p>
        </w:tc>
        <w:tc>
          <w:tcPr>
            <w:tcW w:w="2873" w:type="dxa"/>
          </w:tcPr>
          <w:p w14:paraId="55439812"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Abdi, S., Patel, D., Carmichael, J., Balaskas, K. and Blandford, A.</w:t>
            </w:r>
          </w:p>
        </w:tc>
        <w:tc>
          <w:tcPr>
            <w:tcW w:w="977" w:type="dxa"/>
          </w:tcPr>
          <w:p w14:paraId="1D2DDFC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2025</w:t>
            </w:r>
          </w:p>
        </w:tc>
        <w:tc>
          <w:tcPr>
            <w:tcW w:w="1125" w:type="dxa"/>
          </w:tcPr>
          <w:p w14:paraId="03EF9F9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AC9BE0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Qualitative</w:t>
            </w:r>
          </w:p>
        </w:tc>
        <w:tc>
          <w:tcPr>
            <w:tcW w:w="3209" w:type="dxa"/>
          </w:tcPr>
          <w:p w14:paraId="488B83B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Implementing a teleophthalmology referral platform in routine practice: Understanding a digital health intervention implementation using </w:t>
            </w:r>
            <w:proofErr w:type="spellStart"/>
            <w:r w:rsidRPr="000F5408">
              <w:rPr>
                <w:rFonts w:ascii="Times New Roman" w:hAnsi="Times New Roman"/>
                <w:sz w:val="18"/>
                <w:szCs w:val="18"/>
                <w:lang w:val="en-US" w:eastAsia="en-US" w:bidi="ur-PK"/>
              </w:rPr>
              <w:t>normalisation</w:t>
            </w:r>
            <w:proofErr w:type="spellEnd"/>
            <w:r w:rsidRPr="000F5408">
              <w:rPr>
                <w:rFonts w:ascii="Times New Roman" w:hAnsi="Times New Roman"/>
                <w:sz w:val="18"/>
                <w:szCs w:val="18"/>
                <w:lang w:val="en-US" w:eastAsia="en-US" w:bidi="ur-PK"/>
              </w:rPr>
              <w:t xml:space="preserve"> process theory</w:t>
            </w:r>
          </w:p>
        </w:tc>
      </w:tr>
      <w:tr w:rsidR="000F5408" w:rsidRPr="000F5408" w14:paraId="3D35BAE5" w14:textId="77777777" w:rsidTr="00E376E8">
        <w:tc>
          <w:tcPr>
            <w:tcW w:w="622" w:type="dxa"/>
          </w:tcPr>
          <w:p w14:paraId="1A13A691"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17</w:t>
            </w:r>
          </w:p>
        </w:tc>
        <w:tc>
          <w:tcPr>
            <w:tcW w:w="2873" w:type="dxa"/>
          </w:tcPr>
          <w:p w14:paraId="7EE9BE3F"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Alashek</w:t>
            </w:r>
            <w:proofErr w:type="spellEnd"/>
            <w:r w:rsidRPr="000F5408">
              <w:rPr>
                <w:rFonts w:ascii="Times New Roman" w:hAnsi="Times New Roman"/>
                <w:sz w:val="18"/>
                <w:szCs w:val="18"/>
                <w:lang w:val="en-US" w:eastAsia="en-US" w:bidi="ur-PK"/>
              </w:rPr>
              <w:t>, W.A. and Ali, S.A.</w:t>
            </w:r>
          </w:p>
        </w:tc>
        <w:tc>
          <w:tcPr>
            <w:tcW w:w="977" w:type="dxa"/>
          </w:tcPr>
          <w:p w14:paraId="6834723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3F0EA79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303FE5C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Systematic review</w:t>
            </w:r>
          </w:p>
        </w:tc>
        <w:tc>
          <w:tcPr>
            <w:tcW w:w="3209" w:type="dxa"/>
          </w:tcPr>
          <w:p w14:paraId="1E5EFDA7"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Satisfaction with telemedicine use during COVID-19 pandemic in the UK: a systematic review</w:t>
            </w:r>
          </w:p>
        </w:tc>
      </w:tr>
      <w:tr w:rsidR="000F5408" w:rsidRPr="000F5408" w14:paraId="61E46B44" w14:textId="77777777" w:rsidTr="00E376E8">
        <w:tc>
          <w:tcPr>
            <w:tcW w:w="622" w:type="dxa"/>
          </w:tcPr>
          <w:p w14:paraId="514FCB1E"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18</w:t>
            </w:r>
          </w:p>
        </w:tc>
        <w:tc>
          <w:tcPr>
            <w:tcW w:w="2873" w:type="dxa"/>
          </w:tcPr>
          <w:p w14:paraId="7D30154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Anchors, Z., Jones, B., Thomas, R., Berry, A. and Walsh, N.</w:t>
            </w:r>
          </w:p>
        </w:tc>
        <w:tc>
          <w:tcPr>
            <w:tcW w:w="977" w:type="dxa"/>
          </w:tcPr>
          <w:p w14:paraId="38ACA39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2023</w:t>
            </w:r>
          </w:p>
        </w:tc>
        <w:tc>
          <w:tcPr>
            <w:tcW w:w="1125" w:type="dxa"/>
          </w:tcPr>
          <w:p w14:paraId="520D12F3"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5A9CE37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Mixed methods</w:t>
            </w:r>
          </w:p>
        </w:tc>
        <w:tc>
          <w:tcPr>
            <w:tcW w:w="3209" w:type="dxa"/>
          </w:tcPr>
          <w:p w14:paraId="4FCF61B6"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The impact of remote consultations on the health and wellbeing of first contact physiotherapists in primary care: A mixed methods study</w:t>
            </w:r>
          </w:p>
        </w:tc>
      </w:tr>
      <w:tr w:rsidR="000F5408" w:rsidRPr="000F5408" w14:paraId="12904CB1" w14:textId="77777777" w:rsidTr="00E376E8">
        <w:tc>
          <w:tcPr>
            <w:tcW w:w="622" w:type="dxa"/>
          </w:tcPr>
          <w:p w14:paraId="12F3FBFA"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19</w:t>
            </w:r>
          </w:p>
        </w:tc>
        <w:tc>
          <w:tcPr>
            <w:tcW w:w="2873" w:type="dxa"/>
          </w:tcPr>
          <w:p w14:paraId="35166B5B" w14:textId="77777777" w:rsidR="000F5408" w:rsidRPr="000F5408" w:rsidRDefault="000F5408" w:rsidP="000F540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Chadd</w:t>
            </w:r>
            <w:proofErr w:type="spellEnd"/>
            <w:r w:rsidRPr="000F5408">
              <w:rPr>
                <w:rFonts w:ascii="Times New Roman" w:hAnsi="Times New Roman"/>
                <w:sz w:val="18"/>
                <w:szCs w:val="18"/>
                <w:lang w:val="en-US" w:eastAsia="en-US" w:bidi="ur-PK"/>
              </w:rPr>
              <w:t xml:space="preserve">, K., Harding, S., </w:t>
            </w:r>
            <w:proofErr w:type="spellStart"/>
            <w:r w:rsidRPr="000F5408">
              <w:rPr>
                <w:rFonts w:ascii="Times New Roman" w:hAnsi="Times New Roman"/>
                <w:sz w:val="18"/>
                <w:szCs w:val="18"/>
                <w:lang w:val="en-US" w:eastAsia="en-US" w:bidi="ur-PK"/>
              </w:rPr>
              <w:t>Mortley</w:t>
            </w:r>
            <w:proofErr w:type="spellEnd"/>
            <w:r w:rsidRPr="000F5408">
              <w:rPr>
                <w:rFonts w:ascii="Times New Roman" w:hAnsi="Times New Roman"/>
                <w:sz w:val="18"/>
                <w:szCs w:val="18"/>
                <w:lang w:val="en-US" w:eastAsia="en-US" w:bidi="ur-PK"/>
              </w:rPr>
              <w:t>, J. and Enderby, P.</w:t>
            </w:r>
          </w:p>
        </w:tc>
        <w:tc>
          <w:tcPr>
            <w:tcW w:w="977" w:type="dxa"/>
          </w:tcPr>
          <w:p w14:paraId="38214B1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704B7531"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9DBDAF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Mixed methods / feasibility</w:t>
            </w:r>
          </w:p>
        </w:tc>
        <w:tc>
          <w:tcPr>
            <w:tcW w:w="3209" w:type="dxa"/>
          </w:tcPr>
          <w:p w14:paraId="226B89C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Improving efficiency through innovation in the 'real-world': Feasibility of a co-designed telehealth solution for individuals with aphasia</w:t>
            </w:r>
          </w:p>
        </w:tc>
      </w:tr>
      <w:tr w:rsidR="000F5408" w:rsidRPr="000F5408" w14:paraId="60CA8C52" w14:textId="77777777" w:rsidTr="00E376E8">
        <w:tc>
          <w:tcPr>
            <w:tcW w:w="622" w:type="dxa"/>
          </w:tcPr>
          <w:p w14:paraId="44DACFC8"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w:t>
            </w:r>
          </w:p>
        </w:tc>
        <w:tc>
          <w:tcPr>
            <w:tcW w:w="2873" w:type="dxa"/>
          </w:tcPr>
          <w:p w14:paraId="19620F50"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Charlton, J., </w:t>
            </w:r>
            <w:proofErr w:type="spellStart"/>
            <w:r w:rsidRPr="000F5408">
              <w:rPr>
                <w:rFonts w:ascii="Times New Roman" w:hAnsi="Times New Roman"/>
                <w:sz w:val="18"/>
                <w:szCs w:val="18"/>
                <w:lang w:val="en-US" w:eastAsia="en-US" w:bidi="ur-PK"/>
              </w:rPr>
              <w:t>Gréaux</w:t>
            </w:r>
            <w:proofErr w:type="spellEnd"/>
            <w:r w:rsidRPr="000F5408">
              <w:rPr>
                <w:rFonts w:ascii="Times New Roman" w:hAnsi="Times New Roman"/>
                <w:sz w:val="18"/>
                <w:szCs w:val="18"/>
                <w:lang w:val="en-US" w:eastAsia="en-US" w:bidi="ur-PK"/>
              </w:rPr>
              <w:t xml:space="preserve">, M., Kulkarni, A., </w:t>
            </w:r>
            <w:proofErr w:type="spellStart"/>
            <w:r w:rsidRPr="000F5408">
              <w:rPr>
                <w:rFonts w:ascii="Times New Roman" w:hAnsi="Times New Roman"/>
                <w:sz w:val="18"/>
                <w:szCs w:val="18"/>
                <w:lang w:val="en-US" w:eastAsia="en-US" w:bidi="ur-PK"/>
              </w:rPr>
              <w:t>Dornstauder</w:t>
            </w:r>
            <w:proofErr w:type="spellEnd"/>
            <w:r w:rsidRPr="000F5408">
              <w:rPr>
                <w:rFonts w:ascii="Times New Roman" w:hAnsi="Times New Roman"/>
                <w:sz w:val="18"/>
                <w:szCs w:val="18"/>
                <w:lang w:val="en-US" w:eastAsia="en-US" w:bidi="ur-PK"/>
              </w:rPr>
              <w:t>, M. and Law, J.</w:t>
            </w:r>
          </w:p>
        </w:tc>
        <w:tc>
          <w:tcPr>
            <w:tcW w:w="977" w:type="dxa"/>
          </w:tcPr>
          <w:p w14:paraId="61F239DD"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24A2D044"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51C99A5"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053F19B9" w14:textId="77777777" w:rsidR="000F5408" w:rsidRPr="000F5408" w:rsidRDefault="000F5408" w:rsidP="000F540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UK </w:t>
            </w:r>
            <w:proofErr w:type="spellStart"/>
            <w:r w:rsidRPr="000F5408">
              <w:rPr>
                <w:rFonts w:ascii="Times New Roman" w:hAnsi="Times New Roman"/>
                <w:sz w:val="18"/>
                <w:szCs w:val="18"/>
                <w:lang w:val="en-US" w:eastAsia="en-US" w:bidi="ur-PK"/>
              </w:rPr>
              <w:t>paediatric</w:t>
            </w:r>
            <w:proofErr w:type="spellEnd"/>
            <w:r w:rsidRPr="000F5408">
              <w:rPr>
                <w:rFonts w:ascii="Times New Roman" w:hAnsi="Times New Roman"/>
                <w:sz w:val="18"/>
                <w:szCs w:val="18"/>
                <w:lang w:val="en-US" w:eastAsia="en-US" w:bidi="ur-PK"/>
              </w:rPr>
              <w:t xml:space="preserve"> speech and language therapists' perceptions on the use of telehealth in current and future clinical practice: An application of the APEASE criteria</w:t>
            </w:r>
          </w:p>
        </w:tc>
      </w:tr>
      <w:tr w:rsidR="00E376E8" w:rsidRPr="000F5408" w14:paraId="49C3BCEB" w14:textId="77777777" w:rsidTr="00E376E8">
        <w:tc>
          <w:tcPr>
            <w:tcW w:w="622" w:type="dxa"/>
          </w:tcPr>
          <w:p w14:paraId="557615E1"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21</w:t>
            </w:r>
          </w:p>
        </w:tc>
        <w:tc>
          <w:tcPr>
            <w:tcW w:w="2873" w:type="dxa"/>
          </w:tcPr>
          <w:p w14:paraId="2E324EC0"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Chaudhry, T., Ormandy, P. and </w:t>
            </w:r>
            <w:proofErr w:type="spellStart"/>
            <w:r w:rsidRPr="000F5408">
              <w:rPr>
                <w:rFonts w:ascii="Times New Roman" w:hAnsi="Times New Roman"/>
                <w:sz w:val="18"/>
                <w:szCs w:val="18"/>
                <w:lang w:val="en-US" w:eastAsia="en-US" w:bidi="ur-PK"/>
              </w:rPr>
              <w:t>Vasilica</w:t>
            </w:r>
            <w:proofErr w:type="spellEnd"/>
            <w:r w:rsidRPr="000F5408">
              <w:rPr>
                <w:rFonts w:ascii="Times New Roman" w:hAnsi="Times New Roman"/>
                <w:sz w:val="18"/>
                <w:szCs w:val="18"/>
                <w:lang w:val="en-US" w:eastAsia="en-US" w:bidi="ur-PK"/>
              </w:rPr>
              <w:t>, C.</w:t>
            </w:r>
          </w:p>
        </w:tc>
        <w:tc>
          <w:tcPr>
            <w:tcW w:w="977" w:type="dxa"/>
          </w:tcPr>
          <w:p w14:paraId="5B03F8CF"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426D0DF7"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6CBDA4BB" w14:textId="0E5D56B6" w:rsidR="00E376E8" w:rsidRPr="000F5408" w:rsidRDefault="00E376E8" w:rsidP="00E376E8">
            <w:pPr>
              <w:bidi/>
              <w:spacing w:line="240" w:lineRule="auto"/>
              <w:rPr>
                <w:rFonts w:ascii="Times New Roman" w:hAnsi="Times New Roman"/>
                <w:sz w:val="20"/>
                <w:szCs w:val="20"/>
                <w:lang w:val="en-US" w:eastAsia="en-US" w:bidi="ur-PK"/>
              </w:rPr>
            </w:pPr>
            <w:r w:rsidRPr="0043400D">
              <w:rPr>
                <w:rFonts w:ascii="Times New Roman" w:hAnsi="Times New Roman"/>
                <w:sz w:val="18"/>
                <w:szCs w:val="18"/>
                <w:lang w:val="en-US" w:eastAsia="en-US"/>
              </w:rPr>
              <w:t>Mixed-methods two-phase study: patient activation measure plus semi-structured interviews.</w:t>
            </w:r>
          </w:p>
        </w:tc>
        <w:tc>
          <w:tcPr>
            <w:tcW w:w="3209" w:type="dxa"/>
          </w:tcPr>
          <w:p w14:paraId="42657845"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Using FLO text-messages to enhance health </w:t>
            </w:r>
            <w:proofErr w:type="spellStart"/>
            <w:r w:rsidRPr="000F5408">
              <w:rPr>
                <w:rFonts w:ascii="Times New Roman" w:hAnsi="Times New Roman"/>
                <w:sz w:val="18"/>
                <w:szCs w:val="18"/>
                <w:lang w:val="en-US" w:eastAsia="en-US" w:bidi="ur-PK"/>
              </w:rPr>
              <w:t>behaviours</w:t>
            </w:r>
            <w:proofErr w:type="spellEnd"/>
            <w:r w:rsidRPr="000F5408">
              <w:rPr>
                <w:rFonts w:ascii="Times New Roman" w:hAnsi="Times New Roman"/>
                <w:sz w:val="18"/>
                <w:szCs w:val="18"/>
                <w:lang w:val="en-US" w:eastAsia="en-US" w:bidi="ur-PK"/>
              </w:rPr>
              <w:t xml:space="preserve"> and self-management of long-term conditions in South-Asian patients</w:t>
            </w:r>
          </w:p>
        </w:tc>
      </w:tr>
      <w:tr w:rsidR="00E376E8" w:rsidRPr="000F5408" w14:paraId="0AD4041D" w14:textId="77777777" w:rsidTr="00E376E8">
        <w:tc>
          <w:tcPr>
            <w:tcW w:w="622" w:type="dxa"/>
          </w:tcPr>
          <w:p w14:paraId="753352A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22</w:t>
            </w:r>
          </w:p>
        </w:tc>
        <w:tc>
          <w:tcPr>
            <w:tcW w:w="2873" w:type="dxa"/>
          </w:tcPr>
          <w:p w14:paraId="4CF66486"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Chen, A., Chu, W.-M. and Peng, N.</w:t>
            </w:r>
          </w:p>
        </w:tc>
        <w:tc>
          <w:tcPr>
            <w:tcW w:w="977" w:type="dxa"/>
          </w:tcPr>
          <w:p w14:paraId="237B47C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4B7CF0EF"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333ECA6" w14:textId="00B06AAA" w:rsidR="00E376E8" w:rsidRPr="000F5408" w:rsidRDefault="00E376E8" w:rsidP="00E376E8">
            <w:pPr>
              <w:bidi/>
              <w:spacing w:line="240" w:lineRule="auto"/>
              <w:rPr>
                <w:rFonts w:ascii="Times New Roman" w:hAnsi="Times New Roman"/>
                <w:sz w:val="20"/>
                <w:szCs w:val="20"/>
                <w:lang w:val="en-US" w:eastAsia="en-US" w:bidi="ur-PK"/>
              </w:rPr>
            </w:pPr>
            <w:r w:rsidRPr="0043400D">
              <w:rPr>
                <w:rFonts w:ascii="Times New Roman" w:hAnsi="Times New Roman"/>
                <w:sz w:val="18"/>
                <w:szCs w:val="18"/>
                <w:lang w:val="en-US" w:eastAsia="en-US"/>
              </w:rPr>
              <w:t>Quantitative survey study</w:t>
            </w:r>
          </w:p>
        </w:tc>
        <w:tc>
          <w:tcPr>
            <w:tcW w:w="3209" w:type="dxa"/>
          </w:tcPr>
          <w:p w14:paraId="4A0A5E6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Promoting new users' online health consultation services usage behavior strategically</w:t>
            </w:r>
          </w:p>
        </w:tc>
      </w:tr>
      <w:tr w:rsidR="00E376E8" w:rsidRPr="000F5408" w14:paraId="2CF33A3C" w14:textId="77777777" w:rsidTr="00E376E8">
        <w:tc>
          <w:tcPr>
            <w:tcW w:w="622" w:type="dxa"/>
          </w:tcPr>
          <w:p w14:paraId="02AE8197"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23</w:t>
            </w:r>
          </w:p>
        </w:tc>
        <w:tc>
          <w:tcPr>
            <w:tcW w:w="2873" w:type="dxa"/>
          </w:tcPr>
          <w:p w14:paraId="7BAE220B" w14:textId="77777777" w:rsidR="00E376E8" w:rsidRPr="000F5408" w:rsidRDefault="00E376E8" w:rsidP="00E376E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Cheraghi</w:t>
            </w:r>
            <w:proofErr w:type="spellEnd"/>
            <w:r w:rsidRPr="000F5408">
              <w:rPr>
                <w:rFonts w:ascii="Times New Roman" w:hAnsi="Times New Roman"/>
                <w:sz w:val="18"/>
                <w:szCs w:val="18"/>
                <w:lang w:val="en-US" w:eastAsia="en-US" w:bidi="ur-PK"/>
              </w:rPr>
              <w:t>-Sohi, S., Davies, K., Gordon, L., Jones, H., Sanders, C. and Ong, B.N.</w:t>
            </w:r>
          </w:p>
        </w:tc>
        <w:tc>
          <w:tcPr>
            <w:tcW w:w="977" w:type="dxa"/>
          </w:tcPr>
          <w:p w14:paraId="625CF5EF"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2023</w:t>
            </w:r>
          </w:p>
        </w:tc>
        <w:tc>
          <w:tcPr>
            <w:tcW w:w="1125" w:type="dxa"/>
          </w:tcPr>
          <w:p w14:paraId="2353BEFF"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5ED30910"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Qualitative</w:t>
            </w:r>
          </w:p>
        </w:tc>
        <w:tc>
          <w:tcPr>
            <w:tcW w:w="3209" w:type="dxa"/>
          </w:tcPr>
          <w:p w14:paraId="610F8F2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A study to explore the usefulness of a mobile health application to support people with mild cognitive and/or communication impairment due to dementia and their </w:t>
            </w:r>
            <w:proofErr w:type="spellStart"/>
            <w:r w:rsidRPr="000F5408">
              <w:rPr>
                <w:rFonts w:ascii="Times New Roman" w:hAnsi="Times New Roman"/>
                <w:sz w:val="18"/>
                <w:szCs w:val="18"/>
                <w:lang w:val="en-US" w:eastAsia="en-US" w:bidi="ur-PK"/>
              </w:rPr>
              <w:t>carers</w:t>
            </w:r>
            <w:proofErr w:type="spellEnd"/>
          </w:p>
        </w:tc>
      </w:tr>
      <w:tr w:rsidR="00E376E8" w:rsidRPr="000F5408" w14:paraId="3A96C526" w14:textId="77777777" w:rsidTr="00E376E8">
        <w:tc>
          <w:tcPr>
            <w:tcW w:w="622" w:type="dxa"/>
          </w:tcPr>
          <w:p w14:paraId="0A0DE7B1"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24</w:t>
            </w:r>
          </w:p>
        </w:tc>
        <w:tc>
          <w:tcPr>
            <w:tcW w:w="2873" w:type="dxa"/>
          </w:tcPr>
          <w:p w14:paraId="527E2740"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Comer, A., Northcott, S., </w:t>
            </w:r>
            <w:proofErr w:type="spellStart"/>
            <w:r w:rsidRPr="000F5408">
              <w:rPr>
                <w:rFonts w:ascii="Times New Roman" w:hAnsi="Times New Roman"/>
                <w:sz w:val="18"/>
                <w:szCs w:val="18"/>
                <w:lang w:val="en-US" w:eastAsia="en-US" w:bidi="ur-PK"/>
              </w:rPr>
              <w:t>Behn</w:t>
            </w:r>
            <w:proofErr w:type="spellEnd"/>
            <w:r w:rsidRPr="000F5408">
              <w:rPr>
                <w:rFonts w:ascii="Times New Roman" w:hAnsi="Times New Roman"/>
                <w:sz w:val="18"/>
                <w:szCs w:val="18"/>
                <w:lang w:val="en-US" w:eastAsia="en-US" w:bidi="ur-PK"/>
              </w:rPr>
              <w:t xml:space="preserve">, N., Roper, A., </w:t>
            </w:r>
            <w:proofErr w:type="spellStart"/>
            <w:r w:rsidRPr="000F5408">
              <w:rPr>
                <w:rFonts w:ascii="Times New Roman" w:hAnsi="Times New Roman"/>
                <w:sz w:val="18"/>
                <w:szCs w:val="18"/>
                <w:lang w:val="en-US" w:eastAsia="en-US" w:bidi="ur-PK"/>
              </w:rPr>
              <w:t>Devane</w:t>
            </w:r>
            <w:proofErr w:type="spellEnd"/>
            <w:r w:rsidRPr="000F5408">
              <w:rPr>
                <w:rFonts w:ascii="Times New Roman" w:hAnsi="Times New Roman"/>
                <w:sz w:val="18"/>
                <w:szCs w:val="18"/>
                <w:lang w:val="en-US" w:eastAsia="en-US" w:bidi="ur-PK"/>
              </w:rPr>
              <w:t xml:space="preserve">, N. and </w:t>
            </w:r>
            <w:proofErr w:type="spellStart"/>
            <w:r w:rsidRPr="000F5408">
              <w:rPr>
                <w:rFonts w:ascii="Times New Roman" w:hAnsi="Times New Roman"/>
                <w:sz w:val="18"/>
                <w:szCs w:val="18"/>
                <w:lang w:val="en-US" w:eastAsia="en-US" w:bidi="ur-PK"/>
              </w:rPr>
              <w:t>Hilari</w:t>
            </w:r>
            <w:proofErr w:type="spellEnd"/>
            <w:r w:rsidRPr="000F5408">
              <w:rPr>
                <w:rFonts w:ascii="Times New Roman" w:hAnsi="Times New Roman"/>
                <w:sz w:val="18"/>
                <w:szCs w:val="18"/>
                <w:lang w:val="en-US" w:eastAsia="en-US" w:bidi="ur-PK"/>
              </w:rPr>
              <w:t>, K.</w:t>
            </w:r>
          </w:p>
        </w:tc>
        <w:tc>
          <w:tcPr>
            <w:tcW w:w="977" w:type="dxa"/>
          </w:tcPr>
          <w:p w14:paraId="4CB493B2"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2025</w:t>
            </w:r>
          </w:p>
        </w:tc>
        <w:tc>
          <w:tcPr>
            <w:tcW w:w="1125" w:type="dxa"/>
          </w:tcPr>
          <w:p w14:paraId="4692FE83"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03AC22E"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Qualitative</w:t>
            </w:r>
          </w:p>
        </w:tc>
        <w:tc>
          <w:tcPr>
            <w:tcW w:w="3209" w:type="dxa"/>
          </w:tcPr>
          <w:p w14:paraId="39382957"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Experiences and perspectives of UK speech and language therapists on telehealth assessment with people living with post-stroke aphasia</w:t>
            </w:r>
          </w:p>
        </w:tc>
      </w:tr>
      <w:tr w:rsidR="00E376E8" w:rsidRPr="000F5408" w14:paraId="447DD3E2" w14:textId="77777777" w:rsidTr="00E376E8">
        <w:tc>
          <w:tcPr>
            <w:tcW w:w="622" w:type="dxa"/>
          </w:tcPr>
          <w:p w14:paraId="451614C7"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25</w:t>
            </w:r>
          </w:p>
        </w:tc>
        <w:tc>
          <w:tcPr>
            <w:tcW w:w="2873" w:type="dxa"/>
          </w:tcPr>
          <w:p w14:paraId="7B27E530" w14:textId="77777777" w:rsidR="00E376E8" w:rsidRPr="000F5408" w:rsidRDefault="00E376E8" w:rsidP="00E376E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Cresswell</w:t>
            </w:r>
            <w:proofErr w:type="spellEnd"/>
            <w:r w:rsidRPr="000F5408">
              <w:rPr>
                <w:rFonts w:ascii="Times New Roman" w:hAnsi="Times New Roman"/>
                <w:sz w:val="18"/>
                <w:szCs w:val="18"/>
                <w:lang w:val="en-US" w:eastAsia="en-US" w:bidi="ur-PK"/>
              </w:rPr>
              <w:t xml:space="preserve">, K., Rigby, M., Georgiou, A., Wong, Z.S.-Y., </w:t>
            </w:r>
            <w:proofErr w:type="spellStart"/>
            <w:r w:rsidRPr="000F5408">
              <w:rPr>
                <w:rFonts w:ascii="Times New Roman" w:hAnsi="Times New Roman"/>
                <w:sz w:val="18"/>
                <w:szCs w:val="18"/>
                <w:lang w:val="en-US" w:eastAsia="en-US" w:bidi="ur-PK"/>
              </w:rPr>
              <w:t>Kukhareva</w:t>
            </w:r>
            <w:proofErr w:type="spellEnd"/>
            <w:r w:rsidRPr="000F5408">
              <w:rPr>
                <w:rFonts w:ascii="Times New Roman" w:hAnsi="Times New Roman"/>
                <w:sz w:val="18"/>
                <w:szCs w:val="18"/>
                <w:lang w:val="en-US" w:eastAsia="en-US" w:bidi="ur-PK"/>
              </w:rPr>
              <w:t xml:space="preserve">, P., Medlock, S., De Keizer, N.F., </w:t>
            </w:r>
            <w:proofErr w:type="spellStart"/>
            <w:r w:rsidRPr="000F5408">
              <w:rPr>
                <w:rFonts w:ascii="Times New Roman" w:hAnsi="Times New Roman"/>
                <w:sz w:val="18"/>
                <w:szCs w:val="18"/>
                <w:lang w:val="en-US" w:eastAsia="en-US" w:bidi="ur-PK"/>
              </w:rPr>
              <w:t>Magrabi</w:t>
            </w:r>
            <w:proofErr w:type="spellEnd"/>
            <w:r w:rsidRPr="000F5408">
              <w:rPr>
                <w:rFonts w:ascii="Times New Roman" w:hAnsi="Times New Roman"/>
                <w:sz w:val="18"/>
                <w:szCs w:val="18"/>
                <w:lang w:val="en-US" w:eastAsia="en-US" w:bidi="ur-PK"/>
              </w:rPr>
              <w:t xml:space="preserve">, F., Scott, P. and </w:t>
            </w:r>
            <w:proofErr w:type="spellStart"/>
            <w:r w:rsidRPr="000F5408">
              <w:rPr>
                <w:rFonts w:ascii="Times New Roman" w:hAnsi="Times New Roman"/>
                <w:sz w:val="18"/>
                <w:szCs w:val="18"/>
                <w:lang w:val="en-US" w:eastAsia="en-US" w:bidi="ur-PK"/>
              </w:rPr>
              <w:t>Ammenwerth</w:t>
            </w:r>
            <w:proofErr w:type="spellEnd"/>
            <w:r w:rsidRPr="000F5408">
              <w:rPr>
                <w:rFonts w:ascii="Times New Roman" w:hAnsi="Times New Roman"/>
                <w:sz w:val="18"/>
                <w:szCs w:val="18"/>
                <w:lang w:val="en-US" w:eastAsia="en-US" w:bidi="ur-PK"/>
              </w:rPr>
              <w:t>, E.</w:t>
            </w:r>
          </w:p>
        </w:tc>
        <w:tc>
          <w:tcPr>
            <w:tcW w:w="977" w:type="dxa"/>
          </w:tcPr>
          <w:p w14:paraId="44906CE8"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2022</w:t>
            </w:r>
          </w:p>
        </w:tc>
        <w:tc>
          <w:tcPr>
            <w:tcW w:w="1125" w:type="dxa"/>
          </w:tcPr>
          <w:p w14:paraId="73AECD88"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40FBEAA"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Descriptive / formative evaluation</w:t>
            </w:r>
          </w:p>
        </w:tc>
        <w:tc>
          <w:tcPr>
            <w:tcW w:w="3209" w:type="dxa"/>
          </w:tcPr>
          <w:p w14:paraId="3B1234BC"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The Role of Formative Evaluation in Promoting Digitally-based Health Equity and Reducing Bias for Resilient Health Systems: The Case of Patient Portals</w:t>
            </w:r>
          </w:p>
        </w:tc>
      </w:tr>
      <w:tr w:rsidR="00E376E8" w:rsidRPr="000F5408" w14:paraId="29468D8D" w14:textId="77777777" w:rsidTr="00E376E8">
        <w:tc>
          <w:tcPr>
            <w:tcW w:w="622" w:type="dxa"/>
          </w:tcPr>
          <w:p w14:paraId="2A3658CC"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26</w:t>
            </w:r>
          </w:p>
        </w:tc>
        <w:tc>
          <w:tcPr>
            <w:tcW w:w="2873" w:type="dxa"/>
          </w:tcPr>
          <w:p w14:paraId="01F95FD5" w14:textId="77777777" w:rsidR="00E376E8" w:rsidRPr="000F5408" w:rsidRDefault="00E376E8" w:rsidP="00E376E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Farre</w:t>
            </w:r>
            <w:proofErr w:type="spellEnd"/>
            <w:r w:rsidRPr="000F5408">
              <w:rPr>
                <w:rFonts w:ascii="Times New Roman" w:hAnsi="Times New Roman"/>
                <w:sz w:val="18"/>
                <w:szCs w:val="18"/>
                <w:lang w:val="en-US" w:eastAsia="en-US" w:bidi="ur-PK"/>
              </w:rPr>
              <w:t>, A., Fang, M., Hannah, B., Makita, M., McFadden, A., Menezes, D., Rodriguez, A., Sixsmith, J. and Gray, N.M.</w:t>
            </w:r>
          </w:p>
        </w:tc>
        <w:tc>
          <w:tcPr>
            <w:tcW w:w="977" w:type="dxa"/>
          </w:tcPr>
          <w:p w14:paraId="56DE1A10"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2023</w:t>
            </w:r>
          </w:p>
        </w:tc>
        <w:tc>
          <w:tcPr>
            <w:tcW w:w="1125" w:type="dxa"/>
          </w:tcPr>
          <w:p w14:paraId="219AADAF"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4605E332"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Systematic / scoping review</w:t>
            </w:r>
          </w:p>
        </w:tc>
        <w:tc>
          <w:tcPr>
            <w:tcW w:w="3209" w:type="dxa"/>
          </w:tcPr>
          <w:p w14:paraId="6AE9E016"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Exploring the use of digital technology to deliver healthcare services with explicit consideration of health inequalities in UK settings: A scoping review</w:t>
            </w:r>
          </w:p>
        </w:tc>
      </w:tr>
      <w:tr w:rsidR="00E376E8" w:rsidRPr="000F5408" w14:paraId="30FE01C5" w14:textId="77777777" w:rsidTr="00E376E8">
        <w:tc>
          <w:tcPr>
            <w:tcW w:w="622" w:type="dxa"/>
          </w:tcPr>
          <w:p w14:paraId="12B120E2"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27</w:t>
            </w:r>
          </w:p>
        </w:tc>
        <w:tc>
          <w:tcPr>
            <w:tcW w:w="2873" w:type="dxa"/>
          </w:tcPr>
          <w:p w14:paraId="30473C98"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Grant, H. and </w:t>
            </w:r>
            <w:proofErr w:type="spellStart"/>
            <w:r w:rsidRPr="000F5408">
              <w:rPr>
                <w:rFonts w:ascii="Times New Roman" w:hAnsi="Times New Roman"/>
                <w:sz w:val="18"/>
                <w:szCs w:val="18"/>
                <w:lang w:val="en-US" w:eastAsia="en-US" w:bidi="ur-PK"/>
              </w:rPr>
              <w:t>Skamagki</w:t>
            </w:r>
            <w:proofErr w:type="spellEnd"/>
            <w:r w:rsidRPr="000F5408">
              <w:rPr>
                <w:rFonts w:ascii="Times New Roman" w:hAnsi="Times New Roman"/>
                <w:sz w:val="18"/>
                <w:szCs w:val="18"/>
                <w:lang w:val="en-US" w:eastAsia="en-US" w:bidi="ur-PK"/>
              </w:rPr>
              <w:t>, G.</w:t>
            </w:r>
          </w:p>
        </w:tc>
        <w:tc>
          <w:tcPr>
            <w:tcW w:w="977" w:type="dxa"/>
          </w:tcPr>
          <w:p w14:paraId="37EC596D"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012F8C02"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81AE14D"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Qualitative</w:t>
            </w:r>
          </w:p>
        </w:tc>
        <w:tc>
          <w:tcPr>
            <w:tcW w:w="3209" w:type="dxa"/>
          </w:tcPr>
          <w:p w14:paraId="5A41FFC5"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Clinicians' perspectives on remote patient management: A qualitative exploration of physiotherapists using the </w:t>
            </w:r>
            <w:proofErr w:type="spellStart"/>
            <w:r w:rsidRPr="000F5408">
              <w:rPr>
                <w:rFonts w:ascii="Times New Roman" w:hAnsi="Times New Roman"/>
                <w:sz w:val="18"/>
                <w:szCs w:val="18"/>
                <w:lang w:val="en-US" w:eastAsia="en-US" w:bidi="ur-PK"/>
              </w:rPr>
              <w:t>DiAL</w:t>
            </w:r>
            <w:proofErr w:type="spellEnd"/>
            <w:r w:rsidRPr="000F5408">
              <w:rPr>
                <w:rFonts w:ascii="Times New Roman" w:hAnsi="Times New Roman"/>
                <w:sz w:val="18"/>
                <w:szCs w:val="18"/>
                <w:lang w:val="en-US" w:eastAsia="en-US" w:bidi="ur-PK"/>
              </w:rPr>
              <w:t xml:space="preserve"> (Direct Access Line) </w:t>
            </w:r>
            <w:proofErr w:type="spellStart"/>
            <w:r w:rsidRPr="000F5408">
              <w:rPr>
                <w:rFonts w:ascii="Times New Roman" w:hAnsi="Times New Roman"/>
                <w:sz w:val="18"/>
                <w:szCs w:val="18"/>
                <w:lang w:val="en-US" w:eastAsia="en-US" w:bidi="ur-PK"/>
              </w:rPr>
              <w:t>programme</w:t>
            </w:r>
            <w:proofErr w:type="spellEnd"/>
          </w:p>
        </w:tc>
      </w:tr>
      <w:tr w:rsidR="00E376E8" w:rsidRPr="000F5408" w14:paraId="11E8A478" w14:textId="77777777" w:rsidTr="00E376E8">
        <w:tc>
          <w:tcPr>
            <w:tcW w:w="622" w:type="dxa"/>
          </w:tcPr>
          <w:p w14:paraId="1B96B298"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28</w:t>
            </w:r>
          </w:p>
        </w:tc>
        <w:tc>
          <w:tcPr>
            <w:tcW w:w="2873" w:type="dxa"/>
          </w:tcPr>
          <w:p w14:paraId="7F4E246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Hawley-Hague, H., </w:t>
            </w:r>
            <w:proofErr w:type="spellStart"/>
            <w:r w:rsidRPr="000F5408">
              <w:rPr>
                <w:rFonts w:ascii="Times New Roman" w:hAnsi="Times New Roman"/>
                <w:sz w:val="18"/>
                <w:szCs w:val="18"/>
                <w:lang w:val="en-US" w:eastAsia="en-US" w:bidi="ur-PK"/>
              </w:rPr>
              <w:t>Gluchowski</w:t>
            </w:r>
            <w:proofErr w:type="spellEnd"/>
            <w:r w:rsidRPr="000F5408">
              <w:rPr>
                <w:rFonts w:ascii="Times New Roman" w:hAnsi="Times New Roman"/>
                <w:sz w:val="18"/>
                <w:szCs w:val="18"/>
                <w:lang w:val="en-US" w:eastAsia="en-US" w:bidi="ur-PK"/>
              </w:rPr>
              <w:t xml:space="preserve">, A., </w:t>
            </w:r>
            <w:proofErr w:type="spellStart"/>
            <w:r w:rsidRPr="000F5408">
              <w:rPr>
                <w:rFonts w:ascii="Times New Roman" w:hAnsi="Times New Roman"/>
                <w:sz w:val="18"/>
                <w:szCs w:val="18"/>
                <w:lang w:val="en-US" w:eastAsia="en-US" w:bidi="ur-PK"/>
              </w:rPr>
              <w:t>Lasrado</w:t>
            </w:r>
            <w:proofErr w:type="spellEnd"/>
            <w:r w:rsidRPr="000F5408">
              <w:rPr>
                <w:rFonts w:ascii="Times New Roman" w:hAnsi="Times New Roman"/>
                <w:sz w:val="18"/>
                <w:szCs w:val="18"/>
                <w:lang w:val="en-US" w:eastAsia="en-US" w:bidi="ur-PK"/>
              </w:rPr>
              <w:t>, R., Martinez, E., Akhtar, S., Stanmore, E. and Tyson, S.</w:t>
            </w:r>
          </w:p>
        </w:tc>
        <w:tc>
          <w:tcPr>
            <w:tcW w:w="977" w:type="dxa"/>
          </w:tcPr>
          <w:p w14:paraId="73D712DA"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1CFB1F39"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68E9821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Descriptive / service evaluation</w:t>
            </w:r>
          </w:p>
        </w:tc>
        <w:tc>
          <w:tcPr>
            <w:tcW w:w="3209" w:type="dxa"/>
          </w:tcPr>
          <w:p w14:paraId="61303831"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Exploring the delivery of remote physiotherapy during the COVID-19 pandemic: UK wide service evaluation</w:t>
            </w:r>
          </w:p>
        </w:tc>
      </w:tr>
      <w:tr w:rsidR="00E376E8" w:rsidRPr="000F5408" w14:paraId="2268E655" w14:textId="77777777" w:rsidTr="00E376E8">
        <w:tc>
          <w:tcPr>
            <w:tcW w:w="622" w:type="dxa"/>
          </w:tcPr>
          <w:p w14:paraId="24FA3BF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29</w:t>
            </w:r>
          </w:p>
        </w:tc>
        <w:tc>
          <w:tcPr>
            <w:tcW w:w="2873" w:type="dxa"/>
          </w:tcPr>
          <w:p w14:paraId="2EDAC780" w14:textId="77777777" w:rsidR="00E376E8" w:rsidRPr="000F5408" w:rsidRDefault="00E376E8" w:rsidP="00E376E8">
            <w:pPr>
              <w:bidi/>
              <w:spacing w:line="240" w:lineRule="auto"/>
              <w:rPr>
                <w:rFonts w:ascii="Times New Roman" w:hAnsi="Times New Roman"/>
                <w:sz w:val="20"/>
                <w:szCs w:val="20"/>
                <w:lang w:val="en-US" w:eastAsia="en-US" w:bidi="ur-PK"/>
              </w:rPr>
            </w:pPr>
            <w:proofErr w:type="spellStart"/>
            <w:r w:rsidRPr="000F5408">
              <w:rPr>
                <w:rFonts w:ascii="Times New Roman" w:hAnsi="Times New Roman"/>
                <w:sz w:val="18"/>
                <w:szCs w:val="18"/>
                <w:lang w:val="en-US" w:eastAsia="en-US" w:bidi="ur-PK"/>
              </w:rPr>
              <w:t>Hilari</w:t>
            </w:r>
            <w:proofErr w:type="spellEnd"/>
            <w:r w:rsidRPr="000F5408">
              <w:rPr>
                <w:rFonts w:ascii="Times New Roman" w:hAnsi="Times New Roman"/>
                <w:sz w:val="18"/>
                <w:szCs w:val="18"/>
                <w:lang w:val="en-US" w:eastAsia="en-US" w:bidi="ur-PK"/>
              </w:rPr>
              <w:t xml:space="preserve">, K., Roper, A., Northcott, S. and </w:t>
            </w:r>
            <w:proofErr w:type="spellStart"/>
            <w:r w:rsidRPr="000F5408">
              <w:rPr>
                <w:rFonts w:ascii="Times New Roman" w:hAnsi="Times New Roman"/>
                <w:sz w:val="18"/>
                <w:szCs w:val="18"/>
                <w:lang w:val="en-US" w:eastAsia="en-US" w:bidi="ur-PK"/>
              </w:rPr>
              <w:t>Behn</w:t>
            </w:r>
            <w:proofErr w:type="spellEnd"/>
            <w:r w:rsidRPr="000F5408">
              <w:rPr>
                <w:rFonts w:ascii="Times New Roman" w:hAnsi="Times New Roman"/>
                <w:sz w:val="18"/>
                <w:szCs w:val="18"/>
                <w:lang w:val="en-US" w:eastAsia="en-US" w:bidi="ur-PK"/>
              </w:rPr>
              <w:t>, N.</w:t>
            </w:r>
          </w:p>
        </w:tc>
        <w:tc>
          <w:tcPr>
            <w:tcW w:w="977" w:type="dxa"/>
          </w:tcPr>
          <w:p w14:paraId="1A243465"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2024</w:t>
            </w:r>
          </w:p>
        </w:tc>
        <w:tc>
          <w:tcPr>
            <w:tcW w:w="1125" w:type="dxa"/>
          </w:tcPr>
          <w:p w14:paraId="79FAD7B0"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27316257"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Cross-sectional / survey</w:t>
            </w:r>
          </w:p>
        </w:tc>
        <w:tc>
          <w:tcPr>
            <w:tcW w:w="3209" w:type="dxa"/>
          </w:tcPr>
          <w:p w14:paraId="2C96708F"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Telehealth practice in aphasia: A survey of UK speech and language therapists, with a focus on assessment</w:t>
            </w:r>
          </w:p>
        </w:tc>
      </w:tr>
      <w:tr w:rsidR="00E376E8" w:rsidRPr="000F5408" w14:paraId="7EBF73E4" w14:textId="77777777" w:rsidTr="00E376E8">
        <w:tc>
          <w:tcPr>
            <w:tcW w:w="622" w:type="dxa"/>
          </w:tcPr>
          <w:p w14:paraId="2D591030"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30</w:t>
            </w:r>
          </w:p>
        </w:tc>
        <w:tc>
          <w:tcPr>
            <w:tcW w:w="2873" w:type="dxa"/>
          </w:tcPr>
          <w:p w14:paraId="4CCEDBF3"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Jarvis, K., Cook, J., </w:t>
            </w:r>
            <w:proofErr w:type="spellStart"/>
            <w:r w:rsidRPr="000F5408">
              <w:rPr>
                <w:rFonts w:ascii="Times New Roman" w:hAnsi="Times New Roman"/>
                <w:sz w:val="18"/>
                <w:szCs w:val="18"/>
                <w:lang w:val="en-US" w:eastAsia="en-US" w:bidi="ur-PK"/>
              </w:rPr>
              <w:t>Bavikatte</w:t>
            </w:r>
            <w:proofErr w:type="spellEnd"/>
            <w:r w:rsidRPr="000F5408">
              <w:rPr>
                <w:rFonts w:ascii="Times New Roman" w:hAnsi="Times New Roman"/>
                <w:sz w:val="18"/>
                <w:szCs w:val="18"/>
                <w:lang w:val="en-US" w:eastAsia="en-US" w:bidi="ur-PK"/>
              </w:rPr>
              <w:t xml:space="preserve">, G., </w:t>
            </w:r>
            <w:proofErr w:type="spellStart"/>
            <w:r w:rsidRPr="000F5408">
              <w:rPr>
                <w:rFonts w:ascii="Times New Roman" w:hAnsi="Times New Roman"/>
                <w:sz w:val="18"/>
                <w:szCs w:val="18"/>
                <w:lang w:val="en-US" w:eastAsia="en-US" w:bidi="ur-PK"/>
              </w:rPr>
              <w:t>Branscombe</w:t>
            </w:r>
            <w:proofErr w:type="spellEnd"/>
            <w:r w:rsidRPr="000F5408">
              <w:rPr>
                <w:rFonts w:ascii="Times New Roman" w:hAnsi="Times New Roman"/>
                <w:sz w:val="18"/>
                <w:szCs w:val="18"/>
                <w:lang w:val="en-US" w:eastAsia="en-US" w:bidi="ur-PK"/>
              </w:rPr>
              <w:t>, N., Donovan, S., Haworth, J., Lawrence, C., Morland, C. and Stockley, R.C.</w:t>
            </w:r>
          </w:p>
        </w:tc>
        <w:tc>
          <w:tcPr>
            <w:tcW w:w="977" w:type="dxa"/>
          </w:tcPr>
          <w:p w14:paraId="36D8E34D"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2025</w:t>
            </w:r>
          </w:p>
        </w:tc>
        <w:tc>
          <w:tcPr>
            <w:tcW w:w="1125" w:type="dxa"/>
          </w:tcPr>
          <w:p w14:paraId="3994DBA3"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EBACDD0"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Qualitative / pilot</w:t>
            </w:r>
          </w:p>
        </w:tc>
        <w:tc>
          <w:tcPr>
            <w:tcW w:w="3209" w:type="dxa"/>
          </w:tcPr>
          <w:p w14:paraId="7F7676FB"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A pilot exploration of staff and service-user perceptions of a novel digital health technology (Virtual Engagement Rehabilitation Assistant) in complex inpatient rehabilitation</w:t>
            </w:r>
          </w:p>
        </w:tc>
      </w:tr>
      <w:tr w:rsidR="00E376E8" w:rsidRPr="000F5408" w14:paraId="54945047" w14:textId="77777777" w:rsidTr="00E376E8">
        <w:tc>
          <w:tcPr>
            <w:tcW w:w="622" w:type="dxa"/>
          </w:tcPr>
          <w:p w14:paraId="11CDE3A6"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31</w:t>
            </w:r>
          </w:p>
        </w:tc>
        <w:tc>
          <w:tcPr>
            <w:tcW w:w="2873" w:type="dxa"/>
          </w:tcPr>
          <w:p w14:paraId="22A3077C"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Morris, A.C., Ibrahim, Z., </w:t>
            </w:r>
            <w:proofErr w:type="spellStart"/>
            <w:r w:rsidRPr="000F5408">
              <w:rPr>
                <w:rFonts w:ascii="Times New Roman" w:hAnsi="Times New Roman"/>
                <w:sz w:val="18"/>
                <w:szCs w:val="18"/>
                <w:lang w:val="en-US" w:eastAsia="en-US" w:bidi="ur-PK"/>
              </w:rPr>
              <w:t>Moghraby</w:t>
            </w:r>
            <w:proofErr w:type="spellEnd"/>
            <w:r w:rsidRPr="000F5408">
              <w:rPr>
                <w:rFonts w:ascii="Times New Roman" w:hAnsi="Times New Roman"/>
                <w:sz w:val="18"/>
                <w:szCs w:val="18"/>
                <w:lang w:val="en-US" w:eastAsia="en-US" w:bidi="ur-PK"/>
              </w:rPr>
              <w:t xml:space="preserve">, O.S., </w:t>
            </w:r>
            <w:proofErr w:type="spellStart"/>
            <w:r w:rsidRPr="000F5408">
              <w:rPr>
                <w:rFonts w:ascii="Times New Roman" w:hAnsi="Times New Roman"/>
                <w:sz w:val="18"/>
                <w:szCs w:val="18"/>
                <w:lang w:val="en-US" w:eastAsia="en-US" w:bidi="ur-PK"/>
              </w:rPr>
              <w:t>Stringaris</w:t>
            </w:r>
            <w:proofErr w:type="spellEnd"/>
            <w:r w:rsidRPr="000F5408">
              <w:rPr>
                <w:rFonts w:ascii="Times New Roman" w:hAnsi="Times New Roman"/>
                <w:sz w:val="18"/>
                <w:szCs w:val="18"/>
                <w:lang w:val="en-US" w:eastAsia="en-US" w:bidi="ur-PK"/>
              </w:rPr>
              <w:t xml:space="preserve">, A., Grant, I.M., </w:t>
            </w:r>
            <w:proofErr w:type="spellStart"/>
            <w:r w:rsidRPr="000F5408">
              <w:rPr>
                <w:rFonts w:ascii="Times New Roman" w:hAnsi="Times New Roman"/>
                <w:sz w:val="18"/>
                <w:szCs w:val="18"/>
                <w:lang w:val="en-US" w:eastAsia="en-US" w:bidi="ur-PK"/>
              </w:rPr>
              <w:t>Zalewski</w:t>
            </w:r>
            <w:proofErr w:type="spellEnd"/>
            <w:r w:rsidRPr="000F5408">
              <w:rPr>
                <w:rFonts w:ascii="Times New Roman" w:hAnsi="Times New Roman"/>
                <w:sz w:val="18"/>
                <w:szCs w:val="18"/>
                <w:lang w:val="en-US" w:eastAsia="en-US" w:bidi="ur-PK"/>
              </w:rPr>
              <w:t xml:space="preserve">, L., McClellan, S., Moriarty, G., </w:t>
            </w:r>
            <w:proofErr w:type="spellStart"/>
            <w:r w:rsidRPr="000F5408">
              <w:rPr>
                <w:rFonts w:ascii="Times New Roman" w:hAnsi="Times New Roman"/>
                <w:sz w:val="18"/>
                <w:szCs w:val="18"/>
                <w:lang w:val="en-US" w:eastAsia="en-US" w:bidi="ur-PK"/>
              </w:rPr>
              <w:t>Simonoff</w:t>
            </w:r>
            <w:proofErr w:type="spellEnd"/>
            <w:r w:rsidRPr="000F5408">
              <w:rPr>
                <w:rFonts w:ascii="Times New Roman" w:hAnsi="Times New Roman"/>
                <w:sz w:val="18"/>
                <w:szCs w:val="18"/>
                <w:lang w:val="en-US" w:eastAsia="en-US" w:bidi="ur-PK"/>
              </w:rPr>
              <w:t>, E., Dobson, R.J.B. and Downs, J.</w:t>
            </w:r>
          </w:p>
        </w:tc>
        <w:tc>
          <w:tcPr>
            <w:tcW w:w="977" w:type="dxa"/>
          </w:tcPr>
          <w:p w14:paraId="6362F204"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2023</w:t>
            </w:r>
          </w:p>
        </w:tc>
        <w:tc>
          <w:tcPr>
            <w:tcW w:w="1125" w:type="dxa"/>
          </w:tcPr>
          <w:p w14:paraId="65EB78B7"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1582E896"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Descriptive / development report</w:t>
            </w:r>
          </w:p>
        </w:tc>
        <w:tc>
          <w:tcPr>
            <w:tcW w:w="3209" w:type="dxa"/>
          </w:tcPr>
          <w:p w14:paraId="5A218FBE"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 xml:space="preserve">Moving from development to implementation of digital innovations within the NHS: </w:t>
            </w:r>
            <w:proofErr w:type="spellStart"/>
            <w:r w:rsidRPr="000F5408">
              <w:rPr>
                <w:rFonts w:ascii="Times New Roman" w:hAnsi="Times New Roman"/>
                <w:sz w:val="18"/>
                <w:szCs w:val="18"/>
                <w:lang w:val="en-US" w:eastAsia="en-US" w:bidi="ur-PK"/>
              </w:rPr>
              <w:t>myHealthE</w:t>
            </w:r>
            <w:proofErr w:type="spellEnd"/>
            <w:r w:rsidRPr="000F5408">
              <w:rPr>
                <w:rFonts w:ascii="Times New Roman" w:hAnsi="Times New Roman"/>
                <w:sz w:val="18"/>
                <w:szCs w:val="18"/>
                <w:lang w:val="en-US" w:eastAsia="en-US" w:bidi="ur-PK"/>
              </w:rPr>
              <w:t>, a remote monitoring system for tracking patient outcomes in child and adolescent mental health services</w:t>
            </w:r>
          </w:p>
        </w:tc>
      </w:tr>
      <w:tr w:rsidR="00E376E8" w:rsidRPr="000F5408" w14:paraId="20ABFFD9" w14:textId="77777777" w:rsidTr="00E376E8">
        <w:tc>
          <w:tcPr>
            <w:tcW w:w="622" w:type="dxa"/>
          </w:tcPr>
          <w:p w14:paraId="58D88EFB"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lastRenderedPageBreak/>
              <w:t>32</w:t>
            </w:r>
          </w:p>
        </w:tc>
        <w:tc>
          <w:tcPr>
            <w:tcW w:w="2873" w:type="dxa"/>
          </w:tcPr>
          <w:p w14:paraId="06F20F33"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Xing, K.Y., Wen, J.L., Xing, D.M. and Liang, B.</w:t>
            </w:r>
          </w:p>
        </w:tc>
        <w:tc>
          <w:tcPr>
            <w:tcW w:w="977" w:type="dxa"/>
          </w:tcPr>
          <w:p w14:paraId="0F3DCD1B"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2026</w:t>
            </w:r>
          </w:p>
        </w:tc>
        <w:tc>
          <w:tcPr>
            <w:tcW w:w="1125" w:type="dxa"/>
          </w:tcPr>
          <w:p w14:paraId="50F2336A"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UK</w:t>
            </w:r>
          </w:p>
        </w:tc>
        <w:tc>
          <w:tcPr>
            <w:tcW w:w="1410" w:type="dxa"/>
          </w:tcPr>
          <w:p w14:paraId="76AB4298"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Descriptive / evaluation</w:t>
            </w:r>
          </w:p>
        </w:tc>
        <w:tc>
          <w:tcPr>
            <w:tcW w:w="3209" w:type="dxa"/>
          </w:tcPr>
          <w:p w14:paraId="2326C04D" w14:textId="77777777" w:rsidR="00E376E8" w:rsidRPr="000F5408" w:rsidRDefault="00E376E8" w:rsidP="00E376E8">
            <w:pPr>
              <w:bidi/>
              <w:spacing w:line="240" w:lineRule="auto"/>
              <w:rPr>
                <w:rFonts w:ascii="Times New Roman" w:hAnsi="Times New Roman"/>
                <w:sz w:val="20"/>
                <w:szCs w:val="20"/>
                <w:lang w:val="en-US" w:eastAsia="en-US" w:bidi="ur-PK"/>
              </w:rPr>
            </w:pPr>
            <w:r w:rsidRPr="000F5408">
              <w:rPr>
                <w:rFonts w:ascii="Times New Roman" w:hAnsi="Times New Roman"/>
                <w:sz w:val="18"/>
                <w:szCs w:val="18"/>
                <w:lang w:val="en-US" w:eastAsia="en-US" w:bidi="ur-PK"/>
              </w:rPr>
              <w:t>Digital first primary care in NHS England: evaluating alignment with patient-centered care and implications for future practice</w:t>
            </w:r>
          </w:p>
        </w:tc>
      </w:tr>
    </w:tbl>
    <w:p w14:paraId="0182F251"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1796AFAC"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0ADE0D57"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03B275E6"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7061A59F"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6D1BBBA2"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5BFA299D"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271B5E4D"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5FFD89E3"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1C9FA21C"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331ABB14"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2387BCDE"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296558E2"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300F8D7A"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5FB33DB6"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7A535863"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6A72D608"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5289EBB7" w14:textId="77777777" w:rsidR="000F5408" w:rsidRPr="000F5408" w:rsidRDefault="000F5408" w:rsidP="000F5408">
      <w:pPr>
        <w:spacing w:after="200" w:line="360" w:lineRule="auto"/>
        <w:jc w:val="both"/>
        <w:rPr>
          <w:rFonts w:ascii="Times New Roman" w:hAnsi="Times New Roman"/>
          <w:b/>
          <w:bCs/>
          <w:sz w:val="30"/>
          <w:szCs w:val="30"/>
          <w:lang w:val="en-US" w:eastAsia="en-US" w:bidi="ur-PK"/>
        </w:rPr>
      </w:pPr>
    </w:p>
    <w:p w14:paraId="4F86E46D" w14:textId="77777777" w:rsidR="0043400D" w:rsidRDefault="0043400D" w:rsidP="000F5408">
      <w:pPr>
        <w:spacing w:after="200" w:line="360" w:lineRule="auto"/>
        <w:jc w:val="both"/>
        <w:rPr>
          <w:rFonts w:ascii="Times New Roman" w:hAnsi="Times New Roman"/>
          <w:b/>
          <w:bCs/>
          <w:sz w:val="30"/>
          <w:szCs w:val="30"/>
          <w:lang w:val="en-US" w:eastAsia="en-US" w:bidi="ur-PK"/>
        </w:rPr>
      </w:pPr>
    </w:p>
    <w:p w14:paraId="5D1669B1" w14:textId="77777777" w:rsidR="00E376E8" w:rsidRDefault="00E376E8" w:rsidP="000F5408">
      <w:pPr>
        <w:spacing w:after="200" w:line="360" w:lineRule="auto"/>
        <w:jc w:val="both"/>
        <w:rPr>
          <w:rFonts w:ascii="Times New Roman" w:hAnsi="Times New Roman"/>
          <w:b/>
          <w:bCs/>
          <w:sz w:val="30"/>
          <w:szCs w:val="30"/>
          <w:lang w:val="en-US" w:eastAsia="en-US" w:bidi="ur-PK"/>
        </w:rPr>
      </w:pPr>
    </w:p>
    <w:p w14:paraId="673ABFBA" w14:textId="77777777" w:rsidR="000F5408" w:rsidRPr="000F5408" w:rsidRDefault="000F5408" w:rsidP="000F5408">
      <w:pPr>
        <w:spacing w:after="200" w:line="360" w:lineRule="auto"/>
        <w:jc w:val="both"/>
        <w:rPr>
          <w:rFonts w:ascii="Times New Roman" w:hAnsi="Times New Roman"/>
          <w:sz w:val="30"/>
          <w:szCs w:val="30"/>
          <w:lang w:val="en-US" w:eastAsia="en-US" w:bidi="ur-PK"/>
        </w:rPr>
      </w:pPr>
      <w:r w:rsidRPr="000F5408">
        <w:rPr>
          <w:rFonts w:ascii="Times New Roman" w:hAnsi="Times New Roman"/>
          <w:b/>
          <w:bCs/>
          <w:sz w:val="30"/>
          <w:szCs w:val="30"/>
          <w:lang w:val="en-US" w:eastAsia="en-US" w:bidi="ur-PK"/>
        </w:rPr>
        <w:lastRenderedPageBreak/>
        <w:t>APPENDIX B: Mixed Methods Appraisal Tool (MMAT) Scoring Template</w:t>
      </w:r>
    </w:p>
    <w:p w14:paraId="53DA428C" w14:textId="77777777" w:rsidR="000F5408" w:rsidRPr="000F5408" w:rsidRDefault="000F5408" w:rsidP="000F5408">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This appendix presents the completed Mixed Methods Appraisal Tool (MMAT) 2018 assessment for the shortlisted studies. Screening questions and the five design-specific criteria were assessed from the available full texts. Y = Yes; N = No; CT = Can't tell; N/A = not applicable because the publication is a systematic/scoping review, conceptual/development paper, or otherwise does not fit an MMAT empirical-study category. The percentage is a descriptive count of Yes ratings across the five design-specific criteria (Yes = 20% per criterion); it is included to match the dissertation template and should not be interpreted as an official MMAT overall score, as MMAT guidance discourages reducing appraisal to a single score.</w:t>
      </w:r>
    </w:p>
    <w:tbl>
      <w:tblPr>
        <w:tblW w:w="992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
        <w:gridCol w:w="1517"/>
        <w:gridCol w:w="1383"/>
        <w:gridCol w:w="1247"/>
        <w:gridCol w:w="972"/>
        <w:gridCol w:w="835"/>
        <w:gridCol w:w="1109"/>
        <w:gridCol w:w="834"/>
        <w:gridCol w:w="972"/>
        <w:gridCol w:w="698"/>
      </w:tblGrid>
      <w:tr w:rsidR="000F5408" w:rsidRPr="000F5408" w14:paraId="189BE39D" w14:textId="77777777" w:rsidTr="000F5408">
        <w:tc>
          <w:tcPr>
            <w:tcW w:w="360" w:type="dxa"/>
            <w:shd w:val="clear" w:color="auto" w:fill="D9E2F3"/>
          </w:tcPr>
          <w:p w14:paraId="7737D7F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No.</w:t>
            </w:r>
          </w:p>
        </w:tc>
        <w:tc>
          <w:tcPr>
            <w:tcW w:w="1517" w:type="dxa"/>
            <w:shd w:val="clear" w:color="auto" w:fill="D9E2F3"/>
          </w:tcPr>
          <w:p w14:paraId="3465EAA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Author(s), Year</w:t>
            </w:r>
          </w:p>
        </w:tc>
        <w:tc>
          <w:tcPr>
            <w:tcW w:w="1383" w:type="dxa"/>
            <w:shd w:val="clear" w:color="auto" w:fill="D9E2F3"/>
          </w:tcPr>
          <w:p w14:paraId="44E8490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Screening Q1: Are there clear research questions?</w:t>
            </w:r>
          </w:p>
        </w:tc>
        <w:tc>
          <w:tcPr>
            <w:tcW w:w="1247" w:type="dxa"/>
            <w:shd w:val="clear" w:color="auto" w:fill="D9E2F3"/>
          </w:tcPr>
          <w:p w14:paraId="1E45B5F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Screening Q2: Do the collected data allow the research questions to be addressed?</w:t>
            </w:r>
          </w:p>
        </w:tc>
        <w:tc>
          <w:tcPr>
            <w:tcW w:w="972" w:type="dxa"/>
            <w:shd w:val="clear" w:color="auto" w:fill="D9E2F3"/>
          </w:tcPr>
          <w:p w14:paraId="7363395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Design-specific Criterion 1</w:t>
            </w:r>
          </w:p>
        </w:tc>
        <w:tc>
          <w:tcPr>
            <w:tcW w:w="835" w:type="dxa"/>
            <w:shd w:val="clear" w:color="auto" w:fill="D9E2F3"/>
          </w:tcPr>
          <w:p w14:paraId="409CCD8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Design-specific Criterion 2</w:t>
            </w:r>
          </w:p>
        </w:tc>
        <w:tc>
          <w:tcPr>
            <w:tcW w:w="1109" w:type="dxa"/>
            <w:shd w:val="clear" w:color="auto" w:fill="D9E2F3"/>
          </w:tcPr>
          <w:p w14:paraId="5A85699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Design-specific Criterion 3</w:t>
            </w:r>
          </w:p>
        </w:tc>
        <w:tc>
          <w:tcPr>
            <w:tcW w:w="834" w:type="dxa"/>
            <w:shd w:val="clear" w:color="auto" w:fill="D9E2F3"/>
          </w:tcPr>
          <w:p w14:paraId="4B31A75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Design-specific Criterion 4</w:t>
            </w:r>
          </w:p>
        </w:tc>
        <w:tc>
          <w:tcPr>
            <w:tcW w:w="972" w:type="dxa"/>
            <w:shd w:val="clear" w:color="auto" w:fill="D9E2F3"/>
          </w:tcPr>
          <w:p w14:paraId="4AEE9A3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Design-specific Criterion 5</w:t>
            </w:r>
          </w:p>
        </w:tc>
        <w:tc>
          <w:tcPr>
            <w:tcW w:w="698" w:type="dxa"/>
            <w:shd w:val="clear" w:color="auto" w:fill="D9E2F3"/>
          </w:tcPr>
          <w:p w14:paraId="3E9FEEE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b/>
                <w:bCs/>
                <w:sz w:val="18"/>
                <w:szCs w:val="18"/>
                <w:lang w:val="en-US" w:eastAsia="en-US" w:bidi="ur-PK"/>
              </w:rPr>
              <w:t>Overall MMAT rating (%)</w:t>
            </w:r>
          </w:p>
        </w:tc>
      </w:tr>
      <w:tr w:rsidR="000F5408" w:rsidRPr="000F5408" w14:paraId="7F9BEF31" w14:textId="77777777" w:rsidTr="000F5408">
        <w:tc>
          <w:tcPr>
            <w:tcW w:w="360" w:type="dxa"/>
            <w:vAlign w:val="center"/>
          </w:tcPr>
          <w:p w14:paraId="2F77C884" w14:textId="461F714A"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w:t>
            </w:r>
          </w:p>
        </w:tc>
        <w:tc>
          <w:tcPr>
            <w:tcW w:w="1517" w:type="dxa"/>
            <w:vAlign w:val="center"/>
          </w:tcPr>
          <w:p w14:paraId="2154389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Alam</w:t>
            </w:r>
            <w:proofErr w:type="spellEnd"/>
            <w:r w:rsidRPr="0043400D">
              <w:rPr>
                <w:rFonts w:ascii="Times New Roman" w:hAnsi="Times New Roman"/>
                <w:sz w:val="18"/>
                <w:szCs w:val="18"/>
                <w:lang w:val="en-US" w:eastAsia="en-US" w:bidi="ur-PK"/>
              </w:rPr>
              <w:t xml:space="preserve"> et al., 2021</w:t>
            </w:r>
          </w:p>
        </w:tc>
        <w:tc>
          <w:tcPr>
            <w:tcW w:w="1383" w:type="dxa"/>
            <w:vAlign w:val="center"/>
          </w:tcPr>
          <w:p w14:paraId="370AA02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2DAF396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363A35E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7233BB8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45AF3D7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6ED5898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CT</w:t>
            </w:r>
          </w:p>
        </w:tc>
        <w:tc>
          <w:tcPr>
            <w:tcW w:w="972" w:type="dxa"/>
            <w:vAlign w:val="center"/>
          </w:tcPr>
          <w:p w14:paraId="110A83B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5B6CFFB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60%</w:t>
            </w:r>
          </w:p>
        </w:tc>
      </w:tr>
      <w:tr w:rsidR="000F5408" w:rsidRPr="000F5408" w14:paraId="0FABA46D" w14:textId="77777777" w:rsidTr="000F5408">
        <w:tc>
          <w:tcPr>
            <w:tcW w:w="360" w:type="dxa"/>
            <w:vAlign w:val="center"/>
          </w:tcPr>
          <w:p w14:paraId="1C341C78" w14:textId="145DF678"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w:t>
            </w:r>
          </w:p>
        </w:tc>
        <w:tc>
          <w:tcPr>
            <w:tcW w:w="1517" w:type="dxa"/>
            <w:vAlign w:val="center"/>
          </w:tcPr>
          <w:p w14:paraId="1634F03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Haider et al., 2022</w:t>
            </w:r>
          </w:p>
        </w:tc>
        <w:tc>
          <w:tcPr>
            <w:tcW w:w="1383" w:type="dxa"/>
            <w:vAlign w:val="center"/>
          </w:tcPr>
          <w:p w14:paraId="07EFAEB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110F7D2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1A41EC2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6E0CA47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760DB04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0630B89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CT</w:t>
            </w:r>
          </w:p>
        </w:tc>
        <w:tc>
          <w:tcPr>
            <w:tcW w:w="972" w:type="dxa"/>
            <w:vAlign w:val="center"/>
          </w:tcPr>
          <w:p w14:paraId="1625304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2BB9BD9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39534925" w14:textId="77777777" w:rsidTr="000F5408">
        <w:tc>
          <w:tcPr>
            <w:tcW w:w="360" w:type="dxa"/>
            <w:vAlign w:val="center"/>
          </w:tcPr>
          <w:p w14:paraId="46CF9727" w14:textId="6A5C7428"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3</w:t>
            </w:r>
          </w:p>
        </w:tc>
        <w:tc>
          <w:tcPr>
            <w:tcW w:w="1517" w:type="dxa"/>
            <w:vAlign w:val="center"/>
          </w:tcPr>
          <w:p w14:paraId="24E69DC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Karim et al., 2024</w:t>
            </w:r>
          </w:p>
        </w:tc>
        <w:tc>
          <w:tcPr>
            <w:tcW w:w="1383" w:type="dxa"/>
            <w:vAlign w:val="center"/>
          </w:tcPr>
          <w:p w14:paraId="3E403A6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410E64F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043BA0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2145ADF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093082E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251A900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0714AB5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3EFE356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74F24C2E" w14:textId="77777777" w:rsidTr="000F5408">
        <w:tc>
          <w:tcPr>
            <w:tcW w:w="360" w:type="dxa"/>
            <w:vAlign w:val="center"/>
          </w:tcPr>
          <w:p w14:paraId="4B29E808" w14:textId="0FF07B26"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4</w:t>
            </w:r>
          </w:p>
        </w:tc>
        <w:tc>
          <w:tcPr>
            <w:tcW w:w="1517" w:type="dxa"/>
            <w:vAlign w:val="center"/>
          </w:tcPr>
          <w:p w14:paraId="21B761B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Kazi</w:t>
            </w:r>
            <w:proofErr w:type="spellEnd"/>
            <w:r w:rsidRPr="0043400D">
              <w:rPr>
                <w:rFonts w:ascii="Times New Roman" w:hAnsi="Times New Roman"/>
                <w:sz w:val="18"/>
                <w:szCs w:val="18"/>
                <w:lang w:val="en-US" w:eastAsia="en-US" w:bidi="ur-PK"/>
              </w:rPr>
              <w:t xml:space="preserve"> et al., 2020</w:t>
            </w:r>
          </w:p>
        </w:tc>
        <w:tc>
          <w:tcPr>
            <w:tcW w:w="1383" w:type="dxa"/>
            <w:vAlign w:val="center"/>
          </w:tcPr>
          <w:p w14:paraId="132C3EB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236DA8E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40F64E6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442AE27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3C3EE4A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53D6599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138EDC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6006839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02ED80DE" w14:textId="77777777" w:rsidTr="000F5408">
        <w:tc>
          <w:tcPr>
            <w:tcW w:w="360" w:type="dxa"/>
            <w:vAlign w:val="center"/>
          </w:tcPr>
          <w:p w14:paraId="0E61803E" w14:textId="009A51DD"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5</w:t>
            </w:r>
          </w:p>
        </w:tc>
        <w:tc>
          <w:tcPr>
            <w:tcW w:w="1517" w:type="dxa"/>
            <w:vAlign w:val="center"/>
          </w:tcPr>
          <w:p w14:paraId="4D8183F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Khan et al., 2025</w:t>
            </w:r>
          </w:p>
        </w:tc>
        <w:tc>
          <w:tcPr>
            <w:tcW w:w="1383" w:type="dxa"/>
            <w:vAlign w:val="center"/>
          </w:tcPr>
          <w:p w14:paraId="7CB18D5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4287922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5FDC1E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53045A1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6900ED6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63A0B2C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26F864A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2239152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4C18058D" w14:textId="77777777" w:rsidTr="000F5408">
        <w:tc>
          <w:tcPr>
            <w:tcW w:w="360" w:type="dxa"/>
            <w:vAlign w:val="center"/>
          </w:tcPr>
          <w:p w14:paraId="6C757640" w14:textId="2004B6E9"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6</w:t>
            </w:r>
          </w:p>
        </w:tc>
        <w:tc>
          <w:tcPr>
            <w:tcW w:w="1517" w:type="dxa"/>
            <w:vAlign w:val="center"/>
          </w:tcPr>
          <w:p w14:paraId="7146588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Khurram et al., 2024</w:t>
            </w:r>
          </w:p>
        </w:tc>
        <w:tc>
          <w:tcPr>
            <w:tcW w:w="1383" w:type="dxa"/>
            <w:vAlign w:val="center"/>
          </w:tcPr>
          <w:p w14:paraId="32BF3DB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6DB0378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1C4F14E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20E1BA4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0EB355B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10ECEC6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C35325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4FD8D2B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58101349" w14:textId="77777777" w:rsidTr="000F5408">
        <w:tc>
          <w:tcPr>
            <w:tcW w:w="360" w:type="dxa"/>
            <w:vAlign w:val="center"/>
          </w:tcPr>
          <w:p w14:paraId="5099DAF9" w14:textId="74FCA1C4"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7</w:t>
            </w:r>
          </w:p>
        </w:tc>
        <w:tc>
          <w:tcPr>
            <w:tcW w:w="1517" w:type="dxa"/>
            <w:vAlign w:val="center"/>
          </w:tcPr>
          <w:p w14:paraId="397259C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Malik et al., 2025</w:t>
            </w:r>
          </w:p>
        </w:tc>
        <w:tc>
          <w:tcPr>
            <w:tcW w:w="1383" w:type="dxa"/>
            <w:vAlign w:val="center"/>
          </w:tcPr>
          <w:p w14:paraId="72E9E5A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121D104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0005C24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77FA821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605CBE6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6102A47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3D6CDBB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143533C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5BA76C58" w14:textId="77777777" w:rsidTr="000F5408">
        <w:tc>
          <w:tcPr>
            <w:tcW w:w="360" w:type="dxa"/>
            <w:vAlign w:val="center"/>
          </w:tcPr>
          <w:p w14:paraId="7BC0C7FC" w14:textId="3FF4D1FA"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w:t>
            </w:r>
          </w:p>
        </w:tc>
        <w:tc>
          <w:tcPr>
            <w:tcW w:w="1517" w:type="dxa"/>
            <w:vAlign w:val="center"/>
          </w:tcPr>
          <w:p w14:paraId="2DC5010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Mansoor et al., 2025</w:t>
            </w:r>
          </w:p>
        </w:tc>
        <w:tc>
          <w:tcPr>
            <w:tcW w:w="1383" w:type="dxa"/>
            <w:vAlign w:val="center"/>
          </w:tcPr>
          <w:p w14:paraId="79C5A51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2E5B2FA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7B3F306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423064A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55929CC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74967CE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4C4188B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0927EC7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377F4029" w14:textId="77777777" w:rsidTr="000F5408">
        <w:tc>
          <w:tcPr>
            <w:tcW w:w="360" w:type="dxa"/>
            <w:vAlign w:val="center"/>
          </w:tcPr>
          <w:p w14:paraId="40F44103" w14:textId="5822F5F4"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9</w:t>
            </w:r>
          </w:p>
        </w:tc>
        <w:tc>
          <w:tcPr>
            <w:tcW w:w="1517" w:type="dxa"/>
            <w:vAlign w:val="center"/>
          </w:tcPr>
          <w:p w14:paraId="756EF02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Mechael</w:t>
            </w:r>
            <w:proofErr w:type="spellEnd"/>
            <w:r w:rsidRPr="0043400D">
              <w:rPr>
                <w:rFonts w:ascii="Times New Roman" w:hAnsi="Times New Roman"/>
                <w:sz w:val="18"/>
                <w:szCs w:val="18"/>
                <w:lang w:val="en-US" w:eastAsia="en-US" w:bidi="ur-PK"/>
              </w:rPr>
              <w:t xml:space="preserve"> et al., 2024</w:t>
            </w:r>
          </w:p>
        </w:tc>
        <w:tc>
          <w:tcPr>
            <w:tcW w:w="1383" w:type="dxa"/>
            <w:vAlign w:val="center"/>
          </w:tcPr>
          <w:p w14:paraId="3BFFB66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5C0543B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51049DF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392C498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730D4FC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60BA64A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9B5238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6520D45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1F07B79C" w14:textId="77777777" w:rsidTr="000F5408">
        <w:tc>
          <w:tcPr>
            <w:tcW w:w="360" w:type="dxa"/>
            <w:vAlign w:val="center"/>
          </w:tcPr>
          <w:p w14:paraId="27CD38F7" w14:textId="4D4A5329"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w:t>
            </w:r>
          </w:p>
        </w:tc>
        <w:tc>
          <w:tcPr>
            <w:tcW w:w="1517" w:type="dxa"/>
            <w:vAlign w:val="center"/>
          </w:tcPr>
          <w:p w14:paraId="070F2DE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Raza et al., 2025</w:t>
            </w:r>
          </w:p>
        </w:tc>
        <w:tc>
          <w:tcPr>
            <w:tcW w:w="1383" w:type="dxa"/>
            <w:vAlign w:val="center"/>
          </w:tcPr>
          <w:p w14:paraId="6C61C0E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7D3235A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0A4162D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0979D93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228E667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4BFE0DD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C65E1C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1B94302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686FB51E" w14:textId="77777777" w:rsidTr="000F5408">
        <w:tc>
          <w:tcPr>
            <w:tcW w:w="360" w:type="dxa"/>
            <w:vAlign w:val="center"/>
          </w:tcPr>
          <w:p w14:paraId="061BB00C" w14:textId="11082EF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11</w:t>
            </w:r>
          </w:p>
        </w:tc>
        <w:tc>
          <w:tcPr>
            <w:tcW w:w="1517" w:type="dxa"/>
            <w:vAlign w:val="center"/>
          </w:tcPr>
          <w:p w14:paraId="6F3D5DB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Saifullah et al., 2024</w:t>
            </w:r>
          </w:p>
        </w:tc>
        <w:tc>
          <w:tcPr>
            <w:tcW w:w="1383" w:type="dxa"/>
            <w:vAlign w:val="center"/>
          </w:tcPr>
          <w:p w14:paraId="204095B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68BC405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18FDC9B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5B301F1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602666C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3C412EC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2BABEC9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7D9F6EE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60FB01AF" w14:textId="77777777" w:rsidTr="000F5408">
        <w:tc>
          <w:tcPr>
            <w:tcW w:w="360" w:type="dxa"/>
            <w:vAlign w:val="center"/>
          </w:tcPr>
          <w:p w14:paraId="20842820" w14:textId="11C7CAC9"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12</w:t>
            </w:r>
          </w:p>
        </w:tc>
        <w:tc>
          <w:tcPr>
            <w:tcW w:w="1517" w:type="dxa"/>
            <w:vAlign w:val="center"/>
          </w:tcPr>
          <w:p w14:paraId="0904208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Shahil-Feroz</w:t>
            </w:r>
            <w:proofErr w:type="spellEnd"/>
            <w:r w:rsidRPr="0043400D">
              <w:rPr>
                <w:rFonts w:ascii="Times New Roman" w:hAnsi="Times New Roman"/>
                <w:sz w:val="18"/>
                <w:szCs w:val="18"/>
                <w:lang w:val="en-US" w:eastAsia="en-US" w:bidi="ur-PK"/>
              </w:rPr>
              <w:t xml:space="preserve"> et al., 2024</w:t>
            </w:r>
          </w:p>
        </w:tc>
        <w:tc>
          <w:tcPr>
            <w:tcW w:w="1383" w:type="dxa"/>
            <w:vAlign w:val="center"/>
          </w:tcPr>
          <w:p w14:paraId="7E5FB64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38E08B3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1949E3D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42B6C30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7864395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37F94E2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7237C57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609F793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043C348A" w14:textId="77777777" w:rsidTr="000F5408">
        <w:tc>
          <w:tcPr>
            <w:tcW w:w="360" w:type="dxa"/>
            <w:vAlign w:val="center"/>
          </w:tcPr>
          <w:p w14:paraId="187C7F54" w14:textId="580C0672"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13</w:t>
            </w:r>
          </w:p>
        </w:tc>
        <w:tc>
          <w:tcPr>
            <w:tcW w:w="1517" w:type="dxa"/>
            <w:vAlign w:val="center"/>
          </w:tcPr>
          <w:p w14:paraId="7B2D6A7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Tariq et al., 2023</w:t>
            </w:r>
          </w:p>
        </w:tc>
        <w:tc>
          <w:tcPr>
            <w:tcW w:w="1383" w:type="dxa"/>
            <w:vAlign w:val="center"/>
          </w:tcPr>
          <w:p w14:paraId="1859625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381E960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086E25A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04A7E18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3783815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4B0587C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2E3788D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238A1B0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5D3028D7" w14:textId="77777777" w:rsidTr="000F5408">
        <w:tc>
          <w:tcPr>
            <w:tcW w:w="360" w:type="dxa"/>
            <w:vAlign w:val="center"/>
          </w:tcPr>
          <w:p w14:paraId="14B846CF" w14:textId="622FA728"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14</w:t>
            </w:r>
          </w:p>
        </w:tc>
        <w:tc>
          <w:tcPr>
            <w:tcW w:w="1517" w:type="dxa"/>
            <w:vAlign w:val="center"/>
          </w:tcPr>
          <w:p w14:paraId="7C81414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Wasi</w:t>
            </w:r>
            <w:proofErr w:type="spellEnd"/>
            <w:r w:rsidRPr="0043400D">
              <w:rPr>
                <w:rFonts w:ascii="Times New Roman" w:hAnsi="Times New Roman"/>
                <w:sz w:val="18"/>
                <w:szCs w:val="18"/>
                <w:lang w:val="en-US" w:eastAsia="en-US" w:bidi="ur-PK"/>
              </w:rPr>
              <w:t xml:space="preserve"> Abbas et al., 2024</w:t>
            </w:r>
          </w:p>
        </w:tc>
        <w:tc>
          <w:tcPr>
            <w:tcW w:w="1383" w:type="dxa"/>
            <w:vAlign w:val="center"/>
          </w:tcPr>
          <w:p w14:paraId="05B1FE9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18817AF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3A573CD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3FC58ED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1904E72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6C24AD5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972" w:type="dxa"/>
            <w:vAlign w:val="center"/>
          </w:tcPr>
          <w:p w14:paraId="561ACB3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5CF2799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60%</w:t>
            </w:r>
          </w:p>
        </w:tc>
      </w:tr>
      <w:tr w:rsidR="000F5408" w:rsidRPr="000F5408" w14:paraId="7038355B" w14:textId="77777777" w:rsidTr="000F5408">
        <w:tc>
          <w:tcPr>
            <w:tcW w:w="360" w:type="dxa"/>
            <w:vAlign w:val="center"/>
          </w:tcPr>
          <w:p w14:paraId="1B9BB1C6" w14:textId="7BD43AAB"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15</w:t>
            </w:r>
          </w:p>
        </w:tc>
        <w:tc>
          <w:tcPr>
            <w:tcW w:w="1517" w:type="dxa"/>
            <w:vAlign w:val="center"/>
          </w:tcPr>
          <w:p w14:paraId="3EFFC17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Yawar</w:t>
            </w:r>
            <w:proofErr w:type="spellEnd"/>
            <w:r w:rsidRPr="0043400D">
              <w:rPr>
                <w:rFonts w:ascii="Times New Roman" w:hAnsi="Times New Roman"/>
                <w:sz w:val="18"/>
                <w:szCs w:val="18"/>
                <w:lang w:val="en-US" w:eastAsia="en-US" w:bidi="ur-PK"/>
              </w:rPr>
              <w:t xml:space="preserve"> et al., 2022</w:t>
            </w:r>
          </w:p>
        </w:tc>
        <w:tc>
          <w:tcPr>
            <w:tcW w:w="1383" w:type="dxa"/>
            <w:vAlign w:val="center"/>
          </w:tcPr>
          <w:p w14:paraId="74AD9F1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43BDEDC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858E2C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35000E0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5E2735C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2146EA3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3893E81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1D3AB4D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0B83AF9B" w14:textId="77777777" w:rsidTr="000F5408">
        <w:tc>
          <w:tcPr>
            <w:tcW w:w="360" w:type="dxa"/>
            <w:vAlign w:val="center"/>
          </w:tcPr>
          <w:p w14:paraId="3763C611" w14:textId="1C5CCBE1"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lastRenderedPageBreak/>
              <w:t>16</w:t>
            </w:r>
          </w:p>
        </w:tc>
        <w:tc>
          <w:tcPr>
            <w:tcW w:w="1517" w:type="dxa"/>
            <w:vAlign w:val="center"/>
          </w:tcPr>
          <w:p w14:paraId="09B2442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Abdi et al., 2025</w:t>
            </w:r>
          </w:p>
        </w:tc>
        <w:tc>
          <w:tcPr>
            <w:tcW w:w="1383" w:type="dxa"/>
            <w:vAlign w:val="center"/>
          </w:tcPr>
          <w:p w14:paraId="16EC8A8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0B8BC73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0C6594B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300627B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772F448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6B655BE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2A831A1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028D8DC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2D9B4BEC" w14:textId="77777777" w:rsidTr="000F5408">
        <w:tc>
          <w:tcPr>
            <w:tcW w:w="360" w:type="dxa"/>
            <w:vAlign w:val="center"/>
          </w:tcPr>
          <w:p w14:paraId="55F49145" w14:textId="67FE68E2"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17</w:t>
            </w:r>
          </w:p>
        </w:tc>
        <w:tc>
          <w:tcPr>
            <w:tcW w:w="1517" w:type="dxa"/>
            <w:vAlign w:val="center"/>
          </w:tcPr>
          <w:p w14:paraId="2275EB3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Alashek</w:t>
            </w:r>
            <w:proofErr w:type="spellEnd"/>
            <w:r w:rsidRPr="0043400D">
              <w:rPr>
                <w:rFonts w:ascii="Times New Roman" w:hAnsi="Times New Roman"/>
                <w:sz w:val="18"/>
                <w:szCs w:val="18"/>
                <w:lang w:val="en-US" w:eastAsia="en-US" w:bidi="ur-PK"/>
              </w:rPr>
              <w:t xml:space="preserve"> et al., 2024</w:t>
            </w:r>
          </w:p>
        </w:tc>
        <w:tc>
          <w:tcPr>
            <w:tcW w:w="1383" w:type="dxa"/>
            <w:vAlign w:val="center"/>
          </w:tcPr>
          <w:p w14:paraId="20CE2BE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247" w:type="dxa"/>
            <w:vAlign w:val="center"/>
          </w:tcPr>
          <w:p w14:paraId="2077CF6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2F5BA37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5" w:type="dxa"/>
            <w:vAlign w:val="center"/>
          </w:tcPr>
          <w:p w14:paraId="699BD7C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109" w:type="dxa"/>
            <w:vAlign w:val="center"/>
          </w:tcPr>
          <w:p w14:paraId="1AB2310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4" w:type="dxa"/>
            <w:vAlign w:val="center"/>
          </w:tcPr>
          <w:p w14:paraId="410EDE4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7272781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698" w:type="dxa"/>
            <w:vAlign w:val="center"/>
          </w:tcPr>
          <w:p w14:paraId="2C755DC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r>
      <w:tr w:rsidR="000F5408" w:rsidRPr="000F5408" w14:paraId="6CDD1A56" w14:textId="77777777" w:rsidTr="000F5408">
        <w:tc>
          <w:tcPr>
            <w:tcW w:w="360" w:type="dxa"/>
            <w:vAlign w:val="center"/>
          </w:tcPr>
          <w:p w14:paraId="39BC7227" w14:textId="56D50420"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18</w:t>
            </w:r>
          </w:p>
        </w:tc>
        <w:tc>
          <w:tcPr>
            <w:tcW w:w="1517" w:type="dxa"/>
            <w:vAlign w:val="center"/>
          </w:tcPr>
          <w:p w14:paraId="0D741EB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Anchors et al., 2023</w:t>
            </w:r>
          </w:p>
        </w:tc>
        <w:tc>
          <w:tcPr>
            <w:tcW w:w="1383" w:type="dxa"/>
            <w:vAlign w:val="center"/>
          </w:tcPr>
          <w:p w14:paraId="3ACAC5B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1010E88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73B49EF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7342439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5028C39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46E349F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CT</w:t>
            </w:r>
          </w:p>
        </w:tc>
        <w:tc>
          <w:tcPr>
            <w:tcW w:w="972" w:type="dxa"/>
            <w:vAlign w:val="center"/>
          </w:tcPr>
          <w:p w14:paraId="1898B29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35071C8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3D73391C" w14:textId="77777777" w:rsidTr="000F5408">
        <w:tc>
          <w:tcPr>
            <w:tcW w:w="360" w:type="dxa"/>
            <w:vAlign w:val="center"/>
          </w:tcPr>
          <w:p w14:paraId="79484C26" w14:textId="59D0331E"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19</w:t>
            </w:r>
          </w:p>
        </w:tc>
        <w:tc>
          <w:tcPr>
            <w:tcW w:w="1517" w:type="dxa"/>
            <w:vAlign w:val="center"/>
          </w:tcPr>
          <w:p w14:paraId="659E583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Chadd</w:t>
            </w:r>
            <w:proofErr w:type="spellEnd"/>
            <w:r w:rsidRPr="0043400D">
              <w:rPr>
                <w:rFonts w:ascii="Times New Roman" w:hAnsi="Times New Roman"/>
                <w:sz w:val="18"/>
                <w:szCs w:val="18"/>
                <w:lang w:val="en-US" w:eastAsia="en-US" w:bidi="ur-PK"/>
              </w:rPr>
              <w:t xml:space="preserve"> et al., 2024</w:t>
            </w:r>
          </w:p>
        </w:tc>
        <w:tc>
          <w:tcPr>
            <w:tcW w:w="1383" w:type="dxa"/>
            <w:vAlign w:val="center"/>
          </w:tcPr>
          <w:p w14:paraId="06AA62E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51A0677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11AD571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41F386B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3684078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02209E5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3867CF4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0187451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0F782080" w14:textId="77777777" w:rsidTr="000F5408">
        <w:tc>
          <w:tcPr>
            <w:tcW w:w="360" w:type="dxa"/>
            <w:vAlign w:val="center"/>
          </w:tcPr>
          <w:p w14:paraId="0862BD45" w14:textId="2ED7D62E"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20</w:t>
            </w:r>
          </w:p>
        </w:tc>
        <w:tc>
          <w:tcPr>
            <w:tcW w:w="1517" w:type="dxa"/>
            <w:vAlign w:val="center"/>
          </w:tcPr>
          <w:p w14:paraId="4F03B3B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Charlton et al., 2024</w:t>
            </w:r>
          </w:p>
        </w:tc>
        <w:tc>
          <w:tcPr>
            <w:tcW w:w="1383" w:type="dxa"/>
            <w:vAlign w:val="center"/>
          </w:tcPr>
          <w:p w14:paraId="5C116CE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238BF7C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4BADF5B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6BB87EE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1FE9C68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6671012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972" w:type="dxa"/>
            <w:vAlign w:val="center"/>
          </w:tcPr>
          <w:p w14:paraId="184526A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2FE8C27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60%</w:t>
            </w:r>
          </w:p>
        </w:tc>
      </w:tr>
      <w:tr w:rsidR="000F5408" w:rsidRPr="000F5408" w14:paraId="464FE096" w14:textId="77777777" w:rsidTr="000F5408">
        <w:tc>
          <w:tcPr>
            <w:tcW w:w="360" w:type="dxa"/>
            <w:vAlign w:val="center"/>
          </w:tcPr>
          <w:p w14:paraId="0E8391DD" w14:textId="6BF0F410"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21</w:t>
            </w:r>
          </w:p>
        </w:tc>
        <w:tc>
          <w:tcPr>
            <w:tcW w:w="1517" w:type="dxa"/>
            <w:vAlign w:val="center"/>
          </w:tcPr>
          <w:p w14:paraId="687F8A1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Chaudhry et al., 2024</w:t>
            </w:r>
          </w:p>
        </w:tc>
        <w:tc>
          <w:tcPr>
            <w:tcW w:w="1383" w:type="dxa"/>
            <w:vAlign w:val="center"/>
          </w:tcPr>
          <w:p w14:paraId="7FE0DCF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708A807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0C6F5C0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272A49B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1C59DA4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3E179A8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2A8F0FF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4D6567E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7CF71C44" w14:textId="77777777" w:rsidTr="000F5408">
        <w:tc>
          <w:tcPr>
            <w:tcW w:w="360" w:type="dxa"/>
            <w:vAlign w:val="center"/>
          </w:tcPr>
          <w:p w14:paraId="0167A1E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22</w:t>
            </w:r>
          </w:p>
        </w:tc>
        <w:tc>
          <w:tcPr>
            <w:tcW w:w="1517" w:type="dxa"/>
            <w:vAlign w:val="center"/>
          </w:tcPr>
          <w:p w14:paraId="7FBAD25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Chen et al., 2024</w:t>
            </w:r>
          </w:p>
        </w:tc>
        <w:tc>
          <w:tcPr>
            <w:tcW w:w="1383" w:type="dxa"/>
            <w:vAlign w:val="center"/>
          </w:tcPr>
          <w:p w14:paraId="3D25238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54D022F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4FDB524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2BF025C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36E59DF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21EA6E7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399D961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6D94B52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80%</w:t>
            </w:r>
          </w:p>
        </w:tc>
      </w:tr>
      <w:tr w:rsidR="000F5408" w:rsidRPr="000F5408" w14:paraId="1F4246D7" w14:textId="77777777" w:rsidTr="000F5408">
        <w:tc>
          <w:tcPr>
            <w:tcW w:w="360" w:type="dxa"/>
            <w:vAlign w:val="center"/>
          </w:tcPr>
          <w:p w14:paraId="2F046167" w14:textId="26B66F76"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23</w:t>
            </w:r>
          </w:p>
        </w:tc>
        <w:tc>
          <w:tcPr>
            <w:tcW w:w="1517" w:type="dxa"/>
            <w:vAlign w:val="center"/>
          </w:tcPr>
          <w:p w14:paraId="56197A4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Cheraghi</w:t>
            </w:r>
            <w:proofErr w:type="spellEnd"/>
            <w:r w:rsidRPr="0043400D">
              <w:rPr>
                <w:rFonts w:ascii="Times New Roman" w:hAnsi="Times New Roman"/>
                <w:sz w:val="18"/>
                <w:szCs w:val="18"/>
                <w:lang w:val="en-US" w:eastAsia="en-US" w:bidi="ur-PK"/>
              </w:rPr>
              <w:t>-Sohi et al., 2023</w:t>
            </w:r>
          </w:p>
        </w:tc>
        <w:tc>
          <w:tcPr>
            <w:tcW w:w="1383" w:type="dxa"/>
            <w:vAlign w:val="center"/>
          </w:tcPr>
          <w:p w14:paraId="2A74785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5139823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26444A7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24E8DD8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1487E71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3CB8ABF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13AA7B2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0E42444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0580DAC2" w14:textId="77777777" w:rsidTr="000F5408">
        <w:tc>
          <w:tcPr>
            <w:tcW w:w="360" w:type="dxa"/>
            <w:vAlign w:val="center"/>
          </w:tcPr>
          <w:p w14:paraId="4CA460EC" w14:textId="46837F5D"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24</w:t>
            </w:r>
          </w:p>
        </w:tc>
        <w:tc>
          <w:tcPr>
            <w:tcW w:w="1517" w:type="dxa"/>
            <w:vAlign w:val="center"/>
          </w:tcPr>
          <w:p w14:paraId="59272E2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Comer et al., 2025</w:t>
            </w:r>
          </w:p>
        </w:tc>
        <w:tc>
          <w:tcPr>
            <w:tcW w:w="1383" w:type="dxa"/>
            <w:vAlign w:val="center"/>
          </w:tcPr>
          <w:p w14:paraId="4F216D2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5065176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513ED68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72B7ECC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150366F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3E90B42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505CAB3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0E203AE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126C5119" w14:textId="77777777" w:rsidTr="000F5408">
        <w:tc>
          <w:tcPr>
            <w:tcW w:w="360" w:type="dxa"/>
            <w:vAlign w:val="center"/>
          </w:tcPr>
          <w:p w14:paraId="3B54FD59" w14:textId="2DD68B69"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25</w:t>
            </w:r>
          </w:p>
        </w:tc>
        <w:tc>
          <w:tcPr>
            <w:tcW w:w="1517" w:type="dxa"/>
            <w:vAlign w:val="center"/>
          </w:tcPr>
          <w:p w14:paraId="4688140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Cresswell</w:t>
            </w:r>
            <w:proofErr w:type="spellEnd"/>
            <w:r w:rsidRPr="0043400D">
              <w:rPr>
                <w:rFonts w:ascii="Times New Roman" w:hAnsi="Times New Roman"/>
                <w:sz w:val="18"/>
                <w:szCs w:val="18"/>
                <w:lang w:val="en-US" w:eastAsia="en-US" w:bidi="ur-PK"/>
              </w:rPr>
              <w:t xml:space="preserve"> et al., 2022</w:t>
            </w:r>
          </w:p>
        </w:tc>
        <w:tc>
          <w:tcPr>
            <w:tcW w:w="1383" w:type="dxa"/>
            <w:vAlign w:val="center"/>
          </w:tcPr>
          <w:p w14:paraId="6D74279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247" w:type="dxa"/>
            <w:vAlign w:val="center"/>
          </w:tcPr>
          <w:p w14:paraId="1C1F41F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76327B7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5" w:type="dxa"/>
            <w:vAlign w:val="center"/>
          </w:tcPr>
          <w:p w14:paraId="09B7832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109" w:type="dxa"/>
            <w:vAlign w:val="center"/>
          </w:tcPr>
          <w:p w14:paraId="602F8A5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4" w:type="dxa"/>
            <w:vAlign w:val="center"/>
          </w:tcPr>
          <w:p w14:paraId="1ADB32A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66320A1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698" w:type="dxa"/>
            <w:vAlign w:val="center"/>
          </w:tcPr>
          <w:p w14:paraId="28BA697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r>
      <w:tr w:rsidR="000F5408" w:rsidRPr="000F5408" w14:paraId="70334073" w14:textId="77777777" w:rsidTr="000F5408">
        <w:tc>
          <w:tcPr>
            <w:tcW w:w="360" w:type="dxa"/>
            <w:vAlign w:val="center"/>
          </w:tcPr>
          <w:p w14:paraId="606FEA45" w14:textId="08219639"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26</w:t>
            </w:r>
          </w:p>
        </w:tc>
        <w:tc>
          <w:tcPr>
            <w:tcW w:w="1517" w:type="dxa"/>
            <w:vAlign w:val="center"/>
          </w:tcPr>
          <w:p w14:paraId="407B502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Farre</w:t>
            </w:r>
            <w:proofErr w:type="spellEnd"/>
            <w:r w:rsidRPr="0043400D">
              <w:rPr>
                <w:rFonts w:ascii="Times New Roman" w:hAnsi="Times New Roman"/>
                <w:sz w:val="18"/>
                <w:szCs w:val="18"/>
                <w:lang w:val="en-US" w:eastAsia="en-US" w:bidi="ur-PK"/>
              </w:rPr>
              <w:t xml:space="preserve"> et al., 2023</w:t>
            </w:r>
          </w:p>
        </w:tc>
        <w:tc>
          <w:tcPr>
            <w:tcW w:w="1383" w:type="dxa"/>
            <w:vAlign w:val="center"/>
          </w:tcPr>
          <w:p w14:paraId="55BDCD8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247" w:type="dxa"/>
            <w:vAlign w:val="center"/>
          </w:tcPr>
          <w:p w14:paraId="6D821E6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33D4A93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5" w:type="dxa"/>
            <w:vAlign w:val="center"/>
          </w:tcPr>
          <w:p w14:paraId="006C502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109" w:type="dxa"/>
            <w:vAlign w:val="center"/>
          </w:tcPr>
          <w:p w14:paraId="564C230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4" w:type="dxa"/>
            <w:vAlign w:val="center"/>
          </w:tcPr>
          <w:p w14:paraId="41E910E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253B0E5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698" w:type="dxa"/>
            <w:vAlign w:val="center"/>
          </w:tcPr>
          <w:p w14:paraId="65A1186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r>
      <w:tr w:rsidR="000F5408" w:rsidRPr="000F5408" w14:paraId="781DB51B" w14:textId="77777777" w:rsidTr="000F5408">
        <w:tc>
          <w:tcPr>
            <w:tcW w:w="360" w:type="dxa"/>
            <w:vAlign w:val="center"/>
          </w:tcPr>
          <w:p w14:paraId="793C6BB8" w14:textId="65537526"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27</w:t>
            </w:r>
          </w:p>
        </w:tc>
        <w:tc>
          <w:tcPr>
            <w:tcW w:w="1517" w:type="dxa"/>
            <w:vAlign w:val="center"/>
          </w:tcPr>
          <w:p w14:paraId="1DFD5A1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Grant et al., 2024</w:t>
            </w:r>
          </w:p>
        </w:tc>
        <w:tc>
          <w:tcPr>
            <w:tcW w:w="1383" w:type="dxa"/>
            <w:vAlign w:val="center"/>
          </w:tcPr>
          <w:p w14:paraId="1B75317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79F8772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4BFFFED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36E058B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57B76F4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333566C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22B5255B"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1A66E2F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65639D95" w14:textId="77777777" w:rsidTr="000F5408">
        <w:tc>
          <w:tcPr>
            <w:tcW w:w="360" w:type="dxa"/>
            <w:vAlign w:val="center"/>
          </w:tcPr>
          <w:p w14:paraId="26B9C06D" w14:textId="6FD03C42"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28</w:t>
            </w:r>
          </w:p>
        </w:tc>
        <w:tc>
          <w:tcPr>
            <w:tcW w:w="1517" w:type="dxa"/>
            <w:vAlign w:val="center"/>
          </w:tcPr>
          <w:p w14:paraId="3F17D39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Hawley-Hague et al., 2024</w:t>
            </w:r>
          </w:p>
        </w:tc>
        <w:tc>
          <w:tcPr>
            <w:tcW w:w="1383" w:type="dxa"/>
            <w:vAlign w:val="center"/>
          </w:tcPr>
          <w:p w14:paraId="101C1D7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21A35C7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131FDD5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487BE3D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53E1A67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12BD30B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7F031A3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3510ED1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3B40D460" w14:textId="77777777" w:rsidTr="000F5408">
        <w:tc>
          <w:tcPr>
            <w:tcW w:w="360" w:type="dxa"/>
            <w:vAlign w:val="center"/>
          </w:tcPr>
          <w:p w14:paraId="39A1595C" w14:textId="3F2ABDF1"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29</w:t>
            </w:r>
          </w:p>
        </w:tc>
        <w:tc>
          <w:tcPr>
            <w:tcW w:w="1517" w:type="dxa"/>
            <w:vAlign w:val="center"/>
          </w:tcPr>
          <w:p w14:paraId="7DEDFE6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proofErr w:type="spellStart"/>
            <w:r w:rsidRPr="0043400D">
              <w:rPr>
                <w:rFonts w:ascii="Times New Roman" w:hAnsi="Times New Roman"/>
                <w:sz w:val="18"/>
                <w:szCs w:val="18"/>
                <w:lang w:val="en-US" w:eastAsia="en-US" w:bidi="ur-PK"/>
              </w:rPr>
              <w:t>Hilari</w:t>
            </w:r>
            <w:proofErr w:type="spellEnd"/>
            <w:r w:rsidRPr="0043400D">
              <w:rPr>
                <w:rFonts w:ascii="Times New Roman" w:hAnsi="Times New Roman"/>
                <w:sz w:val="18"/>
                <w:szCs w:val="18"/>
                <w:lang w:val="en-US" w:eastAsia="en-US" w:bidi="ur-PK"/>
              </w:rPr>
              <w:t xml:space="preserve"> et al., 2024</w:t>
            </w:r>
          </w:p>
        </w:tc>
        <w:tc>
          <w:tcPr>
            <w:tcW w:w="1383" w:type="dxa"/>
            <w:vAlign w:val="center"/>
          </w:tcPr>
          <w:p w14:paraId="2E45A96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4180DB8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07721D8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3FE3EEA8"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1109" w:type="dxa"/>
            <w:vAlign w:val="center"/>
          </w:tcPr>
          <w:p w14:paraId="26476D5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1D3B437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w:t>
            </w:r>
          </w:p>
        </w:tc>
        <w:tc>
          <w:tcPr>
            <w:tcW w:w="972" w:type="dxa"/>
            <w:vAlign w:val="center"/>
          </w:tcPr>
          <w:p w14:paraId="05979B9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243909F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60%</w:t>
            </w:r>
          </w:p>
        </w:tc>
      </w:tr>
      <w:tr w:rsidR="000F5408" w:rsidRPr="000F5408" w14:paraId="653988D9" w14:textId="77777777" w:rsidTr="000F5408">
        <w:tc>
          <w:tcPr>
            <w:tcW w:w="360" w:type="dxa"/>
            <w:vAlign w:val="center"/>
          </w:tcPr>
          <w:p w14:paraId="412039D2" w14:textId="67B6B5D2"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30</w:t>
            </w:r>
          </w:p>
        </w:tc>
        <w:tc>
          <w:tcPr>
            <w:tcW w:w="1517" w:type="dxa"/>
            <w:vAlign w:val="center"/>
          </w:tcPr>
          <w:p w14:paraId="0C570A0E"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Jarvis et al., 2025</w:t>
            </w:r>
          </w:p>
        </w:tc>
        <w:tc>
          <w:tcPr>
            <w:tcW w:w="1383" w:type="dxa"/>
            <w:vAlign w:val="center"/>
          </w:tcPr>
          <w:p w14:paraId="0229699F"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247" w:type="dxa"/>
            <w:vAlign w:val="center"/>
          </w:tcPr>
          <w:p w14:paraId="09C5A48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7E455F2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5" w:type="dxa"/>
            <w:vAlign w:val="center"/>
          </w:tcPr>
          <w:p w14:paraId="46604E0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1109" w:type="dxa"/>
            <w:vAlign w:val="center"/>
          </w:tcPr>
          <w:p w14:paraId="779E184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834" w:type="dxa"/>
            <w:vAlign w:val="center"/>
          </w:tcPr>
          <w:p w14:paraId="0715CB9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972" w:type="dxa"/>
            <w:vAlign w:val="center"/>
          </w:tcPr>
          <w:p w14:paraId="6A30F08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Y</w:t>
            </w:r>
          </w:p>
        </w:tc>
        <w:tc>
          <w:tcPr>
            <w:tcW w:w="698" w:type="dxa"/>
            <w:vAlign w:val="center"/>
          </w:tcPr>
          <w:p w14:paraId="7287F7C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100%</w:t>
            </w:r>
          </w:p>
        </w:tc>
      </w:tr>
      <w:tr w:rsidR="000F5408" w:rsidRPr="000F5408" w14:paraId="27E767C9" w14:textId="77777777" w:rsidTr="000F5408">
        <w:tc>
          <w:tcPr>
            <w:tcW w:w="360" w:type="dxa"/>
            <w:vAlign w:val="center"/>
          </w:tcPr>
          <w:p w14:paraId="6B43DAE6" w14:textId="4A5861EF"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31</w:t>
            </w:r>
          </w:p>
        </w:tc>
        <w:tc>
          <w:tcPr>
            <w:tcW w:w="1517" w:type="dxa"/>
            <w:vAlign w:val="center"/>
          </w:tcPr>
          <w:p w14:paraId="2531A33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Morris et al., 2023</w:t>
            </w:r>
          </w:p>
        </w:tc>
        <w:tc>
          <w:tcPr>
            <w:tcW w:w="1383" w:type="dxa"/>
            <w:vAlign w:val="center"/>
          </w:tcPr>
          <w:p w14:paraId="7C50346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247" w:type="dxa"/>
            <w:vAlign w:val="center"/>
          </w:tcPr>
          <w:p w14:paraId="2BF713B5"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40BBDAE6"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5" w:type="dxa"/>
            <w:vAlign w:val="center"/>
          </w:tcPr>
          <w:p w14:paraId="01C982B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109" w:type="dxa"/>
            <w:vAlign w:val="center"/>
          </w:tcPr>
          <w:p w14:paraId="2AA8AC87"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4" w:type="dxa"/>
            <w:vAlign w:val="center"/>
          </w:tcPr>
          <w:p w14:paraId="23EF8F2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3853F9C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698" w:type="dxa"/>
            <w:vAlign w:val="center"/>
          </w:tcPr>
          <w:p w14:paraId="08A11D22"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r>
      <w:tr w:rsidR="000F5408" w:rsidRPr="000F5408" w14:paraId="5B2C7B50" w14:textId="77777777" w:rsidTr="000F5408">
        <w:tc>
          <w:tcPr>
            <w:tcW w:w="360" w:type="dxa"/>
            <w:vAlign w:val="center"/>
          </w:tcPr>
          <w:p w14:paraId="738559F7" w14:textId="5A1359C8"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32</w:t>
            </w:r>
          </w:p>
        </w:tc>
        <w:tc>
          <w:tcPr>
            <w:tcW w:w="1517" w:type="dxa"/>
            <w:vAlign w:val="center"/>
          </w:tcPr>
          <w:p w14:paraId="5DD951AA"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Xing et al., 2026</w:t>
            </w:r>
          </w:p>
        </w:tc>
        <w:tc>
          <w:tcPr>
            <w:tcW w:w="1383" w:type="dxa"/>
            <w:vAlign w:val="center"/>
          </w:tcPr>
          <w:p w14:paraId="751EC73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247" w:type="dxa"/>
            <w:vAlign w:val="center"/>
          </w:tcPr>
          <w:p w14:paraId="38CC73E0"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16862089"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5" w:type="dxa"/>
            <w:vAlign w:val="center"/>
          </w:tcPr>
          <w:p w14:paraId="329AD82D"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1109" w:type="dxa"/>
            <w:vAlign w:val="center"/>
          </w:tcPr>
          <w:p w14:paraId="7963F6DC"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834" w:type="dxa"/>
            <w:vAlign w:val="center"/>
          </w:tcPr>
          <w:p w14:paraId="0B023ED3"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972" w:type="dxa"/>
            <w:vAlign w:val="center"/>
          </w:tcPr>
          <w:p w14:paraId="7030E384"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c>
          <w:tcPr>
            <w:tcW w:w="698" w:type="dxa"/>
            <w:vAlign w:val="center"/>
          </w:tcPr>
          <w:p w14:paraId="1E952801" w14:textId="77777777" w:rsidR="000F5408" w:rsidRPr="0043400D" w:rsidRDefault="000F5408" w:rsidP="000F5408">
            <w:pPr>
              <w:spacing w:after="200" w:line="360" w:lineRule="auto"/>
              <w:jc w:val="both"/>
              <w:rPr>
                <w:rFonts w:ascii="Times New Roman" w:hAnsi="Times New Roman"/>
                <w:sz w:val="18"/>
                <w:szCs w:val="18"/>
                <w:lang w:val="en-US" w:eastAsia="en-US" w:bidi="ur-PK"/>
              </w:rPr>
            </w:pPr>
            <w:r w:rsidRPr="0043400D">
              <w:rPr>
                <w:rFonts w:ascii="Times New Roman" w:hAnsi="Times New Roman"/>
                <w:sz w:val="18"/>
                <w:szCs w:val="18"/>
                <w:lang w:val="en-US" w:eastAsia="en-US" w:bidi="ur-PK"/>
              </w:rPr>
              <w:t>N/A</w:t>
            </w:r>
          </w:p>
        </w:tc>
      </w:tr>
    </w:tbl>
    <w:p w14:paraId="54839ACE" w14:textId="77777777" w:rsidR="000F5408" w:rsidRPr="000F5408" w:rsidRDefault="000F5408" w:rsidP="000F5408">
      <w:pPr>
        <w:spacing w:after="200" w:line="360" w:lineRule="auto"/>
        <w:jc w:val="both"/>
        <w:rPr>
          <w:rFonts w:ascii="Times New Roman" w:hAnsi="Times New Roman"/>
          <w:lang w:val="en-US" w:eastAsia="en-US" w:bidi="ur-PK"/>
        </w:rPr>
      </w:pPr>
      <w:r w:rsidRPr="000F5408">
        <w:rPr>
          <w:rFonts w:ascii="Times New Roman" w:hAnsi="Times New Roman"/>
          <w:b/>
          <w:lang w:val="en-US" w:eastAsia="en-US" w:bidi="ur-PK"/>
        </w:rPr>
        <w:t xml:space="preserve">Appraisal note: </w:t>
      </w:r>
      <w:r w:rsidRPr="000F5408">
        <w:rPr>
          <w:rFonts w:ascii="Times New Roman" w:hAnsi="Times New Roman"/>
          <w:lang w:val="en-US" w:eastAsia="en-US" w:bidi="ur-PK"/>
        </w:rPr>
        <w:t>The MMAT 2018 criteria were applied according to each study's reported design. Systematic/scoping reviews and non-empirical development/conceptual papers were marked N/A rather than forcing them into an inappropriate empirical-study category</w:t>
      </w:r>
    </w:p>
    <w:p w14:paraId="33683728" w14:textId="77777777" w:rsidR="000F5408" w:rsidRDefault="000F5408" w:rsidP="000F5408">
      <w:pPr>
        <w:spacing w:after="200" w:line="360" w:lineRule="auto"/>
        <w:jc w:val="both"/>
        <w:rPr>
          <w:rFonts w:ascii="Times New Roman" w:hAnsi="Times New Roman"/>
          <w:lang w:val="en-US" w:eastAsia="en-US" w:bidi="ur-PK"/>
        </w:rPr>
      </w:pPr>
    </w:p>
    <w:p w14:paraId="776F633D" w14:textId="77777777" w:rsidR="0043400D" w:rsidRDefault="0043400D" w:rsidP="000F5408">
      <w:pPr>
        <w:spacing w:after="200" w:line="360" w:lineRule="auto"/>
        <w:jc w:val="both"/>
        <w:rPr>
          <w:rFonts w:ascii="Times New Roman" w:hAnsi="Times New Roman"/>
          <w:lang w:val="en-US" w:eastAsia="en-US" w:bidi="ur-PK"/>
        </w:rPr>
      </w:pPr>
    </w:p>
    <w:p w14:paraId="2F648C08" w14:textId="77777777" w:rsidR="0043400D" w:rsidRDefault="0043400D" w:rsidP="000F5408">
      <w:pPr>
        <w:spacing w:after="200" w:line="360" w:lineRule="auto"/>
        <w:jc w:val="both"/>
        <w:rPr>
          <w:rFonts w:ascii="Times New Roman" w:hAnsi="Times New Roman"/>
          <w:lang w:val="en-US" w:eastAsia="en-US" w:bidi="ur-PK"/>
        </w:rPr>
      </w:pPr>
    </w:p>
    <w:p w14:paraId="7CF5F87F" w14:textId="77777777" w:rsidR="004C63D5" w:rsidRDefault="004C63D5" w:rsidP="000F5408">
      <w:pPr>
        <w:spacing w:after="200" w:line="360" w:lineRule="auto"/>
        <w:jc w:val="both"/>
        <w:rPr>
          <w:rFonts w:ascii="Times New Roman" w:hAnsi="Times New Roman"/>
          <w:lang w:val="en-US" w:eastAsia="en-US" w:bidi="ur-PK"/>
        </w:rPr>
      </w:pPr>
    </w:p>
    <w:p w14:paraId="1970E404" w14:textId="77777777" w:rsidR="003A6314" w:rsidRDefault="003A6314" w:rsidP="000F5408">
      <w:pPr>
        <w:spacing w:after="200" w:line="360" w:lineRule="auto"/>
        <w:jc w:val="both"/>
        <w:rPr>
          <w:rFonts w:ascii="Times New Roman" w:hAnsi="Times New Roman"/>
          <w:lang w:val="en-US" w:eastAsia="en-US" w:bidi="ur-PK"/>
        </w:rPr>
      </w:pPr>
    </w:p>
    <w:p w14:paraId="034B140E" w14:textId="77777777" w:rsidR="004C63D5" w:rsidRDefault="004C63D5" w:rsidP="000F5408">
      <w:pPr>
        <w:spacing w:after="200" w:line="360" w:lineRule="auto"/>
        <w:jc w:val="both"/>
        <w:rPr>
          <w:rFonts w:ascii="Times New Roman" w:hAnsi="Times New Roman"/>
          <w:lang w:val="en-US" w:eastAsia="en-US" w:bidi="ur-PK"/>
        </w:rPr>
      </w:pPr>
    </w:p>
    <w:p w14:paraId="640AA1BD" w14:textId="77777777" w:rsidR="000F5408" w:rsidRPr="000F5408" w:rsidRDefault="000F5408" w:rsidP="000F5408">
      <w:pPr>
        <w:spacing w:after="200" w:line="360" w:lineRule="auto"/>
        <w:jc w:val="both"/>
        <w:rPr>
          <w:rFonts w:ascii="Times New Roman" w:hAnsi="Times New Roman"/>
          <w:sz w:val="30"/>
          <w:szCs w:val="30"/>
          <w:lang w:val="en-US" w:eastAsia="en-US" w:bidi="ur-PK"/>
        </w:rPr>
      </w:pPr>
      <w:r w:rsidRPr="000F5408">
        <w:rPr>
          <w:rFonts w:ascii="Times New Roman" w:hAnsi="Times New Roman"/>
          <w:b/>
          <w:bCs/>
          <w:sz w:val="30"/>
          <w:szCs w:val="30"/>
          <w:lang w:val="en-US" w:eastAsia="en-US" w:bidi="ur-PK"/>
        </w:rPr>
        <w:lastRenderedPageBreak/>
        <w:t>APPENDIX C: Data Extraction Form</w:t>
      </w:r>
    </w:p>
    <w:p w14:paraId="06EBB9B0" w14:textId="77777777" w:rsidR="000F5408" w:rsidRPr="000F5408" w:rsidRDefault="000F5408" w:rsidP="000F5408">
      <w:pPr>
        <w:spacing w:after="200" w:line="360" w:lineRule="auto"/>
        <w:jc w:val="both"/>
        <w:rPr>
          <w:rFonts w:ascii="Times New Roman" w:hAnsi="Times New Roman"/>
          <w:lang w:val="en-US" w:eastAsia="en-US" w:bidi="ur-PK"/>
        </w:rPr>
      </w:pPr>
      <w:r w:rsidRPr="000F5408">
        <w:rPr>
          <w:rFonts w:ascii="Times New Roman" w:hAnsi="Times New Roman"/>
          <w:lang w:val="en-US" w:eastAsia="en-US" w:bidi="ur-PK"/>
        </w:rPr>
        <w:t xml:space="preserve">This form </w:t>
      </w:r>
      <w:proofErr w:type="spellStart"/>
      <w:r w:rsidRPr="000F5408">
        <w:rPr>
          <w:rFonts w:ascii="Times New Roman" w:hAnsi="Times New Roman"/>
          <w:lang w:val="en-US" w:eastAsia="en-US" w:bidi="ur-PK"/>
        </w:rPr>
        <w:t>operationalises</w:t>
      </w:r>
      <w:proofErr w:type="spellEnd"/>
      <w:r w:rsidRPr="000F5408">
        <w:rPr>
          <w:rFonts w:ascii="Times New Roman" w:hAnsi="Times New Roman"/>
          <w:lang w:val="en-US" w:eastAsia="en-US" w:bidi="ur-PK"/>
        </w:rPr>
        <w:t xml:space="preserve"> the structured data-extraction fields described in Section 3.11. Each of the 32 included studies is listed by its screening-tracker number and short citation. The fields below have been populated from the available full-text articles and their reported methods/results. Where an exact sample detail was not available in the extracted text, this is explicitly noted rather than inferred.</w:t>
      </w:r>
    </w:p>
    <w:p w14:paraId="1C3F493D" w14:textId="77777777" w:rsidR="000F5408" w:rsidRPr="000F5408" w:rsidRDefault="000F5408" w:rsidP="000F5408">
      <w:pPr>
        <w:spacing w:after="200" w:line="360" w:lineRule="auto"/>
        <w:jc w:val="both"/>
        <w:rPr>
          <w:rFonts w:ascii="Times New Roman" w:hAnsi="Times New Roman"/>
          <w:lang w:val="en-US" w:eastAsia="en-US" w:bidi="ur-PK"/>
        </w:rPr>
      </w:pPr>
      <w:r w:rsidRPr="000F5408">
        <w:rPr>
          <w:rFonts w:ascii="Times New Roman" w:hAnsi="Times New Roman"/>
          <w:i/>
          <w:iCs/>
          <w:lang w:val="en-US" w:eastAsia="en-US" w:bidi="ur-PK"/>
        </w:rPr>
        <w:t>Table C1: Study Identification and Contex</w:t>
      </w:r>
      <w:r w:rsidRPr="000F5408">
        <w:rPr>
          <w:rFonts w:ascii="Times New Roman" w:hAnsi="Times New Roman"/>
          <w:lang w:val="en-US" w:eastAsia="en-US" w:bidi="ur-PK"/>
        </w:rPr>
        <w:t>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5"/>
        <w:gridCol w:w="1507"/>
        <w:gridCol w:w="2158"/>
        <w:gridCol w:w="2140"/>
        <w:gridCol w:w="1697"/>
        <w:gridCol w:w="1981"/>
      </w:tblGrid>
      <w:tr w:rsidR="000F5408" w:rsidRPr="000F5408" w14:paraId="1B264242" w14:textId="77777777" w:rsidTr="000F5408">
        <w:tc>
          <w:tcPr>
            <w:tcW w:w="493" w:type="dxa"/>
            <w:shd w:val="clear" w:color="auto" w:fill="D9E2F3"/>
          </w:tcPr>
          <w:p w14:paraId="42E97AC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No.</w:t>
            </w:r>
          </w:p>
        </w:tc>
        <w:tc>
          <w:tcPr>
            <w:tcW w:w="1768" w:type="dxa"/>
            <w:shd w:val="clear" w:color="auto" w:fill="D9E2F3"/>
          </w:tcPr>
          <w:p w14:paraId="121736E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Author(s), Year</w:t>
            </w:r>
          </w:p>
        </w:tc>
        <w:tc>
          <w:tcPr>
            <w:tcW w:w="2270" w:type="dxa"/>
            <w:shd w:val="clear" w:color="auto" w:fill="D9E2F3"/>
          </w:tcPr>
          <w:p w14:paraId="1FA1E7E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Research Aim</w:t>
            </w:r>
          </w:p>
        </w:tc>
        <w:tc>
          <w:tcPr>
            <w:tcW w:w="1701" w:type="dxa"/>
            <w:shd w:val="clear" w:color="auto" w:fill="D9E2F3"/>
          </w:tcPr>
          <w:p w14:paraId="214A544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Research Design</w:t>
            </w:r>
          </w:p>
        </w:tc>
        <w:tc>
          <w:tcPr>
            <w:tcW w:w="1701" w:type="dxa"/>
            <w:shd w:val="clear" w:color="auto" w:fill="D9E2F3"/>
          </w:tcPr>
          <w:p w14:paraId="3B90B71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Healthcare Setting</w:t>
            </w:r>
          </w:p>
        </w:tc>
        <w:tc>
          <w:tcPr>
            <w:tcW w:w="1985" w:type="dxa"/>
            <w:shd w:val="clear" w:color="auto" w:fill="D9E2F3"/>
          </w:tcPr>
          <w:p w14:paraId="39CD7C4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Sample Characteristics</w:t>
            </w:r>
          </w:p>
        </w:tc>
      </w:tr>
      <w:tr w:rsidR="000F5408" w:rsidRPr="000F5408" w14:paraId="51A4421D" w14:textId="77777777" w:rsidTr="000F5408">
        <w:tc>
          <w:tcPr>
            <w:tcW w:w="493" w:type="dxa"/>
          </w:tcPr>
          <w:p w14:paraId="25C89EDE" w14:textId="13F7D442"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w:t>
            </w:r>
          </w:p>
        </w:tc>
        <w:tc>
          <w:tcPr>
            <w:tcW w:w="1768" w:type="dxa"/>
          </w:tcPr>
          <w:p w14:paraId="1C8369A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Comer et al., 2025</w:t>
            </w:r>
          </w:p>
        </w:tc>
        <w:tc>
          <w:tcPr>
            <w:tcW w:w="2270" w:type="dxa"/>
          </w:tcPr>
          <w:p w14:paraId="78796F6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Explore barriers/facilitators to telehealth assessment for people with post-stroke aphasia and factors supporting a positive patient experience.</w:t>
            </w:r>
          </w:p>
        </w:tc>
        <w:tc>
          <w:tcPr>
            <w:tcW w:w="1701" w:type="dxa"/>
          </w:tcPr>
          <w:p w14:paraId="65B2C72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Qualitative focus groups; framework analysis.</w:t>
            </w:r>
          </w:p>
        </w:tc>
        <w:tc>
          <w:tcPr>
            <w:tcW w:w="1701" w:type="dxa"/>
          </w:tcPr>
          <w:p w14:paraId="168F518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speech and language therapy services.</w:t>
            </w:r>
          </w:p>
        </w:tc>
        <w:tc>
          <w:tcPr>
            <w:tcW w:w="1985" w:type="dxa"/>
          </w:tcPr>
          <w:p w14:paraId="1337758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14 UK speech and language therapists (six focus groups).</w:t>
            </w:r>
          </w:p>
        </w:tc>
      </w:tr>
      <w:tr w:rsidR="000F5408" w:rsidRPr="000F5408" w14:paraId="2B3C06EB" w14:textId="77777777" w:rsidTr="000F5408">
        <w:tc>
          <w:tcPr>
            <w:tcW w:w="493" w:type="dxa"/>
          </w:tcPr>
          <w:p w14:paraId="2589215D" w14:textId="00A1CC29"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w:t>
            </w:r>
          </w:p>
        </w:tc>
        <w:tc>
          <w:tcPr>
            <w:tcW w:w="1768" w:type="dxa"/>
          </w:tcPr>
          <w:p w14:paraId="18D1A38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Anchors et al., 2023</w:t>
            </w:r>
          </w:p>
        </w:tc>
        <w:tc>
          <w:tcPr>
            <w:tcW w:w="2270" w:type="dxa"/>
          </w:tcPr>
          <w:p w14:paraId="3D7C765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Explore the impact of remote consultations on first contact physiotherapists (FCPs).</w:t>
            </w:r>
          </w:p>
        </w:tc>
        <w:tc>
          <w:tcPr>
            <w:tcW w:w="1701" w:type="dxa"/>
          </w:tcPr>
          <w:p w14:paraId="6AD40BA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Mixed-methods sequential explanatory study: online survey plus semi-structured interviews.</w:t>
            </w:r>
          </w:p>
        </w:tc>
        <w:tc>
          <w:tcPr>
            <w:tcW w:w="1701" w:type="dxa"/>
          </w:tcPr>
          <w:p w14:paraId="63D07DD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first contact physiotherapy services.</w:t>
            </w:r>
          </w:p>
        </w:tc>
        <w:tc>
          <w:tcPr>
            <w:tcW w:w="1985" w:type="dxa"/>
          </w:tcPr>
          <w:p w14:paraId="50781EA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109 FCPs completed the survey; 16 participated in follow-up interviews.</w:t>
            </w:r>
          </w:p>
        </w:tc>
      </w:tr>
      <w:tr w:rsidR="000F5408" w:rsidRPr="000F5408" w14:paraId="5B2C1358" w14:textId="77777777" w:rsidTr="000F5408">
        <w:tc>
          <w:tcPr>
            <w:tcW w:w="493" w:type="dxa"/>
          </w:tcPr>
          <w:p w14:paraId="38E22596" w14:textId="33EAD102"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w:t>
            </w:r>
          </w:p>
        </w:tc>
        <w:tc>
          <w:tcPr>
            <w:tcW w:w="1768" w:type="dxa"/>
          </w:tcPr>
          <w:p w14:paraId="56C8B88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Chen et al., 2024</w:t>
            </w:r>
          </w:p>
        </w:tc>
        <w:tc>
          <w:tcPr>
            <w:tcW w:w="2270" w:type="dxa"/>
          </w:tcPr>
          <w:p w14:paraId="6D5B95A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Identify factors influencing UK adults' continued use of online healthcare consultation services after COVID-19 restrictions.</w:t>
            </w:r>
          </w:p>
        </w:tc>
        <w:tc>
          <w:tcPr>
            <w:tcW w:w="1701" w:type="dxa"/>
          </w:tcPr>
          <w:p w14:paraId="6D89824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Quantitative survey study using a </w:t>
            </w:r>
            <w:proofErr w:type="spellStart"/>
            <w:r w:rsidRPr="0043400D">
              <w:rPr>
                <w:rFonts w:ascii="Times New Roman" w:hAnsi="Times New Roman"/>
                <w:sz w:val="18"/>
                <w:szCs w:val="18"/>
                <w:lang w:val="en-US" w:eastAsia="en-US"/>
              </w:rPr>
              <w:t>behavioural</w:t>
            </w:r>
            <w:proofErr w:type="spellEnd"/>
            <w:r w:rsidRPr="0043400D">
              <w:rPr>
                <w:rFonts w:ascii="Times New Roman" w:hAnsi="Times New Roman"/>
                <w:sz w:val="18"/>
                <w:szCs w:val="18"/>
                <w:lang w:val="en-US" w:eastAsia="en-US"/>
              </w:rPr>
              <w:t xml:space="preserve"> framework; regression/structural relationships reported.</w:t>
            </w:r>
          </w:p>
        </w:tc>
        <w:tc>
          <w:tcPr>
            <w:tcW w:w="1701" w:type="dxa"/>
          </w:tcPr>
          <w:p w14:paraId="4F58EBB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Online healthcare consultation services used by UK adults.</w:t>
            </w:r>
          </w:p>
        </w:tc>
        <w:tc>
          <w:tcPr>
            <w:tcW w:w="1985" w:type="dxa"/>
          </w:tcPr>
          <w:p w14:paraId="21587FD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430 new users.</w:t>
            </w:r>
          </w:p>
        </w:tc>
      </w:tr>
      <w:tr w:rsidR="000F5408" w:rsidRPr="000F5408" w14:paraId="43555755" w14:textId="77777777" w:rsidTr="000F5408">
        <w:tc>
          <w:tcPr>
            <w:tcW w:w="493" w:type="dxa"/>
          </w:tcPr>
          <w:p w14:paraId="44EF0D6E" w14:textId="2CF09E23"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4</w:t>
            </w:r>
          </w:p>
        </w:tc>
        <w:tc>
          <w:tcPr>
            <w:tcW w:w="1768" w:type="dxa"/>
          </w:tcPr>
          <w:p w14:paraId="21E31579"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Hilari</w:t>
            </w:r>
            <w:proofErr w:type="spellEnd"/>
            <w:r w:rsidRPr="0043400D">
              <w:rPr>
                <w:rFonts w:ascii="Times New Roman" w:hAnsi="Times New Roman"/>
                <w:sz w:val="18"/>
                <w:szCs w:val="18"/>
                <w:lang w:val="en-US" w:eastAsia="en-US"/>
              </w:rPr>
              <w:t xml:space="preserve"> et al., 2024</w:t>
            </w:r>
          </w:p>
        </w:tc>
        <w:tc>
          <w:tcPr>
            <w:tcW w:w="2270" w:type="dxa"/>
          </w:tcPr>
          <w:p w14:paraId="1FBB74A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Explore UK SLTs' use of telehealth for aphasia assessment, barriers/facilitators and future research priorities.</w:t>
            </w:r>
          </w:p>
        </w:tc>
        <w:tc>
          <w:tcPr>
            <w:tcW w:w="1701" w:type="dxa"/>
          </w:tcPr>
          <w:p w14:paraId="7576551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 online survey; descriptive statistics and content analysis.</w:t>
            </w:r>
          </w:p>
        </w:tc>
        <w:tc>
          <w:tcPr>
            <w:tcW w:w="1701" w:type="dxa"/>
          </w:tcPr>
          <w:p w14:paraId="57AB8FA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speech and language therapy services for post-stroke aphasia.</w:t>
            </w:r>
          </w:p>
        </w:tc>
        <w:tc>
          <w:tcPr>
            <w:tcW w:w="1985" w:type="dxa"/>
          </w:tcPr>
          <w:p w14:paraId="6BB2BEF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124 UK speech and language therapists.</w:t>
            </w:r>
          </w:p>
        </w:tc>
      </w:tr>
      <w:tr w:rsidR="000F5408" w:rsidRPr="000F5408" w14:paraId="3EBB8494" w14:textId="77777777" w:rsidTr="000F5408">
        <w:tc>
          <w:tcPr>
            <w:tcW w:w="493" w:type="dxa"/>
          </w:tcPr>
          <w:p w14:paraId="3C0441E7" w14:textId="66CFEA03"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5</w:t>
            </w:r>
          </w:p>
        </w:tc>
        <w:tc>
          <w:tcPr>
            <w:tcW w:w="1768" w:type="dxa"/>
          </w:tcPr>
          <w:p w14:paraId="0A611596"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Cresswell</w:t>
            </w:r>
            <w:proofErr w:type="spellEnd"/>
            <w:r w:rsidRPr="0043400D">
              <w:rPr>
                <w:rFonts w:ascii="Times New Roman" w:hAnsi="Times New Roman"/>
                <w:sz w:val="18"/>
                <w:szCs w:val="18"/>
                <w:lang w:val="en-US" w:eastAsia="en-US"/>
              </w:rPr>
              <w:t xml:space="preserve"> et al., 2022</w:t>
            </w:r>
          </w:p>
        </w:tc>
        <w:tc>
          <w:tcPr>
            <w:tcW w:w="2270" w:type="dxa"/>
          </w:tcPr>
          <w:p w14:paraId="4985C6B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Review how formative evaluation can help reduce inequity and bias in patient-portal implementation.</w:t>
            </w:r>
          </w:p>
        </w:tc>
        <w:tc>
          <w:tcPr>
            <w:tcW w:w="1701" w:type="dxa"/>
          </w:tcPr>
          <w:p w14:paraId="2C259FF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Conceptual/overview paper on formative evaluation approaches.</w:t>
            </w:r>
          </w:p>
        </w:tc>
        <w:tc>
          <w:tcPr>
            <w:tcW w:w="1701" w:type="dxa"/>
          </w:tcPr>
          <w:p w14:paraId="3A77A59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 patient portals and health information systems.</w:t>
            </w:r>
          </w:p>
        </w:tc>
        <w:tc>
          <w:tcPr>
            <w:tcW w:w="1985" w:type="dxa"/>
          </w:tcPr>
          <w:p w14:paraId="1B19902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Not applicable; literature/conceptual evidence rather than a participant sample.</w:t>
            </w:r>
          </w:p>
        </w:tc>
      </w:tr>
      <w:tr w:rsidR="000F5408" w:rsidRPr="000F5408" w14:paraId="027A3460" w14:textId="77777777" w:rsidTr="000F5408">
        <w:tc>
          <w:tcPr>
            <w:tcW w:w="493" w:type="dxa"/>
          </w:tcPr>
          <w:p w14:paraId="3AD9F0E4" w14:textId="6365F127"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6</w:t>
            </w:r>
          </w:p>
        </w:tc>
        <w:tc>
          <w:tcPr>
            <w:tcW w:w="1768" w:type="dxa"/>
          </w:tcPr>
          <w:p w14:paraId="55FB2D7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Morris et al., 2023</w:t>
            </w:r>
          </w:p>
        </w:tc>
        <w:tc>
          <w:tcPr>
            <w:tcW w:w="2270" w:type="dxa"/>
          </w:tcPr>
          <w:p w14:paraId="200C623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Report development, implementation and evaluation of </w:t>
            </w:r>
            <w:proofErr w:type="spellStart"/>
            <w:r w:rsidRPr="0043400D">
              <w:rPr>
                <w:rFonts w:ascii="Times New Roman" w:hAnsi="Times New Roman"/>
                <w:sz w:val="18"/>
                <w:szCs w:val="18"/>
                <w:lang w:val="en-US" w:eastAsia="en-US"/>
              </w:rPr>
              <w:t>myHealthE</w:t>
            </w:r>
            <w:proofErr w:type="spellEnd"/>
            <w:r w:rsidRPr="0043400D">
              <w:rPr>
                <w:rFonts w:ascii="Times New Roman" w:hAnsi="Times New Roman"/>
                <w:sz w:val="18"/>
                <w:szCs w:val="18"/>
                <w:lang w:val="en-US" w:eastAsia="en-US"/>
              </w:rPr>
              <w:t xml:space="preserve"> for remote PROM collection in NHS CAMHS.</w:t>
            </w:r>
          </w:p>
        </w:tc>
        <w:tc>
          <w:tcPr>
            <w:tcW w:w="1701" w:type="dxa"/>
          </w:tcPr>
          <w:p w14:paraId="162070A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Implementation/development case study with iterative evaluation.</w:t>
            </w:r>
          </w:p>
        </w:tc>
        <w:tc>
          <w:tcPr>
            <w:tcW w:w="1701" w:type="dxa"/>
          </w:tcPr>
          <w:p w14:paraId="758DC77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NHS Child and Adolescent Mental Health Services in the UK.</w:t>
            </w:r>
          </w:p>
        </w:tc>
        <w:tc>
          <w:tcPr>
            <w:tcW w:w="1985" w:type="dxa"/>
          </w:tcPr>
          <w:p w14:paraId="5B2A57E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Clinical service users/staff involved in implementing the </w:t>
            </w:r>
            <w:proofErr w:type="spellStart"/>
            <w:r w:rsidRPr="0043400D">
              <w:rPr>
                <w:rFonts w:ascii="Times New Roman" w:hAnsi="Times New Roman"/>
                <w:sz w:val="18"/>
                <w:szCs w:val="18"/>
                <w:lang w:val="en-US" w:eastAsia="en-US"/>
              </w:rPr>
              <w:t>myHealthE</w:t>
            </w:r>
            <w:proofErr w:type="spellEnd"/>
            <w:r w:rsidRPr="0043400D">
              <w:rPr>
                <w:rFonts w:ascii="Times New Roman" w:hAnsi="Times New Roman"/>
                <w:sz w:val="18"/>
                <w:szCs w:val="18"/>
                <w:lang w:val="en-US" w:eastAsia="en-US"/>
              </w:rPr>
              <w:t xml:space="preserve"> system; exact analytic sample not central to the paper.</w:t>
            </w:r>
          </w:p>
        </w:tc>
      </w:tr>
      <w:tr w:rsidR="000F5408" w:rsidRPr="000F5408" w14:paraId="34445809" w14:textId="77777777" w:rsidTr="000F5408">
        <w:tc>
          <w:tcPr>
            <w:tcW w:w="493" w:type="dxa"/>
          </w:tcPr>
          <w:p w14:paraId="2537EDFD" w14:textId="4B2491FE"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7</w:t>
            </w:r>
          </w:p>
        </w:tc>
        <w:tc>
          <w:tcPr>
            <w:tcW w:w="1768" w:type="dxa"/>
          </w:tcPr>
          <w:p w14:paraId="6DB1D5B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Jarvis et al., 2025</w:t>
            </w:r>
          </w:p>
        </w:tc>
        <w:tc>
          <w:tcPr>
            <w:tcW w:w="2270" w:type="dxa"/>
          </w:tcPr>
          <w:p w14:paraId="5A60669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Explore staff and service-user perceptions of implementing the Virtual Engagement Rehabilitation Assistant (VERA).</w:t>
            </w:r>
          </w:p>
        </w:tc>
        <w:tc>
          <w:tcPr>
            <w:tcW w:w="1701" w:type="dxa"/>
          </w:tcPr>
          <w:p w14:paraId="3F4C364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Qualitative pilot; interviews and staff focus groups using NASSS-informed framework analysis.</w:t>
            </w:r>
          </w:p>
        </w:tc>
        <w:tc>
          <w:tcPr>
            <w:tcW w:w="1701" w:type="dxa"/>
          </w:tcPr>
          <w:p w14:paraId="69CAF49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complex inpatient rehabilitation ward.</w:t>
            </w:r>
          </w:p>
        </w:tc>
        <w:tc>
          <w:tcPr>
            <w:tcW w:w="1985" w:type="dxa"/>
          </w:tcPr>
          <w:p w14:paraId="2A164AE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7 service-users interviewed; 9 staff contributed to focus groups.</w:t>
            </w:r>
          </w:p>
        </w:tc>
      </w:tr>
      <w:tr w:rsidR="000F5408" w:rsidRPr="000F5408" w14:paraId="6FD8BEF5" w14:textId="77777777" w:rsidTr="000F5408">
        <w:tc>
          <w:tcPr>
            <w:tcW w:w="493" w:type="dxa"/>
          </w:tcPr>
          <w:p w14:paraId="3CF21C20" w14:textId="6549CA43"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8</w:t>
            </w:r>
          </w:p>
        </w:tc>
        <w:tc>
          <w:tcPr>
            <w:tcW w:w="1768" w:type="dxa"/>
          </w:tcPr>
          <w:p w14:paraId="2F2DBCB6"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Chadd</w:t>
            </w:r>
            <w:proofErr w:type="spellEnd"/>
            <w:r w:rsidRPr="0043400D">
              <w:rPr>
                <w:rFonts w:ascii="Times New Roman" w:hAnsi="Times New Roman"/>
                <w:sz w:val="18"/>
                <w:szCs w:val="18"/>
                <w:lang w:val="en-US" w:eastAsia="en-US"/>
              </w:rPr>
              <w:t xml:space="preserve"> et al., 2024</w:t>
            </w:r>
          </w:p>
        </w:tc>
        <w:tc>
          <w:tcPr>
            <w:tcW w:w="2270" w:type="dxa"/>
          </w:tcPr>
          <w:p w14:paraId="08AD57B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Identify barriers/facilitators to telehealth adoption for aphasia and co-design/test a local NHS telehealth solution.</w:t>
            </w:r>
          </w:p>
        </w:tc>
        <w:tc>
          <w:tcPr>
            <w:tcW w:w="1701" w:type="dxa"/>
          </w:tcPr>
          <w:p w14:paraId="7D0B4A9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Experience-based co-design with qualitative interviews and real-world quantitative software data.</w:t>
            </w:r>
          </w:p>
        </w:tc>
        <w:tc>
          <w:tcPr>
            <w:tcW w:w="1701" w:type="dxa"/>
          </w:tcPr>
          <w:p w14:paraId="353982C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Two NHS trusts providing speech and language therapy for aphasia.</w:t>
            </w:r>
          </w:p>
        </w:tc>
        <w:tc>
          <w:tcPr>
            <w:tcW w:w="1985" w:type="dxa"/>
          </w:tcPr>
          <w:p w14:paraId="7A5A28B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Service users/</w:t>
            </w:r>
            <w:proofErr w:type="spellStart"/>
            <w:r w:rsidRPr="0043400D">
              <w:rPr>
                <w:rFonts w:ascii="Times New Roman" w:hAnsi="Times New Roman"/>
                <w:sz w:val="18"/>
                <w:szCs w:val="18"/>
                <w:lang w:val="en-US" w:eastAsia="en-US"/>
              </w:rPr>
              <w:t>carers</w:t>
            </w:r>
            <w:proofErr w:type="spellEnd"/>
            <w:r w:rsidRPr="0043400D">
              <w:rPr>
                <w:rFonts w:ascii="Times New Roman" w:hAnsi="Times New Roman"/>
                <w:sz w:val="18"/>
                <w:szCs w:val="18"/>
                <w:lang w:val="en-US" w:eastAsia="en-US"/>
              </w:rPr>
              <w:t xml:space="preserve"> and NHS staff involved in the two-site co-design and pilot; exact total not stated in abstract.</w:t>
            </w:r>
          </w:p>
        </w:tc>
      </w:tr>
      <w:tr w:rsidR="000F5408" w:rsidRPr="000F5408" w14:paraId="63051242" w14:textId="77777777" w:rsidTr="000F5408">
        <w:tc>
          <w:tcPr>
            <w:tcW w:w="493" w:type="dxa"/>
          </w:tcPr>
          <w:p w14:paraId="6922AC1F" w14:textId="67A1BE6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9</w:t>
            </w:r>
          </w:p>
        </w:tc>
        <w:tc>
          <w:tcPr>
            <w:tcW w:w="1768" w:type="dxa"/>
          </w:tcPr>
          <w:p w14:paraId="7232097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Hawley-Hague et al., 2024</w:t>
            </w:r>
          </w:p>
        </w:tc>
        <w:tc>
          <w:tcPr>
            <w:tcW w:w="2270" w:type="dxa"/>
          </w:tcPr>
          <w:p w14:paraId="04A2CD4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Explore delivery of remote physiotherapy during COVID-19 across UK services and identify implementation experiences.</w:t>
            </w:r>
          </w:p>
        </w:tc>
        <w:tc>
          <w:tcPr>
            <w:tcW w:w="1701" w:type="dxa"/>
          </w:tcPr>
          <w:p w14:paraId="74AA517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UK-wide service evaluation using survey/evaluation data.</w:t>
            </w:r>
          </w:p>
        </w:tc>
        <w:tc>
          <w:tcPr>
            <w:tcW w:w="1701" w:type="dxa"/>
          </w:tcPr>
          <w:p w14:paraId="450359C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Remote physiotherapy services across the UK.</w:t>
            </w:r>
          </w:p>
        </w:tc>
        <w:tc>
          <w:tcPr>
            <w:tcW w:w="1985" w:type="dxa"/>
          </w:tcPr>
          <w:p w14:paraId="2C981FB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Physiotherapy professionals/services responding to the UK-wide service evaluation.</w:t>
            </w:r>
          </w:p>
        </w:tc>
      </w:tr>
      <w:tr w:rsidR="000F5408" w:rsidRPr="000F5408" w14:paraId="11786853" w14:textId="77777777" w:rsidTr="000F5408">
        <w:tc>
          <w:tcPr>
            <w:tcW w:w="493" w:type="dxa"/>
          </w:tcPr>
          <w:p w14:paraId="549A4DF5" w14:textId="57C00D7E"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10</w:t>
            </w:r>
          </w:p>
        </w:tc>
        <w:tc>
          <w:tcPr>
            <w:tcW w:w="1768" w:type="dxa"/>
          </w:tcPr>
          <w:p w14:paraId="3EADA3F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Charlton et al., 2024</w:t>
            </w:r>
          </w:p>
        </w:tc>
        <w:tc>
          <w:tcPr>
            <w:tcW w:w="2270" w:type="dxa"/>
          </w:tcPr>
          <w:p w14:paraId="2679280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Explore UK </w:t>
            </w:r>
            <w:proofErr w:type="spellStart"/>
            <w:r w:rsidRPr="0043400D">
              <w:rPr>
                <w:rFonts w:ascii="Times New Roman" w:hAnsi="Times New Roman"/>
                <w:sz w:val="18"/>
                <w:szCs w:val="18"/>
                <w:lang w:val="en-US" w:eastAsia="en-US"/>
              </w:rPr>
              <w:t>paediatric</w:t>
            </w:r>
            <w:proofErr w:type="spellEnd"/>
            <w:r w:rsidRPr="0043400D">
              <w:rPr>
                <w:rFonts w:ascii="Times New Roman" w:hAnsi="Times New Roman"/>
                <w:sz w:val="18"/>
                <w:szCs w:val="18"/>
                <w:lang w:val="en-US" w:eastAsia="en-US"/>
              </w:rPr>
              <w:t xml:space="preserve"> SLTs' perceptions of telehealth and factors affecting implementation using the APEASE framework.</w:t>
            </w:r>
          </w:p>
        </w:tc>
        <w:tc>
          <w:tcPr>
            <w:tcW w:w="1701" w:type="dxa"/>
          </w:tcPr>
          <w:p w14:paraId="11009B5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 survey/perception study using APEASE-informed analysis.</w:t>
            </w:r>
          </w:p>
        </w:tc>
        <w:tc>
          <w:tcPr>
            <w:tcW w:w="1701" w:type="dxa"/>
          </w:tcPr>
          <w:p w14:paraId="5F53039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UK </w:t>
            </w:r>
            <w:proofErr w:type="spellStart"/>
            <w:r w:rsidRPr="0043400D">
              <w:rPr>
                <w:rFonts w:ascii="Times New Roman" w:hAnsi="Times New Roman"/>
                <w:sz w:val="18"/>
                <w:szCs w:val="18"/>
                <w:lang w:val="en-US" w:eastAsia="en-US"/>
              </w:rPr>
              <w:t>paediatric</w:t>
            </w:r>
            <w:proofErr w:type="spellEnd"/>
            <w:r w:rsidRPr="0043400D">
              <w:rPr>
                <w:rFonts w:ascii="Times New Roman" w:hAnsi="Times New Roman"/>
                <w:sz w:val="18"/>
                <w:szCs w:val="18"/>
                <w:lang w:val="en-US" w:eastAsia="en-US"/>
              </w:rPr>
              <w:t xml:space="preserve"> speech and language therapy.</w:t>
            </w:r>
          </w:p>
        </w:tc>
        <w:tc>
          <w:tcPr>
            <w:tcW w:w="1985" w:type="dxa"/>
          </w:tcPr>
          <w:p w14:paraId="0EBD5BD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UK </w:t>
            </w:r>
            <w:proofErr w:type="spellStart"/>
            <w:r w:rsidRPr="0043400D">
              <w:rPr>
                <w:rFonts w:ascii="Times New Roman" w:hAnsi="Times New Roman"/>
                <w:sz w:val="18"/>
                <w:szCs w:val="18"/>
                <w:lang w:val="en-US" w:eastAsia="en-US"/>
              </w:rPr>
              <w:t>paediatric</w:t>
            </w:r>
            <w:proofErr w:type="spellEnd"/>
            <w:r w:rsidRPr="0043400D">
              <w:rPr>
                <w:rFonts w:ascii="Times New Roman" w:hAnsi="Times New Roman"/>
                <w:sz w:val="18"/>
                <w:szCs w:val="18"/>
                <w:lang w:val="en-US" w:eastAsia="en-US"/>
              </w:rPr>
              <w:t xml:space="preserve"> speech and language therapists; exact sample should be read from the full paper for reporting.</w:t>
            </w:r>
          </w:p>
        </w:tc>
      </w:tr>
      <w:tr w:rsidR="000F5408" w:rsidRPr="000F5408" w14:paraId="6E2A2CCE" w14:textId="77777777" w:rsidTr="000F5408">
        <w:tc>
          <w:tcPr>
            <w:tcW w:w="493" w:type="dxa"/>
          </w:tcPr>
          <w:p w14:paraId="5346F43E" w14:textId="436F92F6"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11</w:t>
            </w:r>
          </w:p>
        </w:tc>
        <w:tc>
          <w:tcPr>
            <w:tcW w:w="1768" w:type="dxa"/>
          </w:tcPr>
          <w:p w14:paraId="6414E24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Chaudhry et al., 2024</w:t>
            </w:r>
          </w:p>
        </w:tc>
        <w:tc>
          <w:tcPr>
            <w:tcW w:w="2270" w:type="dxa"/>
          </w:tcPr>
          <w:p w14:paraId="1039FCB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Explore use of FLO text messaging to support health </w:t>
            </w:r>
            <w:proofErr w:type="spellStart"/>
            <w:r w:rsidRPr="0043400D">
              <w:rPr>
                <w:rFonts w:ascii="Times New Roman" w:hAnsi="Times New Roman"/>
                <w:sz w:val="18"/>
                <w:szCs w:val="18"/>
                <w:lang w:val="en-US" w:eastAsia="en-US"/>
              </w:rPr>
              <w:t>behaviours</w:t>
            </w:r>
            <w:proofErr w:type="spellEnd"/>
            <w:r w:rsidRPr="0043400D">
              <w:rPr>
                <w:rFonts w:ascii="Times New Roman" w:hAnsi="Times New Roman"/>
                <w:sz w:val="18"/>
                <w:szCs w:val="18"/>
                <w:lang w:val="en-US" w:eastAsia="en-US"/>
              </w:rPr>
              <w:t xml:space="preserve"> and self-management among South Asian people with long-term conditions in the UK.</w:t>
            </w:r>
          </w:p>
        </w:tc>
        <w:tc>
          <w:tcPr>
            <w:tcW w:w="1701" w:type="dxa"/>
          </w:tcPr>
          <w:p w14:paraId="1BA0A51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Mixed-methods two-phase study: patient activation measure plus semi-structured interviews.</w:t>
            </w:r>
          </w:p>
        </w:tc>
        <w:tc>
          <w:tcPr>
            <w:tcW w:w="1701" w:type="dxa"/>
          </w:tcPr>
          <w:p w14:paraId="7CE9339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health services serving South Asian ethnic-minority communities.</w:t>
            </w:r>
          </w:p>
        </w:tc>
        <w:tc>
          <w:tcPr>
            <w:tcW w:w="1985" w:type="dxa"/>
          </w:tcPr>
          <w:p w14:paraId="196C634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40 participants: 20 FLO users and 20 non-users.</w:t>
            </w:r>
          </w:p>
        </w:tc>
      </w:tr>
      <w:tr w:rsidR="000F5408" w:rsidRPr="000F5408" w14:paraId="2C7571D5" w14:textId="77777777" w:rsidTr="000F5408">
        <w:tc>
          <w:tcPr>
            <w:tcW w:w="493" w:type="dxa"/>
          </w:tcPr>
          <w:p w14:paraId="6305BEA3" w14:textId="46BBCFB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12</w:t>
            </w:r>
          </w:p>
        </w:tc>
        <w:tc>
          <w:tcPr>
            <w:tcW w:w="1768" w:type="dxa"/>
          </w:tcPr>
          <w:p w14:paraId="6E6F715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Abdi et al., 2025</w:t>
            </w:r>
          </w:p>
        </w:tc>
        <w:tc>
          <w:tcPr>
            <w:tcW w:w="2270" w:type="dxa"/>
          </w:tcPr>
          <w:p w14:paraId="445B252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Explore facilitators and barriers to implementing a teleophthalmology referral platform in routine UK practice.</w:t>
            </w:r>
          </w:p>
        </w:tc>
        <w:tc>
          <w:tcPr>
            <w:tcW w:w="1701" w:type="dxa"/>
          </w:tcPr>
          <w:p w14:paraId="77AD961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Qualitative semi-structured interviews guided by </w:t>
            </w:r>
            <w:proofErr w:type="spellStart"/>
            <w:r w:rsidRPr="0043400D">
              <w:rPr>
                <w:rFonts w:ascii="Times New Roman" w:hAnsi="Times New Roman"/>
                <w:sz w:val="18"/>
                <w:szCs w:val="18"/>
                <w:lang w:val="en-US" w:eastAsia="en-US"/>
              </w:rPr>
              <w:t>Normalisation</w:t>
            </w:r>
            <w:proofErr w:type="spellEnd"/>
            <w:r w:rsidRPr="0043400D">
              <w:rPr>
                <w:rFonts w:ascii="Times New Roman" w:hAnsi="Times New Roman"/>
                <w:sz w:val="18"/>
                <w:szCs w:val="18"/>
                <w:lang w:val="en-US" w:eastAsia="en-US"/>
              </w:rPr>
              <w:t xml:space="preserve"> Process Theory.</w:t>
            </w:r>
          </w:p>
        </w:tc>
        <w:tc>
          <w:tcPr>
            <w:tcW w:w="1701" w:type="dxa"/>
          </w:tcPr>
          <w:p w14:paraId="59640EC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community optometry and secondary eye-care services.</w:t>
            </w:r>
          </w:p>
        </w:tc>
        <w:tc>
          <w:tcPr>
            <w:tcW w:w="1985" w:type="dxa"/>
          </w:tcPr>
          <w:p w14:paraId="6E96DBA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24 health professionals: 18 optometrists and 6 ophthalmologists.</w:t>
            </w:r>
          </w:p>
        </w:tc>
      </w:tr>
      <w:tr w:rsidR="000F5408" w:rsidRPr="000F5408" w14:paraId="5D0AE1FE" w14:textId="77777777" w:rsidTr="000F5408">
        <w:tc>
          <w:tcPr>
            <w:tcW w:w="493" w:type="dxa"/>
          </w:tcPr>
          <w:p w14:paraId="309CBC0A" w14:textId="1E3EA573"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13</w:t>
            </w:r>
          </w:p>
        </w:tc>
        <w:tc>
          <w:tcPr>
            <w:tcW w:w="1768" w:type="dxa"/>
          </w:tcPr>
          <w:p w14:paraId="07E6A64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Grant and </w:t>
            </w:r>
            <w:proofErr w:type="spellStart"/>
            <w:r w:rsidRPr="0043400D">
              <w:rPr>
                <w:rFonts w:ascii="Times New Roman" w:hAnsi="Times New Roman"/>
                <w:sz w:val="18"/>
                <w:szCs w:val="18"/>
                <w:lang w:val="en-US" w:eastAsia="en-US"/>
              </w:rPr>
              <w:t>Skamagki</w:t>
            </w:r>
            <w:proofErr w:type="spellEnd"/>
            <w:r w:rsidRPr="0043400D">
              <w:rPr>
                <w:rFonts w:ascii="Times New Roman" w:hAnsi="Times New Roman"/>
                <w:sz w:val="18"/>
                <w:szCs w:val="18"/>
                <w:lang w:val="en-US" w:eastAsia="en-US"/>
              </w:rPr>
              <w:t>, 2024</w:t>
            </w:r>
          </w:p>
        </w:tc>
        <w:tc>
          <w:tcPr>
            <w:tcW w:w="2270" w:type="dxa"/>
          </w:tcPr>
          <w:p w14:paraId="3686833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Explore physiotherapists' perspectives on remote patient management through the </w:t>
            </w:r>
            <w:proofErr w:type="spellStart"/>
            <w:r w:rsidRPr="0043400D">
              <w:rPr>
                <w:rFonts w:ascii="Times New Roman" w:hAnsi="Times New Roman"/>
                <w:sz w:val="18"/>
                <w:szCs w:val="18"/>
                <w:lang w:val="en-US" w:eastAsia="en-US"/>
              </w:rPr>
              <w:t>DiAL</w:t>
            </w:r>
            <w:proofErr w:type="spellEnd"/>
            <w:r w:rsidRPr="0043400D">
              <w:rPr>
                <w:rFonts w:ascii="Times New Roman" w:hAnsi="Times New Roman"/>
                <w:sz w:val="18"/>
                <w:szCs w:val="18"/>
                <w:lang w:val="en-US" w:eastAsia="en-US"/>
              </w:rPr>
              <w:t xml:space="preserve"> </w:t>
            </w:r>
            <w:proofErr w:type="spellStart"/>
            <w:r w:rsidRPr="0043400D">
              <w:rPr>
                <w:rFonts w:ascii="Times New Roman" w:hAnsi="Times New Roman"/>
                <w:sz w:val="18"/>
                <w:szCs w:val="18"/>
                <w:lang w:val="en-US" w:eastAsia="en-US"/>
              </w:rPr>
              <w:t>programme</w:t>
            </w:r>
            <w:proofErr w:type="spellEnd"/>
            <w:r w:rsidRPr="0043400D">
              <w:rPr>
                <w:rFonts w:ascii="Times New Roman" w:hAnsi="Times New Roman"/>
                <w:sz w:val="18"/>
                <w:szCs w:val="18"/>
                <w:lang w:val="en-US" w:eastAsia="en-US"/>
              </w:rPr>
              <w:t>.</w:t>
            </w:r>
          </w:p>
        </w:tc>
        <w:tc>
          <w:tcPr>
            <w:tcW w:w="1701" w:type="dxa"/>
          </w:tcPr>
          <w:p w14:paraId="61645AA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Qualitative exploration using interviews.</w:t>
            </w:r>
          </w:p>
        </w:tc>
        <w:tc>
          <w:tcPr>
            <w:tcW w:w="1701" w:type="dxa"/>
          </w:tcPr>
          <w:p w14:paraId="61F7713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musculoskeletal physiotherapy/remote patient management.</w:t>
            </w:r>
          </w:p>
        </w:tc>
        <w:tc>
          <w:tcPr>
            <w:tcW w:w="1985" w:type="dxa"/>
          </w:tcPr>
          <w:p w14:paraId="6CBE568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Physiotherapists using the </w:t>
            </w:r>
            <w:proofErr w:type="spellStart"/>
            <w:r w:rsidRPr="0043400D">
              <w:rPr>
                <w:rFonts w:ascii="Times New Roman" w:hAnsi="Times New Roman"/>
                <w:sz w:val="18"/>
                <w:szCs w:val="18"/>
                <w:lang w:val="en-US" w:eastAsia="en-US"/>
              </w:rPr>
              <w:t>DiAL</w:t>
            </w:r>
            <w:proofErr w:type="spellEnd"/>
            <w:r w:rsidRPr="0043400D">
              <w:rPr>
                <w:rFonts w:ascii="Times New Roman" w:hAnsi="Times New Roman"/>
                <w:sz w:val="18"/>
                <w:szCs w:val="18"/>
                <w:lang w:val="en-US" w:eastAsia="en-US"/>
              </w:rPr>
              <w:t xml:space="preserve"> </w:t>
            </w:r>
            <w:proofErr w:type="spellStart"/>
            <w:r w:rsidRPr="0043400D">
              <w:rPr>
                <w:rFonts w:ascii="Times New Roman" w:hAnsi="Times New Roman"/>
                <w:sz w:val="18"/>
                <w:szCs w:val="18"/>
                <w:lang w:val="en-US" w:eastAsia="en-US"/>
              </w:rPr>
              <w:t>programme</w:t>
            </w:r>
            <w:proofErr w:type="spellEnd"/>
            <w:r w:rsidRPr="0043400D">
              <w:rPr>
                <w:rFonts w:ascii="Times New Roman" w:hAnsi="Times New Roman"/>
                <w:sz w:val="18"/>
                <w:szCs w:val="18"/>
                <w:lang w:val="en-US" w:eastAsia="en-US"/>
              </w:rPr>
              <w:t>; exact sample size should be taken from the full paper.</w:t>
            </w:r>
          </w:p>
        </w:tc>
      </w:tr>
      <w:tr w:rsidR="000F5408" w:rsidRPr="000F5408" w14:paraId="5065A33A" w14:textId="77777777" w:rsidTr="000F5408">
        <w:tc>
          <w:tcPr>
            <w:tcW w:w="493" w:type="dxa"/>
          </w:tcPr>
          <w:p w14:paraId="058CC2D7" w14:textId="2844668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14</w:t>
            </w:r>
          </w:p>
        </w:tc>
        <w:tc>
          <w:tcPr>
            <w:tcW w:w="1768" w:type="dxa"/>
          </w:tcPr>
          <w:p w14:paraId="041B655C"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Cheraghi</w:t>
            </w:r>
            <w:proofErr w:type="spellEnd"/>
            <w:r w:rsidRPr="0043400D">
              <w:rPr>
                <w:rFonts w:ascii="Times New Roman" w:hAnsi="Times New Roman"/>
                <w:sz w:val="18"/>
                <w:szCs w:val="18"/>
                <w:lang w:val="en-US" w:eastAsia="en-US"/>
              </w:rPr>
              <w:t>-Sohi et al., 2023</w:t>
            </w:r>
          </w:p>
        </w:tc>
        <w:tc>
          <w:tcPr>
            <w:tcW w:w="2270" w:type="dxa"/>
          </w:tcPr>
          <w:p w14:paraId="2A0C373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Explore usefulness, adoption and everyday use of an mHealth app for people with mild cognitive/communication impairment due to dementia and their </w:t>
            </w:r>
            <w:proofErr w:type="spellStart"/>
            <w:r w:rsidRPr="0043400D">
              <w:rPr>
                <w:rFonts w:ascii="Times New Roman" w:hAnsi="Times New Roman"/>
                <w:sz w:val="18"/>
                <w:szCs w:val="18"/>
                <w:lang w:val="en-US" w:eastAsia="en-US"/>
              </w:rPr>
              <w:t>carers</w:t>
            </w:r>
            <w:proofErr w:type="spellEnd"/>
            <w:r w:rsidRPr="0043400D">
              <w:rPr>
                <w:rFonts w:ascii="Times New Roman" w:hAnsi="Times New Roman"/>
                <w:sz w:val="18"/>
                <w:szCs w:val="18"/>
                <w:lang w:val="en-US" w:eastAsia="en-US"/>
              </w:rPr>
              <w:t>.</w:t>
            </w:r>
          </w:p>
        </w:tc>
        <w:tc>
          <w:tcPr>
            <w:tcW w:w="1701" w:type="dxa"/>
          </w:tcPr>
          <w:p w14:paraId="31AE123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Qualitative phased study using the Domestication of Technology Model.</w:t>
            </w:r>
          </w:p>
        </w:tc>
        <w:tc>
          <w:tcPr>
            <w:tcW w:w="1701" w:type="dxa"/>
          </w:tcPr>
          <w:p w14:paraId="7DFCAEE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Domestic/community settings involving people with dementia and </w:t>
            </w:r>
            <w:proofErr w:type="spellStart"/>
            <w:r w:rsidRPr="0043400D">
              <w:rPr>
                <w:rFonts w:ascii="Times New Roman" w:hAnsi="Times New Roman"/>
                <w:sz w:val="18"/>
                <w:szCs w:val="18"/>
                <w:lang w:val="en-US" w:eastAsia="en-US"/>
              </w:rPr>
              <w:t>carers</w:t>
            </w:r>
            <w:proofErr w:type="spellEnd"/>
            <w:r w:rsidRPr="0043400D">
              <w:rPr>
                <w:rFonts w:ascii="Times New Roman" w:hAnsi="Times New Roman"/>
                <w:sz w:val="18"/>
                <w:szCs w:val="18"/>
                <w:lang w:val="en-US" w:eastAsia="en-US"/>
              </w:rPr>
              <w:t xml:space="preserve"> in the UK.</w:t>
            </w:r>
          </w:p>
        </w:tc>
        <w:tc>
          <w:tcPr>
            <w:tcW w:w="1985" w:type="dxa"/>
          </w:tcPr>
          <w:p w14:paraId="61CEAA3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People with dementia and </w:t>
            </w:r>
            <w:proofErr w:type="spellStart"/>
            <w:r w:rsidRPr="0043400D">
              <w:rPr>
                <w:rFonts w:ascii="Times New Roman" w:hAnsi="Times New Roman"/>
                <w:sz w:val="18"/>
                <w:szCs w:val="18"/>
                <w:lang w:val="en-US" w:eastAsia="en-US"/>
              </w:rPr>
              <w:t>carers</w:t>
            </w:r>
            <w:proofErr w:type="spellEnd"/>
            <w:r w:rsidRPr="0043400D">
              <w:rPr>
                <w:rFonts w:ascii="Times New Roman" w:hAnsi="Times New Roman"/>
                <w:sz w:val="18"/>
                <w:szCs w:val="18"/>
                <w:lang w:val="en-US" w:eastAsia="en-US"/>
              </w:rPr>
              <w:t>; only 2 participants routinely adopted the app during the study period.</w:t>
            </w:r>
          </w:p>
        </w:tc>
      </w:tr>
      <w:tr w:rsidR="000F5408" w:rsidRPr="000F5408" w14:paraId="41058B02" w14:textId="77777777" w:rsidTr="000F5408">
        <w:tc>
          <w:tcPr>
            <w:tcW w:w="493" w:type="dxa"/>
          </w:tcPr>
          <w:p w14:paraId="6633C355" w14:textId="7563C47F"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15</w:t>
            </w:r>
          </w:p>
        </w:tc>
        <w:tc>
          <w:tcPr>
            <w:tcW w:w="1768" w:type="dxa"/>
          </w:tcPr>
          <w:p w14:paraId="6AD976D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Xing et al., 2026</w:t>
            </w:r>
          </w:p>
        </w:tc>
        <w:tc>
          <w:tcPr>
            <w:tcW w:w="2270" w:type="dxa"/>
          </w:tcPr>
          <w:p w14:paraId="33B1ADB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Examine NHS England's Digital First Primary Care model against patient-</w:t>
            </w:r>
            <w:proofErr w:type="spellStart"/>
            <w:r w:rsidRPr="0043400D">
              <w:rPr>
                <w:rFonts w:ascii="Times New Roman" w:hAnsi="Times New Roman"/>
                <w:sz w:val="18"/>
                <w:szCs w:val="18"/>
                <w:lang w:val="en-US" w:eastAsia="en-US"/>
              </w:rPr>
              <w:t>centred</w:t>
            </w:r>
            <w:proofErr w:type="spellEnd"/>
            <w:r w:rsidRPr="0043400D">
              <w:rPr>
                <w:rFonts w:ascii="Times New Roman" w:hAnsi="Times New Roman"/>
                <w:sz w:val="18"/>
                <w:szCs w:val="18"/>
                <w:lang w:val="en-US" w:eastAsia="en-US"/>
              </w:rPr>
              <w:t>-care domains and implications for future practice.</w:t>
            </w:r>
          </w:p>
        </w:tc>
        <w:tc>
          <w:tcPr>
            <w:tcW w:w="1701" w:type="dxa"/>
          </w:tcPr>
          <w:p w14:paraId="4263010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Structured narrative/minireview of UK empirical, policy and implementation literature.</w:t>
            </w:r>
          </w:p>
        </w:tc>
        <w:tc>
          <w:tcPr>
            <w:tcW w:w="1701" w:type="dxa"/>
          </w:tcPr>
          <w:p w14:paraId="6B2A58E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NHS England primary care.</w:t>
            </w:r>
          </w:p>
        </w:tc>
        <w:tc>
          <w:tcPr>
            <w:tcW w:w="1985" w:type="dxa"/>
          </w:tcPr>
          <w:p w14:paraId="52A28CE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Not applicable; literature evidence rather than a participant sample.</w:t>
            </w:r>
          </w:p>
        </w:tc>
      </w:tr>
      <w:tr w:rsidR="000F5408" w:rsidRPr="000F5408" w14:paraId="747FDCE3" w14:textId="77777777" w:rsidTr="000F5408">
        <w:tc>
          <w:tcPr>
            <w:tcW w:w="493" w:type="dxa"/>
          </w:tcPr>
          <w:p w14:paraId="0CB2B1EF" w14:textId="37B1EE8A"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16</w:t>
            </w:r>
          </w:p>
        </w:tc>
        <w:tc>
          <w:tcPr>
            <w:tcW w:w="1768" w:type="dxa"/>
          </w:tcPr>
          <w:p w14:paraId="3E60C802"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Farre</w:t>
            </w:r>
            <w:proofErr w:type="spellEnd"/>
            <w:r w:rsidRPr="0043400D">
              <w:rPr>
                <w:rFonts w:ascii="Times New Roman" w:hAnsi="Times New Roman"/>
                <w:sz w:val="18"/>
                <w:szCs w:val="18"/>
                <w:lang w:val="en-US" w:eastAsia="en-US"/>
              </w:rPr>
              <w:t xml:space="preserve"> et al., 2023</w:t>
            </w:r>
          </w:p>
        </w:tc>
        <w:tc>
          <w:tcPr>
            <w:tcW w:w="2270" w:type="dxa"/>
          </w:tcPr>
          <w:p w14:paraId="21E5D8A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Map evidence on digital technology for healthcare delivery in UK settings with explicit consideration of health inequalities.</w:t>
            </w:r>
          </w:p>
        </w:tc>
        <w:tc>
          <w:tcPr>
            <w:tcW w:w="1701" w:type="dxa"/>
          </w:tcPr>
          <w:p w14:paraId="09B670E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Scoping review; narrative synthesis.</w:t>
            </w:r>
          </w:p>
        </w:tc>
        <w:tc>
          <w:tcPr>
            <w:tcW w:w="1701" w:type="dxa"/>
          </w:tcPr>
          <w:p w14:paraId="3715A0F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healthcare settings; mainly community-based, with one hospital-based intervention.</w:t>
            </w:r>
          </w:p>
        </w:tc>
        <w:tc>
          <w:tcPr>
            <w:tcW w:w="1985" w:type="dxa"/>
          </w:tcPr>
          <w:p w14:paraId="53CCD7C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11 articles covering 9 interventions: 5 quantitative, 5 qualitative and 1 mixed-methods.</w:t>
            </w:r>
          </w:p>
        </w:tc>
      </w:tr>
      <w:tr w:rsidR="000F5408" w:rsidRPr="000F5408" w14:paraId="3F2D460C" w14:textId="77777777" w:rsidTr="000F5408">
        <w:tc>
          <w:tcPr>
            <w:tcW w:w="493" w:type="dxa"/>
          </w:tcPr>
          <w:p w14:paraId="6849F59C" w14:textId="4C72C589"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17</w:t>
            </w:r>
          </w:p>
        </w:tc>
        <w:tc>
          <w:tcPr>
            <w:tcW w:w="1768" w:type="dxa"/>
          </w:tcPr>
          <w:p w14:paraId="78605954"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Alashek</w:t>
            </w:r>
            <w:proofErr w:type="spellEnd"/>
            <w:r w:rsidRPr="0043400D">
              <w:rPr>
                <w:rFonts w:ascii="Times New Roman" w:hAnsi="Times New Roman"/>
                <w:sz w:val="18"/>
                <w:szCs w:val="18"/>
                <w:lang w:val="en-US" w:eastAsia="en-US"/>
              </w:rPr>
              <w:t xml:space="preserve"> and Ali, 2024</w:t>
            </w:r>
          </w:p>
        </w:tc>
        <w:tc>
          <w:tcPr>
            <w:tcW w:w="2270" w:type="dxa"/>
          </w:tcPr>
          <w:p w14:paraId="234FEEC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Review satisfaction and willingness of healthcare users and providers to use telemedicine in the UK during/after COVID-19.</w:t>
            </w:r>
          </w:p>
        </w:tc>
        <w:tc>
          <w:tcPr>
            <w:tcW w:w="1701" w:type="dxa"/>
          </w:tcPr>
          <w:p w14:paraId="4C889E3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Systematic review of empirical studies following PRISMA.</w:t>
            </w:r>
          </w:p>
        </w:tc>
        <w:tc>
          <w:tcPr>
            <w:tcW w:w="1701" w:type="dxa"/>
          </w:tcPr>
          <w:p w14:paraId="302A6DD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UK healthcare, predominantly NHS primary, secondary and specialist settings.</w:t>
            </w:r>
          </w:p>
        </w:tc>
        <w:tc>
          <w:tcPr>
            <w:tcW w:w="1985" w:type="dxa"/>
          </w:tcPr>
          <w:p w14:paraId="66C56E8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27 eligible studies published March 2020–December 2022.</w:t>
            </w:r>
          </w:p>
        </w:tc>
      </w:tr>
      <w:tr w:rsidR="000F5408" w:rsidRPr="000F5408" w14:paraId="1F3752F5" w14:textId="77777777" w:rsidTr="000F5408">
        <w:tc>
          <w:tcPr>
            <w:tcW w:w="493" w:type="dxa"/>
          </w:tcPr>
          <w:p w14:paraId="46E50583" w14:textId="76599097"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18</w:t>
            </w:r>
          </w:p>
        </w:tc>
        <w:tc>
          <w:tcPr>
            <w:tcW w:w="1768" w:type="dxa"/>
          </w:tcPr>
          <w:p w14:paraId="5B11538C"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Wasi</w:t>
            </w:r>
            <w:proofErr w:type="spellEnd"/>
            <w:r w:rsidRPr="0043400D">
              <w:rPr>
                <w:rFonts w:ascii="Times New Roman" w:hAnsi="Times New Roman"/>
                <w:sz w:val="18"/>
                <w:szCs w:val="18"/>
                <w:lang w:val="en-US" w:eastAsia="en-US"/>
              </w:rPr>
              <w:t xml:space="preserve"> Abbas et al., 2024</w:t>
            </w:r>
          </w:p>
        </w:tc>
        <w:tc>
          <w:tcPr>
            <w:tcW w:w="2270" w:type="dxa"/>
          </w:tcPr>
          <w:p w14:paraId="42BEFD5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Assess healthcare professionals' awareness and acceptance of telemedicine in Pakistan.</w:t>
            </w:r>
          </w:p>
        </w:tc>
        <w:tc>
          <w:tcPr>
            <w:tcW w:w="1701" w:type="dxa"/>
          </w:tcPr>
          <w:p w14:paraId="340A10D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 survey using a self-administered questionnaire.</w:t>
            </w:r>
          </w:p>
        </w:tc>
        <w:tc>
          <w:tcPr>
            <w:tcW w:w="1701" w:type="dxa"/>
          </w:tcPr>
          <w:p w14:paraId="01356D0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Healthcare providers across Pakistan; public and private sectors.</w:t>
            </w:r>
          </w:p>
        </w:tc>
        <w:tc>
          <w:tcPr>
            <w:tcW w:w="1985" w:type="dxa"/>
          </w:tcPr>
          <w:p w14:paraId="79A3E28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198 respondents from 860 invited (23% response); doctors aged 20–60.</w:t>
            </w:r>
          </w:p>
        </w:tc>
      </w:tr>
      <w:tr w:rsidR="000F5408" w:rsidRPr="000F5408" w14:paraId="37192225" w14:textId="77777777" w:rsidTr="000F5408">
        <w:tc>
          <w:tcPr>
            <w:tcW w:w="493" w:type="dxa"/>
          </w:tcPr>
          <w:p w14:paraId="28763947" w14:textId="55424A0E"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19</w:t>
            </w:r>
          </w:p>
        </w:tc>
        <w:tc>
          <w:tcPr>
            <w:tcW w:w="1768" w:type="dxa"/>
          </w:tcPr>
          <w:p w14:paraId="5A801C1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Khurram et al., 2024</w:t>
            </w:r>
          </w:p>
        </w:tc>
        <w:tc>
          <w:tcPr>
            <w:tcW w:w="2270" w:type="dxa"/>
          </w:tcPr>
          <w:p w14:paraId="7FC2097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Examine transition from crisis-driven to sustained telehealth adoption by </w:t>
            </w:r>
            <w:proofErr w:type="spellStart"/>
            <w:r w:rsidRPr="0043400D">
              <w:rPr>
                <w:rFonts w:ascii="Times New Roman" w:hAnsi="Times New Roman"/>
                <w:sz w:val="18"/>
                <w:szCs w:val="18"/>
                <w:lang w:val="en-US" w:eastAsia="en-US"/>
              </w:rPr>
              <w:t>Sehat</w:t>
            </w:r>
            <w:proofErr w:type="spellEnd"/>
            <w:r w:rsidRPr="0043400D">
              <w:rPr>
                <w:rFonts w:ascii="Times New Roman" w:hAnsi="Times New Roman"/>
                <w:sz w:val="18"/>
                <w:szCs w:val="18"/>
                <w:lang w:val="en-US" w:eastAsia="en-US"/>
              </w:rPr>
              <w:t xml:space="preserve"> Kahani after COVID-19.</w:t>
            </w:r>
          </w:p>
        </w:tc>
        <w:tc>
          <w:tcPr>
            <w:tcW w:w="1701" w:type="dxa"/>
          </w:tcPr>
          <w:p w14:paraId="51F166F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Implementation-focused qualitative/case study of telehealth service delivery.</w:t>
            </w:r>
          </w:p>
        </w:tc>
        <w:tc>
          <w:tcPr>
            <w:tcW w:w="1701" w:type="dxa"/>
          </w:tcPr>
          <w:p w14:paraId="35087BBC"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Sehat</w:t>
            </w:r>
            <w:proofErr w:type="spellEnd"/>
            <w:r w:rsidRPr="0043400D">
              <w:rPr>
                <w:rFonts w:ascii="Times New Roman" w:hAnsi="Times New Roman"/>
                <w:sz w:val="18"/>
                <w:szCs w:val="18"/>
                <w:lang w:val="en-US" w:eastAsia="en-US"/>
              </w:rPr>
              <w:t xml:space="preserve"> Kahani telehealth services in Pakistan.</w:t>
            </w:r>
          </w:p>
        </w:tc>
        <w:tc>
          <w:tcPr>
            <w:tcW w:w="1985" w:type="dxa"/>
          </w:tcPr>
          <w:p w14:paraId="217F98E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Healthcare professionals/stakeholders involved with the </w:t>
            </w:r>
            <w:proofErr w:type="spellStart"/>
            <w:r w:rsidRPr="0043400D">
              <w:rPr>
                <w:rFonts w:ascii="Times New Roman" w:hAnsi="Times New Roman"/>
                <w:sz w:val="18"/>
                <w:szCs w:val="18"/>
                <w:lang w:val="en-US" w:eastAsia="en-US"/>
              </w:rPr>
              <w:t>Sehat</w:t>
            </w:r>
            <w:proofErr w:type="spellEnd"/>
            <w:r w:rsidRPr="0043400D">
              <w:rPr>
                <w:rFonts w:ascii="Times New Roman" w:hAnsi="Times New Roman"/>
                <w:sz w:val="18"/>
                <w:szCs w:val="18"/>
                <w:lang w:val="en-US" w:eastAsia="en-US"/>
              </w:rPr>
              <w:t xml:space="preserve"> Kahani model; exact sample should be taken from full text.</w:t>
            </w:r>
          </w:p>
        </w:tc>
      </w:tr>
      <w:tr w:rsidR="000F5408" w:rsidRPr="000F5408" w14:paraId="158DCDBC" w14:textId="77777777" w:rsidTr="000F5408">
        <w:tc>
          <w:tcPr>
            <w:tcW w:w="493" w:type="dxa"/>
          </w:tcPr>
          <w:p w14:paraId="5A3FAB93" w14:textId="55C16B45"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20</w:t>
            </w:r>
          </w:p>
        </w:tc>
        <w:tc>
          <w:tcPr>
            <w:tcW w:w="1768" w:type="dxa"/>
          </w:tcPr>
          <w:p w14:paraId="57A600D7"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Yawar</w:t>
            </w:r>
            <w:proofErr w:type="spellEnd"/>
            <w:r w:rsidRPr="0043400D">
              <w:rPr>
                <w:rFonts w:ascii="Times New Roman" w:hAnsi="Times New Roman"/>
                <w:sz w:val="18"/>
                <w:szCs w:val="18"/>
                <w:lang w:val="en-US" w:eastAsia="en-US"/>
              </w:rPr>
              <w:t xml:space="preserve"> and Asif, 2022</w:t>
            </w:r>
          </w:p>
        </w:tc>
        <w:tc>
          <w:tcPr>
            <w:tcW w:w="2270" w:type="dxa"/>
          </w:tcPr>
          <w:p w14:paraId="167B1B2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development and implementation of an asynchronous telehealth system to build capacity of therapists and caregivers of children with developmental disabilities.</w:t>
            </w:r>
          </w:p>
        </w:tc>
        <w:tc>
          <w:tcPr>
            <w:tcW w:w="1701" w:type="dxa"/>
          </w:tcPr>
          <w:p w14:paraId="0BCDD2A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Participatory Action Research using observations, interviews, focus groups and field notes.</w:t>
            </w:r>
          </w:p>
        </w:tc>
        <w:tc>
          <w:tcPr>
            <w:tcW w:w="1701" w:type="dxa"/>
          </w:tcPr>
          <w:p w14:paraId="72182E6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Pakistan; therapy services and caregiver support for children with developmental disabilities.</w:t>
            </w:r>
          </w:p>
        </w:tc>
        <w:tc>
          <w:tcPr>
            <w:tcW w:w="1985" w:type="dxa"/>
          </w:tcPr>
          <w:p w14:paraId="24BA2E4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Occupational therapists and caregivers involved in system development/use.</w:t>
            </w:r>
          </w:p>
        </w:tc>
      </w:tr>
      <w:tr w:rsidR="000F5408" w:rsidRPr="000F5408" w14:paraId="06E397A6" w14:textId="77777777" w:rsidTr="000F5408">
        <w:tc>
          <w:tcPr>
            <w:tcW w:w="493" w:type="dxa"/>
          </w:tcPr>
          <w:p w14:paraId="7C1A4F67" w14:textId="5412FA23"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21</w:t>
            </w:r>
          </w:p>
        </w:tc>
        <w:tc>
          <w:tcPr>
            <w:tcW w:w="1768" w:type="dxa"/>
          </w:tcPr>
          <w:p w14:paraId="186525C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Haider et al., 2022</w:t>
            </w:r>
          </w:p>
        </w:tc>
        <w:tc>
          <w:tcPr>
            <w:tcW w:w="2270" w:type="dxa"/>
          </w:tcPr>
          <w:p w14:paraId="7B66BA1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Assess acceptability, usability and aesthetics of a digital health intervention among frontline workers in peri-urban Karachi.</w:t>
            </w:r>
          </w:p>
        </w:tc>
        <w:tc>
          <w:tcPr>
            <w:tcW w:w="1701" w:type="dxa"/>
          </w:tcPr>
          <w:p w14:paraId="2EFD5DF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Mixed-methods evaluation.</w:t>
            </w:r>
          </w:p>
        </w:tc>
        <w:tc>
          <w:tcPr>
            <w:tcW w:w="1701" w:type="dxa"/>
          </w:tcPr>
          <w:p w14:paraId="490BB31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Peri-urban Karachi, Pakistan; maternal and child health services delivered by frontline workers.</w:t>
            </w:r>
          </w:p>
        </w:tc>
        <w:tc>
          <w:tcPr>
            <w:tcW w:w="1985" w:type="dxa"/>
          </w:tcPr>
          <w:p w14:paraId="60E3313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Frontline community health workers/providers using the intervention; exact participant number should be taken from the full paper.</w:t>
            </w:r>
          </w:p>
        </w:tc>
      </w:tr>
      <w:tr w:rsidR="000F5408" w:rsidRPr="000F5408" w14:paraId="482D01D6" w14:textId="77777777" w:rsidTr="000F5408">
        <w:tc>
          <w:tcPr>
            <w:tcW w:w="493" w:type="dxa"/>
          </w:tcPr>
          <w:p w14:paraId="643D632A" w14:textId="47E1F423"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22</w:t>
            </w:r>
          </w:p>
        </w:tc>
        <w:tc>
          <w:tcPr>
            <w:tcW w:w="1768" w:type="dxa"/>
          </w:tcPr>
          <w:p w14:paraId="2212346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Saifullah et al., 2024</w:t>
            </w:r>
          </w:p>
        </w:tc>
        <w:tc>
          <w:tcPr>
            <w:tcW w:w="2270" w:type="dxa"/>
          </w:tcPr>
          <w:p w14:paraId="2F7012D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Examine factors affecting telehealth service development in Pakistani healthcare sectors and identify improvement priorities.</w:t>
            </w:r>
          </w:p>
        </w:tc>
        <w:tc>
          <w:tcPr>
            <w:tcW w:w="1701" w:type="dxa"/>
          </w:tcPr>
          <w:p w14:paraId="7990161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Cross-sectional/analytical study of telehealth development factors.</w:t>
            </w:r>
          </w:p>
        </w:tc>
        <w:tc>
          <w:tcPr>
            <w:tcW w:w="1701" w:type="dxa"/>
          </w:tcPr>
          <w:p w14:paraId="27ABD1C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Pakistani healthcare sector.</w:t>
            </w:r>
          </w:p>
        </w:tc>
        <w:tc>
          <w:tcPr>
            <w:tcW w:w="1985" w:type="dxa"/>
          </w:tcPr>
          <w:p w14:paraId="059BE1A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Healthcare professionals/stakeholders; exact sample should be taken from the full article.</w:t>
            </w:r>
          </w:p>
        </w:tc>
      </w:tr>
      <w:tr w:rsidR="000F5408" w:rsidRPr="000F5408" w14:paraId="2CB5DD5B" w14:textId="77777777" w:rsidTr="000F5408">
        <w:tc>
          <w:tcPr>
            <w:tcW w:w="493" w:type="dxa"/>
          </w:tcPr>
          <w:p w14:paraId="01AC48BC" w14:textId="480041C0"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23</w:t>
            </w:r>
          </w:p>
        </w:tc>
        <w:tc>
          <w:tcPr>
            <w:tcW w:w="1768" w:type="dxa"/>
          </w:tcPr>
          <w:p w14:paraId="496F0D8B"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Kazi</w:t>
            </w:r>
            <w:proofErr w:type="spellEnd"/>
            <w:r w:rsidRPr="0043400D">
              <w:rPr>
                <w:rFonts w:ascii="Times New Roman" w:hAnsi="Times New Roman"/>
                <w:sz w:val="18"/>
                <w:szCs w:val="18"/>
                <w:lang w:val="en-US" w:eastAsia="en-US"/>
              </w:rPr>
              <w:t xml:space="preserve"> et al., 2020</w:t>
            </w:r>
          </w:p>
        </w:tc>
        <w:tc>
          <w:tcPr>
            <w:tcW w:w="2270" w:type="dxa"/>
          </w:tcPr>
          <w:p w14:paraId="44675EA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Identify digital-health projects/studies in Pakistan and assess factors facilitating or hindering progress.</w:t>
            </w:r>
          </w:p>
        </w:tc>
        <w:tc>
          <w:tcPr>
            <w:tcW w:w="1701" w:type="dxa"/>
          </w:tcPr>
          <w:p w14:paraId="4CA6C5E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Mixed-methods mapping and SWOT analysis using WHO health-system building blocks.</w:t>
            </w:r>
          </w:p>
        </w:tc>
        <w:tc>
          <w:tcPr>
            <w:tcW w:w="1701" w:type="dxa"/>
          </w:tcPr>
          <w:p w14:paraId="3503AA6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Digital-health initiatives across Pakistan.</w:t>
            </w:r>
          </w:p>
        </w:tc>
        <w:tc>
          <w:tcPr>
            <w:tcW w:w="1985" w:type="dxa"/>
          </w:tcPr>
          <w:p w14:paraId="68AC153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51 digital-health projects/studies identified; 46% research, 30% implementation and 12% app development.</w:t>
            </w:r>
          </w:p>
        </w:tc>
      </w:tr>
      <w:tr w:rsidR="000F5408" w:rsidRPr="000F5408" w14:paraId="249CBFDC" w14:textId="77777777" w:rsidTr="000F5408">
        <w:tc>
          <w:tcPr>
            <w:tcW w:w="493" w:type="dxa"/>
          </w:tcPr>
          <w:p w14:paraId="57F9BCC1" w14:textId="5D3FDD02"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24</w:t>
            </w:r>
          </w:p>
        </w:tc>
        <w:tc>
          <w:tcPr>
            <w:tcW w:w="1768" w:type="dxa"/>
          </w:tcPr>
          <w:p w14:paraId="22CB2A0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Tariq et al., 2023</w:t>
            </w:r>
          </w:p>
        </w:tc>
        <w:tc>
          <w:tcPr>
            <w:tcW w:w="2270" w:type="dxa"/>
          </w:tcPr>
          <w:p w14:paraId="671745C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Assess knowledge, perceptions and effects of telemedicine among the general population of Pakistan during COVID-19.</w:t>
            </w:r>
          </w:p>
        </w:tc>
        <w:tc>
          <w:tcPr>
            <w:tcW w:w="1701" w:type="dxa"/>
          </w:tcPr>
          <w:p w14:paraId="02DD905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National cross-sectional survey.</w:t>
            </w:r>
          </w:p>
        </w:tc>
        <w:tc>
          <w:tcPr>
            <w:tcW w:w="1701" w:type="dxa"/>
          </w:tcPr>
          <w:p w14:paraId="08F7C67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General population in Pakistan.</w:t>
            </w:r>
          </w:p>
        </w:tc>
        <w:tc>
          <w:tcPr>
            <w:tcW w:w="1985" w:type="dxa"/>
          </w:tcPr>
          <w:p w14:paraId="2485305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National survey respondents; exact sample size should be taken from the full article.</w:t>
            </w:r>
          </w:p>
        </w:tc>
      </w:tr>
      <w:tr w:rsidR="000F5408" w:rsidRPr="000F5408" w14:paraId="6D7819CA" w14:textId="77777777" w:rsidTr="000F5408">
        <w:tc>
          <w:tcPr>
            <w:tcW w:w="493" w:type="dxa"/>
          </w:tcPr>
          <w:p w14:paraId="2C7916FA" w14:textId="2FB7C69C"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25</w:t>
            </w:r>
          </w:p>
        </w:tc>
        <w:tc>
          <w:tcPr>
            <w:tcW w:w="1768" w:type="dxa"/>
          </w:tcPr>
          <w:p w14:paraId="3C7351E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Karim et al., 2024</w:t>
            </w:r>
          </w:p>
        </w:tc>
        <w:tc>
          <w:tcPr>
            <w:tcW w:w="2270" w:type="dxa"/>
          </w:tcPr>
          <w:p w14:paraId="2F1A857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Examine telemedicine practices, understanding and perspectives of healthcare providers using </w:t>
            </w:r>
            <w:proofErr w:type="spellStart"/>
            <w:r w:rsidRPr="0043400D">
              <w:rPr>
                <w:rFonts w:ascii="Times New Roman" w:hAnsi="Times New Roman"/>
                <w:sz w:val="18"/>
                <w:szCs w:val="18"/>
                <w:lang w:val="en-US" w:eastAsia="en-US"/>
              </w:rPr>
              <w:t>Sehat</w:t>
            </w:r>
            <w:proofErr w:type="spellEnd"/>
            <w:r w:rsidRPr="0043400D">
              <w:rPr>
                <w:rFonts w:ascii="Times New Roman" w:hAnsi="Times New Roman"/>
                <w:sz w:val="18"/>
                <w:szCs w:val="18"/>
                <w:lang w:val="en-US" w:eastAsia="en-US"/>
              </w:rPr>
              <w:t xml:space="preserve"> Kahani e-health clinics in Karachi.</w:t>
            </w:r>
          </w:p>
        </w:tc>
        <w:tc>
          <w:tcPr>
            <w:tcW w:w="1701" w:type="dxa"/>
          </w:tcPr>
          <w:p w14:paraId="277E12C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Analytical cross-sectional survey.</w:t>
            </w:r>
          </w:p>
        </w:tc>
        <w:tc>
          <w:tcPr>
            <w:tcW w:w="1701" w:type="dxa"/>
          </w:tcPr>
          <w:p w14:paraId="2AA2FDCA"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Sehat</w:t>
            </w:r>
            <w:proofErr w:type="spellEnd"/>
            <w:r w:rsidRPr="0043400D">
              <w:rPr>
                <w:rFonts w:ascii="Times New Roman" w:hAnsi="Times New Roman"/>
                <w:sz w:val="18"/>
                <w:szCs w:val="18"/>
                <w:lang w:val="en-US" w:eastAsia="en-US"/>
              </w:rPr>
              <w:t xml:space="preserve"> Kahani E-Health Clinics, Karachi, Pakistan.</w:t>
            </w:r>
          </w:p>
        </w:tc>
        <w:tc>
          <w:tcPr>
            <w:tcW w:w="1985" w:type="dxa"/>
          </w:tcPr>
          <w:p w14:paraId="49EEE94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383 telemedicine consultants invited; questionnaire-based assessment of clinician perspectives.</w:t>
            </w:r>
          </w:p>
        </w:tc>
      </w:tr>
      <w:tr w:rsidR="000F5408" w:rsidRPr="000F5408" w14:paraId="7F87B7A8" w14:textId="77777777" w:rsidTr="000F5408">
        <w:tc>
          <w:tcPr>
            <w:tcW w:w="493" w:type="dxa"/>
          </w:tcPr>
          <w:p w14:paraId="338241C9" w14:textId="0B57B126"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26</w:t>
            </w:r>
          </w:p>
        </w:tc>
        <w:tc>
          <w:tcPr>
            <w:tcW w:w="1768" w:type="dxa"/>
          </w:tcPr>
          <w:p w14:paraId="272288F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Khan et al., 2025</w:t>
            </w:r>
          </w:p>
        </w:tc>
        <w:tc>
          <w:tcPr>
            <w:tcW w:w="2270" w:type="dxa"/>
          </w:tcPr>
          <w:p w14:paraId="72ED80D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Explore barriers/facilitators and stakeholder perceptions of the </w:t>
            </w:r>
            <w:proofErr w:type="gramStart"/>
            <w:r w:rsidRPr="0043400D">
              <w:rPr>
                <w:rFonts w:ascii="Times New Roman" w:hAnsi="Times New Roman"/>
                <w:sz w:val="18"/>
                <w:szCs w:val="18"/>
                <w:lang w:val="en-US" w:eastAsia="en-US"/>
              </w:rPr>
              <w:t>School</w:t>
            </w:r>
            <w:proofErr w:type="gramEnd"/>
            <w:r w:rsidRPr="0043400D">
              <w:rPr>
                <w:rFonts w:ascii="Times New Roman" w:hAnsi="Times New Roman"/>
                <w:sz w:val="18"/>
                <w:szCs w:val="18"/>
                <w:lang w:val="en-US" w:eastAsia="en-US"/>
              </w:rPr>
              <w:t xml:space="preserve"> eHealth Education Program (</w:t>
            </w:r>
            <w:proofErr w:type="spellStart"/>
            <w:r w:rsidRPr="0043400D">
              <w:rPr>
                <w:rFonts w:ascii="Times New Roman" w:hAnsi="Times New Roman"/>
                <w:sz w:val="18"/>
                <w:szCs w:val="18"/>
                <w:lang w:val="en-US" w:eastAsia="en-US"/>
              </w:rPr>
              <w:t>eSHEPP</w:t>
            </w:r>
            <w:proofErr w:type="spellEnd"/>
            <w:r w:rsidRPr="0043400D">
              <w:rPr>
                <w:rFonts w:ascii="Times New Roman" w:hAnsi="Times New Roman"/>
                <w:sz w:val="18"/>
                <w:szCs w:val="18"/>
                <w:lang w:val="en-US" w:eastAsia="en-US"/>
              </w:rPr>
              <w:t>) for adolescent NCD prevention in Pakistan.</w:t>
            </w:r>
          </w:p>
        </w:tc>
        <w:tc>
          <w:tcPr>
            <w:tcW w:w="1701" w:type="dxa"/>
          </w:tcPr>
          <w:p w14:paraId="1C747D6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Exploratory qualitative study using FGDs and key-informant interviews; thematic analysis informed by TAM and Task–Technology Fit.</w:t>
            </w:r>
          </w:p>
        </w:tc>
        <w:tc>
          <w:tcPr>
            <w:tcW w:w="1701" w:type="dxa"/>
          </w:tcPr>
          <w:p w14:paraId="3BFC261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Public secondary/higher-secondary schools in Karachi, Pakistan.</w:t>
            </w:r>
          </w:p>
        </w:tc>
        <w:tc>
          <w:tcPr>
            <w:tcW w:w="1985" w:type="dxa"/>
          </w:tcPr>
          <w:p w14:paraId="534E57B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36 students/teachers across four FGDs and 11 interviews with parents/administrators.</w:t>
            </w:r>
          </w:p>
        </w:tc>
      </w:tr>
      <w:tr w:rsidR="000F5408" w:rsidRPr="000F5408" w14:paraId="1AF78C2F" w14:textId="77777777" w:rsidTr="000F5408">
        <w:tc>
          <w:tcPr>
            <w:tcW w:w="493" w:type="dxa"/>
          </w:tcPr>
          <w:p w14:paraId="149DA05E" w14:textId="73E59047"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27</w:t>
            </w:r>
          </w:p>
        </w:tc>
        <w:tc>
          <w:tcPr>
            <w:tcW w:w="1768" w:type="dxa"/>
          </w:tcPr>
          <w:p w14:paraId="7E1E053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Malik et al., 2025</w:t>
            </w:r>
          </w:p>
        </w:tc>
        <w:tc>
          <w:tcPr>
            <w:tcW w:w="2270" w:type="dxa"/>
          </w:tcPr>
          <w:p w14:paraId="60BA413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Assess patient-</w:t>
            </w:r>
            <w:proofErr w:type="spellStart"/>
            <w:r w:rsidRPr="0043400D">
              <w:rPr>
                <w:rFonts w:ascii="Times New Roman" w:hAnsi="Times New Roman"/>
                <w:sz w:val="18"/>
                <w:szCs w:val="18"/>
                <w:lang w:val="en-US" w:eastAsia="en-US"/>
              </w:rPr>
              <w:t>centred</w:t>
            </w:r>
            <w:proofErr w:type="spellEnd"/>
            <w:r w:rsidRPr="0043400D">
              <w:rPr>
                <w:rFonts w:ascii="Times New Roman" w:hAnsi="Times New Roman"/>
                <w:sz w:val="18"/>
                <w:szCs w:val="18"/>
                <w:lang w:val="en-US" w:eastAsia="en-US"/>
              </w:rPr>
              <w:t xml:space="preserve"> acceptance, satisfaction, costs and perceived quality of telehealth in Pakistan's primary-care context.</w:t>
            </w:r>
          </w:p>
        </w:tc>
        <w:tc>
          <w:tcPr>
            <w:tcW w:w="1701" w:type="dxa"/>
          </w:tcPr>
          <w:p w14:paraId="6464536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 patient survey with ordinal regression and cost comparison/ICER analysis.</w:t>
            </w:r>
          </w:p>
        </w:tc>
        <w:tc>
          <w:tcPr>
            <w:tcW w:w="1701" w:type="dxa"/>
          </w:tcPr>
          <w:p w14:paraId="77E0D615"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EZShifa</w:t>
            </w:r>
            <w:proofErr w:type="spellEnd"/>
            <w:r w:rsidRPr="0043400D">
              <w:rPr>
                <w:rFonts w:ascii="Times New Roman" w:hAnsi="Times New Roman"/>
                <w:sz w:val="18"/>
                <w:szCs w:val="18"/>
                <w:lang w:val="en-US" w:eastAsia="en-US"/>
              </w:rPr>
              <w:t xml:space="preserve"> telehealth consultations in Pakistan.</w:t>
            </w:r>
          </w:p>
        </w:tc>
        <w:tc>
          <w:tcPr>
            <w:tcW w:w="1985" w:type="dxa"/>
          </w:tcPr>
          <w:p w14:paraId="0781D5E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532 patients who completed telehealth consultations between May and December 2023.</w:t>
            </w:r>
          </w:p>
        </w:tc>
      </w:tr>
      <w:tr w:rsidR="000F5408" w:rsidRPr="000F5408" w14:paraId="56947BE8" w14:textId="77777777" w:rsidTr="000F5408">
        <w:tc>
          <w:tcPr>
            <w:tcW w:w="493" w:type="dxa"/>
          </w:tcPr>
          <w:p w14:paraId="25C9A052" w14:textId="1C7F623F"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28</w:t>
            </w:r>
          </w:p>
        </w:tc>
        <w:tc>
          <w:tcPr>
            <w:tcW w:w="1768" w:type="dxa"/>
          </w:tcPr>
          <w:p w14:paraId="43183AF0"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Shahil-Feroz</w:t>
            </w:r>
            <w:proofErr w:type="spellEnd"/>
            <w:r w:rsidRPr="0043400D">
              <w:rPr>
                <w:rFonts w:ascii="Times New Roman" w:hAnsi="Times New Roman"/>
                <w:sz w:val="18"/>
                <w:szCs w:val="18"/>
                <w:lang w:val="en-US" w:eastAsia="en-US"/>
              </w:rPr>
              <w:t xml:space="preserve"> et al., 2024</w:t>
            </w:r>
          </w:p>
        </w:tc>
        <w:tc>
          <w:tcPr>
            <w:tcW w:w="2270" w:type="dxa"/>
          </w:tcPr>
          <w:p w14:paraId="1399D82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Identify barriers and facilitators to sustained implementation of the </w:t>
            </w:r>
            <w:proofErr w:type="spellStart"/>
            <w:r w:rsidRPr="0043400D">
              <w:rPr>
                <w:rFonts w:ascii="Times New Roman" w:hAnsi="Times New Roman"/>
                <w:sz w:val="18"/>
                <w:szCs w:val="18"/>
                <w:lang w:val="en-US" w:eastAsia="en-US"/>
              </w:rPr>
              <w:t>Raabta</w:t>
            </w:r>
            <w:proofErr w:type="spellEnd"/>
            <w:r w:rsidRPr="0043400D">
              <w:rPr>
                <w:rFonts w:ascii="Times New Roman" w:hAnsi="Times New Roman"/>
                <w:sz w:val="18"/>
                <w:szCs w:val="18"/>
                <w:lang w:val="en-US" w:eastAsia="en-US"/>
              </w:rPr>
              <w:t xml:space="preserve"> smartphone telemonitoring </w:t>
            </w:r>
            <w:proofErr w:type="spellStart"/>
            <w:r w:rsidRPr="0043400D">
              <w:rPr>
                <w:rFonts w:ascii="Times New Roman" w:hAnsi="Times New Roman"/>
                <w:sz w:val="18"/>
                <w:szCs w:val="18"/>
                <w:lang w:val="en-US" w:eastAsia="en-US"/>
              </w:rPr>
              <w:t>programme</w:t>
            </w:r>
            <w:proofErr w:type="spellEnd"/>
            <w:r w:rsidRPr="0043400D">
              <w:rPr>
                <w:rFonts w:ascii="Times New Roman" w:hAnsi="Times New Roman"/>
                <w:sz w:val="18"/>
                <w:szCs w:val="18"/>
                <w:lang w:val="en-US" w:eastAsia="en-US"/>
              </w:rPr>
              <w:t xml:space="preserve"> for high-risk preeclampsia.</w:t>
            </w:r>
          </w:p>
        </w:tc>
        <w:tc>
          <w:tcPr>
            <w:tcW w:w="1701" w:type="dxa"/>
          </w:tcPr>
          <w:p w14:paraId="100687F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Qualitative description using 57 semi-structured interviews; CFIR-guided analysis.</w:t>
            </w:r>
          </w:p>
        </w:tc>
        <w:tc>
          <w:tcPr>
            <w:tcW w:w="1701" w:type="dxa"/>
          </w:tcPr>
          <w:p w14:paraId="659AFE3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Public and private hospitals in Pakistan.</w:t>
            </w:r>
          </w:p>
        </w:tc>
        <w:tc>
          <w:tcPr>
            <w:tcW w:w="1985" w:type="dxa"/>
          </w:tcPr>
          <w:p w14:paraId="0617B55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57 interviews: patients, obstetricians, decision-makers and telehealth experts across public/private settings.</w:t>
            </w:r>
          </w:p>
        </w:tc>
      </w:tr>
      <w:tr w:rsidR="000F5408" w:rsidRPr="000F5408" w14:paraId="310CB990" w14:textId="77777777" w:rsidTr="000F5408">
        <w:tc>
          <w:tcPr>
            <w:tcW w:w="493" w:type="dxa"/>
          </w:tcPr>
          <w:p w14:paraId="1962610E" w14:textId="35D2544C"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29</w:t>
            </w:r>
          </w:p>
        </w:tc>
        <w:tc>
          <w:tcPr>
            <w:tcW w:w="1768" w:type="dxa"/>
          </w:tcPr>
          <w:p w14:paraId="6E320D8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Mansoor et al., 2025</w:t>
            </w:r>
          </w:p>
        </w:tc>
        <w:tc>
          <w:tcPr>
            <w:tcW w:w="2270" w:type="dxa"/>
          </w:tcPr>
          <w:p w14:paraId="113E042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Assess telemedicine knowledge among students/clinicians and explore clinicians' experiences, challenges and opportunities in Pakistan.</w:t>
            </w:r>
          </w:p>
        </w:tc>
        <w:tc>
          <w:tcPr>
            <w:tcW w:w="1701" w:type="dxa"/>
          </w:tcPr>
          <w:p w14:paraId="13314B3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Explanatory sequential mixed-methods design: questionnaire followed by semi-structured clinician interviews.</w:t>
            </w:r>
          </w:p>
        </w:tc>
        <w:tc>
          <w:tcPr>
            <w:tcW w:w="1701" w:type="dxa"/>
          </w:tcPr>
          <w:p w14:paraId="651F660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Three medical institutions in Islamabad/Rawalpindi, Pakistan.</w:t>
            </w:r>
          </w:p>
        </w:tc>
        <w:tc>
          <w:tcPr>
            <w:tcW w:w="1985" w:type="dxa"/>
          </w:tcPr>
          <w:p w14:paraId="009A0DB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817 MBBS students, 23 house officers and 26 clinicians; qualitative interviews with telemedicine clinicians.</w:t>
            </w:r>
          </w:p>
        </w:tc>
      </w:tr>
      <w:tr w:rsidR="000F5408" w:rsidRPr="000F5408" w14:paraId="19CA402E" w14:textId="77777777" w:rsidTr="000F5408">
        <w:tc>
          <w:tcPr>
            <w:tcW w:w="493" w:type="dxa"/>
          </w:tcPr>
          <w:p w14:paraId="503796DD" w14:textId="18FA7550"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30</w:t>
            </w:r>
          </w:p>
        </w:tc>
        <w:tc>
          <w:tcPr>
            <w:tcW w:w="1768" w:type="dxa"/>
          </w:tcPr>
          <w:p w14:paraId="7FA3818C"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Mechael</w:t>
            </w:r>
            <w:proofErr w:type="spellEnd"/>
            <w:r w:rsidRPr="0043400D">
              <w:rPr>
                <w:rFonts w:ascii="Times New Roman" w:hAnsi="Times New Roman"/>
                <w:sz w:val="18"/>
                <w:szCs w:val="18"/>
                <w:lang w:val="en-US" w:eastAsia="en-US"/>
              </w:rPr>
              <w:t xml:space="preserve"> et al., 2024</w:t>
            </w:r>
          </w:p>
        </w:tc>
        <w:tc>
          <w:tcPr>
            <w:tcW w:w="2270" w:type="dxa"/>
          </w:tcPr>
          <w:p w14:paraId="3EADD78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Evaluate the </w:t>
            </w:r>
            <w:proofErr w:type="spellStart"/>
            <w:r w:rsidRPr="0043400D">
              <w:rPr>
                <w:rFonts w:ascii="Times New Roman" w:hAnsi="Times New Roman"/>
                <w:sz w:val="18"/>
                <w:szCs w:val="18"/>
                <w:lang w:val="en-US" w:eastAsia="en-US"/>
              </w:rPr>
              <w:t>Zindagi</w:t>
            </w:r>
            <w:proofErr w:type="spellEnd"/>
            <w:r w:rsidRPr="0043400D">
              <w:rPr>
                <w:rFonts w:ascii="Times New Roman" w:hAnsi="Times New Roman"/>
                <w:sz w:val="18"/>
                <w:szCs w:val="18"/>
                <w:lang w:val="en-US" w:eastAsia="en-US"/>
              </w:rPr>
              <w:t xml:space="preserve"> </w:t>
            </w:r>
            <w:proofErr w:type="spellStart"/>
            <w:r w:rsidRPr="0043400D">
              <w:rPr>
                <w:rFonts w:ascii="Times New Roman" w:hAnsi="Times New Roman"/>
                <w:sz w:val="18"/>
                <w:szCs w:val="18"/>
                <w:lang w:val="en-US" w:eastAsia="en-US"/>
              </w:rPr>
              <w:t>Mehfooz</w:t>
            </w:r>
            <w:proofErr w:type="spellEnd"/>
            <w:r w:rsidRPr="0043400D">
              <w:rPr>
                <w:rFonts w:ascii="Times New Roman" w:hAnsi="Times New Roman"/>
                <w:sz w:val="18"/>
                <w:szCs w:val="18"/>
                <w:lang w:val="en-US" w:eastAsia="en-US"/>
              </w:rPr>
              <w:t xml:space="preserve"> electronic immunization registry and associated digital-health interventions in Sindh, Pakistan.</w:t>
            </w:r>
          </w:p>
        </w:tc>
        <w:tc>
          <w:tcPr>
            <w:tcW w:w="1701" w:type="dxa"/>
          </w:tcPr>
          <w:p w14:paraId="2E32906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Mixed-methods evaluation: system-use data, qualitative interviews and pre-post vaccine-coverage comparison.</w:t>
            </w:r>
          </w:p>
        </w:tc>
        <w:tc>
          <w:tcPr>
            <w:tcW w:w="1701" w:type="dxa"/>
          </w:tcPr>
          <w:p w14:paraId="64DA1C3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Expanded </w:t>
            </w:r>
            <w:proofErr w:type="spellStart"/>
            <w:r w:rsidRPr="0043400D">
              <w:rPr>
                <w:rFonts w:ascii="Times New Roman" w:hAnsi="Times New Roman"/>
                <w:sz w:val="18"/>
                <w:szCs w:val="18"/>
                <w:lang w:val="en-US" w:eastAsia="en-US"/>
              </w:rPr>
              <w:t>Programme</w:t>
            </w:r>
            <w:proofErr w:type="spellEnd"/>
            <w:r w:rsidRPr="0043400D">
              <w:rPr>
                <w:rFonts w:ascii="Times New Roman" w:hAnsi="Times New Roman"/>
                <w:sz w:val="18"/>
                <w:szCs w:val="18"/>
                <w:lang w:val="en-US" w:eastAsia="en-US"/>
              </w:rPr>
              <w:t xml:space="preserve"> on Immunization services across Sindh Province.</w:t>
            </w:r>
          </w:p>
        </w:tc>
        <w:tc>
          <w:tcPr>
            <w:tcW w:w="1985" w:type="dxa"/>
          </w:tcPr>
          <w:p w14:paraId="1E78C27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High/moderate/low adoption sites; caregivers, vaccinators, supervisors and managers; MICS 2014 and 2018–2019 coverage data.</w:t>
            </w:r>
          </w:p>
        </w:tc>
      </w:tr>
      <w:tr w:rsidR="000F5408" w:rsidRPr="000F5408" w14:paraId="3675F32E" w14:textId="77777777" w:rsidTr="000F5408">
        <w:tc>
          <w:tcPr>
            <w:tcW w:w="493" w:type="dxa"/>
          </w:tcPr>
          <w:p w14:paraId="7F0CE778" w14:textId="64255EC1"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31</w:t>
            </w:r>
          </w:p>
        </w:tc>
        <w:tc>
          <w:tcPr>
            <w:tcW w:w="1768" w:type="dxa"/>
          </w:tcPr>
          <w:p w14:paraId="2D18E0BA"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Alam</w:t>
            </w:r>
            <w:proofErr w:type="spellEnd"/>
            <w:r w:rsidRPr="0043400D">
              <w:rPr>
                <w:rFonts w:ascii="Times New Roman" w:hAnsi="Times New Roman"/>
                <w:sz w:val="18"/>
                <w:szCs w:val="18"/>
                <w:lang w:val="en-US" w:eastAsia="en-US"/>
              </w:rPr>
              <w:t xml:space="preserve"> et al., 2021</w:t>
            </w:r>
          </w:p>
        </w:tc>
        <w:tc>
          <w:tcPr>
            <w:tcW w:w="2270" w:type="dxa"/>
          </w:tcPr>
          <w:p w14:paraId="2E721C6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Evaluate Pakistani doctors' experience/perceptions of telemedicine and perceived barriers.</w:t>
            </w:r>
          </w:p>
        </w:tc>
        <w:tc>
          <w:tcPr>
            <w:tcW w:w="1701" w:type="dxa"/>
          </w:tcPr>
          <w:p w14:paraId="6AB89DA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Nationwide cross-sectional survey using a validated/piloted questionnaire.</w:t>
            </w:r>
          </w:p>
        </w:tc>
        <w:tc>
          <w:tcPr>
            <w:tcW w:w="1701" w:type="dxa"/>
          </w:tcPr>
          <w:p w14:paraId="478490F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Medical doctors </w:t>
            </w:r>
            <w:proofErr w:type="spellStart"/>
            <w:r w:rsidRPr="0043400D">
              <w:rPr>
                <w:rFonts w:ascii="Times New Roman" w:hAnsi="Times New Roman"/>
                <w:sz w:val="18"/>
                <w:szCs w:val="18"/>
                <w:lang w:val="en-US" w:eastAsia="en-US"/>
              </w:rPr>
              <w:t>practising</w:t>
            </w:r>
            <w:proofErr w:type="spellEnd"/>
            <w:r w:rsidRPr="0043400D">
              <w:rPr>
                <w:rFonts w:ascii="Times New Roman" w:hAnsi="Times New Roman"/>
                <w:sz w:val="18"/>
                <w:szCs w:val="18"/>
                <w:lang w:val="en-US" w:eastAsia="en-US"/>
              </w:rPr>
              <w:t xml:space="preserve"> in Pakistan.</w:t>
            </w:r>
          </w:p>
        </w:tc>
        <w:tc>
          <w:tcPr>
            <w:tcW w:w="1985" w:type="dxa"/>
          </w:tcPr>
          <w:p w14:paraId="43B94AC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240 responses; 63% response rate; majority female and urban/semi-urban; 73% had no formal training.</w:t>
            </w:r>
          </w:p>
        </w:tc>
      </w:tr>
      <w:tr w:rsidR="000F5408" w:rsidRPr="000F5408" w14:paraId="0FE56F38" w14:textId="77777777" w:rsidTr="000F5408">
        <w:tc>
          <w:tcPr>
            <w:tcW w:w="493" w:type="dxa"/>
          </w:tcPr>
          <w:p w14:paraId="65FF0B78" w14:textId="5DDB2A2E"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32</w:t>
            </w:r>
          </w:p>
        </w:tc>
        <w:tc>
          <w:tcPr>
            <w:tcW w:w="1768" w:type="dxa"/>
          </w:tcPr>
          <w:p w14:paraId="0467D9A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Raza et al., 2025</w:t>
            </w:r>
          </w:p>
        </w:tc>
        <w:tc>
          <w:tcPr>
            <w:tcW w:w="2270" w:type="dxa"/>
          </w:tcPr>
          <w:p w14:paraId="1F16AEF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Examine how digital-media advertising and AI-enabled IoT mHealth features influence intention to adopt mobile health applications for cardiovascular-health consulting.</w:t>
            </w:r>
          </w:p>
        </w:tc>
        <w:tc>
          <w:tcPr>
            <w:tcW w:w="1701" w:type="dxa"/>
          </w:tcPr>
          <w:p w14:paraId="44423F5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Cross-sectional online survey using </w:t>
            </w:r>
            <w:proofErr w:type="spellStart"/>
            <w:r w:rsidRPr="0043400D">
              <w:rPr>
                <w:rFonts w:ascii="Times New Roman" w:hAnsi="Times New Roman"/>
                <w:sz w:val="18"/>
                <w:szCs w:val="18"/>
                <w:lang w:val="en-US" w:eastAsia="en-US"/>
              </w:rPr>
              <w:t>behavioural</w:t>
            </w:r>
            <w:proofErr w:type="spellEnd"/>
            <w:r w:rsidRPr="0043400D">
              <w:rPr>
                <w:rFonts w:ascii="Times New Roman" w:hAnsi="Times New Roman"/>
                <w:sz w:val="18"/>
                <w:szCs w:val="18"/>
                <w:lang w:val="en-US" w:eastAsia="en-US"/>
              </w:rPr>
              <w:t xml:space="preserve"> adoption constructs.</w:t>
            </w:r>
          </w:p>
        </w:tc>
        <w:tc>
          <w:tcPr>
            <w:tcW w:w="1701" w:type="dxa"/>
          </w:tcPr>
          <w:p w14:paraId="3C8607F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Online adult population; middle-aged adults targeted.</w:t>
            </w:r>
          </w:p>
        </w:tc>
        <w:tc>
          <w:tcPr>
            <w:tcW w:w="1985" w:type="dxa"/>
          </w:tcPr>
          <w:p w14:paraId="7CEC4A2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495 middle-aged adults.</w:t>
            </w:r>
          </w:p>
        </w:tc>
      </w:tr>
    </w:tbl>
    <w:p w14:paraId="6FE881E5" w14:textId="77777777" w:rsidR="000F5408" w:rsidRPr="000F5408" w:rsidRDefault="000F5408" w:rsidP="000F5408">
      <w:pPr>
        <w:spacing w:after="200" w:line="360" w:lineRule="auto"/>
        <w:jc w:val="both"/>
        <w:rPr>
          <w:rFonts w:ascii="Times New Roman" w:hAnsi="Times New Roman"/>
          <w:lang w:val="en-US" w:eastAsia="en-US" w:bidi="ur-PK"/>
        </w:rPr>
      </w:pPr>
    </w:p>
    <w:p w14:paraId="45CC2421" w14:textId="77777777" w:rsidR="000F5408" w:rsidRPr="000F5408" w:rsidRDefault="000F5408" w:rsidP="000F5408">
      <w:pPr>
        <w:spacing w:after="200" w:line="360" w:lineRule="auto"/>
        <w:jc w:val="both"/>
        <w:rPr>
          <w:rFonts w:ascii="Times New Roman" w:hAnsi="Times New Roman"/>
          <w:lang w:val="en-US" w:eastAsia="en-US" w:bidi="ur-PK"/>
        </w:rPr>
      </w:pPr>
    </w:p>
    <w:p w14:paraId="4392DC3B" w14:textId="77777777" w:rsidR="000F5408" w:rsidRPr="000F5408" w:rsidRDefault="000F5408" w:rsidP="000F5408">
      <w:pPr>
        <w:spacing w:after="160" w:line="240" w:lineRule="auto"/>
        <w:rPr>
          <w:rFonts w:ascii="Times New Roman" w:hAnsi="Times New Roman"/>
          <w:sz w:val="20"/>
          <w:szCs w:val="20"/>
          <w:lang w:val="en-US" w:eastAsia="en-US"/>
        </w:rPr>
      </w:pPr>
      <w:bookmarkStart w:id="67" w:name="_Hlk239454239"/>
      <w:r w:rsidRPr="000F5408">
        <w:rPr>
          <w:rFonts w:ascii="Times New Roman" w:hAnsi="Times New Roman"/>
          <w:i/>
          <w:iCs/>
          <w:sz w:val="22"/>
          <w:szCs w:val="22"/>
          <w:lang w:val="en-US" w:eastAsia="en-US"/>
        </w:rPr>
        <w:t>Table C2: Findings and Implications</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41"/>
        <w:gridCol w:w="639"/>
        <w:gridCol w:w="1435"/>
        <w:gridCol w:w="1224"/>
        <w:gridCol w:w="1276"/>
        <w:gridCol w:w="1417"/>
        <w:gridCol w:w="1701"/>
        <w:gridCol w:w="2127"/>
      </w:tblGrid>
      <w:tr w:rsidR="000F5408" w:rsidRPr="000F5408" w14:paraId="54B5E886" w14:textId="77777777" w:rsidTr="000F5408">
        <w:tc>
          <w:tcPr>
            <w:tcW w:w="241" w:type="dxa"/>
            <w:shd w:val="clear" w:color="auto" w:fill="D9E2F3"/>
          </w:tcPr>
          <w:p w14:paraId="74179FE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No.</w:t>
            </w:r>
          </w:p>
        </w:tc>
        <w:tc>
          <w:tcPr>
            <w:tcW w:w="639" w:type="dxa"/>
            <w:shd w:val="clear" w:color="auto" w:fill="D9E2F3"/>
          </w:tcPr>
          <w:p w14:paraId="495DF39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Author(s), Year</w:t>
            </w:r>
          </w:p>
        </w:tc>
        <w:tc>
          <w:tcPr>
            <w:tcW w:w="1435" w:type="dxa"/>
            <w:shd w:val="clear" w:color="auto" w:fill="D9E2F3"/>
          </w:tcPr>
          <w:p w14:paraId="3456311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Key Findings</w:t>
            </w:r>
          </w:p>
        </w:tc>
        <w:tc>
          <w:tcPr>
            <w:tcW w:w="1224" w:type="dxa"/>
            <w:shd w:val="clear" w:color="auto" w:fill="D9E2F3"/>
          </w:tcPr>
          <w:p w14:paraId="69A5D4E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Drivers of Adoption</w:t>
            </w:r>
          </w:p>
        </w:tc>
        <w:tc>
          <w:tcPr>
            <w:tcW w:w="1276" w:type="dxa"/>
            <w:shd w:val="clear" w:color="auto" w:fill="D9E2F3"/>
          </w:tcPr>
          <w:p w14:paraId="19E6BAA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Barriers to Implementation</w:t>
            </w:r>
          </w:p>
        </w:tc>
        <w:tc>
          <w:tcPr>
            <w:tcW w:w="1417" w:type="dxa"/>
            <w:shd w:val="clear" w:color="auto" w:fill="D9E2F3"/>
          </w:tcPr>
          <w:p w14:paraId="43936CB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Healthcare Outcomes</w:t>
            </w:r>
          </w:p>
        </w:tc>
        <w:tc>
          <w:tcPr>
            <w:tcW w:w="1701" w:type="dxa"/>
            <w:shd w:val="clear" w:color="auto" w:fill="D9E2F3"/>
          </w:tcPr>
          <w:p w14:paraId="09BF60D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Policy Implications</w:t>
            </w:r>
          </w:p>
        </w:tc>
        <w:tc>
          <w:tcPr>
            <w:tcW w:w="2127" w:type="dxa"/>
            <w:shd w:val="clear" w:color="auto" w:fill="D9E2F3"/>
          </w:tcPr>
          <w:p w14:paraId="0DF3955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Study Limitations</w:t>
            </w:r>
          </w:p>
        </w:tc>
      </w:tr>
      <w:tr w:rsidR="000F5408" w:rsidRPr="000F5408" w14:paraId="4F16877D" w14:textId="77777777" w:rsidTr="000F5408">
        <w:tc>
          <w:tcPr>
            <w:tcW w:w="241" w:type="dxa"/>
          </w:tcPr>
          <w:p w14:paraId="61A6516B" w14:textId="380A76A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w:t>
            </w:r>
          </w:p>
        </w:tc>
        <w:tc>
          <w:tcPr>
            <w:tcW w:w="639" w:type="dxa"/>
          </w:tcPr>
          <w:p w14:paraId="448E4F8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Comer et al., 2025</w:t>
            </w:r>
          </w:p>
        </w:tc>
        <w:tc>
          <w:tcPr>
            <w:tcW w:w="1435" w:type="dxa"/>
          </w:tcPr>
          <w:p w14:paraId="228F0B0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Telehealth assessment was viewed as useful but affected by technology, patient/</w:t>
            </w:r>
            <w:proofErr w:type="spellStart"/>
            <w:r w:rsidRPr="0043400D">
              <w:rPr>
                <w:rFonts w:ascii="Times New Roman" w:hAnsi="Times New Roman"/>
                <w:sz w:val="18"/>
                <w:szCs w:val="18"/>
                <w:lang w:val="en-US" w:eastAsia="en-US"/>
              </w:rPr>
              <w:t>carer</w:t>
            </w:r>
            <w:proofErr w:type="spellEnd"/>
            <w:r w:rsidRPr="0043400D">
              <w:rPr>
                <w:rFonts w:ascii="Times New Roman" w:hAnsi="Times New Roman"/>
                <w:sz w:val="18"/>
                <w:szCs w:val="18"/>
                <w:lang w:val="en-US" w:eastAsia="en-US"/>
              </w:rPr>
              <w:t>, clinician and assessment-related factors.</w:t>
            </w:r>
          </w:p>
        </w:tc>
        <w:tc>
          <w:tcPr>
            <w:tcW w:w="1224" w:type="dxa"/>
          </w:tcPr>
          <w:p w14:paraId="64A7ACF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Good connectivity; helper/</w:t>
            </w:r>
            <w:proofErr w:type="spellStart"/>
            <w:r w:rsidRPr="0043400D">
              <w:rPr>
                <w:rFonts w:ascii="Times New Roman" w:hAnsi="Times New Roman"/>
                <w:sz w:val="18"/>
                <w:szCs w:val="18"/>
                <w:lang w:val="en-US" w:eastAsia="en-US"/>
              </w:rPr>
              <w:t>carer</w:t>
            </w:r>
            <w:proofErr w:type="spellEnd"/>
            <w:r w:rsidRPr="0043400D">
              <w:rPr>
                <w:rFonts w:ascii="Times New Roman" w:hAnsi="Times New Roman"/>
                <w:sz w:val="18"/>
                <w:szCs w:val="18"/>
                <w:lang w:val="en-US" w:eastAsia="en-US"/>
              </w:rPr>
              <w:t xml:space="preserve"> support; adapted assessments; preparation and training.</w:t>
            </w:r>
          </w:p>
        </w:tc>
        <w:tc>
          <w:tcPr>
            <w:tcW w:w="1276" w:type="dxa"/>
          </w:tcPr>
          <w:p w14:paraId="0FA459C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Connectivity problems; reduced clinician control; patient-specific communication/cognitive issues; environmental factors.</w:t>
            </w:r>
          </w:p>
        </w:tc>
        <w:tc>
          <w:tcPr>
            <w:tcW w:w="1417" w:type="dxa"/>
          </w:tcPr>
          <w:p w14:paraId="2F13ED8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Potentially convenient access to assessment; quality depended on preparation, technology and support.</w:t>
            </w:r>
          </w:p>
        </w:tc>
        <w:tc>
          <w:tcPr>
            <w:tcW w:w="1701" w:type="dxa"/>
          </w:tcPr>
          <w:p w14:paraId="2A8CE2B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Training, adapted assessment procedures and technical support should be incorporated into telehealth pathways.</w:t>
            </w:r>
          </w:p>
        </w:tc>
        <w:tc>
          <w:tcPr>
            <w:tcW w:w="2127" w:type="dxa"/>
          </w:tcPr>
          <w:p w14:paraId="79E130B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Small qualitative sample; therapist perspectives only; no direct patient outcome assessment.</w:t>
            </w:r>
          </w:p>
        </w:tc>
      </w:tr>
      <w:tr w:rsidR="000F5408" w:rsidRPr="000F5408" w14:paraId="429A810D" w14:textId="77777777" w:rsidTr="000F5408">
        <w:tc>
          <w:tcPr>
            <w:tcW w:w="241" w:type="dxa"/>
          </w:tcPr>
          <w:p w14:paraId="2E58AA71" w14:textId="16B2F747"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w:t>
            </w:r>
          </w:p>
        </w:tc>
        <w:tc>
          <w:tcPr>
            <w:tcW w:w="639" w:type="dxa"/>
          </w:tcPr>
          <w:p w14:paraId="1A8F775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Anchors et al., 2023</w:t>
            </w:r>
          </w:p>
        </w:tc>
        <w:tc>
          <w:tcPr>
            <w:tcW w:w="1435" w:type="dxa"/>
          </w:tcPr>
          <w:p w14:paraId="0CE1E04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Remote consultations offered patient convenience but were associated with IT problems, </w:t>
            </w:r>
            <w:r w:rsidRPr="0043400D">
              <w:rPr>
                <w:rFonts w:ascii="Times New Roman" w:hAnsi="Times New Roman"/>
                <w:sz w:val="18"/>
                <w:szCs w:val="18"/>
                <w:lang w:val="en-US" w:eastAsia="en-US"/>
              </w:rPr>
              <w:lastRenderedPageBreak/>
              <w:t>reduced perceived efficacy, anxiety, isolation and workload.</w:t>
            </w:r>
          </w:p>
        </w:tc>
        <w:tc>
          <w:tcPr>
            <w:tcW w:w="1224" w:type="dxa"/>
          </w:tcPr>
          <w:p w14:paraId="5064F86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Patient convenience; logistical flexibility; clinician interest in remote work.</w:t>
            </w:r>
          </w:p>
        </w:tc>
        <w:tc>
          <w:tcPr>
            <w:tcW w:w="1276" w:type="dxa"/>
          </w:tcPr>
          <w:p w14:paraId="4C9B4D2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IT problems; poor perceived efficacy; inadequate training; workload; </w:t>
            </w:r>
            <w:r w:rsidRPr="0043400D">
              <w:rPr>
                <w:rFonts w:ascii="Times New Roman" w:hAnsi="Times New Roman"/>
                <w:sz w:val="18"/>
                <w:szCs w:val="18"/>
                <w:lang w:val="en-US" w:eastAsia="en-US"/>
              </w:rPr>
              <w:lastRenderedPageBreak/>
              <w:t>isolation; greater challenges in deprived areas.</w:t>
            </w:r>
          </w:p>
        </w:tc>
        <w:tc>
          <w:tcPr>
            <w:tcW w:w="1417" w:type="dxa"/>
          </w:tcPr>
          <w:p w14:paraId="7CEADB8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Convenience for patients; potential negative effects on clinician wellbeing and work satisfaction.</w:t>
            </w:r>
          </w:p>
        </w:tc>
        <w:tc>
          <w:tcPr>
            <w:tcW w:w="1701" w:type="dxa"/>
          </w:tcPr>
          <w:p w14:paraId="58F4C38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Improve training, digital support and monitoring of staff wellbeing; address digital-literacy and </w:t>
            </w:r>
            <w:r w:rsidRPr="0043400D">
              <w:rPr>
                <w:rFonts w:ascii="Times New Roman" w:hAnsi="Times New Roman"/>
                <w:sz w:val="18"/>
                <w:szCs w:val="18"/>
                <w:lang w:val="en-US" w:eastAsia="en-US"/>
              </w:rPr>
              <w:lastRenderedPageBreak/>
              <w:t>deprivation-related barriers.</w:t>
            </w:r>
          </w:p>
        </w:tc>
        <w:tc>
          <w:tcPr>
            <w:tcW w:w="2127" w:type="dxa"/>
          </w:tcPr>
          <w:p w14:paraId="40FCF04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Self-reported data; qualitative follow-up involved a subset; cross-sectional evaluation limits causal inference.</w:t>
            </w:r>
          </w:p>
        </w:tc>
      </w:tr>
      <w:tr w:rsidR="000F5408" w:rsidRPr="000F5408" w14:paraId="50E3E1B0" w14:textId="77777777" w:rsidTr="000F5408">
        <w:tc>
          <w:tcPr>
            <w:tcW w:w="241" w:type="dxa"/>
          </w:tcPr>
          <w:p w14:paraId="3C559E79" w14:textId="2692DE8B"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w:t>
            </w:r>
          </w:p>
        </w:tc>
        <w:tc>
          <w:tcPr>
            <w:tcW w:w="639" w:type="dxa"/>
          </w:tcPr>
          <w:p w14:paraId="3BAD5E2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Chen et al., 2024</w:t>
            </w:r>
          </w:p>
        </w:tc>
        <w:tc>
          <w:tcPr>
            <w:tcW w:w="1435" w:type="dxa"/>
          </w:tcPr>
          <w:p w14:paraId="0500C71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Expectation confirmation, system quality and information quality improved self-efficacy, which influenced continued use; perceived health risk moderated this relationship.</w:t>
            </w:r>
          </w:p>
        </w:tc>
        <w:tc>
          <w:tcPr>
            <w:tcW w:w="1224" w:type="dxa"/>
          </w:tcPr>
          <w:p w14:paraId="09E3AD6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System quality; information quality; positive prior experience/confirmation; self-efficacy.</w:t>
            </w:r>
          </w:p>
        </w:tc>
        <w:tc>
          <w:tcPr>
            <w:tcW w:w="1276" w:type="dxa"/>
          </w:tcPr>
          <w:p w14:paraId="7E802AA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Poor system or information quality and lower confidence in use; health-risk perceptions may alter continued use.</w:t>
            </w:r>
          </w:p>
        </w:tc>
        <w:tc>
          <w:tcPr>
            <w:tcW w:w="1417" w:type="dxa"/>
          </w:tcPr>
          <w:p w14:paraId="15F1012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Supports continued online consultation use and may improve timely access and service efficiency.</w:t>
            </w:r>
          </w:p>
        </w:tc>
        <w:tc>
          <w:tcPr>
            <w:tcW w:w="1701" w:type="dxa"/>
          </w:tcPr>
          <w:p w14:paraId="59C6809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Maintain system and information quality and strengthen users' self-efficacy when designing digital consultation services.</w:t>
            </w:r>
          </w:p>
        </w:tc>
        <w:tc>
          <w:tcPr>
            <w:tcW w:w="2127" w:type="dxa"/>
          </w:tcPr>
          <w:p w14:paraId="2F404D5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Survey design and self-reported </w:t>
            </w:r>
            <w:proofErr w:type="spellStart"/>
            <w:r w:rsidRPr="0043400D">
              <w:rPr>
                <w:rFonts w:ascii="Times New Roman" w:hAnsi="Times New Roman"/>
                <w:sz w:val="18"/>
                <w:szCs w:val="18"/>
                <w:lang w:val="en-US" w:eastAsia="en-US"/>
              </w:rPr>
              <w:t>behaviour</w:t>
            </w:r>
            <w:proofErr w:type="spellEnd"/>
            <w:r w:rsidRPr="0043400D">
              <w:rPr>
                <w:rFonts w:ascii="Times New Roman" w:hAnsi="Times New Roman"/>
                <w:sz w:val="18"/>
                <w:szCs w:val="18"/>
                <w:lang w:val="en-US" w:eastAsia="en-US"/>
              </w:rPr>
              <w:t>; UK adult sample limits transferability.</w:t>
            </w:r>
          </w:p>
        </w:tc>
      </w:tr>
      <w:tr w:rsidR="000F5408" w:rsidRPr="000F5408" w14:paraId="0791176F" w14:textId="77777777" w:rsidTr="000F5408">
        <w:tc>
          <w:tcPr>
            <w:tcW w:w="241" w:type="dxa"/>
          </w:tcPr>
          <w:p w14:paraId="51560A08" w14:textId="061E9E39"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4</w:t>
            </w:r>
          </w:p>
        </w:tc>
        <w:tc>
          <w:tcPr>
            <w:tcW w:w="639" w:type="dxa"/>
          </w:tcPr>
          <w:p w14:paraId="6CCBC0BA"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Hilari</w:t>
            </w:r>
            <w:proofErr w:type="spellEnd"/>
            <w:r w:rsidRPr="0043400D">
              <w:rPr>
                <w:rFonts w:ascii="Times New Roman" w:hAnsi="Times New Roman"/>
                <w:sz w:val="18"/>
                <w:szCs w:val="18"/>
                <w:lang w:val="en-US" w:eastAsia="en-US"/>
              </w:rPr>
              <w:t xml:space="preserve"> et al., 2024</w:t>
            </w:r>
          </w:p>
        </w:tc>
        <w:tc>
          <w:tcPr>
            <w:tcW w:w="1435" w:type="dxa"/>
          </w:tcPr>
          <w:p w14:paraId="5FAD880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Most used telehealth during COVID-19 and over 90% planned to continue; practical and technology issues remained important.</w:t>
            </w:r>
          </w:p>
        </w:tc>
        <w:tc>
          <w:tcPr>
            <w:tcW w:w="1224" w:type="dxa"/>
          </w:tcPr>
          <w:p w14:paraId="1F4809C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Access to platforms/internet; established telehealth experience; future intention to continue.</w:t>
            </w:r>
          </w:p>
        </w:tc>
        <w:tc>
          <w:tcPr>
            <w:tcW w:w="1276" w:type="dxa"/>
          </w:tcPr>
          <w:p w14:paraId="29AACDB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Connectivity/access problems; difficulty sharing resources; limited platform functionality; assessment validity concerns.</w:t>
            </w:r>
          </w:p>
        </w:tc>
        <w:tc>
          <w:tcPr>
            <w:tcW w:w="1417" w:type="dxa"/>
          </w:tcPr>
          <w:p w14:paraId="18A38DF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Expanded access and continuity of assessment, but reliability can be constrained by technology and assessment format.</w:t>
            </w:r>
          </w:p>
        </w:tc>
        <w:tc>
          <w:tcPr>
            <w:tcW w:w="1701" w:type="dxa"/>
          </w:tcPr>
          <w:p w14:paraId="558A59C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Develop telehealth-suitable assessment tools, training and technical support.</w:t>
            </w:r>
          </w:p>
        </w:tc>
        <w:tc>
          <w:tcPr>
            <w:tcW w:w="2127" w:type="dxa"/>
          </w:tcPr>
          <w:p w14:paraId="37A31CB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Survey/self-report design; no direct patient-level outcomes; response bias possible.</w:t>
            </w:r>
          </w:p>
        </w:tc>
      </w:tr>
      <w:tr w:rsidR="000F5408" w:rsidRPr="000F5408" w14:paraId="3C91FA31" w14:textId="77777777" w:rsidTr="000F5408">
        <w:tc>
          <w:tcPr>
            <w:tcW w:w="241" w:type="dxa"/>
          </w:tcPr>
          <w:p w14:paraId="643CC255" w14:textId="356C23B1"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5</w:t>
            </w:r>
          </w:p>
        </w:tc>
        <w:tc>
          <w:tcPr>
            <w:tcW w:w="639" w:type="dxa"/>
          </w:tcPr>
          <w:p w14:paraId="09F81BE3"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Cresswell</w:t>
            </w:r>
            <w:proofErr w:type="spellEnd"/>
            <w:r w:rsidRPr="0043400D">
              <w:rPr>
                <w:rFonts w:ascii="Times New Roman" w:hAnsi="Times New Roman"/>
                <w:sz w:val="18"/>
                <w:szCs w:val="18"/>
                <w:lang w:val="en-US" w:eastAsia="en-US"/>
              </w:rPr>
              <w:t xml:space="preserve"> et al., 2022</w:t>
            </w:r>
          </w:p>
        </w:tc>
        <w:tc>
          <w:tcPr>
            <w:tcW w:w="1435" w:type="dxa"/>
          </w:tcPr>
          <w:p w14:paraId="0E52814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Formative evaluation can identify unintended consequences, barriers and inequities during development and implementation.</w:t>
            </w:r>
          </w:p>
        </w:tc>
        <w:tc>
          <w:tcPr>
            <w:tcW w:w="1224" w:type="dxa"/>
          </w:tcPr>
          <w:p w14:paraId="0E35270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User-</w:t>
            </w:r>
            <w:proofErr w:type="spellStart"/>
            <w:r w:rsidRPr="0043400D">
              <w:rPr>
                <w:rFonts w:ascii="Times New Roman" w:hAnsi="Times New Roman"/>
                <w:sz w:val="18"/>
                <w:szCs w:val="18"/>
                <w:lang w:val="en-US" w:eastAsia="en-US"/>
              </w:rPr>
              <w:t>centred</w:t>
            </w:r>
            <w:proofErr w:type="spellEnd"/>
            <w:r w:rsidRPr="0043400D">
              <w:rPr>
                <w:rFonts w:ascii="Times New Roman" w:hAnsi="Times New Roman"/>
                <w:sz w:val="18"/>
                <w:szCs w:val="18"/>
                <w:lang w:val="en-US" w:eastAsia="en-US"/>
              </w:rPr>
              <w:t xml:space="preserve"> design; early evaluation; attention to diverse user needs; iterative implementation.</w:t>
            </w:r>
          </w:p>
        </w:tc>
        <w:tc>
          <w:tcPr>
            <w:tcW w:w="1276" w:type="dxa"/>
          </w:tcPr>
          <w:p w14:paraId="2827FD6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 exclusion; unequal access and capability; unintended consequences and bias.</w:t>
            </w:r>
          </w:p>
        </w:tc>
        <w:tc>
          <w:tcPr>
            <w:tcW w:w="1417" w:type="dxa"/>
          </w:tcPr>
          <w:p w14:paraId="213156E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improve equity and reduce harmful or exclusionary effects of patient portals.</w:t>
            </w:r>
          </w:p>
        </w:tc>
        <w:tc>
          <w:tcPr>
            <w:tcW w:w="1701" w:type="dxa"/>
          </w:tcPr>
          <w:p w14:paraId="7CDF806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Embed equity-focused formative evaluation throughout design and implementation.</w:t>
            </w:r>
          </w:p>
        </w:tc>
        <w:tc>
          <w:tcPr>
            <w:tcW w:w="2127" w:type="dxa"/>
          </w:tcPr>
          <w:p w14:paraId="254E013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Conceptual/overview paper; not a primary empirical evaluation.</w:t>
            </w:r>
          </w:p>
        </w:tc>
      </w:tr>
      <w:tr w:rsidR="000F5408" w:rsidRPr="000F5408" w14:paraId="5750CD72" w14:textId="77777777" w:rsidTr="000F5408">
        <w:tc>
          <w:tcPr>
            <w:tcW w:w="241" w:type="dxa"/>
          </w:tcPr>
          <w:p w14:paraId="473807C3" w14:textId="2624A9F6"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6</w:t>
            </w:r>
          </w:p>
        </w:tc>
        <w:tc>
          <w:tcPr>
            <w:tcW w:w="639" w:type="dxa"/>
          </w:tcPr>
          <w:p w14:paraId="4B8E952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Morris et al., 2023</w:t>
            </w:r>
          </w:p>
        </w:tc>
        <w:tc>
          <w:tcPr>
            <w:tcW w:w="1435" w:type="dxa"/>
          </w:tcPr>
          <w:p w14:paraId="37FC3CA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Feasibility and acceptability were demonstrated; iterative development addressed governance, interoperability and usability requirements.</w:t>
            </w:r>
          </w:p>
        </w:tc>
        <w:tc>
          <w:tcPr>
            <w:tcW w:w="1224" w:type="dxa"/>
          </w:tcPr>
          <w:p w14:paraId="62AEA8F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NHS need for PROM automation; interoperability; iterative co-development; technical capability.</w:t>
            </w:r>
          </w:p>
        </w:tc>
        <w:tc>
          <w:tcPr>
            <w:tcW w:w="1276" w:type="dxa"/>
          </w:tcPr>
          <w:p w14:paraId="619488E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Governance and patient-identifiable data; interoperability; technical/</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barriers; academic-to-NHS transition.</w:t>
            </w:r>
          </w:p>
        </w:tc>
        <w:tc>
          <w:tcPr>
            <w:tcW w:w="1417" w:type="dxa"/>
          </w:tcPr>
          <w:p w14:paraId="1A5423B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Feasible remote PROM collection and improved system utility through iterative development.</w:t>
            </w:r>
          </w:p>
        </w:tc>
        <w:tc>
          <w:tcPr>
            <w:tcW w:w="1701" w:type="dxa"/>
          </w:tcPr>
          <w:p w14:paraId="28E9EBC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Plan governance, hosting, interoperability and technical capacity early when moving digital innovations into NHS practice.</w:t>
            </w:r>
          </w:p>
        </w:tc>
        <w:tc>
          <w:tcPr>
            <w:tcW w:w="2127" w:type="dxa"/>
          </w:tcPr>
          <w:p w14:paraId="31063CA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Implementation experience from one system/context; not a comparative effectiveness study.</w:t>
            </w:r>
          </w:p>
        </w:tc>
      </w:tr>
      <w:tr w:rsidR="000F5408" w:rsidRPr="000F5408" w14:paraId="0D80CCBB" w14:textId="77777777" w:rsidTr="000F5408">
        <w:tc>
          <w:tcPr>
            <w:tcW w:w="241" w:type="dxa"/>
          </w:tcPr>
          <w:p w14:paraId="51E669E7" w14:textId="466FD5F0"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7</w:t>
            </w:r>
          </w:p>
        </w:tc>
        <w:tc>
          <w:tcPr>
            <w:tcW w:w="639" w:type="dxa"/>
          </w:tcPr>
          <w:p w14:paraId="0F79947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Jarvis et al., 2025</w:t>
            </w:r>
          </w:p>
        </w:tc>
        <w:tc>
          <w:tcPr>
            <w:tcW w:w="1435" w:type="dxa"/>
          </w:tcPr>
          <w:p w14:paraId="46407E8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Ease of use and </w:t>
            </w:r>
            <w:proofErr w:type="spellStart"/>
            <w:r w:rsidRPr="0043400D">
              <w:rPr>
                <w:rFonts w:ascii="Times New Roman" w:hAnsi="Times New Roman"/>
                <w:sz w:val="18"/>
                <w:szCs w:val="18"/>
                <w:lang w:val="en-US" w:eastAsia="en-US"/>
              </w:rPr>
              <w:t>centralised</w:t>
            </w:r>
            <w:proofErr w:type="spellEnd"/>
            <w:r w:rsidRPr="0043400D">
              <w:rPr>
                <w:rFonts w:ascii="Times New Roman" w:hAnsi="Times New Roman"/>
                <w:sz w:val="18"/>
                <w:szCs w:val="18"/>
                <w:lang w:val="en-US" w:eastAsia="en-US"/>
              </w:rPr>
              <w:t xml:space="preserve"> information were beneficial; reliability and timely feedback were essential; blended delivery was preferred.</w:t>
            </w:r>
          </w:p>
        </w:tc>
        <w:tc>
          <w:tcPr>
            <w:tcW w:w="1224" w:type="dxa"/>
          </w:tcPr>
          <w:p w14:paraId="3341F15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Usability; </w:t>
            </w:r>
            <w:proofErr w:type="spellStart"/>
            <w:r w:rsidRPr="0043400D">
              <w:rPr>
                <w:rFonts w:ascii="Times New Roman" w:hAnsi="Times New Roman"/>
                <w:sz w:val="18"/>
                <w:szCs w:val="18"/>
                <w:lang w:val="en-US" w:eastAsia="en-US"/>
              </w:rPr>
              <w:t>centralised</w:t>
            </w:r>
            <w:proofErr w:type="spellEnd"/>
            <w:r w:rsidRPr="0043400D">
              <w:rPr>
                <w:rFonts w:ascii="Times New Roman" w:hAnsi="Times New Roman"/>
                <w:sz w:val="18"/>
                <w:szCs w:val="18"/>
                <w:lang w:val="en-US" w:eastAsia="en-US"/>
              </w:rPr>
              <w:t xml:space="preserve"> information; feedback; perceived usefulness; confidence.</w:t>
            </w:r>
          </w:p>
        </w:tc>
        <w:tc>
          <w:tcPr>
            <w:tcW w:w="1276" w:type="dxa"/>
          </w:tcPr>
          <w:p w14:paraId="03D414E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Reliability concerns; need for accurate/timely feedback;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and condition-related complexity.</w:t>
            </w:r>
          </w:p>
        </w:tc>
        <w:tc>
          <w:tcPr>
            <w:tcW w:w="1417" w:type="dxa"/>
          </w:tcPr>
          <w:p w14:paraId="7A31F51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Potentially improved engagement, self-management and rehabilitation support; community use warrants further study.</w:t>
            </w:r>
          </w:p>
        </w:tc>
        <w:tc>
          <w:tcPr>
            <w:tcW w:w="1701" w:type="dxa"/>
          </w:tcPr>
          <w:p w14:paraId="699589F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Use blended models and address reliability, feedback and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readiness before scale-up.</w:t>
            </w:r>
          </w:p>
        </w:tc>
        <w:tc>
          <w:tcPr>
            <w:tcW w:w="2127" w:type="dxa"/>
          </w:tcPr>
          <w:p w14:paraId="28DBA61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Small pilot; single setting; short exposure; perceptions rather than clinical effectiveness.</w:t>
            </w:r>
          </w:p>
        </w:tc>
      </w:tr>
      <w:tr w:rsidR="000F5408" w:rsidRPr="000F5408" w14:paraId="0AAB01F1" w14:textId="77777777" w:rsidTr="000F5408">
        <w:tc>
          <w:tcPr>
            <w:tcW w:w="241" w:type="dxa"/>
          </w:tcPr>
          <w:p w14:paraId="213AD0C4" w14:textId="29295CB5"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8</w:t>
            </w:r>
          </w:p>
        </w:tc>
        <w:tc>
          <w:tcPr>
            <w:tcW w:w="639" w:type="dxa"/>
          </w:tcPr>
          <w:p w14:paraId="6867B6D5"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Chadd</w:t>
            </w:r>
            <w:proofErr w:type="spellEnd"/>
            <w:r w:rsidRPr="0043400D">
              <w:rPr>
                <w:rFonts w:ascii="Times New Roman" w:hAnsi="Times New Roman"/>
                <w:sz w:val="18"/>
                <w:szCs w:val="18"/>
                <w:lang w:val="en-US" w:eastAsia="en-US"/>
              </w:rPr>
              <w:t xml:space="preserve"> et al., 2024</w:t>
            </w:r>
          </w:p>
        </w:tc>
        <w:tc>
          <w:tcPr>
            <w:tcW w:w="1435" w:type="dxa"/>
          </w:tcPr>
          <w:p w14:paraId="6DDDFC17"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Personalised</w:t>
            </w:r>
            <w:proofErr w:type="spellEnd"/>
            <w:r w:rsidRPr="0043400D">
              <w:rPr>
                <w:rFonts w:ascii="Times New Roman" w:hAnsi="Times New Roman"/>
                <w:sz w:val="18"/>
                <w:szCs w:val="18"/>
                <w:lang w:val="en-US" w:eastAsia="en-US"/>
              </w:rPr>
              <w:t xml:space="preserve"> telehealth with hardware, software and support was feasible; uptake was associated with increased therapy hours.</w:t>
            </w:r>
          </w:p>
        </w:tc>
        <w:tc>
          <w:tcPr>
            <w:tcW w:w="1224" w:type="dxa"/>
          </w:tcPr>
          <w:p w14:paraId="781D021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Local co-design; hardware/software provision; specialist support; </w:t>
            </w:r>
            <w:proofErr w:type="spellStart"/>
            <w:r w:rsidRPr="0043400D">
              <w:rPr>
                <w:rFonts w:ascii="Times New Roman" w:hAnsi="Times New Roman"/>
                <w:sz w:val="18"/>
                <w:szCs w:val="18"/>
                <w:lang w:val="en-US" w:eastAsia="en-US"/>
              </w:rPr>
              <w:t>personalised</w:t>
            </w:r>
            <w:proofErr w:type="spellEnd"/>
            <w:r w:rsidRPr="0043400D">
              <w:rPr>
                <w:rFonts w:ascii="Times New Roman" w:hAnsi="Times New Roman"/>
                <w:sz w:val="18"/>
                <w:szCs w:val="18"/>
                <w:lang w:val="en-US" w:eastAsia="en-US"/>
              </w:rPr>
              <w:t xml:space="preserve"> pathways.</w:t>
            </w:r>
          </w:p>
        </w:tc>
        <w:tc>
          <w:tcPr>
            <w:tcW w:w="1276" w:type="dxa"/>
          </w:tcPr>
          <w:p w14:paraId="0BE59FB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Limited implementation capacity; need for support; patient/</w:t>
            </w:r>
            <w:proofErr w:type="spellStart"/>
            <w:r w:rsidRPr="0043400D">
              <w:rPr>
                <w:rFonts w:ascii="Times New Roman" w:hAnsi="Times New Roman"/>
                <w:sz w:val="18"/>
                <w:szCs w:val="18"/>
                <w:lang w:val="en-US" w:eastAsia="en-US"/>
              </w:rPr>
              <w:t>carer</w:t>
            </w:r>
            <w:proofErr w:type="spellEnd"/>
            <w:r w:rsidRPr="0043400D">
              <w:rPr>
                <w:rFonts w:ascii="Times New Roman" w:hAnsi="Times New Roman"/>
                <w:sz w:val="18"/>
                <w:szCs w:val="18"/>
                <w:lang w:val="en-US" w:eastAsia="en-US"/>
              </w:rPr>
              <w:t>-specific needs; local pathway constraints.</w:t>
            </w:r>
          </w:p>
        </w:tc>
        <w:tc>
          <w:tcPr>
            <w:tcW w:w="1417" w:type="dxa"/>
          </w:tcPr>
          <w:p w14:paraId="032C2ED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Greater therapy intensity and acceptable telehealth delivery for some people with aphasia.</w:t>
            </w:r>
          </w:p>
        </w:tc>
        <w:tc>
          <w:tcPr>
            <w:tcW w:w="1701" w:type="dxa"/>
          </w:tcPr>
          <w:p w14:paraId="510D599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Use locally tailored solutions and embedded real-world data for implementation monitoring.</w:t>
            </w:r>
          </w:p>
        </w:tc>
        <w:tc>
          <w:tcPr>
            <w:tcW w:w="2127" w:type="dxa"/>
          </w:tcPr>
          <w:p w14:paraId="08323F1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Feasibility study; two NHS sites; outcomes not equivalent to a controlled effectiveness trial.</w:t>
            </w:r>
          </w:p>
        </w:tc>
      </w:tr>
      <w:tr w:rsidR="000F5408" w:rsidRPr="000F5408" w14:paraId="7BC9A0F0" w14:textId="77777777" w:rsidTr="000F5408">
        <w:tc>
          <w:tcPr>
            <w:tcW w:w="241" w:type="dxa"/>
          </w:tcPr>
          <w:p w14:paraId="5D7630F2" w14:textId="53AB31E4"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9</w:t>
            </w:r>
          </w:p>
        </w:tc>
        <w:tc>
          <w:tcPr>
            <w:tcW w:w="639" w:type="dxa"/>
          </w:tcPr>
          <w:p w14:paraId="1A40AF2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Hawley-Hague et al., 2024</w:t>
            </w:r>
          </w:p>
        </w:tc>
        <w:tc>
          <w:tcPr>
            <w:tcW w:w="1435" w:type="dxa"/>
          </w:tcPr>
          <w:p w14:paraId="3E8CFD1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Remote physiotherapy enabled service continuity but delivery varied with technology, patient suitability, clinical needs and service </w:t>
            </w:r>
            <w:proofErr w:type="spellStart"/>
            <w:r w:rsidRPr="0043400D">
              <w:rPr>
                <w:rFonts w:ascii="Times New Roman" w:hAnsi="Times New Roman"/>
                <w:sz w:val="18"/>
                <w:szCs w:val="18"/>
                <w:lang w:val="en-US" w:eastAsia="en-US"/>
              </w:rPr>
              <w:t>organisation</w:t>
            </w:r>
            <w:proofErr w:type="spellEnd"/>
            <w:r w:rsidRPr="0043400D">
              <w:rPr>
                <w:rFonts w:ascii="Times New Roman" w:hAnsi="Times New Roman"/>
                <w:sz w:val="18"/>
                <w:szCs w:val="18"/>
                <w:lang w:val="en-US" w:eastAsia="en-US"/>
              </w:rPr>
              <w:t>.</w:t>
            </w:r>
          </w:p>
        </w:tc>
        <w:tc>
          <w:tcPr>
            <w:tcW w:w="1224" w:type="dxa"/>
          </w:tcPr>
          <w:p w14:paraId="41D6D1A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Continuity during COVID-19; flexibility; reduced travel; patient convenience.</w:t>
            </w:r>
          </w:p>
        </w:tc>
        <w:tc>
          <w:tcPr>
            <w:tcW w:w="1276" w:type="dxa"/>
          </w:tcPr>
          <w:p w14:paraId="693582C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Technology/connectivity; suitability of remote assessment; digital exclusion; clinician workload/training.</w:t>
            </w:r>
          </w:p>
        </w:tc>
        <w:tc>
          <w:tcPr>
            <w:tcW w:w="1417" w:type="dxa"/>
          </w:tcPr>
          <w:p w14:paraId="44E7E6D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Maintained access to physiotherapy during disruption, with limitations for some patients/clinical tasks.</w:t>
            </w:r>
          </w:p>
        </w:tc>
        <w:tc>
          <w:tcPr>
            <w:tcW w:w="1701" w:type="dxa"/>
          </w:tcPr>
          <w:p w14:paraId="0F8F7CF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Provide clear remote-care guidance, training and options for blended/face-to-face care where needed.</w:t>
            </w:r>
          </w:p>
        </w:tc>
        <w:tc>
          <w:tcPr>
            <w:tcW w:w="2127" w:type="dxa"/>
          </w:tcPr>
          <w:p w14:paraId="0EB974F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Service-evaluation design; self-reported professional data; pandemic context limits routine-care </w:t>
            </w:r>
            <w:proofErr w:type="spellStart"/>
            <w:r w:rsidRPr="0043400D">
              <w:rPr>
                <w:rFonts w:ascii="Times New Roman" w:hAnsi="Times New Roman"/>
                <w:sz w:val="18"/>
                <w:szCs w:val="18"/>
                <w:lang w:val="en-US" w:eastAsia="en-US"/>
              </w:rPr>
              <w:t>generalisation</w:t>
            </w:r>
            <w:proofErr w:type="spellEnd"/>
            <w:r w:rsidRPr="0043400D">
              <w:rPr>
                <w:rFonts w:ascii="Times New Roman" w:hAnsi="Times New Roman"/>
                <w:sz w:val="18"/>
                <w:szCs w:val="18"/>
                <w:lang w:val="en-US" w:eastAsia="en-US"/>
              </w:rPr>
              <w:t>.</w:t>
            </w:r>
          </w:p>
        </w:tc>
      </w:tr>
      <w:tr w:rsidR="000F5408" w:rsidRPr="000F5408" w14:paraId="5FE1E6E8" w14:textId="77777777" w:rsidTr="000F5408">
        <w:tc>
          <w:tcPr>
            <w:tcW w:w="241" w:type="dxa"/>
          </w:tcPr>
          <w:p w14:paraId="01301CA4" w14:textId="1D29810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10</w:t>
            </w:r>
          </w:p>
        </w:tc>
        <w:tc>
          <w:tcPr>
            <w:tcW w:w="639" w:type="dxa"/>
          </w:tcPr>
          <w:p w14:paraId="2DC7600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Charlton et al., 2024</w:t>
            </w:r>
          </w:p>
        </w:tc>
        <w:tc>
          <w:tcPr>
            <w:tcW w:w="1435" w:type="dxa"/>
          </w:tcPr>
          <w:p w14:paraId="54BB929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Perceptions varied across acceptability, </w:t>
            </w:r>
            <w:r w:rsidRPr="0043400D">
              <w:rPr>
                <w:rFonts w:ascii="Times New Roman" w:hAnsi="Times New Roman"/>
                <w:sz w:val="18"/>
                <w:szCs w:val="18"/>
                <w:lang w:val="en-US" w:eastAsia="en-US"/>
              </w:rPr>
              <w:lastRenderedPageBreak/>
              <w:t>practicality, effectiveness and equity; telehealth was seen as useful for some children but not universally suitable.</w:t>
            </w:r>
          </w:p>
        </w:tc>
        <w:tc>
          <w:tcPr>
            <w:tcW w:w="1224" w:type="dxa"/>
          </w:tcPr>
          <w:p w14:paraId="3AF4342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Convenience/flexibility; service continuity; </w:t>
            </w:r>
            <w:r w:rsidRPr="0043400D">
              <w:rPr>
                <w:rFonts w:ascii="Times New Roman" w:hAnsi="Times New Roman"/>
                <w:sz w:val="18"/>
                <w:szCs w:val="18"/>
                <w:lang w:val="en-US" w:eastAsia="en-US"/>
              </w:rPr>
              <w:lastRenderedPageBreak/>
              <w:t>clinician experience with digital delivery.</w:t>
            </w:r>
          </w:p>
        </w:tc>
        <w:tc>
          <w:tcPr>
            <w:tcW w:w="1276" w:type="dxa"/>
          </w:tcPr>
          <w:p w14:paraId="4581138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Technology/connectivity; child engagement; </w:t>
            </w:r>
            <w:r w:rsidRPr="0043400D">
              <w:rPr>
                <w:rFonts w:ascii="Times New Roman" w:hAnsi="Times New Roman"/>
                <w:sz w:val="18"/>
                <w:szCs w:val="18"/>
                <w:lang w:val="en-US" w:eastAsia="en-US"/>
              </w:rPr>
              <w:lastRenderedPageBreak/>
              <w:t>family circumstances; clinical suitability; training/resource needs.</w:t>
            </w:r>
          </w:p>
        </w:tc>
        <w:tc>
          <w:tcPr>
            <w:tcW w:w="1417" w:type="dxa"/>
          </w:tcPr>
          <w:p w14:paraId="03D81D8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Potential continuity and access benefits, </w:t>
            </w:r>
            <w:r w:rsidRPr="0043400D">
              <w:rPr>
                <w:rFonts w:ascii="Times New Roman" w:hAnsi="Times New Roman"/>
                <w:sz w:val="18"/>
                <w:szCs w:val="18"/>
                <w:lang w:val="en-US" w:eastAsia="en-US"/>
              </w:rPr>
              <w:lastRenderedPageBreak/>
              <w:t>with suitability varying by child, family and clinical task.</w:t>
            </w:r>
          </w:p>
        </w:tc>
        <w:tc>
          <w:tcPr>
            <w:tcW w:w="1701" w:type="dxa"/>
          </w:tcPr>
          <w:p w14:paraId="14F2AAC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Use APEASE factors when planning services and retain </w:t>
            </w:r>
            <w:r w:rsidRPr="0043400D">
              <w:rPr>
                <w:rFonts w:ascii="Times New Roman" w:hAnsi="Times New Roman"/>
                <w:sz w:val="18"/>
                <w:szCs w:val="18"/>
                <w:lang w:val="en-US" w:eastAsia="en-US"/>
              </w:rPr>
              <w:lastRenderedPageBreak/>
              <w:t>flexible/blended options.</w:t>
            </w:r>
          </w:p>
        </w:tc>
        <w:tc>
          <w:tcPr>
            <w:tcW w:w="2127" w:type="dxa"/>
          </w:tcPr>
          <w:p w14:paraId="3C8F48A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Survey/self-report; professional rather than patient outcome data; </w:t>
            </w:r>
            <w:r w:rsidRPr="0043400D">
              <w:rPr>
                <w:rFonts w:ascii="Times New Roman" w:hAnsi="Times New Roman"/>
                <w:sz w:val="18"/>
                <w:szCs w:val="18"/>
                <w:lang w:val="en-US" w:eastAsia="en-US"/>
              </w:rPr>
              <w:lastRenderedPageBreak/>
              <w:t>findings may vary by service context.</w:t>
            </w:r>
          </w:p>
        </w:tc>
      </w:tr>
      <w:tr w:rsidR="000F5408" w:rsidRPr="000F5408" w14:paraId="1CAA92B2" w14:textId="77777777" w:rsidTr="000F5408">
        <w:tc>
          <w:tcPr>
            <w:tcW w:w="241" w:type="dxa"/>
          </w:tcPr>
          <w:p w14:paraId="786448BD" w14:textId="671C656F"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11</w:t>
            </w:r>
          </w:p>
        </w:tc>
        <w:tc>
          <w:tcPr>
            <w:tcW w:w="639" w:type="dxa"/>
          </w:tcPr>
          <w:p w14:paraId="3A47818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Chaudhry et al., 2024</w:t>
            </w:r>
          </w:p>
        </w:tc>
        <w:tc>
          <w:tcPr>
            <w:tcW w:w="1435" w:type="dxa"/>
          </w:tcPr>
          <w:p w14:paraId="6441167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FLO users showed higher patient activation and better self-management; interviews identified sociocultural influences on uptake.</w:t>
            </w:r>
          </w:p>
        </w:tc>
        <w:tc>
          <w:tcPr>
            <w:tcW w:w="1224" w:type="dxa"/>
          </w:tcPr>
          <w:p w14:paraId="3006FDA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Culturally relevant messaging; communication; self-management support; perceived usefulness.</w:t>
            </w:r>
          </w:p>
        </w:tc>
        <w:tc>
          <w:tcPr>
            <w:tcW w:w="1276" w:type="dxa"/>
          </w:tcPr>
          <w:p w14:paraId="173E2BF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Sociodemographic and cultural factors; health beliefs; engagement differences; information/education needs.</w:t>
            </w:r>
          </w:p>
        </w:tc>
        <w:tc>
          <w:tcPr>
            <w:tcW w:w="1417" w:type="dxa"/>
          </w:tcPr>
          <w:p w14:paraId="472967F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Improved patient activation and self-management among users.</w:t>
            </w:r>
          </w:p>
        </w:tc>
        <w:tc>
          <w:tcPr>
            <w:tcW w:w="1701" w:type="dxa"/>
          </w:tcPr>
          <w:p w14:paraId="1A86424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Develop culturally sensitive digital-health education and guidance for practitioners and patients.</w:t>
            </w:r>
          </w:p>
        </w:tc>
        <w:tc>
          <w:tcPr>
            <w:tcW w:w="2127" w:type="dxa"/>
          </w:tcPr>
          <w:p w14:paraId="2BA9659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Small sample; non-</w:t>
            </w:r>
            <w:proofErr w:type="spellStart"/>
            <w:r w:rsidRPr="0043400D">
              <w:rPr>
                <w:rFonts w:ascii="Times New Roman" w:hAnsi="Times New Roman"/>
                <w:sz w:val="18"/>
                <w:szCs w:val="18"/>
                <w:lang w:val="en-US" w:eastAsia="en-US"/>
              </w:rPr>
              <w:t>randomised</w:t>
            </w:r>
            <w:proofErr w:type="spellEnd"/>
            <w:r w:rsidRPr="0043400D">
              <w:rPr>
                <w:rFonts w:ascii="Times New Roman" w:hAnsi="Times New Roman"/>
                <w:sz w:val="18"/>
                <w:szCs w:val="18"/>
                <w:lang w:val="en-US" w:eastAsia="en-US"/>
              </w:rPr>
              <w:t xml:space="preserve"> comparison; self-reported outcomes; findings focused on South Asian communities.</w:t>
            </w:r>
          </w:p>
        </w:tc>
      </w:tr>
      <w:tr w:rsidR="000F5408" w:rsidRPr="000F5408" w14:paraId="12452405" w14:textId="77777777" w:rsidTr="000F5408">
        <w:tc>
          <w:tcPr>
            <w:tcW w:w="241" w:type="dxa"/>
          </w:tcPr>
          <w:p w14:paraId="56CA656B" w14:textId="5AD02B0F"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12</w:t>
            </w:r>
          </w:p>
        </w:tc>
        <w:tc>
          <w:tcPr>
            <w:tcW w:w="639" w:type="dxa"/>
          </w:tcPr>
          <w:p w14:paraId="2DA1A0E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Abdi et al., 2025</w:t>
            </w:r>
          </w:p>
        </w:tc>
        <w:tc>
          <w:tcPr>
            <w:tcW w:w="1435" w:type="dxa"/>
          </w:tcPr>
          <w:p w14:paraId="2CA6680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Readiness to engage was generally positive, but implementation depended on whether expectations and feedback requirements were met.</w:t>
            </w:r>
          </w:p>
        </w:tc>
        <w:tc>
          <w:tcPr>
            <w:tcW w:w="1224" w:type="dxa"/>
          </w:tcPr>
          <w:p w14:paraId="06F1B18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Perceived value; readiness; IT skills;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investment.</w:t>
            </w:r>
          </w:p>
        </w:tc>
        <w:tc>
          <w:tcPr>
            <w:tcW w:w="1276" w:type="dxa"/>
          </w:tcPr>
          <w:p w14:paraId="013471D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IT skills; referral time; technology performance/feedback; investment in community optometry;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factors.</w:t>
            </w:r>
          </w:p>
        </w:tc>
        <w:tc>
          <w:tcPr>
            <w:tcW w:w="1417" w:type="dxa"/>
          </w:tcPr>
          <w:p w14:paraId="5400313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improve referral processes and integration of community and secondary eye care.</w:t>
            </w:r>
          </w:p>
        </w:tc>
        <w:tc>
          <w:tcPr>
            <w:tcW w:w="1701" w:type="dxa"/>
          </w:tcPr>
          <w:p w14:paraId="266D5C0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Address individual, technological and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factors before large-scale implementation.</w:t>
            </w:r>
          </w:p>
        </w:tc>
        <w:tc>
          <w:tcPr>
            <w:tcW w:w="2127" w:type="dxa"/>
          </w:tcPr>
          <w:p w14:paraId="4C707BA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Professional sample only; qualitative design; illustrative implementation case.</w:t>
            </w:r>
          </w:p>
        </w:tc>
      </w:tr>
      <w:tr w:rsidR="000F5408" w:rsidRPr="000F5408" w14:paraId="5447A39A" w14:textId="77777777" w:rsidTr="000F5408">
        <w:tc>
          <w:tcPr>
            <w:tcW w:w="241" w:type="dxa"/>
          </w:tcPr>
          <w:p w14:paraId="01837F94" w14:textId="0962F03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13</w:t>
            </w:r>
          </w:p>
        </w:tc>
        <w:tc>
          <w:tcPr>
            <w:tcW w:w="639" w:type="dxa"/>
          </w:tcPr>
          <w:p w14:paraId="2CC2073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Grant and </w:t>
            </w:r>
            <w:proofErr w:type="spellStart"/>
            <w:r w:rsidRPr="0043400D">
              <w:rPr>
                <w:rFonts w:ascii="Times New Roman" w:hAnsi="Times New Roman"/>
                <w:sz w:val="18"/>
                <w:szCs w:val="18"/>
                <w:lang w:val="en-US" w:eastAsia="en-US"/>
              </w:rPr>
              <w:t>Skamagki</w:t>
            </w:r>
            <w:proofErr w:type="spellEnd"/>
            <w:r w:rsidRPr="0043400D">
              <w:rPr>
                <w:rFonts w:ascii="Times New Roman" w:hAnsi="Times New Roman"/>
                <w:sz w:val="18"/>
                <w:szCs w:val="18"/>
                <w:lang w:val="en-US" w:eastAsia="en-US"/>
              </w:rPr>
              <w:t>, 2024</w:t>
            </w:r>
          </w:p>
        </w:tc>
        <w:tc>
          <w:tcPr>
            <w:tcW w:w="1435" w:type="dxa"/>
          </w:tcPr>
          <w:p w14:paraId="2A9C8B0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Remote management changed clinical work and communication, with benefits alongside concerns about assessment, relationships and workload.</w:t>
            </w:r>
          </w:p>
        </w:tc>
        <w:tc>
          <w:tcPr>
            <w:tcW w:w="1224" w:type="dxa"/>
          </w:tcPr>
          <w:p w14:paraId="528E3EA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Remote access; service redesign; clinician experience; continuity.</w:t>
            </w:r>
          </w:p>
        </w:tc>
        <w:tc>
          <w:tcPr>
            <w:tcW w:w="1276" w:type="dxa"/>
          </w:tcPr>
          <w:p w14:paraId="3607851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Communication limitations; physical assessment constraints; workload/role changes; technology-related issues.</w:t>
            </w:r>
          </w:p>
        </w:tc>
        <w:tc>
          <w:tcPr>
            <w:tcW w:w="1417" w:type="dxa"/>
          </w:tcPr>
          <w:p w14:paraId="5988DC4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support remote management and access while changing clinician workload and therapeutic interaction.</w:t>
            </w:r>
          </w:p>
        </w:tc>
        <w:tc>
          <w:tcPr>
            <w:tcW w:w="1701" w:type="dxa"/>
          </w:tcPr>
          <w:p w14:paraId="727685D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Provide training, clear role/process guidance and appropriate selection of patients for remote management.</w:t>
            </w:r>
          </w:p>
        </w:tc>
        <w:tc>
          <w:tcPr>
            <w:tcW w:w="2127" w:type="dxa"/>
          </w:tcPr>
          <w:p w14:paraId="47F9C6A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Qualitative professional perspectives; limited </w:t>
            </w:r>
            <w:proofErr w:type="spellStart"/>
            <w:r w:rsidRPr="0043400D">
              <w:rPr>
                <w:rFonts w:ascii="Times New Roman" w:hAnsi="Times New Roman"/>
                <w:sz w:val="18"/>
                <w:szCs w:val="18"/>
                <w:lang w:val="en-US" w:eastAsia="en-US"/>
              </w:rPr>
              <w:t>generalisability</w:t>
            </w:r>
            <w:proofErr w:type="spellEnd"/>
            <w:r w:rsidRPr="0043400D">
              <w:rPr>
                <w:rFonts w:ascii="Times New Roman" w:hAnsi="Times New Roman"/>
                <w:sz w:val="18"/>
                <w:szCs w:val="18"/>
                <w:lang w:val="en-US" w:eastAsia="en-US"/>
              </w:rPr>
              <w:t>; no controlled patient outcome evaluation.</w:t>
            </w:r>
          </w:p>
        </w:tc>
      </w:tr>
      <w:tr w:rsidR="000F5408" w:rsidRPr="000F5408" w14:paraId="7037F238" w14:textId="77777777" w:rsidTr="000F5408">
        <w:tc>
          <w:tcPr>
            <w:tcW w:w="241" w:type="dxa"/>
          </w:tcPr>
          <w:p w14:paraId="5B5C3318" w14:textId="11C1EEB0"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14</w:t>
            </w:r>
          </w:p>
        </w:tc>
        <w:tc>
          <w:tcPr>
            <w:tcW w:w="639" w:type="dxa"/>
          </w:tcPr>
          <w:p w14:paraId="7B210BFD"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Cheraghi</w:t>
            </w:r>
            <w:proofErr w:type="spellEnd"/>
            <w:r w:rsidRPr="0043400D">
              <w:rPr>
                <w:rFonts w:ascii="Times New Roman" w:hAnsi="Times New Roman"/>
                <w:sz w:val="18"/>
                <w:szCs w:val="18"/>
                <w:lang w:val="en-US" w:eastAsia="en-US"/>
              </w:rPr>
              <w:t>-Sohi et al., 2023</w:t>
            </w:r>
          </w:p>
        </w:tc>
        <w:tc>
          <w:tcPr>
            <w:tcW w:w="1435" w:type="dxa"/>
          </w:tcPr>
          <w:p w14:paraId="3DD5D4C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Most did not adopt the app; adoption was possible where it met a unique unmet need.</w:t>
            </w:r>
          </w:p>
        </w:tc>
        <w:tc>
          <w:tcPr>
            <w:tcW w:w="1224" w:type="dxa"/>
          </w:tcPr>
          <w:p w14:paraId="4F51D24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Perceived unmet need; usability/utility; motivation to try technology.</w:t>
            </w:r>
          </w:p>
        </w:tc>
        <w:tc>
          <w:tcPr>
            <w:tcW w:w="1276" w:type="dxa"/>
          </w:tcPr>
          <w:p w14:paraId="10FBE54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Condition complexity; </w:t>
            </w:r>
            <w:proofErr w:type="spellStart"/>
            <w:r w:rsidRPr="0043400D">
              <w:rPr>
                <w:rFonts w:ascii="Times New Roman" w:hAnsi="Times New Roman"/>
                <w:sz w:val="18"/>
                <w:szCs w:val="18"/>
                <w:lang w:val="en-US" w:eastAsia="en-US"/>
              </w:rPr>
              <w:t>carer</w:t>
            </w:r>
            <w:proofErr w:type="spellEnd"/>
            <w:r w:rsidRPr="0043400D">
              <w:rPr>
                <w:rFonts w:ascii="Times New Roman" w:hAnsi="Times New Roman"/>
                <w:sz w:val="18"/>
                <w:szCs w:val="18"/>
                <w:lang w:val="en-US" w:eastAsia="en-US"/>
              </w:rPr>
              <w:t xml:space="preserve"> burden; duplication of effort; everyday-context constraints.</w:t>
            </w:r>
          </w:p>
        </w:tc>
        <w:tc>
          <w:tcPr>
            <w:tcW w:w="1417" w:type="dxa"/>
          </w:tcPr>
          <w:p w14:paraId="2A978A3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support for people with dementia/</w:t>
            </w:r>
            <w:proofErr w:type="spellStart"/>
            <w:r w:rsidRPr="0043400D">
              <w:rPr>
                <w:rFonts w:ascii="Times New Roman" w:hAnsi="Times New Roman"/>
                <w:sz w:val="18"/>
                <w:szCs w:val="18"/>
                <w:lang w:val="en-US" w:eastAsia="en-US"/>
              </w:rPr>
              <w:t>carers</w:t>
            </w:r>
            <w:proofErr w:type="spellEnd"/>
            <w:r w:rsidRPr="0043400D">
              <w:rPr>
                <w:rFonts w:ascii="Times New Roman" w:hAnsi="Times New Roman"/>
                <w:sz w:val="18"/>
                <w:szCs w:val="18"/>
                <w:lang w:val="en-US" w:eastAsia="en-US"/>
              </w:rPr>
              <w:t>, but sustained use was limited.</w:t>
            </w:r>
          </w:p>
        </w:tc>
        <w:tc>
          <w:tcPr>
            <w:tcW w:w="1701" w:type="dxa"/>
          </w:tcPr>
          <w:p w14:paraId="129E4D6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Design around condition complexity and </w:t>
            </w:r>
            <w:proofErr w:type="spellStart"/>
            <w:r w:rsidRPr="0043400D">
              <w:rPr>
                <w:rFonts w:ascii="Times New Roman" w:hAnsi="Times New Roman"/>
                <w:sz w:val="18"/>
                <w:szCs w:val="18"/>
                <w:lang w:val="en-US" w:eastAsia="en-US"/>
              </w:rPr>
              <w:t>carer</w:t>
            </w:r>
            <w:proofErr w:type="spellEnd"/>
            <w:r w:rsidRPr="0043400D">
              <w:rPr>
                <w:rFonts w:ascii="Times New Roman" w:hAnsi="Times New Roman"/>
                <w:sz w:val="18"/>
                <w:szCs w:val="18"/>
                <w:lang w:val="en-US" w:eastAsia="en-US"/>
              </w:rPr>
              <w:t xml:space="preserve"> workload; avoid assuming willingness to use equals sustained adoption.</w:t>
            </w:r>
          </w:p>
        </w:tc>
        <w:tc>
          <w:tcPr>
            <w:tcW w:w="2127" w:type="dxa"/>
          </w:tcPr>
          <w:p w14:paraId="5E0B3D3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Small qualitative sample; limited sustained adoption; specific population limits transferability.</w:t>
            </w:r>
          </w:p>
        </w:tc>
      </w:tr>
      <w:tr w:rsidR="000F5408" w:rsidRPr="000F5408" w14:paraId="63FF796E" w14:textId="77777777" w:rsidTr="000F5408">
        <w:tc>
          <w:tcPr>
            <w:tcW w:w="241" w:type="dxa"/>
          </w:tcPr>
          <w:p w14:paraId="2D5431A0" w14:textId="6831171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15</w:t>
            </w:r>
          </w:p>
        </w:tc>
        <w:tc>
          <w:tcPr>
            <w:tcW w:w="639" w:type="dxa"/>
          </w:tcPr>
          <w:p w14:paraId="1200948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Xing et al., 2026</w:t>
            </w:r>
          </w:p>
        </w:tc>
        <w:tc>
          <w:tcPr>
            <w:tcW w:w="1435" w:type="dxa"/>
          </w:tcPr>
          <w:p w14:paraId="3B4ECAD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Digital-first care can improve convenience, flexibility and timeliness for some patients, but benefits are uneven and depend on system design, workflow and patient capability.</w:t>
            </w:r>
          </w:p>
        </w:tc>
        <w:tc>
          <w:tcPr>
            <w:tcW w:w="1224" w:type="dxa"/>
          </w:tcPr>
          <w:p w14:paraId="58C99FF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 triage; virtual consultations; convenience; flexible access; workflow integration.</w:t>
            </w:r>
          </w:p>
        </w:tc>
        <w:tc>
          <w:tcPr>
            <w:tcW w:w="1276" w:type="dxa"/>
          </w:tcPr>
          <w:p w14:paraId="4A0A56C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 exclusion/capability; workflow problems; inequity; continuity and relational-care concerns.</w:t>
            </w:r>
          </w:p>
        </w:tc>
        <w:tc>
          <w:tcPr>
            <w:tcW w:w="1417" w:type="dxa"/>
          </w:tcPr>
          <w:p w14:paraId="09AF721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gains in access and efficiency, with risk of uneven distribution across patient groups.</w:t>
            </w:r>
          </w:p>
        </w:tc>
        <w:tc>
          <w:tcPr>
            <w:tcW w:w="1701" w:type="dxa"/>
          </w:tcPr>
          <w:p w14:paraId="2AB8FB3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Design for equity, integrate workflows and avoid treating emergency-era evidence as equivalent to routine post-pandemic care.</w:t>
            </w:r>
          </w:p>
        </w:tc>
        <w:tc>
          <w:tcPr>
            <w:tcW w:w="2127" w:type="dxa"/>
          </w:tcPr>
          <w:p w14:paraId="1589D6B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Mini/narrative review; heterogeneous evidence; not a primary empirical study.</w:t>
            </w:r>
          </w:p>
        </w:tc>
      </w:tr>
      <w:tr w:rsidR="000F5408" w:rsidRPr="000F5408" w14:paraId="0DA60415" w14:textId="77777777" w:rsidTr="000F5408">
        <w:tc>
          <w:tcPr>
            <w:tcW w:w="241" w:type="dxa"/>
          </w:tcPr>
          <w:p w14:paraId="5AE26553" w14:textId="1B6FD7DB"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16</w:t>
            </w:r>
          </w:p>
        </w:tc>
        <w:tc>
          <w:tcPr>
            <w:tcW w:w="639" w:type="dxa"/>
          </w:tcPr>
          <w:p w14:paraId="3A55FE5D"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Farre</w:t>
            </w:r>
            <w:proofErr w:type="spellEnd"/>
            <w:r w:rsidRPr="0043400D">
              <w:rPr>
                <w:rFonts w:ascii="Times New Roman" w:hAnsi="Times New Roman"/>
                <w:sz w:val="18"/>
                <w:szCs w:val="18"/>
                <w:lang w:val="en-US" w:eastAsia="en-US"/>
              </w:rPr>
              <w:t xml:space="preserve"> et al., 2023</w:t>
            </w:r>
          </w:p>
        </w:tc>
        <w:tc>
          <w:tcPr>
            <w:tcW w:w="1435" w:type="dxa"/>
          </w:tcPr>
          <w:p w14:paraId="100C0E2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Evidence on digital health and inequalities was underdeveloped; most interventions were driven more by system/provider needs than service-user needs.</w:t>
            </w:r>
          </w:p>
        </w:tc>
        <w:tc>
          <w:tcPr>
            <w:tcW w:w="1224" w:type="dxa"/>
          </w:tcPr>
          <w:p w14:paraId="3986C16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 delivery potential; service redesign; targeted interventions for disadvantaged groups.</w:t>
            </w:r>
          </w:p>
        </w:tc>
        <w:tc>
          <w:tcPr>
            <w:tcW w:w="1276" w:type="dxa"/>
          </w:tcPr>
          <w:p w14:paraId="01B5ABB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 exclusion; barriers to access and use; potential to exacerbate existing inequalities.</w:t>
            </w:r>
          </w:p>
        </w:tc>
        <w:tc>
          <w:tcPr>
            <w:tcW w:w="1417" w:type="dxa"/>
          </w:tcPr>
          <w:p w14:paraId="318845A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Implementation outcomes commonly included acceptability, appropriateness and feasibility; only one intervention demonstrated cost-effectiveness.</w:t>
            </w:r>
          </w:p>
        </w:tc>
        <w:tc>
          <w:tcPr>
            <w:tcW w:w="1701" w:type="dxa"/>
          </w:tcPr>
          <w:p w14:paraId="53E59CF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Place health equity and service-user needs at the </w:t>
            </w:r>
            <w:proofErr w:type="spellStart"/>
            <w:r w:rsidRPr="0043400D">
              <w:rPr>
                <w:rFonts w:ascii="Times New Roman" w:hAnsi="Times New Roman"/>
                <w:sz w:val="18"/>
                <w:szCs w:val="18"/>
                <w:lang w:val="en-US" w:eastAsia="en-US"/>
              </w:rPr>
              <w:t>centre</w:t>
            </w:r>
            <w:proofErr w:type="spellEnd"/>
            <w:r w:rsidRPr="0043400D">
              <w:rPr>
                <w:rFonts w:ascii="Times New Roman" w:hAnsi="Times New Roman"/>
                <w:sz w:val="18"/>
                <w:szCs w:val="18"/>
                <w:lang w:val="en-US" w:eastAsia="en-US"/>
              </w:rPr>
              <w:t xml:space="preserve"> of digital-health design and evaluation.</w:t>
            </w:r>
          </w:p>
        </w:tc>
        <w:tc>
          <w:tcPr>
            <w:tcW w:w="2127" w:type="dxa"/>
          </w:tcPr>
          <w:p w14:paraId="2AC2C90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Only 11 articles; heterogeneous interventions/outcomes; evidence base considered underdeveloped.</w:t>
            </w:r>
          </w:p>
        </w:tc>
      </w:tr>
      <w:tr w:rsidR="000F5408" w:rsidRPr="000F5408" w14:paraId="622D97B7" w14:textId="77777777" w:rsidTr="000F5408">
        <w:tc>
          <w:tcPr>
            <w:tcW w:w="241" w:type="dxa"/>
          </w:tcPr>
          <w:p w14:paraId="34F74F81" w14:textId="590D9BC2"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17</w:t>
            </w:r>
          </w:p>
        </w:tc>
        <w:tc>
          <w:tcPr>
            <w:tcW w:w="639" w:type="dxa"/>
          </w:tcPr>
          <w:p w14:paraId="0EB1D258"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Alashek</w:t>
            </w:r>
            <w:proofErr w:type="spellEnd"/>
            <w:r w:rsidRPr="0043400D">
              <w:rPr>
                <w:rFonts w:ascii="Times New Roman" w:hAnsi="Times New Roman"/>
                <w:sz w:val="18"/>
                <w:szCs w:val="18"/>
                <w:lang w:val="en-US" w:eastAsia="en-US"/>
              </w:rPr>
              <w:t xml:space="preserve"> and Ali, 2024</w:t>
            </w:r>
          </w:p>
        </w:tc>
        <w:tc>
          <w:tcPr>
            <w:tcW w:w="1435" w:type="dxa"/>
          </w:tcPr>
          <w:p w14:paraId="56DF429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Satisfaction was generally high among patients and clinicians; convenience was consistently </w:t>
            </w:r>
            <w:r w:rsidRPr="0043400D">
              <w:rPr>
                <w:rFonts w:ascii="Times New Roman" w:hAnsi="Times New Roman"/>
                <w:sz w:val="18"/>
                <w:szCs w:val="18"/>
                <w:lang w:val="en-US" w:eastAsia="en-US"/>
              </w:rPr>
              <w:lastRenderedPageBreak/>
              <w:t>valued, but connectivity, confidentiality and inequality concerns remained.</w:t>
            </w:r>
          </w:p>
        </w:tc>
        <w:tc>
          <w:tcPr>
            <w:tcW w:w="1224" w:type="dxa"/>
          </w:tcPr>
          <w:p w14:paraId="4E09DB9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Convenience; continuity during COVID-19; reduced travel/time burden.</w:t>
            </w:r>
          </w:p>
        </w:tc>
        <w:tc>
          <w:tcPr>
            <w:tcW w:w="1276" w:type="dxa"/>
          </w:tcPr>
          <w:p w14:paraId="6B3B0A8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Connection failures; confidentiality concerns; increased barriers for </w:t>
            </w:r>
            <w:r w:rsidRPr="0043400D">
              <w:rPr>
                <w:rFonts w:ascii="Times New Roman" w:hAnsi="Times New Roman"/>
                <w:sz w:val="18"/>
                <w:szCs w:val="18"/>
                <w:lang w:val="en-US" w:eastAsia="en-US"/>
              </w:rPr>
              <w:lastRenderedPageBreak/>
              <w:t>vulnerable/older patients; inequality.</w:t>
            </w:r>
          </w:p>
        </w:tc>
        <w:tc>
          <w:tcPr>
            <w:tcW w:w="1417" w:type="dxa"/>
          </w:tcPr>
          <w:p w14:paraId="5310880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High reported satisfaction and willingness to use telemedicine; supported continuity while </w:t>
            </w:r>
            <w:r w:rsidRPr="0043400D">
              <w:rPr>
                <w:rFonts w:ascii="Times New Roman" w:hAnsi="Times New Roman"/>
                <w:sz w:val="18"/>
                <w:szCs w:val="18"/>
                <w:lang w:val="en-US" w:eastAsia="en-US"/>
              </w:rPr>
              <w:lastRenderedPageBreak/>
              <w:t>maintaining social distancing.</w:t>
            </w:r>
          </w:p>
        </w:tc>
        <w:tc>
          <w:tcPr>
            <w:tcW w:w="1701" w:type="dxa"/>
          </w:tcPr>
          <w:p w14:paraId="3C3E84F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Support sustainable telemedicine while addressing digital inequality, connectivity and confidentiality.</w:t>
            </w:r>
          </w:p>
        </w:tc>
        <w:tc>
          <w:tcPr>
            <w:tcW w:w="2127" w:type="dxa"/>
          </w:tcPr>
          <w:p w14:paraId="458032E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Review limited to PubMed/Scopus and 2020–2022; heterogeneous satisfaction measures; mostly NHS evidence.</w:t>
            </w:r>
          </w:p>
        </w:tc>
      </w:tr>
      <w:tr w:rsidR="000F5408" w:rsidRPr="000F5408" w14:paraId="683A78B2" w14:textId="77777777" w:rsidTr="000F5408">
        <w:tc>
          <w:tcPr>
            <w:tcW w:w="241" w:type="dxa"/>
          </w:tcPr>
          <w:p w14:paraId="0A22327B" w14:textId="0AB7C0B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18</w:t>
            </w:r>
          </w:p>
        </w:tc>
        <w:tc>
          <w:tcPr>
            <w:tcW w:w="639" w:type="dxa"/>
          </w:tcPr>
          <w:p w14:paraId="5CF75AD8"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Wasi</w:t>
            </w:r>
            <w:proofErr w:type="spellEnd"/>
            <w:r w:rsidRPr="0043400D">
              <w:rPr>
                <w:rFonts w:ascii="Times New Roman" w:hAnsi="Times New Roman"/>
                <w:sz w:val="18"/>
                <w:szCs w:val="18"/>
                <w:lang w:val="en-US" w:eastAsia="en-US"/>
              </w:rPr>
              <w:t xml:space="preserve"> Abbas et al., 2024</w:t>
            </w:r>
          </w:p>
        </w:tc>
        <w:tc>
          <w:tcPr>
            <w:tcW w:w="1435" w:type="dxa"/>
          </w:tcPr>
          <w:p w14:paraId="1864F93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Awareness/acceptance was generally satisfactory; </w:t>
            </w:r>
            <w:proofErr w:type="spellStart"/>
            <w:r w:rsidRPr="0043400D">
              <w:rPr>
                <w:rFonts w:ascii="Times New Roman" w:hAnsi="Times New Roman"/>
                <w:sz w:val="18"/>
                <w:szCs w:val="18"/>
                <w:lang w:val="en-US" w:eastAsia="en-US"/>
              </w:rPr>
              <w:t>utilisation</w:t>
            </w:r>
            <w:proofErr w:type="spellEnd"/>
            <w:r w:rsidRPr="0043400D">
              <w:rPr>
                <w:rFonts w:ascii="Times New Roman" w:hAnsi="Times New Roman"/>
                <w:sz w:val="18"/>
                <w:szCs w:val="18"/>
                <w:lang w:val="en-US" w:eastAsia="en-US"/>
              </w:rPr>
              <w:t xml:space="preserve"> was positively associated with perceived benefits, reliance, perceived quality and familiarity.</w:t>
            </w:r>
          </w:p>
        </w:tc>
        <w:tc>
          <w:tcPr>
            <w:tcW w:w="1224" w:type="dxa"/>
          </w:tcPr>
          <w:p w14:paraId="74B9B0A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Perceived benefits; familiarity; trust/reliance; perceived quality improvement; private-sector awareness.</w:t>
            </w:r>
          </w:p>
        </w:tc>
        <w:tc>
          <w:tcPr>
            <w:tcW w:w="1276" w:type="dxa"/>
          </w:tcPr>
          <w:p w14:paraId="12BA282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Low awareness in some settings; training needs; public/private differences; infrastructure and implementation constraints.</w:t>
            </w:r>
          </w:p>
        </w:tc>
        <w:tc>
          <w:tcPr>
            <w:tcW w:w="1417" w:type="dxa"/>
          </w:tcPr>
          <w:p w14:paraId="0AA2DF7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Positive provider attitudes and reported association between telemedicine use and perceived quality.</w:t>
            </w:r>
          </w:p>
        </w:tc>
        <w:tc>
          <w:tcPr>
            <w:tcW w:w="1701" w:type="dxa"/>
          </w:tcPr>
          <w:p w14:paraId="2564CCA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Increase telemedicine training and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support for healthcare professionals.</w:t>
            </w:r>
          </w:p>
        </w:tc>
        <w:tc>
          <w:tcPr>
            <w:tcW w:w="2127" w:type="dxa"/>
          </w:tcPr>
          <w:p w14:paraId="270AE68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Low response rate; purposive/non-probability sampling; self-reported cross-sectional data.</w:t>
            </w:r>
          </w:p>
        </w:tc>
      </w:tr>
      <w:tr w:rsidR="000F5408" w:rsidRPr="000F5408" w14:paraId="02495D60" w14:textId="77777777" w:rsidTr="000F5408">
        <w:tc>
          <w:tcPr>
            <w:tcW w:w="241" w:type="dxa"/>
          </w:tcPr>
          <w:p w14:paraId="26353296" w14:textId="0BF2D631"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19</w:t>
            </w:r>
          </w:p>
        </w:tc>
        <w:tc>
          <w:tcPr>
            <w:tcW w:w="639" w:type="dxa"/>
          </w:tcPr>
          <w:p w14:paraId="61E269E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Khurram et al., 2024</w:t>
            </w:r>
          </w:p>
        </w:tc>
        <w:tc>
          <w:tcPr>
            <w:tcW w:w="1435" w:type="dxa"/>
          </w:tcPr>
          <w:p w14:paraId="460497D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Telehealth moved toward continuity after COVID-19, with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adaptation and service-model factors shaping sustainability.</w:t>
            </w:r>
          </w:p>
        </w:tc>
        <w:tc>
          <w:tcPr>
            <w:tcW w:w="1224" w:type="dxa"/>
          </w:tcPr>
          <w:p w14:paraId="3942927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Established telehealth infrastructure;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learning; demand for access; digital service experience.</w:t>
            </w:r>
          </w:p>
        </w:tc>
        <w:tc>
          <w:tcPr>
            <w:tcW w:w="1276" w:type="dxa"/>
          </w:tcPr>
          <w:p w14:paraId="49F993E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Resource constraints; workflow/integration issues; digital literacy/connectivity; sustainability challenges.</w:t>
            </w:r>
          </w:p>
        </w:tc>
        <w:tc>
          <w:tcPr>
            <w:tcW w:w="1417" w:type="dxa"/>
          </w:tcPr>
          <w:p w14:paraId="06ABF95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Supports continuity and access to healthcare beyond the acute pandemic period.</w:t>
            </w:r>
          </w:p>
        </w:tc>
        <w:tc>
          <w:tcPr>
            <w:tcW w:w="1701" w:type="dxa"/>
          </w:tcPr>
          <w:p w14:paraId="0E89FC3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Develop sustainable business/governance models, integrate telehealth into routine care and maintain workforce capacity.</w:t>
            </w:r>
          </w:p>
        </w:tc>
        <w:tc>
          <w:tcPr>
            <w:tcW w:w="2127" w:type="dxa"/>
          </w:tcPr>
          <w:p w14:paraId="5E9E846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Case-study context; limited </w:t>
            </w:r>
            <w:proofErr w:type="spellStart"/>
            <w:r w:rsidRPr="0043400D">
              <w:rPr>
                <w:rFonts w:ascii="Times New Roman" w:hAnsi="Times New Roman"/>
                <w:sz w:val="18"/>
                <w:szCs w:val="18"/>
                <w:lang w:val="en-US" w:eastAsia="en-US"/>
              </w:rPr>
              <w:t>generalisability</w:t>
            </w:r>
            <w:proofErr w:type="spellEnd"/>
            <w:r w:rsidRPr="0043400D">
              <w:rPr>
                <w:rFonts w:ascii="Times New Roman" w:hAnsi="Times New Roman"/>
                <w:sz w:val="18"/>
                <w:szCs w:val="18"/>
                <w:lang w:val="en-US" w:eastAsia="en-US"/>
              </w:rPr>
              <w:t>; implementation experience rather than controlled outcome evaluation.</w:t>
            </w:r>
          </w:p>
        </w:tc>
      </w:tr>
      <w:tr w:rsidR="000F5408" w:rsidRPr="000F5408" w14:paraId="470D4B33" w14:textId="77777777" w:rsidTr="000F5408">
        <w:tc>
          <w:tcPr>
            <w:tcW w:w="241" w:type="dxa"/>
          </w:tcPr>
          <w:p w14:paraId="538FE113" w14:textId="7D81F391"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20</w:t>
            </w:r>
          </w:p>
        </w:tc>
        <w:tc>
          <w:tcPr>
            <w:tcW w:w="639" w:type="dxa"/>
          </w:tcPr>
          <w:p w14:paraId="51BA6E65"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Yawar</w:t>
            </w:r>
            <w:proofErr w:type="spellEnd"/>
            <w:r w:rsidRPr="0043400D">
              <w:rPr>
                <w:rFonts w:ascii="Times New Roman" w:hAnsi="Times New Roman"/>
                <w:sz w:val="18"/>
                <w:szCs w:val="18"/>
                <w:lang w:val="en-US" w:eastAsia="en-US"/>
              </w:rPr>
              <w:t xml:space="preserve"> and Asif, 2022</w:t>
            </w:r>
          </w:p>
        </w:tc>
        <w:tc>
          <w:tcPr>
            <w:tcW w:w="1435" w:type="dxa"/>
          </w:tcPr>
          <w:p w14:paraId="7829F70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The web app improved therapist-caregiver communication and supported sustained knowledge transfer and caregiver learning.</w:t>
            </w:r>
          </w:p>
        </w:tc>
        <w:tc>
          <w:tcPr>
            <w:tcW w:w="1224" w:type="dxa"/>
          </w:tcPr>
          <w:p w14:paraId="7CF6955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Native-language learning; asynchronous communication; stakeholder participation; capacity building.</w:t>
            </w:r>
          </w:p>
        </w:tc>
        <w:tc>
          <w:tcPr>
            <w:tcW w:w="1276" w:type="dxa"/>
          </w:tcPr>
          <w:p w14:paraId="1ACB333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Communication barriers; knowledge-transfer gaps; socioeconomic/geographic barriers; pandemic disruption.</w:t>
            </w:r>
          </w:p>
        </w:tc>
        <w:tc>
          <w:tcPr>
            <w:tcW w:w="1417" w:type="dxa"/>
          </w:tcPr>
          <w:p w14:paraId="0079C43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Improved communication and capacity-building opportunities; supports access across geographic barriers.</w:t>
            </w:r>
          </w:p>
        </w:tc>
        <w:tc>
          <w:tcPr>
            <w:tcW w:w="1701" w:type="dxa"/>
          </w:tcPr>
          <w:p w14:paraId="5A6A358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Use participatory, local-language and asynchronous models to support workforce/caregiver capacity.</w:t>
            </w:r>
          </w:p>
        </w:tc>
        <w:tc>
          <w:tcPr>
            <w:tcW w:w="2127" w:type="dxa"/>
          </w:tcPr>
          <w:p w14:paraId="3794159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Development/implementation study; qualitative evidence; no controlled clinical outcome evaluation.</w:t>
            </w:r>
          </w:p>
        </w:tc>
      </w:tr>
      <w:tr w:rsidR="000F5408" w:rsidRPr="000F5408" w14:paraId="0E74F014" w14:textId="77777777" w:rsidTr="000F5408">
        <w:tc>
          <w:tcPr>
            <w:tcW w:w="241" w:type="dxa"/>
          </w:tcPr>
          <w:p w14:paraId="640ABB57" w14:textId="65EA7A71"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21</w:t>
            </w:r>
          </w:p>
        </w:tc>
        <w:tc>
          <w:tcPr>
            <w:tcW w:w="639" w:type="dxa"/>
          </w:tcPr>
          <w:p w14:paraId="0AC1F45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Haider et al., 2022</w:t>
            </w:r>
          </w:p>
        </w:tc>
        <w:tc>
          <w:tcPr>
            <w:tcW w:w="1435" w:type="dxa"/>
          </w:tcPr>
          <w:p w14:paraId="4DC676A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The intervention was assessed for usability, acceptability and aesthetics, with user experience informing implementation improvements.</w:t>
            </w:r>
          </w:p>
        </w:tc>
        <w:tc>
          <w:tcPr>
            <w:tcW w:w="1224" w:type="dxa"/>
          </w:tcPr>
          <w:p w14:paraId="51C1E8F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User-friendly design; relevance to frontline work; digital support for service delivery.</w:t>
            </w:r>
          </w:p>
        </w:tc>
        <w:tc>
          <w:tcPr>
            <w:tcW w:w="1276" w:type="dxa"/>
          </w:tcPr>
          <w:p w14:paraId="1713037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Technology/usability issues; training/support requirements; peri-urban infrastructure constraints.</w:t>
            </w:r>
          </w:p>
        </w:tc>
        <w:tc>
          <w:tcPr>
            <w:tcW w:w="1417" w:type="dxa"/>
          </w:tcPr>
          <w:p w14:paraId="4F793E8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improve access and quality of maternal/child health service delivery through frontline workers.</w:t>
            </w:r>
          </w:p>
        </w:tc>
        <w:tc>
          <w:tcPr>
            <w:tcW w:w="1701" w:type="dxa"/>
          </w:tcPr>
          <w:p w14:paraId="7961A24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Provide user-</w:t>
            </w:r>
            <w:proofErr w:type="spellStart"/>
            <w:r w:rsidRPr="0043400D">
              <w:rPr>
                <w:rFonts w:ascii="Times New Roman" w:hAnsi="Times New Roman"/>
                <w:sz w:val="18"/>
                <w:szCs w:val="18"/>
                <w:lang w:val="en-US" w:eastAsia="en-US"/>
              </w:rPr>
              <w:t>centred</w:t>
            </w:r>
            <w:proofErr w:type="spellEnd"/>
            <w:r w:rsidRPr="0043400D">
              <w:rPr>
                <w:rFonts w:ascii="Times New Roman" w:hAnsi="Times New Roman"/>
                <w:sz w:val="18"/>
                <w:szCs w:val="18"/>
                <w:lang w:val="en-US" w:eastAsia="en-US"/>
              </w:rPr>
              <w:t xml:space="preserve"> design, training and implementation support in peri-urban settings.</w:t>
            </w:r>
          </w:p>
        </w:tc>
        <w:tc>
          <w:tcPr>
            <w:tcW w:w="2127" w:type="dxa"/>
          </w:tcPr>
          <w:p w14:paraId="319A7B3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Specific peri-urban setting; mixed-methods service evaluation; limited evidence of long-term clinical outcomes.</w:t>
            </w:r>
          </w:p>
        </w:tc>
      </w:tr>
      <w:tr w:rsidR="000F5408" w:rsidRPr="000F5408" w14:paraId="2A1FA5EE" w14:textId="77777777" w:rsidTr="000F5408">
        <w:tc>
          <w:tcPr>
            <w:tcW w:w="241" w:type="dxa"/>
          </w:tcPr>
          <w:p w14:paraId="372AEA9C" w14:textId="7CF2FDEE"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22</w:t>
            </w:r>
          </w:p>
        </w:tc>
        <w:tc>
          <w:tcPr>
            <w:tcW w:w="639" w:type="dxa"/>
          </w:tcPr>
          <w:p w14:paraId="0477371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Saifullah et al., 2024</w:t>
            </w:r>
          </w:p>
        </w:tc>
        <w:tc>
          <w:tcPr>
            <w:tcW w:w="1435" w:type="dxa"/>
          </w:tcPr>
          <w:p w14:paraId="6C8A489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Telehealth development was influenced by technological,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regulatory and user-related factors.</w:t>
            </w:r>
          </w:p>
        </w:tc>
        <w:tc>
          <w:tcPr>
            <w:tcW w:w="1224" w:type="dxa"/>
          </w:tcPr>
          <w:p w14:paraId="100EFE9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Growing demand; perceived access benefits; technological availability;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interest.</w:t>
            </w:r>
          </w:p>
        </w:tc>
        <w:tc>
          <w:tcPr>
            <w:tcW w:w="1276" w:type="dxa"/>
          </w:tcPr>
          <w:p w14:paraId="2A4A33A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Infrastructure/connectivity; digital literacy; regulatory/governance gaps; cost/resource constraints; trust and training.</w:t>
            </w:r>
          </w:p>
        </w:tc>
        <w:tc>
          <w:tcPr>
            <w:tcW w:w="1417" w:type="dxa"/>
          </w:tcPr>
          <w:p w14:paraId="7BABB7F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expand access and service delivery, particularly where conventional access is limited.</w:t>
            </w:r>
          </w:p>
        </w:tc>
        <w:tc>
          <w:tcPr>
            <w:tcW w:w="1701" w:type="dxa"/>
          </w:tcPr>
          <w:p w14:paraId="05BCC6E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Strengthen infrastructure, workforce training, governance/regulation and </w:t>
            </w:r>
            <w:proofErr w:type="spellStart"/>
            <w:r w:rsidRPr="0043400D">
              <w:rPr>
                <w:rFonts w:ascii="Times New Roman" w:hAnsi="Times New Roman"/>
                <w:sz w:val="18"/>
                <w:szCs w:val="18"/>
                <w:lang w:val="en-US" w:eastAsia="en-US"/>
              </w:rPr>
              <w:t>organisational</w:t>
            </w:r>
            <w:proofErr w:type="spellEnd"/>
            <w:r w:rsidRPr="0043400D">
              <w:rPr>
                <w:rFonts w:ascii="Times New Roman" w:hAnsi="Times New Roman"/>
                <w:sz w:val="18"/>
                <w:szCs w:val="18"/>
                <w:lang w:val="en-US" w:eastAsia="en-US"/>
              </w:rPr>
              <w:t xml:space="preserve"> readiness.</w:t>
            </w:r>
          </w:p>
        </w:tc>
        <w:tc>
          <w:tcPr>
            <w:tcW w:w="2127" w:type="dxa"/>
          </w:tcPr>
          <w:p w14:paraId="3627A63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 evidence; self-reported perceptions; general Pakistani healthcare context limits condition-specific conclusions.</w:t>
            </w:r>
          </w:p>
        </w:tc>
      </w:tr>
      <w:tr w:rsidR="000F5408" w:rsidRPr="000F5408" w14:paraId="42122ED7" w14:textId="77777777" w:rsidTr="000F5408">
        <w:tc>
          <w:tcPr>
            <w:tcW w:w="241" w:type="dxa"/>
          </w:tcPr>
          <w:p w14:paraId="1B2D662B" w14:textId="1F752D02"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23</w:t>
            </w:r>
          </w:p>
        </w:tc>
        <w:tc>
          <w:tcPr>
            <w:tcW w:w="639" w:type="dxa"/>
          </w:tcPr>
          <w:p w14:paraId="37B536C5"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Kazi</w:t>
            </w:r>
            <w:proofErr w:type="spellEnd"/>
            <w:r w:rsidRPr="0043400D">
              <w:rPr>
                <w:rFonts w:ascii="Times New Roman" w:hAnsi="Times New Roman"/>
                <w:sz w:val="18"/>
                <w:szCs w:val="18"/>
                <w:lang w:val="en-US" w:eastAsia="en-US"/>
              </w:rPr>
              <w:t xml:space="preserve"> et al., 2020</w:t>
            </w:r>
          </w:p>
        </w:tc>
        <w:tc>
          <w:tcPr>
            <w:tcW w:w="1435" w:type="dxa"/>
          </w:tcPr>
          <w:p w14:paraId="3E02F16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Mobile/smartphone technologies were common; 59% of projects included scale-up plans; implementation capacity varied.</w:t>
            </w:r>
          </w:p>
        </w:tc>
        <w:tc>
          <w:tcPr>
            <w:tcW w:w="1224" w:type="dxa"/>
          </w:tcPr>
          <w:p w14:paraId="11F4652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Mobile access; innovation; existing digital projects; plans for scale-up; AI/ML adoption.</w:t>
            </w:r>
          </w:p>
        </w:tc>
        <w:tc>
          <w:tcPr>
            <w:tcW w:w="1276" w:type="dxa"/>
          </w:tcPr>
          <w:p w14:paraId="67D91D0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Fragmented implementation; infrastructure/resource limitations; governance and sustainability challenges.</w:t>
            </w:r>
          </w:p>
        </w:tc>
        <w:tc>
          <w:tcPr>
            <w:tcW w:w="1417" w:type="dxa"/>
          </w:tcPr>
          <w:p w14:paraId="0F3B4E3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Demonstrates broad digital-health activity but uneven progress toward implementation and scale.</w:t>
            </w:r>
          </w:p>
        </w:tc>
        <w:tc>
          <w:tcPr>
            <w:tcW w:w="1701" w:type="dxa"/>
          </w:tcPr>
          <w:p w14:paraId="71336D9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Coordinate digital-health strategy, strengthen infrastructure/governance and plan sustainability and scale from the outset.</w:t>
            </w:r>
          </w:p>
        </w:tc>
        <w:tc>
          <w:tcPr>
            <w:tcW w:w="2127" w:type="dxa"/>
          </w:tcPr>
          <w:p w14:paraId="5CFF1D4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Project-level evidence was heterogeneous; mapping and SWOT depend on reported project information.</w:t>
            </w:r>
          </w:p>
        </w:tc>
      </w:tr>
      <w:tr w:rsidR="000F5408" w:rsidRPr="000F5408" w14:paraId="33054FE9" w14:textId="77777777" w:rsidTr="000F5408">
        <w:tc>
          <w:tcPr>
            <w:tcW w:w="241" w:type="dxa"/>
          </w:tcPr>
          <w:p w14:paraId="4E9BBAFB" w14:textId="6DF8B5E2"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24</w:t>
            </w:r>
          </w:p>
        </w:tc>
        <w:tc>
          <w:tcPr>
            <w:tcW w:w="639" w:type="dxa"/>
          </w:tcPr>
          <w:p w14:paraId="476116F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Tariq et al., 2023</w:t>
            </w:r>
          </w:p>
        </w:tc>
        <w:tc>
          <w:tcPr>
            <w:tcW w:w="1435" w:type="dxa"/>
          </w:tcPr>
          <w:p w14:paraId="72BAA4C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COVID-19 increased relevance of telemedicine; knowledge, perceptions and willingness varied across population groups.</w:t>
            </w:r>
          </w:p>
        </w:tc>
        <w:tc>
          <w:tcPr>
            <w:tcW w:w="1224" w:type="dxa"/>
          </w:tcPr>
          <w:p w14:paraId="7D51003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Pandemic-driven need; convenience; access to medical advice; reduced infection exposure.</w:t>
            </w:r>
          </w:p>
        </w:tc>
        <w:tc>
          <w:tcPr>
            <w:tcW w:w="1276" w:type="dxa"/>
          </w:tcPr>
          <w:p w14:paraId="27835E8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Digital literacy; internet/device access; trust; cost and other socioeconomic differences.</w:t>
            </w:r>
          </w:p>
        </w:tc>
        <w:tc>
          <w:tcPr>
            <w:tcW w:w="1417" w:type="dxa"/>
          </w:tcPr>
          <w:p w14:paraId="75CD712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Telemedicine offered potential for continued access during COVID-19 and reduced face-to-face exposure.</w:t>
            </w:r>
          </w:p>
        </w:tc>
        <w:tc>
          <w:tcPr>
            <w:tcW w:w="1701" w:type="dxa"/>
          </w:tcPr>
          <w:p w14:paraId="657B9DE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Improve public awareness, digital literacy, infrastructure and policies supporting safe telemedicine.</w:t>
            </w:r>
          </w:p>
        </w:tc>
        <w:tc>
          <w:tcPr>
            <w:tcW w:w="2127" w:type="dxa"/>
          </w:tcPr>
          <w:p w14:paraId="526620C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Cross-sectional/self-reported data; pandemic-specific context; potential sampling/response bias.</w:t>
            </w:r>
          </w:p>
        </w:tc>
      </w:tr>
      <w:tr w:rsidR="000F5408" w:rsidRPr="000F5408" w14:paraId="7F822881" w14:textId="77777777" w:rsidTr="000F5408">
        <w:tc>
          <w:tcPr>
            <w:tcW w:w="241" w:type="dxa"/>
          </w:tcPr>
          <w:p w14:paraId="6DD765A6" w14:textId="76CCB28A"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25</w:t>
            </w:r>
          </w:p>
        </w:tc>
        <w:tc>
          <w:tcPr>
            <w:tcW w:w="639" w:type="dxa"/>
          </w:tcPr>
          <w:p w14:paraId="7B63807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Karim et al., 2024</w:t>
            </w:r>
          </w:p>
        </w:tc>
        <w:tc>
          <w:tcPr>
            <w:tcW w:w="1435" w:type="dxa"/>
          </w:tcPr>
          <w:p w14:paraId="3345774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Most clinicians had at least basic understanding; continuous education was </w:t>
            </w:r>
            <w:r w:rsidRPr="0043400D">
              <w:rPr>
                <w:rFonts w:ascii="Times New Roman" w:hAnsi="Times New Roman"/>
                <w:sz w:val="18"/>
                <w:szCs w:val="18"/>
                <w:lang w:val="en-US" w:eastAsia="en-US"/>
              </w:rPr>
              <w:lastRenderedPageBreak/>
              <w:t>identified as necessary.</w:t>
            </w:r>
          </w:p>
        </w:tc>
        <w:tc>
          <w:tcPr>
            <w:tcW w:w="1224" w:type="dxa"/>
          </w:tcPr>
          <w:p w14:paraId="0AFCE0D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Existing e-health clinic infrastructure; telemedicine experience; </w:t>
            </w:r>
            <w:r w:rsidRPr="0043400D">
              <w:rPr>
                <w:rFonts w:ascii="Times New Roman" w:hAnsi="Times New Roman"/>
                <w:sz w:val="18"/>
                <w:szCs w:val="18"/>
                <w:lang w:val="en-US" w:eastAsia="en-US"/>
              </w:rPr>
              <w:lastRenderedPageBreak/>
              <w:t>perceived utility.</w:t>
            </w:r>
          </w:p>
        </w:tc>
        <w:tc>
          <w:tcPr>
            <w:tcW w:w="1276" w:type="dxa"/>
          </w:tcPr>
          <w:p w14:paraId="224A64F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Knowledge/competency gaps; need for continuous education; implementation </w:t>
            </w:r>
            <w:r w:rsidRPr="0043400D">
              <w:rPr>
                <w:rFonts w:ascii="Times New Roman" w:hAnsi="Times New Roman"/>
                <w:sz w:val="18"/>
                <w:szCs w:val="18"/>
                <w:lang w:val="en-US" w:eastAsia="en-US"/>
              </w:rPr>
              <w:lastRenderedPageBreak/>
              <w:t>constraints affecting broader adoption.</w:t>
            </w:r>
          </w:p>
        </w:tc>
        <w:tc>
          <w:tcPr>
            <w:tcW w:w="1417" w:type="dxa"/>
          </w:tcPr>
          <w:p w14:paraId="1B10D8F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Supports service delivery through e-health clinics, particularly for underserved communities.</w:t>
            </w:r>
          </w:p>
        </w:tc>
        <w:tc>
          <w:tcPr>
            <w:tcW w:w="1701" w:type="dxa"/>
          </w:tcPr>
          <w:p w14:paraId="70601EC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Strengthen continuous telemedicine education and competency development.</w:t>
            </w:r>
          </w:p>
        </w:tc>
        <w:tc>
          <w:tcPr>
            <w:tcW w:w="2127" w:type="dxa"/>
          </w:tcPr>
          <w:p w14:paraId="328A524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Single </w:t>
            </w:r>
            <w:proofErr w:type="spellStart"/>
            <w:r w:rsidRPr="0043400D">
              <w:rPr>
                <w:rFonts w:ascii="Times New Roman" w:hAnsi="Times New Roman"/>
                <w:sz w:val="18"/>
                <w:szCs w:val="18"/>
                <w:lang w:val="en-US" w:eastAsia="en-US"/>
              </w:rPr>
              <w:t>organisation</w:t>
            </w:r>
            <w:proofErr w:type="spellEnd"/>
            <w:r w:rsidRPr="0043400D">
              <w:rPr>
                <w:rFonts w:ascii="Times New Roman" w:hAnsi="Times New Roman"/>
                <w:sz w:val="18"/>
                <w:szCs w:val="18"/>
                <w:lang w:val="en-US" w:eastAsia="en-US"/>
              </w:rPr>
              <w:t>/city; invited-sample and self-reported survey; no patient outcome evaluation.</w:t>
            </w:r>
          </w:p>
        </w:tc>
      </w:tr>
      <w:tr w:rsidR="000F5408" w:rsidRPr="000F5408" w14:paraId="057F84BF" w14:textId="77777777" w:rsidTr="000F5408">
        <w:tc>
          <w:tcPr>
            <w:tcW w:w="241" w:type="dxa"/>
          </w:tcPr>
          <w:p w14:paraId="3F58D31A" w14:textId="49AE04C9"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26</w:t>
            </w:r>
          </w:p>
        </w:tc>
        <w:tc>
          <w:tcPr>
            <w:tcW w:w="639" w:type="dxa"/>
          </w:tcPr>
          <w:p w14:paraId="4DA7583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Khan et al., 2025</w:t>
            </w:r>
          </w:p>
        </w:tc>
        <w:tc>
          <w:tcPr>
            <w:tcW w:w="1435" w:type="dxa"/>
          </w:tcPr>
          <w:p w14:paraId="27EF688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Stakeholders supported </w:t>
            </w:r>
            <w:proofErr w:type="spellStart"/>
            <w:r w:rsidRPr="0043400D">
              <w:rPr>
                <w:rFonts w:ascii="Times New Roman" w:hAnsi="Times New Roman"/>
                <w:sz w:val="18"/>
                <w:szCs w:val="18"/>
                <w:lang w:val="en-US" w:eastAsia="en-US"/>
              </w:rPr>
              <w:t>eSHEPP</w:t>
            </w:r>
            <w:proofErr w:type="spellEnd"/>
            <w:r w:rsidRPr="0043400D">
              <w:rPr>
                <w:rFonts w:ascii="Times New Roman" w:hAnsi="Times New Roman"/>
                <w:sz w:val="18"/>
                <w:szCs w:val="18"/>
                <w:lang w:val="en-US" w:eastAsia="en-US"/>
              </w:rPr>
              <w:t>; digital familiarity and mobile access facilitated use, while infrastructure and power/internet problems constrained delivery.</w:t>
            </w:r>
          </w:p>
        </w:tc>
        <w:tc>
          <w:tcPr>
            <w:tcW w:w="1224" w:type="dxa"/>
          </w:tcPr>
          <w:p w14:paraId="2688FDB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Student enthusiasm; mobile familiarity/access; stakeholder support; perceived relevance.</w:t>
            </w:r>
          </w:p>
        </w:tc>
        <w:tc>
          <w:tcPr>
            <w:tcW w:w="1276" w:type="dxa"/>
          </w:tcPr>
          <w:p w14:paraId="707B5CE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Unreliable internet/electricity; limited multimedia resources; privacy and usability requirements.</w:t>
            </w:r>
          </w:p>
        </w:tc>
        <w:tc>
          <w:tcPr>
            <w:tcW w:w="1417" w:type="dxa"/>
          </w:tcPr>
          <w:p w14:paraId="47A805E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improve NCD knowledge and extend health information to families; empirical effectiveness was not yet established in this qualitative study.</w:t>
            </w:r>
          </w:p>
        </w:tc>
        <w:tc>
          <w:tcPr>
            <w:tcW w:w="1701" w:type="dxa"/>
          </w:tcPr>
          <w:p w14:paraId="13F8204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Develop bilingual, offline-capable, intuitive and privacy-conscious digital education; address infrastructure gaps.</w:t>
            </w:r>
          </w:p>
        </w:tc>
        <w:tc>
          <w:tcPr>
            <w:tcW w:w="2127" w:type="dxa"/>
          </w:tcPr>
          <w:p w14:paraId="30FA183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Qualitative stakeholder study; implementation perceptions rather than effectiveness outcomes; Karachi school context.</w:t>
            </w:r>
          </w:p>
        </w:tc>
      </w:tr>
      <w:tr w:rsidR="000F5408" w:rsidRPr="000F5408" w14:paraId="742329ED" w14:textId="77777777" w:rsidTr="000F5408">
        <w:tc>
          <w:tcPr>
            <w:tcW w:w="241" w:type="dxa"/>
          </w:tcPr>
          <w:p w14:paraId="08143E8D" w14:textId="27185DA6"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27</w:t>
            </w:r>
          </w:p>
        </w:tc>
        <w:tc>
          <w:tcPr>
            <w:tcW w:w="639" w:type="dxa"/>
          </w:tcPr>
          <w:p w14:paraId="0BB04C5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Malik et al., 2025</w:t>
            </w:r>
          </w:p>
        </w:tc>
        <w:tc>
          <w:tcPr>
            <w:tcW w:w="1435" w:type="dxa"/>
          </w:tcPr>
          <w:p w14:paraId="056C6F8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High satisfaction with professionalism/quality; comfort and perceived quality predicted acceptance; mean reported telehealth cost was PKR 2,000 vs PKR 4,800 in-person.</w:t>
            </w:r>
          </w:p>
        </w:tc>
        <w:tc>
          <w:tcPr>
            <w:tcW w:w="1224" w:type="dxa"/>
          </w:tcPr>
          <w:p w14:paraId="2BFF7F6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Comfort; perceived quality; convenience; lower patient-reported cost.</w:t>
            </w:r>
          </w:p>
        </w:tc>
        <w:tc>
          <w:tcPr>
            <w:tcW w:w="1276" w:type="dxa"/>
          </w:tcPr>
          <w:p w14:paraId="03C7B22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Connectivity and privacy concerns; access disparities remain relevant.</w:t>
            </w:r>
          </w:p>
        </w:tc>
        <w:tc>
          <w:tcPr>
            <w:tcW w:w="1417" w:type="dxa"/>
          </w:tcPr>
          <w:p w14:paraId="1F0AD8F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High acceptance/satisfaction; lower reported cost; telehealth was estimated to be cost-effective/dominant in the study.</w:t>
            </w:r>
          </w:p>
        </w:tc>
        <w:tc>
          <w:tcPr>
            <w:tcW w:w="1701" w:type="dxa"/>
          </w:tcPr>
          <w:p w14:paraId="7E3332A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Support scaling of telehealth while addressing connectivity, privacy and access disparities.</w:t>
            </w:r>
          </w:p>
        </w:tc>
        <w:tc>
          <w:tcPr>
            <w:tcW w:w="2127" w:type="dxa"/>
          </w:tcPr>
          <w:p w14:paraId="0D2C361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Cross-sectional/self-reported costs; non-</w:t>
            </w:r>
            <w:proofErr w:type="spellStart"/>
            <w:r w:rsidRPr="0043400D">
              <w:rPr>
                <w:rFonts w:ascii="Times New Roman" w:hAnsi="Times New Roman"/>
                <w:sz w:val="18"/>
                <w:szCs w:val="18"/>
                <w:lang w:val="en-US" w:eastAsia="en-US"/>
              </w:rPr>
              <w:t>randomised</w:t>
            </w:r>
            <w:proofErr w:type="spellEnd"/>
            <w:r w:rsidRPr="0043400D">
              <w:rPr>
                <w:rFonts w:ascii="Times New Roman" w:hAnsi="Times New Roman"/>
                <w:sz w:val="18"/>
                <w:szCs w:val="18"/>
                <w:lang w:val="en-US" w:eastAsia="en-US"/>
              </w:rPr>
              <w:t xml:space="preserve"> design; </w:t>
            </w:r>
            <w:proofErr w:type="spellStart"/>
            <w:r w:rsidRPr="0043400D">
              <w:rPr>
                <w:rFonts w:ascii="Times New Roman" w:hAnsi="Times New Roman"/>
                <w:sz w:val="18"/>
                <w:szCs w:val="18"/>
                <w:lang w:val="en-US" w:eastAsia="en-US"/>
              </w:rPr>
              <w:t>EZShifa</w:t>
            </w:r>
            <w:proofErr w:type="spellEnd"/>
            <w:r w:rsidRPr="0043400D">
              <w:rPr>
                <w:rFonts w:ascii="Times New Roman" w:hAnsi="Times New Roman"/>
                <w:sz w:val="18"/>
                <w:szCs w:val="18"/>
                <w:lang w:val="en-US" w:eastAsia="en-US"/>
              </w:rPr>
              <w:t>-specific context.</w:t>
            </w:r>
          </w:p>
        </w:tc>
      </w:tr>
      <w:tr w:rsidR="000F5408" w:rsidRPr="000F5408" w14:paraId="27D8AA8F" w14:textId="77777777" w:rsidTr="000F5408">
        <w:tc>
          <w:tcPr>
            <w:tcW w:w="241" w:type="dxa"/>
          </w:tcPr>
          <w:p w14:paraId="040C5DB1" w14:textId="2A3737D3"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28</w:t>
            </w:r>
          </w:p>
        </w:tc>
        <w:tc>
          <w:tcPr>
            <w:tcW w:w="639" w:type="dxa"/>
          </w:tcPr>
          <w:p w14:paraId="6972F4B0"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Shahil-Feroz</w:t>
            </w:r>
            <w:proofErr w:type="spellEnd"/>
            <w:r w:rsidRPr="0043400D">
              <w:rPr>
                <w:rFonts w:ascii="Times New Roman" w:hAnsi="Times New Roman"/>
                <w:sz w:val="18"/>
                <w:szCs w:val="18"/>
                <w:lang w:val="en-US" w:eastAsia="en-US"/>
              </w:rPr>
              <w:t xml:space="preserve"> et al., 2024</w:t>
            </w:r>
          </w:p>
        </w:tc>
        <w:tc>
          <w:tcPr>
            <w:tcW w:w="1435" w:type="dxa"/>
          </w:tcPr>
          <w:p w14:paraId="7A21F646"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Raabta</w:t>
            </w:r>
            <w:proofErr w:type="spellEnd"/>
            <w:r w:rsidRPr="0043400D">
              <w:rPr>
                <w:rFonts w:ascii="Times New Roman" w:hAnsi="Times New Roman"/>
                <w:sz w:val="18"/>
                <w:szCs w:val="18"/>
                <w:lang w:val="en-US" w:eastAsia="en-US"/>
              </w:rPr>
              <w:t xml:space="preserve"> was considered user-friendly, but implementation feasibility differed between private and public sectors.</w:t>
            </w:r>
          </w:p>
        </w:tc>
        <w:tc>
          <w:tcPr>
            <w:tcW w:w="1224" w:type="dxa"/>
          </w:tcPr>
          <w:p w14:paraId="03F1E2A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User-friendly design; positive attitudes; private-sector infrastructure/readiness; nurse-led and paramedic-supported models.</w:t>
            </w:r>
          </w:p>
        </w:tc>
        <w:tc>
          <w:tcPr>
            <w:tcW w:w="1276" w:type="dxa"/>
          </w:tcPr>
          <w:p w14:paraId="7191DB7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Low health/digital literacy; language/cultural issues; public-sector space/resource constraints; physician resistance.</w:t>
            </w:r>
          </w:p>
        </w:tc>
        <w:tc>
          <w:tcPr>
            <w:tcW w:w="1417" w:type="dxa"/>
          </w:tcPr>
          <w:p w14:paraId="039C5AA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support high-risk pregnancy monitoring; sustained implementation depends on multi-level readiness.</w:t>
            </w:r>
          </w:p>
        </w:tc>
        <w:tc>
          <w:tcPr>
            <w:tcW w:w="1701" w:type="dxa"/>
          </w:tcPr>
          <w:p w14:paraId="204EF2B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Tailor implementation to sector context; strengthen literacy, resources, staffing and governance.</w:t>
            </w:r>
          </w:p>
        </w:tc>
        <w:tc>
          <w:tcPr>
            <w:tcW w:w="2127" w:type="dxa"/>
          </w:tcPr>
          <w:p w14:paraId="0FC230D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Qualitative perceptions; </w:t>
            </w:r>
            <w:proofErr w:type="spellStart"/>
            <w:r w:rsidRPr="0043400D">
              <w:rPr>
                <w:rFonts w:ascii="Times New Roman" w:hAnsi="Times New Roman"/>
                <w:sz w:val="18"/>
                <w:szCs w:val="18"/>
                <w:lang w:val="en-US" w:eastAsia="en-US"/>
              </w:rPr>
              <w:t>programme</w:t>
            </w:r>
            <w:proofErr w:type="spellEnd"/>
            <w:r w:rsidRPr="0043400D">
              <w:rPr>
                <w:rFonts w:ascii="Times New Roman" w:hAnsi="Times New Roman"/>
                <w:sz w:val="18"/>
                <w:szCs w:val="18"/>
                <w:lang w:val="en-US" w:eastAsia="en-US"/>
              </w:rPr>
              <w:t>-specific; no direct clinical effectiveness outcome.</w:t>
            </w:r>
          </w:p>
        </w:tc>
      </w:tr>
      <w:tr w:rsidR="000F5408" w:rsidRPr="000F5408" w14:paraId="083E6184" w14:textId="77777777" w:rsidTr="000F5408">
        <w:tc>
          <w:tcPr>
            <w:tcW w:w="241" w:type="dxa"/>
          </w:tcPr>
          <w:p w14:paraId="3E13EC7E" w14:textId="40A19320"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w:t>
            </w:r>
            <w:r w:rsidR="0001690A" w:rsidRPr="0043400D">
              <w:rPr>
                <w:rFonts w:ascii="Times New Roman" w:hAnsi="Times New Roman"/>
                <w:sz w:val="18"/>
                <w:szCs w:val="18"/>
                <w:lang w:val="en-US" w:eastAsia="en-US"/>
              </w:rPr>
              <w:t>9</w:t>
            </w:r>
          </w:p>
        </w:tc>
        <w:tc>
          <w:tcPr>
            <w:tcW w:w="639" w:type="dxa"/>
          </w:tcPr>
          <w:p w14:paraId="1D646EA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Mansoor et al., 2025</w:t>
            </w:r>
          </w:p>
        </w:tc>
        <w:tc>
          <w:tcPr>
            <w:tcW w:w="1435" w:type="dxa"/>
          </w:tcPr>
          <w:p w14:paraId="30F4A33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Students had lower familiarity/knowledge than house officers and clinicians; interviews highlighted challenges and opportunities in practice.</w:t>
            </w:r>
          </w:p>
        </w:tc>
        <w:tc>
          <w:tcPr>
            <w:tcW w:w="1224" w:type="dxa"/>
          </w:tcPr>
          <w:p w14:paraId="3426BD4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Clinical exposure; experience; telemedicine familiarity; perceived opportunities in resource-limited settings.</w:t>
            </w:r>
          </w:p>
        </w:tc>
        <w:tc>
          <w:tcPr>
            <w:tcW w:w="1276" w:type="dxa"/>
          </w:tcPr>
          <w:p w14:paraId="4D37A15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Knowledge gaps; implementation/practice challenges; resource limitations.</w:t>
            </w:r>
          </w:p>
        </w:tc>
        <w:tc>
          <w:tcPr>
            <w:tcW w:w="1417" w:type="dxa"/>
          </w:tcPr>
          <w:p w14:paraId="6A352C9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Shows potential for telemedicine in resource-limited settings but highlights uneven literacy/experience.</w:t>
            </w:r>
          </w:p>
        </w:tc>
        <w:tc>
          <w:tcPr>
            <w:tcW w:w="1701" w:type="dxa"/>
          </w:tcPr>
          <w:p w14:paraId="14FCA09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Integrate telemedicine education and practical training into medical education and clinical development.</w:t>
            </w:r>
          </w:p>
        </w:tc>
        <w:tc>
          <w:tcPr>
            <w:tcW w:w="2127" w:type="dxa"/>
          </w:tcPr>
          <w:p w14:paraId="3AA9340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Multi-institutional but geographically limited; self-reported knowledge; mixed-methods results are context-specific.</w:t>
            </w:r>
          </w:p>
        </w:tc>
      </w:tr>
      <w:tr w:rsidR="000F5408" w:rsidRPr="000F5408" w14:paraId="38F0616E" w14:textId="77777777" w:rsidTr="000F5408">
        <w:tc>
          <w:tcPr>
            <w:tcW w:w="241" w:type="dxa"/>
          </w:tcPr>
          <w:p w14:paraId="5C2FBE6C" w14:textId="791265E7"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30</w:t>
            </w:r>
          </w:p>
        </w:tc>
        <w:tc>
          <w:tcPr>
            <w:tcW w:w="639" w:type="dxa"/>
          </w:tcPr>
          <w:p w14:paraId="2EA91B4A"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Mechael</w:t>
            </w:r>
            <w:proofErr w:type="spellEnd"/>
            <w:r w:rsidRPr="0043400D">
              <w:rPr>
                <w:rFonts w:ascii="Times New Roman" w:hAnsi="Times New Roman"/>
                <w:sz w:val="18"/>
                <w:szCs w:val="18"/>
                <w:lang w:val="en-US" w:eastAsia="en-US"/>
              </w:rPr>
              <w:t xml:space="preserve"> et al., 2024</w:t>
            </w:r>
          </w:p>
        </w:tc>
        <w:tc>
          <w:tcPr>
            <w:tcW w:w="1435" w:type="dxa"/>
          </w:tcPr>
          <w:p w14:paraId="2888A87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ZM-EIR improved data availability/use and was well received; registration, reminders and tracking supported </w:t>
            </w:r>
            <w:proofErr w:type="spellStart"/>
            <w:r w:rsidRPr="0043400D">
              <w:rPr>
                <w:rFonts w:ascii="Times New Roman" w:hAnsi="Times New Roman"/>
                <w:sz w:val="18"/>
                <w:szCs w:val="18"/>
                <w:lang w:val="en-US" w:eastAsia="en-US"/>
              </w:rPr>
              <w:t>immunisation</w:t>
            </w:r>
            <w:proofErr w:type="spellEnd"/>
            <w:r w:rsidRPr="0043400D">
              <w:rPr>
                <w:rFonts w:ascii="Times New Roman" w:hAnsi="Times New Roman"/>
                <w:sz w:val="18"/>
                <w:szCs w:val="18"/>
                <w:lang w:val="en-US" w:eastAsia="en-US"/>
              </w:rPr>
              <w:t xml:space="preserve"> processes.</w:t>
            </w:r>
          </w:p>
        </w:tc>
        <w:tc>
          <w:tcPr>
            <w:tcW w:w="1224" w:type="dxa"/>
          </w:tcPr>
          <w:p w14:paraId="1DB4D5F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Smartphone app; dashboards; SMS reminders; call </w:t>
            </w:r>
            <w:proofErr w:type="spellStart"/>
            <w:r w:rsidRPr="0043400D">
              <w:rPr>
                <w:rFonts w:ascii="Times New Roman" w:hAnsi="Times New Roman"/>
                <w:sz w:val="18"/>
                <w:szCs w:val="18"/>
                <w:lang w:val="en-US" w:eastAsia="en-US"/>
              </w:rPr>
              <w:t>centre</w:t>
            </w:r>
            <w:proofErr w:type="spellEnd"/>
            <w:r w:rsidRPr="0043400D">
              <w:rPr>
                <w:rFonts w:ascii="Times New Roman" w:hAnsi="Times New Roman"/>
                <w:sz w:val="18"/>
                <w:szCs w:val="18"/>
                <w:lang w:val="en-US" w:eastAsia="en-US"/>
              </w:rPr>
              <w:t>; routine data use; user acceptance.</w:t>
            </w:r>
          </w:p>
        </w:tc>
        <w:tc>
          <w:tcPr>
            <w:tcW w:w="1276" w:type="dxa"/>
          </w:tcPr>
          <w:p w14:paraId="3D81700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Adoption/compliance variation; implementation and scale-up demands across sites.</w:t>
            </w:r>
          </w:p>
        </w:tc>
        <w:tc>
          <w:tcPr>
            <w:tcW w:w="1417" w:type="dxa"/>
          </w:tcPr>
          <w:p w14:paraId="29B3635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Improved data availability/use and contributed alongside other </w:t>
            </w:r>
            <w:proofErr w:type="spellStart"/>
            <w:r w:rsidRPr="0043400D">
              <w:rPr>
                <w:rFonts w:ascii="Times New Roman" w:hAnsi="Times New Roman"/>
                <w:sz w:val="18"/>
                <w:szCs w:val="18"/>
                <w:lang w:val="en-US" w:eastAsia="en-US"/>
              </w:rPr>
              <w:t>programme</w:t>
            </w:r>
            <w:proofErr w:type="spellEnd"/>
            <w:r w:rsidRPr="0043400D">
              <w:rPr>
                <w:rFonts w:ascii="Times New Roman" w:hAnsi="Times New Roman"/>
                <w:sz w:val="18"/>
                <w:szCs w:val="18"/>
                <w:lang w:val="en-US" w:eastAsia="en-US"/>
              </w:rPr>
              <w:t xml:space="preserve"> interventions to </w:t>
            </w:r>
            <w:proofErr w:type="spellStart"/>
            <w:r w:rsidRPr="0043400D">
              <w:rPr>
                <w:rFonts w:ascii="Times New Roman" w:hAnsi="Times New Roman"/>
                <w:sz w:val="18"/>
                <w:szCs w:val="18"/>
                <w:lang w:val="en-US" w:eastAsia="en-US"/>
              </w:rPr>
              <w:t>immunisation</w:t>
            </w:r>
            <w:proofErr w:type="spellEnd"/>
            <w:r w:rsidRPr="0043400D">
              <w:rPr>
                <w:rFonts w:ascii="Times New Roman" w:hAnsi="Times New Roman"/>
                <w:sz w:val="18"/>
                <w:szCs w:val="18"/>
                <w:lang w:val="en-US" w:eastAsia="en-US"/>
              </w:rPr>
              <w:t xml:space="preserve"> outcomes.</w:t>
            </w:r>
          </w:p>
        </w:tc>
        <w:tc>
          <w:tcPr>
            <w:tcW w:w="1701" w:type="dxa"/>
          </w:tcPr>
          <w:p w14:paraId="61F7775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Maintain integrated digital infrastructure, supervision, user support and data-use mechanisms at scale.</w:t>
            </w:r>
          </w:p>
        </w:tc>
        <w:tc>
          <w:tcPr>
            <w:tcW w:w="2127" w:type="dxa"/>
          </w:tcPr>
          <w:p w14:paraId="6DAA4A4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Attribution of outcome changes to ZM-EIR alone is limited because multiple </w:t>
            </w:r>
            <w:proofErr w:type="spellStart"/>
            <w:r w:rsidRPr="0043400D">
              <w:rPr>
                <w:rFonts w:ascii="Times New Roman" w:hAnsi="Times New Roman"/>
                <w:sz w:val="18"/>
                <w:szCs w:val="18"/>
                <w:lang w:val="en-US" w:eastAsia="en-US"/>
              </w:rPr>
              <w:t>programme</w:t>
            </w:r>
            <w:proofErr w:type="spellEnd"/>
            <w:r w:rsidRPr="0043400D">
              <w:rPr>
                <w:rFonts w:ascii="Times New Roman" w:hAnsi="Times New Roman"/>
                <w:sz w:val="18"/>
                <w:szCs w:val="18"/>
                <w:lang w:val="en-US" w:eastAsia="en-US"/>
              </w:rPr>
              <w:t xml:space="preserve"> interventions were operating.</w:t>
            </w:r>
          </w:p>
        </w:tc>
      </w:tr>
      <w:tr w:rsidR="000F5408" w:rsidRPr="000F5408" w14:paraId="06DCC84C" w14:textId="77777777" w:rsidTr="000F5408">
        <w:tc>
          <w:tcPr>
            <w:tcW w:w="241" w:type="dxa"/>
          </w:tcPr>
          <w:p w14:paraId="78D6987E" w14:textId="369C27B8"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31</w:t>
            </w:r>
          </w:p>
        </w:tc>
        <w:tc>
          <w:tcPr>
            <w:tcW w:w="639" w:type="dxa"/>
          </w:tcPr>
          <w:p w14:paraId="5BA50A50"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Alam</w:t>
            </w:r>
            <w:proofErr w:type="spellEnd"/>
            <w:r w:rsidRPr="0043400D">
              <w:rPr>
                <w:rFonts w:ascii="Times New Roman" w:hAnsi="Times New Roman"/>
                <w:sz w:val="18"/>
                <w:szCs w:val="18"/>
                <w:lang w:val="en-US" w:eastAsia="en-US"/>
              </w:rPr>
              <w:t xml:space="preserve"> et al., 2021</w:t>
            </w:r>
          </w:p>
        </w:tc>
        <w:tc>
          <w:tcPr>
            <w:tcW w:w="1435" w:type="dxa"/>
          </w:tcPr>
          <w:p w14:paraId="658998A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Doctors identified inadequate training, infrastructure and regulatory/medico-legal arrangements as major barriers.</w:t>
            </w:r>
          </w:p>
        </w:tc>
        <w:tc>
          <w:tcPr>
            <w:tcW w:w="1224" w:type="dxa"/>
          </w:tcPr>
          <w:p w14:paraId="6AB2D0C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access/continuity benefits; clinician experience; service demand.</w:t>
            </w:r>
          </w:p>
        </w:tc>
        <w:tc>
          <w:tcPr>
            <w:tcW w:w="1276" w:type="dxa"/>
          </w:tcPr>
          <w:p w14:paraId="68FF66E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Limited training; infrastructure/hardware shortages; lack of regulatory bodies/accreditation; malpractice, missed diagnosis and medico-legal concerns; public digital literacy.</w:t>
            </w:r>
          </w:p>
        </w:tc>
        <w:tc>
          <w:tcPr>
            <w:tcW w:w="1417" w:type="dxa"/>
          </w:tcPr>
          <w:p w14:paraId="291AE61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Potential to expand access, but effectiveness and safe implementation require technical, legal, cultural and ethical support.</w:t>
            </w:r>
          </w:p>
        </w:tc>
        <w:tc>
          <w:tcPr>
            <w:tcW w:w="1701" w:type="dxa"/>
          </w:tcPr>
          <w:p w14:paraId="07F9A8B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Develop training, infrastructure, regulation, accreditation and evidence-based long-term policy.</w:t>
            </w:r>
          </w:p>
        </w:tc>
        <w:tc>
          <w:tcPr>
            <w:tcW w:w="2127" w:type="dxa"/>
          </w:tcPr>
          <w:p w14:paraId="0FCB573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Self-reported cross-sectional survey; predominantly urban/semi-urban respondents; evidence of effectiveness was noted as inconsistent.</w:t>
            </w:r>
          </w:p>
        </w:tc>
      </w:tr>
      <w:tr w:rsidR="000F5408" w:rsidRPr="000F5408" w14:paraId="4BAF4D2E" w14:textId="77777777" w:rsidTr="000F5408">
        <w:tc>
          <w:tcPr>
            <w:tcW w:w="241" w:type="dxa"/>
          </w:tcPr>
          <w:p w14:paraId="5EFCC8C0" w14:textId="2F0B0DCF" w:rsidR="000F5408" w:rsidRPr="0043400D" w:rsidRDefault="0001690A"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32</w:t>
            </w:r>
          </w:p>
        </w:tc>
        <w:tc>
          <w:tcPr>
            <w:tcW w:w="639" w:type="dxa"/>
          </w:tcPr>
          <w:p w14:paraId="22AE4FF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Raza et al., 2025</w:t>
            </w:r>
          </w:p>
        </w:tc>
        <w:tc>
          <w:tcPr>
            <w:tcW w:w="1435" w:type="dxa"/>
          </w:tcPr>
          <w:p w14:paraId="143F2F0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Social influence, performance expectancy, effort expectancy and facilitating conditions predicted intention; </w:t>
            </w:r>
            <w:r w:rsidRPr="0043400D">
              <w:rPr>
                <w:rFonts w:ascii="Times New Roman" w:hAnsi="Times New Roman"/>
                <w:sz w:val="18"/>
                <w:szCs w:val="18"/>
                <w:lang w:val="en-US" w:eastAsia="en-US"/>
              </w:rPr>
              <w:lastRenderedPageBreak/>
              <w:t>advertising shaped perceptions of performance.</w:t>
            </w:r>
          </w:p>
        </w:tc>
        <w:tc>
          <w:tcPr>
            <w:tcW w:w="1224" w:type="dxa"/>
          </w:tcPr>
          <w:p w14:paraId="56FC913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 xml:space="preserve">Social influence; performance expectancy; effort expectancy; facilitating </w:t>
            </w:r>
            <w:r w:rsidRPr="0043400D">
              <w:rPr>
                <w:rFonts w:ascii="Times New Roman" w:hAnsi="Times New Roman"/>
                <w:sz w:val="18"/>
                <w:szCs w:val="18"/>
                <w:lang w:val="en-US" w:eastAsia="en-US"/>
              </w:rPr>
              <w:lastRenderedPageBreak/>
              <w:t>conditions; digital-media advertising.</w:t>
            </w:r>
          </w:p>
        </w:tc>
        <w:tc>
          <w:tcPr>
            <w:tcW w:w="1276" w:type="dxa"/>
          </w:tcPr>
          <w:p w14:paraId="325AB04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Digital divide; trust; uncertainty around emerging AI/IoT technologies.</w:t>
            </w:r>
          </w:p>
        </w:tc>
        <w:tc>
          <w:tcPr>
            <w:tcW w:w="1417" w:type="dxa"/>
          </w:tcPr>
          <w:p w14:paraId="5C28BB4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Findings support factors that may encourage mHealth adoption; clinical outcomes were not directly measured.</w:t>
            </w:r>
          </w:p>
        </w:tc>
        <w:tc>
          <w:tcPr>
            <w:tcW w:w="1701" w:type="dxa"/>
          </w:tcPr>
          <w:p w14:paraId="21A6655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Use clear, trustworthy digital communication and address facilitating conditions and digital-divide issues.</w:t>
            </w:r>
          </w:p>
        </w:tc>
        <w:tc>
          <w:tcPr>
            <w:tcW w:w="2127" w:type="dxa"/>
          </w:tcPr>
          <w:p w14:paraId="0789C74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Cross-sectional online survey; intention rather than actual long-term use/clinical outcomes; online sampling may exclude digitally disconnected groups.</w:t>
            </w:r>
          </w:p>
        </w:tc>
      </w:tr>
    </w:tbl>
    <w:p w14:paraId="1F30BBC0" w14:textId="77777777" w:rsidR="000F5408" w:rsidRPr="000F5408" w:rsidRDefault="000F5408" w:rsidP="000F5408">
      <w:pPr>
        <w:spacing w:line="240" w:lineRule="auto"/>
        <w:rPr>
          <w:rFonts w:ascii="Times New Roman" w:hAnsi="Times New Roman"/>
          <w:sz w:val="20"/>
          <w:szCs w:val="20"/>
          <w:lang w:val="en-US" w:eastAsia="en-US"/>
        </w:rPr>
        <w:sectPr w:rsidR="000F5408" w:rsidRPr="000F5408" w:rsidSect="000F5408">
          <w:pgSz w:w="11907" w:h="16839" w:code="9"/>
          <w:pgMar w:top="900" w:right="1000" w:bottom="900" w:left="1000" w:header="708" w:footer="708" w:gutter="0"/>
          <w:cols w:space="720"/>
          <w:docGrid w:linePitch="360"/>
        </w:sectPr>
      </w:pPr>
    </w:p>
    <w:bookmarkEnd w:id="67"/>
    <w:p w14:paraId="2B9F66A7" w14:textId="77777777" w:rsidR="000F5408" w:rsidRPr="000F5408" w:rsidRDefault="000F5408" w:rsidP="000F5408">
      <w:pPr>
        <w:spacing w:after="200" w:line="360" w:lineRule="auto"/>
        <w:jc w:val="both"/>
        <w:rPr>
          <w:rFonts w:ascii="Times New Roman" w:hAnsi="Times New Roman"/>
          <w:lang w:val="en-US" w:eastAsia="en-US" w:bidi="ur-PK"/>
        </w:rPr>
      </w:pPr>
    </w:p>
    <w:p w14:paraId="1D31ED76" w14:textId="77777777" w:rsidR="000F5408" w:rsidRPr="000F5408" w:rsidRDefault="000F5408" w:rsidP="000F5408">
      <w:pPr>
        <w:spacing w:after="300" w:line="240" w:lineRule="auto"/>
        <w:outlineLvl w:val="0"/>
        <w:rPr>
          <w:rFonts w:ascii="Times New Roman" w:hAnsi="Times New Roman"/>
          <w:sz w:val="32"/>
          <w:szCs w:val="32"/>
          <w:lang w:val="en-US" w:eastAsia="en-US"/>
        </w:rPr>
      </w:pPr>
      <w:bookmarkStart w:id="68" w:name="_Toc239804253"/>
      <w:r w:rsidRPr="000F5408">
        <w:rPr>
          <w:rFonts w:ascii="Times New Roman" w:hAnsi="Times New Roman"/>
          <w:b/>
          <w:bCs/>
          <w:sz w:val="30"/>
          <w:szCs w:val="30"/>
          <w:lang w:val="en-US" w:eastAsia="en-US"/>
        </w:rPr>
        <w:t>APPENDIX D: PRISMA 2020 Checklist</w:t>
      </w:r>
      <w:bookmarkEnd w:id="68"/>
    </w:p>
    <w:p w14:paraId="1F6F84B6" w14:textId="77777777" w:rsidR="000F5408" w:rsidRPr="000F5408" w:rsidRDefault="000F5408" w:rsidP="000F5408">
      <w:pPr>
        <w:spacing w:after="200" w:line="340" w:lineRule="auto"/>
        <w:jc w:val="both"/>
        <w:rPr>
          <w:rFonts w:ascii="Times New Roman" w:hAnsi="Times New Roman"/>
          <w:lang w:val="en-US" w:eastAsia="en-US"/>
        </w:rPr>
      </w:pPr>
      <w:r w:rsidRPr="000F5408">
        <w:rPr>
          <w:rFonts w:ascii="Times New Roman" w:hAnsi="Times New Roman"/>
          <w:lang w:val="en-US" w:eastAsia="en-US"/>
        </w:rPr>
        <w:t>The table below maps each PRISMA 2020 checklist item (Page et al., 2021) to the section of this thesis where it is addressed, supporting the reporting-transparency requirements referenced throughout Chapter Three. Item wording is paraphrased rather than reproduced verbatim from the PRISMA statement.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1800"/>
        <w:gridCol w:w="3800"/>
        <w:gridCol w:w="3760"/>
      </w:tblGrid>
      <w:tr w:rsidR="000F5408" w:rsidRPr="000F5408" w14:paraId="5DE470C7" w14:textId="77777777" w:rsidTr="000F5408">
        <w:tc>
          <w:tcPr>
            <w:tcW w:w="700" w:type="dxa"/>
            <w:shd w:val="clear" w:color="auto" w:fill="D9E2F3"/>
          </w:tcPr>
          <w:p w14:paraId="1443007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Item #</w:t>
            </w:r>
          </w:p>
        </w:tc>
        <w:tc>
          <w:tcPr>
            <w:tcW w:w="1800" w:type="dxa"/>
            <w:shd w:val="clear" w:color="auto" w:fill="D9E2F3"/>
          </w:tcPr>
          <w:p w14:paraId="6976114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Topic</w:t>
            </w:r>
          </w:p>
        </w:tc>
        <w:tc>
          <w:tcPr>
            <w:tcW w:w="3800" w:type="dxa"/>
            <w:shd w:val="clear" w:color="auto" w:fill="D9E2F3"/>
          </w:tcPr>
          <w:p w14:paraId="71828DA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Checklist item (paraphrased from Page et al., 2021)</w:t>
            </w:r>
          </w:p>
        </w:tc>
        <w:tc>
          <w:tcPr>
            <w:tcW w:w="3760" w:type="dxa"/>
            <w:shd w:val="clear" w:color="auto" w:fill="D9E2F3"/>
          </w:tcPr>
          <w:p w14:paraId="388192A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b/>
                <w:bCs/>
                <w:sz w:val="18"/>
                <w:szCs w:val="18"/>
                <w:lang w:val="en-US" w:eastAsia="en-US"/>
              </w:rPr>
              <w:t>Reported in this thesis at</w:t>
            </w:r>
          </w:p>
        </w:tc>
      </w:tr>
      <w:tr w:rsidR="000F5408" w:rsidRPr="000F5408" w14:paraId="5BC3DFB2" w14:textId="77777777" w:rsidTr="000F5408">
        <w:tc>
          <w:tcPr>
            <w:tcW w:w="700" w:type="dxa"/>
          </w:tcPr>
          <w:p w14:paraId="1FC7672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w:t>
            </w:r>
          </w:p>
        </w:tc>
        <w:tc>
          <w:tcPr>
            <w:tcW w:w="1800" w:type="dxa"/>
          </w:tcPr>
          <w:p w14:paraId="3FCCE30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Title</w:t>
            </w:r>
          </w:p>
        </w:tc>
        <w:tc>
          <w:tcPr>
            <w:tcW w:w="3800" w:type="dxa"/>
          </w:tcPr>
          <w:p w14:paraId="322DCB7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State that the report describes a systematic review.</w:t>
            </w:r>
          </w:p>
        </w:tc>
        <w:tc>
          <w:tcPr>
            <w:tcW w:w="3760" w:type="dxa"/>
          </w:tcPr>
          <w:p w14:paraId="21E4A61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Title page; Chapter 1, Section 1.9 (Scope)</w:t>
            </w:r>
          </w:p>
        </w:tc>
      </w:tr>
      <w:tr w:rsidR="000F5408" w:rsidRPr="000F5408" w14:paraId="4956EB2A" w14:textId="77777777" w:rsidTr="000F5408">
        <w:tc>
          <w:tcPr>
            <w:tcW w:w="700" w:type="dxa"/>
          </w:tcPr>
          <w:p w14:paraId="0469A3B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w:t>
            </w:r>
          </w:p>
        </w:tc>
        <w:tc>
          <w:tcPr>
            <w:tcW w:w="1800" w:type="dxa"/>
          </w:tcPr>
          <w:p w14:paraId="63BAFE4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Abstract</w:t>
            </w:r>
          </w:p>
        </w:tc>
        <w:tc>
          <w:tcPr>
            <w:tcW w:w="3800" w:type="dxa"/>
          </w:tcPr>
          <w:p w14:paraId="17B985E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Provide a structured summary covering background, methods, results, and conclusions.</w:t>
            </w:r>
          </w:p>
        </w:tc>
        <w:tc>
          <w:tcPr>
            <w:tcW w:w="3760" w:type="dxa"/>
          </w:tcPr>
          <w:p w14:paraId="43525A1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Abstract</w:t>
            </w:r>
          </w:p>
        </w:tc>
      </w:tr>
      <w:tr w:rsidR="000F5408" w:rsidRPr="000F5408" w14:paraId="48179F0F" w14:textId="77777777" w:rsidTr="000F5408">
        <w:tc>
          <w:tcPr>
            <w:tcW w:w="700" w:type="dxa"/>
          </w:tcPr>
          <w:p w14:paraId="268876B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3</w:t>
            </w:r>
          </w:p>
        </w:tc>
        <w:tc>
          <w:tcPr>
            <w:tcW w:w="1800" w:type="dxa"/>
          </w:tcPr>
          <w:p w14:paraId="5C3DFBE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Rationale</w:t>
            </w:r>
          </w:p>
        </w:tc>
        <w:tc>
          <w:tcPr>
            <w:tcW w:w="3800" w:type="dxa"/>
          </w:tcPr>
          <w:p w14:paraId="50F5AF1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the rationale for the review in the context of existing knowledge.</w:t>
            </w:r>
          </w:p>
        </w:tc>
        <w:tc>
          <w:tcPr>
            <w:tcW w:w="3760" w:type="dxa"/>
          </w:tcPr>
          <w:p w14:paraId="7C4A43C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1, Sections 1.3–1.4; Chapter 2 throughout</w:t>
            </w:r>
          </w:p>
        </w:tc>
      </w:tr>
      <w:tr w:rsidR="000F5408" w:rsidRPr="000F5408" w14:paraId="4B58B3C9" w14:textId="77777777" w:rsidTr="000F5408">
        <w:tc>
          <w:tcPr>
            <w:tcW w:w="700" w:type="dxa"/>
          </w:tcPr>
          <w:p w14:paraId="4D3DD3E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4</w:t>
            </w:r>
          </w:p>
        </w:tc>
        <w:tc>
          <w:tcPr>
            <w:tcW w:w="1800" w:type="dxa"/>
          </w:tcPr>
          <w:p w14:paraId="57F6E30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Objectives</w:t>
            </w:r>
          </w:p>
        </w:tc>
        <w:tc>
          <w:tcPr>
            <w:tcW w:w="3800" w:type="dxa"/>
          </w:tcPr>
          <w:p w14:paraId="3570D13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State the review's objectives and research questions explicitly.</w:t>
            </w:r>
          </w:p>
        </w:tc>
        <w:tc>
          <w:tcPr>
            <w:tcW w:w="3760" w:type="dxa"/>
          </w:tcPr>
          <w:p w14:paraId="4417425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1, Sections 1.6–1.7</w:t>
            </w:r>
          </w:p>
        </w:tc>
      </w:tr>
      <w:tr w:rsidR="000F5408" w:rsidRPr="000F5408" w14:paraId="18A35FA4" w14:textId="77777777" w:rsidTr="000F5408">
        <w:tc>
          <w:tcPr>
            <w:tcW w:w="700" w:type="dxa"/>
          </w:tcPr>
          <w:p w14:paraId="24F5F7FE"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5</w:t>
            </w:r>
          </w:p>
        </w:tc>
        <w:tc>
          <w:tcPr>
            <w:tcW w:w="1800" w:type="dxa"/>
          </w:tcPr>
          <w:p w14:paraId="0B379A2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Eligibility criteria</w:t>
            </w:r>
          </w:p>
        </w:tc>
        <w:tc>
          <w:tcPr>
            <w:tcW w:w="3800" w:type="dxa"/>
          </w:tcPr>
          <w:p w14:paraId="6F226E1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Specify inclusion and exclusion criteria and how studies were grouped.</w:t>
            </w:r>
          </w:p>
        </w:tc>
        <w:tc>
          <w:tcPr>
            <w:tcW w:w="3760" w:type="dxa"/>
          </w:tcPr>
          <w:p w14:paraId="16E6359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3.8, Table 3.1</w:t>
            </w:r>
          </w:p>
        </w:tc>
      </w:tr>
      <w:tr w:rsidR="000F5408" w:rsidRPr="000F5408" w14:paraId="3CDA4816" w14:textId="77777777" w:rsidTr="000F5408">
        <w:tc>
          <w:tcPr>
            <w:tcW w:w="700" w:type="dxa"/>
          </w:tcPr>
          <w:p w14:paraId="4E98D25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6</w:t>
            </w:r>
          </w:p>
        </w:tc>
        <w:tc>
          <w:tcPr>
            <w:tcW w:w="1800" w:type="dxa"/>
          </w:tcPr>
          <w:p w14:paraId="57CB5E6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Information sources</w:t>
            </w:r>
          </w:p>
        </w:tc>
        <w:tc>
          <w:tcPr>
            <w:tcW w:w="3800" w:type="dxa"/>
          </w:tcPr>
          <w:p w14:paraId="2FF171B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List all databases and other sources searched, with dates.</w:t>
            </w:r>
          </w:p>
        </w:tc>
        <w:tc>
          <w:tcPr>
            <w:tcW w:w="3760" w:type="dxa"/>
          </w:tcPr>
          <w:p w14:paraId="5CA4E46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3.6; Table 3.2</w:t>
            </w:r>
          </w:p>
        </w:tc>
      </w:tr>
      <w:tr w:rsidR="000F5408" w:rsidRPr="000F5408" w14:paraId="2A1BD628" w14:textId="77777777" w:rsidTr="000F5408">
        <w:tc>
          <w:tcPr>
            <w:tcW w:w="700" w:type="dxa"/>
          </w:tcPr>
          <w:p w14:paraId="1D0C4E9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7</w:t>
            </w:r>
          </w:p>
        </w:tc>
        <w:tc>
          <w:tcPr>
            <w:tcW w:w="1800" w:type="dxa"/>
          </w:tcPr>
          <w:p w14:paraId="7C2F74C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Search strategy</w:t>
            </w:r>
          </w:p>
        </w:tc>
        <w:tc>
          <w:tcPr>
            <w:tcW w:w="3800" w:type="dxa"/>
          </w:tcPr>
          <w:p w14:paraId="439F0D0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Present the full search strategy for at least one database, including filters.</w:t>
            </w:r>
          </w:p>
        </w:tc>
        <w:tc>
          <w:tcPr>
            <w:tcW w:w="3760" w:type="dxa"/>
          </w:tcPr>
          <w:p w14:paraId="47C34AD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3.7 (exact exported query strings)</w:t>
            </w:r>
          </w:p>
        </w:tc>
      </w:tr>
      <w:tr w:rsidR="000F5408" w:rsidRPr="000F5408" w14:paraId="31EB6A76" w14:textId="77777777" w:rsidTr="000F5408">
        <w:tc>
          <w:tcPr>
            <w:tcW w:w="700" w:type="dxa"/>
          </w:tcPr>
          <w:p w14:paraId="08F3762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8</w:t>
            </w:r>
          </w:p>
        </w:tc>
        <w:tc>
          <w:tcPr>
            <w:tcW w:w="1800" w:type="dxa"/>
          </w:tcPr>
          <w:p w14:paraId="7F0883C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Selection process</w:t>
            </w:r>
          </w:p>
        </w:tc>
        <w:tc>
          <w:tcPr>
            <w:tcW w:w="3800" w:type="dxa"/>
          </w:tcPr>
          <w:p w14:paraId="04B4E37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how studies were selected, including number of reviewers.</w:t>
            </w:r>
          </w:p>
        </w:tc>
        <w:tc>
          <w:tcPr>
            <w:tcW w:w="3760" w:type="dxa"/>
          </w:tcPr>
          <w:p w14:paraId="2A87AC5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3.9 (Stages 1–4)</w:t>
            </w:r>
          </w:p>
        </w:tc>
      </w:tr>
      <w:tr w:rsidR="000F5408" w:rsidRPr="000F5408" w14:paraId="528F74CA" w14:textId="77777777" w:rsidTr="000F5408">
        <w:tc>
          <w:tcPr>
            <w:tcW w:w="700" w:type="dxa"/>
          </w:tcPr>
          <w:p w14:paraId="2F5FF71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9</w:t>
            </w:r>
          </w:p>
        </w:tc>
        <w:tc>
          <w:tcPr>
            <w:tcW w:w="1800" w:type="dxa"/>
          </w:tcPr>
          <w:p w14:paraId="0F96755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Data collection process</w:t>
            </w:r>
          </w:p>
        </w:tc>
        <w:tc>
          <w:tcPr>
            <w:tcW w:w="3800" w:type="dxa"/>
          </w:tcPr>
          <w:p w14:paraId="1A1F36A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methods for extracting data from included studies.</w:t>
            </w:r>
          </w:p>
        </w:tc>
        <w:tc>
          <w:tcPr>
            <w:tcW w:w="3760" w:type="dxa"/>
          </w:tcPr>
          <w:p w14:paraId="3A7FC40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3.11</w:t>
            </w:r>
          </w:p>
        </w:tc>
      </w:tr>
      <w:tr w:rsidR="000F5408" w:rsidRPr="000F5408" w14:paraId="6DF2C27F" w14:textId="77777777" w:rsidTr="000F5408">
        <w:tc>
          <w:tcPr>
            <w:tcW w:w="700" w:type="dxa"/>
          </w:tcPr>
          <w:p w14:paraId="6480511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10a</w:t>
            </w:r>
          </w:p>
        </w:tc>
        <w:tc>
          <w:tcPr>
            <w:tcW w:w="1800" w:type="dxa"/>
          </w:tcPr>
          <w:p w14:paraId="29B37B7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Data items — outcomes</w:t>
            </w:r>
          </w:p>
        </w:tc>
        <w:tc>
          <w:tcPr>
            <w:tcW w:w="3800" w:type="dxa"/>
          </w:tcPr>
          <w:p w14:paraId="6593EF6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List all outcomes for which data were sought.</w:t>
            </w:r>
          </w:p>
        </w:tc>
        <w:tc>
          <w:tcPr>
            <w:tcW w:w="3760" w:type="dxa"/>
          </w:tcPr>
          <w:p w14:paraId="7754093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3.11; Appendix C</w:t>
            </w:r>
          </w:p>
        </w:tc>
      </w:tr>
      <w:tr w:rsidR="000F5408" w:rsidRPr="000F5408" w14:paraId="5504D367" w14:textId="77777777" w:rsidTr="000F5408">
        <w:tc>
          <w:tcPr>
            <w:tcW w:w="700" w:type="dxa"/>
          </w:tcPr>
          <w:p w14:paraId="151C667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10b</w:t>
            </w:r>
          </w:p>
        </w:tc>
        <w:tc>
          <w:tcPr>
            <w:tcW w:w="1800" w:type="dxa"/>
          </w:tcPr>
          <w:p w14:paraId="7D93C575"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Data items — other variables</w:t>
            </w:r>
          </w:p>
        </w:tc>
        <w:tc>
          <w:tcPr>
            <w:tcW w:w="3800" w:type="dxa"/>
          </w:tcPr>
          <w:p w14:paraId="290B1EB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List other variables for which data were sought (</w:t>
            </w:r>
            <w:proofErr w:type="gramStart"/>
            <w:r w:rsidRPr="0043400D">
              <w:rPr>
                <w:rFonts w:ascii="Times New Roman" w:hAnsi="Times New Roman"/>
                <w:sz w:val="18"/>
                <w:szCs w:val="18"/>
                <w:lang w:val="en-US" w:eastAsia="en-US"/>
              </w:rPr>
              <w:t>e.g.</w:t>
            </w:r>
            <w:proofErr w:type="gramEnd"/>
            <w:r w:rsidRPr="0043400D">
              <w:rPr>
                <w:rFonts w:ascii="Times New Roman" w:hAnsi="Times New Roman"/>
                <w:sz w:val="18"/>
                <w:szCs w:val="18"/>
                <w:lang w:val="en-US" w:eastAsia="en-US"/>
              </w:rPr>
              <w:t xml:space="preserve"> setting, design).</w:t>
            </w:r>
          </w:p>
        </w:tc>
        <w:tc>
          <w:tcPr>
            <w:tcW w:w="3760" w:type="dxa"/>
          </w:tcPr>
          <w:p w14:paraId="2AA69DE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3.11; Appendix C</w:t>
            </w:r>
          </w:p>
        </w:tc>
      </w:tr>
      <w:tr w:rsidR="000F5408" w:rsidRPr="000F5408" w14:paraId="178BE690" w14:textId="77777777" w:rsidTr="000F5408">
        <w:tc>
          <w:tcPr>
            <w:tcW w:w="700" w:type="dxa"/>
          </w:tcPr>
          <w:p w14:paraId="352EF58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11</w:t>
            </w:r>
          </w:p>
        </w:tc>
        <w:tc>
          <w:tcPr>
            <w:tcW w:w="1800" w:type="dxa"/>
          </w:tcPr>
          <w:p w14:paraId="658D1C9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Study risk of bias assessment</w:t>
            </w:r>
          </w:p>
        </w:tc>
        <w:tc>
          <w:tcPr>
            <w:tcW w:w="3800" w:type="dxa"/>
          </w:tcPr>
          <w:p w14:paraId="718EDF0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methods used to assess risk of bias / quality in included studies.</w:t>
            </w:r>
          </w:p>
        </w:tc>
        <w:tc>
          <w:tcPr>
            <w:tcW w:w="3760" w:type="dxa"/>
          </w:tcPr>
          <w:p w14:paraId="110F6B1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3.10; Appendix B</w:t>
            </w:r>
          </w:p>
        </w:tc>
      </w:tr>
      <w:tr w:rsidR="000F5408" w:rsidRPr="000F5408" w14:paraId="08368DD5" w14:textId="77777777" w:rsidTr="000F5408">
        <w:tc>
          <w:tcPr>
            <w:tcW w:w="700" w:type="dxa"/>
          </w:tcPr>
          <w:p w14:paraId="6D18E54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12</w:t>
            </w:r>
          </w:p>
        </w:tc>
        <w:tc>
          <w:tcPr>
            <w:tcW w:w="1800" w:type="dxa"/>
          </w:tcPr>
          <w:p w14:paraId="6F217D4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Effect measures</w:t>
            </w:r>
          </w:p>
        </w:tc>
        <w:tc>
          <w:tcPr>
            <w:tcW w:w="3800" w:type="dxa"/>
          </w:tcPr>
          <w:p w14:paraId="72D029E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State effect measures used (where applicable to quantitative synthesis).</w:t>
            </w:r>
          </w:p>
        </w:tc>
        <w:tc>
          <w:tcPr>
            <w:tcW w:w="3760" w:type="dxa"/>
          </w:tcPr>
          <w:p w14:paraId="36E4F27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Not applicable — thematic (non-meta-analytic) synthesis; see Section 3.12</w:t>
            </w:r>
          </w:p>
        </w:tc>
      </w:tr>
      <w:tr w:rsidR="000F5408" w:rsidRPr="000F5408" w14:paraId="40A1AEB4" w14:textId="77777777" w:rsidTr="000F5408">
        <w:tc>
          <w:tcPr>
            <w:tcW w:w="700" w:type="dxa"/>
          </w:tcPr>
          <w:p w14:paraId="2FEBEC9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13a</w:t>
            </w:r>
          </w:p>
        </w:tc>
        <w:tc>
          <w:tcPr>
            <w:tcW w:w="1800" w:type="dxa"/>
          </w:tcPr>
          <w:p w14:paraId="08E0FA6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Synthesis methods — eligibility for synthesis</w:t>
            </w:r>
          </w:p>
        </w:tc>
        <w:tc>
          <w:tcPr>
            <w:tcW w:w="3800" w:type="dxa"/>
          </w:tcPr>
          <w:p w14:paraId="39F34A8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processes for deciding which studies were eligible for each synthesis.</w:t>
            </w:r>
          </w:p>
        </w:tc>
        <w:tc>
          <w:tcPr>
            <w:tcW w:w="3760" w:type="dxa"/>
          </w:tcPr>
          <w:p w14:paraId="457F530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3.12</w:t>
            </w:r>
          </w:p>
        </w:tc>
      </w:tr>
      <w:tr w:rsidR="000F5408" w:rsidRPr="000F5408" w14:paraId="56EE024C" w14:textId="77777777" w:rsidTr="000F5408">
        <w:tc>
          <w:tcPr>
            <w:tcW w:w="700" w:type="dxa"/>
          </w:tcPr>
          <w:p w14:paraId="15B803D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13b–13f</w:t>
            </w:r>
          </w:p>
        </w:tc>
        <w:tc>
          <w:tcPr>
            <w:tcW w:w="1800" w:type="dxa"/>
          </w:tcPr>
          <w:p w14:paraId="4F77F76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Synthesis methods — preparation, tabulation, method, heterogeneity, sensitivity</w:t>
            </w:r>
          </w:p>
        </w:tc>
        <w:tc>
          <w:tcPr>
            <w:tcW w:w="3800" w:type="dxa"/>
          </w:tcPr>
          <w:p w14:paraId="485B931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data preparation, tabulation/visual methods, the synthesis method, and any exploration of variation across studies.</w:t>
            </w:r>
          </w:p>
        </w:tc>
        <w:tc>
          <w:tcPr>
            <w:tcW w:w="3760" w:type="dxa"/>
          </w:tcPr>
          <w:p w14:paraId="7C25F32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3.12 (Braun and Clarke six-stage thematic analysis)</w:t>
            </w:r>
          </w:p>
        </w:tc>
      </w:tr>
      <w:tr w:rsidR="000F5408" w:rsidRPr="000F5408" w14:paraId="740E339F" w14:textId="77777777" w:rsidTr="000F5408">
        <w:tc>
          <w:tcPr>
            <w:tcW w:w="700" w:type="dxa"/>
          </w:tcPr>
          <w:p w14:paraId="03DB037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14</w:t>
            </w:r>
          </w:p>
        </w:tc>
        <w:tc>
          <w:tcPr>
            <w:tcW w:w="1800" w:type="dxa"/>
          </w:tcPr>
          <w:p w14:paraId="041FB3C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Reporting bias assessment</w:t>
            </w:r>
          </w:p>
        </w:tc>
        <w:tc>
          <w:tcPr>
            <w:tcW w:w="3800" w:type="dxa"/>
          </w:tcPr>
          <w:p w14:paraId="4F3FEBA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methods used to assess risk of bias from missing results.</w:t>
            </w:r>
          </w:p>
        </w:tc>
        <w:tc>
          <w:tcPr>
            <w:tcW w:w="3760" w:type="dxa"/>
          </w:tcPr>
          <w:p w14:paraId="6241094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3.9 (documented exclusion reasons); Chapter 5, Section 5.7 (Limitations)</w:t>
            </w:r>
          </w:p>
        </w:tc>
      </w:tr>
      <w:tr w:rsidR="000F5408" w:rsidRPr="000F5408" w14:paraId="561EDC4C" w14:textId="77777777" w:rsidTr="000F5408">
        <w:tc>
          <w:tcPr>
            <w:tcW w:w="700" w:type="dxa"/>
          </w:tcPr>
          <w:p w14:paraId="5FDF4F8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15</w:t>
            </w:r>
          </w:p>
        </w:tc>
        <w:tc>
          <w:tcPr>
            <w:tcW w:w="1800" w:type="dxa"/>
          </w:tcPr>
          <w:p w14:paraId="14F9BB5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Certainty assessment</w:t>
            </w:r>
          </w:p>
        </w:tc>
        <w:tc>
          <w:tcPr>
            <w:tcW w:w="3800" w:type="dxa"/>
          </w:tcPr>
          <w:p w14:paraId="4B94CA4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methods used to assess certainty in the body of evidence.</w:t>
            </w:r>
          </w:p>
        </w:tc>
        <w:tc>
          <w:tcPr>
            <w:tcW w:w="3760" w:type="dxa"/>
          </w:tcPr>
          <w:p w14:paraId="2620DF2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Section 3.10 (MMAT); Chapter 5, Section 5.7</w:t>
            </w:r>
          </w:p>
        </w:tc>
      </w:tr>
      <w:tr w:rsidR="000F5408" w:rsidRPr="000F5408" w14:paraId="5BF6D1EB" w14:textId="77777777" w:rsidTr="000F5408">
        <w:tc>
          <w:tcPr>
            <w:tcW w:w="700" w:type="dxa"/>
          </w:tcPr>
          <w:p w14:paraId="78F641B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16a–16b</w:t>
            </w:r>
          </w:p>
        </w:tc>
        <w:tc>
          <w:tcPr>
            <w:tcW w:w="1800" w:type="dxa"/>
          </w:tcPr>
          <w:p w14:paraId="1A44488D"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Study selection results</w:t>
            </w:r>
          </w:p>
        </w:tc>
        <w:tc>
          <w:tcPr>
            <w:tcW w:w="3800" w:type="dxa"/>
          </w:tcPr>
          <w:p w14:paraId="48A003E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Report numbers of studies screened, assessed, and included, with reasons for exclusion (diagram).</w:t>
            </w:r>
          </w:p>
        </w:tc>
        <w:tc>
          <w:tcPr>
            <w:tcW w:w="3760" w:type="dxa"/>
          </w:tcPr>
          <w:p w14:paraId="3DC2244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3, Figure 3.1 (PRISMA flow diagram)</w:t>
            </w:r>
          </w:p>
        </w:tc>
      </w:tr>
      <w:tr w:rsidR="000F5408" w:rsidRPr="000F5408" w14:paraId="5871BD86" w14:textId="77777777" w:rsidTr="000F5408">
        <w:tc>
          <w:tcPr>
            <w:tcW w:w="700" w:type="dxa"/>
          </w:tcPr>
          <w:p w14:paraId="26E0169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17</w:t>
            </w:r>
          </w:p>
        </w:tc>
        <w:tc>
          <w:tcPr>
            <w:tcW w:w="1800" w:type="dxa"/>
          </w:tcPr>
          <w:p w14:paraId="7DCE654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Study characteristics</w:t>
            </w:r>
          </w:p>
        </w:tc>
        <w:tc>
          <w:tcPr>
            <w:tcW w:w="3800" w:type="dxa"/>
          </w:tcPr>
          <w:p w14:paraId="720F71B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Cite and </w:t>
            </w:r>
            <w:proofErr w:type="spellStart"/>
            <w:r w:rsidRPr="0043400D">
              <w:rPr>
                <w:rFonts w:ascii="Times New Roman" w:hAnsi="Times New Roman"/>
                <w:sz w:val="18"/>
                <w:szCs w:val="18"/>
                <w:lang w:val="en-US" w:eastAsia="en-US"/>
              </w:rPr>
              <w:t>summarise</w:t>
            </w:r>
            <w:proofErr w:type="spellEnd"/>
            <w:r w:rsidRPr="0043400D">
              <w:rPr>
                <w:rFonts w:ascii="Times New Roman" w:hAnsi="Times New Roman"/>
                <w:sz w:val="18"/>
                <w:szCs w:val="18"/>
                <w:lang w:val="en-US" w:eastAsia="en-US"/>
              </w:rPr>
              <w:t xml:space="preserve"> characteristics of each included study.</w:t>
            </w:r>
          </w:p>
        </w:tc>
        <w:tc>
          <w:tcPr>
            <w:tcW w:w="3760" w:type="dxa"/>
          </w:tcPr>
          <w:p w14:paraId="558B34B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4, Section 4.2, Table 4.1; Appendix A</w:t>
            </w:r>
          </w:p>
        </w:tc>
      </w:tr>
      <w:tr w:rsidR="000F5408" w:rsidRPr="000F5408" w14:paraId="07D9DEC5" w14:textId="77777777" w:rsidTr="000F5408">
        <w:tc>
          <w:tcPr>
            <w:tcW w:w="700" w:type="dxa"/>
          </w:tcPr>
          <w:p w14:paraId="1E80993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18</w:t>
            </w:r>
          </w:p>
        </w:tc>
        <w:tc>
          <w:tcPr>
            <w:tcW w:w="1800" w:type="dxa"/>
          </w:tcPr>
          <w:p w14:paraId="4683B80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Risk of bias in studies</w:t>
            </w:r>
          </w:p>
        </w:tc>
        <w:tc>
          <w:tcPr>
            <w:tcW w:w="3800" w:type="dxa"/>
          </w:tcPr>
          <w:p w14:paraId="463738C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Present assessment of risk of bias / quality for each included study.</w:t>
            </w:r>
          </w:p>
        </w:tc>
        <w:tc>
          <w:tcPr>
            <w:tcW w:w="3760" w:type="dxa"/>
          </w:tcPr>
          <w:p w14:paraId="4F8A4DDC" w14:textId="245297A5" w:rsidR="000F5408" w:rsidRPr="0043400D" w:rsidRDefault="00043BE8" w:rsidP="00043BE8">
            <w:pPr>
              <w:spacing w:line="240" w:lineRule="auto"/>
              <w:rPr>
                <w:rFonts w:ascii="Times New Roman" w:hAnsi="Times New Roman"/>
                <w:sz w:val="18"/>
                <w:szCs w:val="18"/>
                <w:lang w:val="en-US" w:eastAsia="en-US"/>
              </w:rPr>
            </w:pPr>
            <w:r>
              <w:rPr>
                <w:rFonts w:ascii="Times New Roman" w:hAnsi="Times New Roman"/>
                <w:sz w:val="18"/>
                <w:szCs w:val="18"/>
                <w:lang w:val="en-US" w:eastAsia="en-US"/>
              </w:rPr>
              <w:t>Appendix B (MMAT scores</w:t>
            </w:r>
            <w:r w:rsidR="000F5408" w:rsidRPr="0043400D">
              <w:rPr>
                <w:rFonts w:ascii="Times New Roman" w:hAnsi="Times New Roman"/>
                <w:sz w:val="18"/>
                <w:szCs w:val="18"/>
                <w:lang w:val="en-US" w:eastAsia="en-US"/>
              </w:rPr>
              <w:t>)</w:t>
            </w:r>
          </w:p>
        </w:tc>
      </w:tr>
      <w:tr w:rsidR="000F5408" w:rsidRPr="000F5408" w14:paraId="6915A78D" w14:textId="77777777" w:rsidTr="000F5408">
        <w:tc>
          <w:tcPr>
            <w:tcW w:w="700" w:type="dxa"/>
          </w:tcPr>
          <w:p w14:paraId="4C43E9F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19</w:t>
            </w:r>
          </w:p>
        </w:tc>
        <w:tc>
          <w:tcPr>
            <w:tcW w:w="1800" w:type="dxa"/>
          </w:tcPr>
          <w:p w14:paraId="647427C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Results of individual studies</w:t>
            </w:r>
          </w:p>
        </w:tc>
        <w:tc>
          <w:tcPr>
            <w:tcW w:w="3800" w:type="dxa"/>
          </w:tcPr>
          <w:p w14:paraId="57272F8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Present results for all outcomes for each study.</w:t>
            </w:r>
          </w:p>
        </w:tc>
        <w:tc>
          <w:tcPr>
            <w:tcW w:w="3760" w:type="dxa"/>
          </w:tcPr>
          <w:p w14:paraId="1557EC6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4, Sections 4.3–4.6</w:t>
            </w:r>
          </w:p>
        </w:tc>
      </w:tr>
      <w:tr w:rsidR="000F5408" w:rsidRPr="000F5408" w14:paraId="6A0ACC58" w14:textId="77777777" w:rsidTr="000F5408">
        <w:tc>
          <w:tcPr>
            <w:tcW w:w="700" w:type="dxa"/>
          </w:tcPr>
          <w:p w14:paraId="7EC9AE8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20a–20d</w:t>
            </w:r>
          </w:p>
        </w:tc>
        <w:tc>
          <w:tcPr>
            <w:tcW w:w="1800" w:type="dxa"/>
          </w:tcPr>
          <w:p w14:paraId="1A3956E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Results of syntheses</w:t>
            </w:r>
          </w:p>
        </w:tc>
        <w:tc>
          <w:tcPr>
            <w:tcW w:w="3800" w:type="dxa"/>
          </w:tcPr>
          <w:p w14:paraId="24C67D28" w14:textId="77777777" w:rsidR="000F5408" w:rsidRPr="0043400D" w:rsidRDefault="000F5408" w:rsidP="000F5408">
            <w:pPr>
              <w:spacing w:line="240" w:lineRule="auto"/>
              <w:rPr>
                <w:rFonts w:ascii="Times New Roman" w:hAnsi="Times New Roman"/>
                <w:sz w:val="18"/>
                <w:szCs w:val="18"/>
                <w:lang w:val="en-US" w:eastAsia="en-US"/>
              </w:rPr>
            </w:pPr>
            <w:proofErr w:type="spellStart"/>
            <w:r w:rsidRPr="0043400D">
              <w:rPr>
                <w:rFonts w:ascii="Times New Roman" w:hAnsi="Times New Roman"/>
                <w:sz w:val="18"/>
                <w:szCs w:val="18"/>
                <w:lang w:val="en-US" w:eastAsia="en-US"/>
              </w:rPr>
              <w:t>Summarise</w:t>
            </w:r>
            <w:proofErr w:type="spellEnd"/>
            <w:r w:rsidRPr="0043400D">
              <w:rPr>
                <w:rFonts w:ascii="Times New Roman" w:hAnsi="Times New Roman"/>
                <w:sz w:val="18"/>
                <w:szCs w:val="18"/>
                <w:lang w:val="en-US" w:eastAsia="en-US"/>
              </w:rPr>
              <w:t xml:space="preserve"> characteristics and results of each synthesis, including any assessment of consistency.</w:t>
            </w:r>
          </w:p>
        </w:tc>
        <w:tc>
          <w:tcPr>
            <w:tcW w:w="3760" w:type="dxa"/>
          </w:tcPr>
          <w:p w14:paraId="6DBC40B2"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4, Sections 4.3–4.6; Table 4.2</w:t>
            </w:r>
          </w:p>
        </w:tc>
      </w:tr>
      <w:tr w:rsidR="000F5408" w:rsidRPr="000F5408" w14:paraId="3593B0A7" w14:textId="77777777" w:rsidTr="000F5408">
        <w:tc>
          <w:tcPr>
            <w:tcW w:w="700" w:type="dxa"/>
          </w:tcPr>
          <w:p w14:paraId="3B4E4A8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21</w:t>
            </w:r>
          </w:p>
        </w:tc>
        <w:tc>
          <w:tcPr>
            <w:tcW w:w="1800" w:type="dxa"/>
          </w:tcPr>
          <w:p w14:paraId="458DC88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Reporting biases</w:t>
            </w:r>
          </w:p>
        </w:tc>
        <w:tc>
          <w:tcPr>
            <w:tcW w:w="3800" w:type="dxa"/>
          </w:tcPr>
          <w:p w14:paraId="6B51BDD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Present assessment of risk of bias arising from missing results.</w:t>
            </w:r>
          </w:p>
        </w:tc>
        <w:tc>
          <w:tcPr>
            <w:tcW w:w="3760" w:type="dxa"/>
          </w:tcPr>
          <w:p w14:paraId="39EC340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5, Section 5.7 (publication bias, grey-literature and language exclusion noted)</w:t>
            </w:r>
          </w:p>
        </w:tc>
      </w:tr>
      <w:tr w:rsidR="000F5408" w:rsidRPr="000F5408" w14:paraId="3DA9E347" w14:textId="77777777" w:rsidTr="000F5408">
        <w:tc>
          <w:tcPr>
            <w:tcW w:w="700" w:type="dxa"/>
          </w:tcPr>
          <w:p w14:paraId="7DECC989"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22</w:t>
            </w:r>
          </w:p>
        </w:tc>
        <w:tc>
          <w:tcPr>
            <w:tcW w:w="1800" w:type="dxa"/>
          </w:tcPr>
          <w:p w14:paraId="7FFC88E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Certainty of evidence</w:t>
            </w:r>
          </w:p>
        </w:tc>
        <w:tc>
          <w:tcPr>
            <w:tcW w:w="3800" w:type="dxa"/>
          </w:tcPr>
          <w:p w14:paraId="161DC531"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Present assessment of certainty/confidence in the body of evidence for each outcome.</w:t>
            </w:r>
          </w:p>
        </w:tc>
        <w:tc>
          <w:tcPr>
            <w:tcW w:w="3760" w:type="dxa"/>
          </w:tcPr>
          <w:p w14:paraId="0F229B3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5, Sections 5.2–5.3, 5.7</w:t>
            </w:r>
          </w:p>
        </w:tc>
      </w:tr>
      <w:tr w:rsidR="000F5408" w:rsidRPr="000F5408" w14:paraId="4EEE7904" w14:textId="77777777" w:rsidTr="000F5408">
        <w:tc>
          <w:tcPr>
            <w:tcW w:w="700" w:type="dxa"/>
          </w:tcPr>
          <w:p w14:paraId="3980E127"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23a–23d</w:t>
            </w:r>
          </w:p>
        </w:tc>
        <w:tc>
          <w:tcPr>
            <w:tcW w:w="1800" w:type="dxa"/>
          </w:tcPr>
          <w:p w14:paraId="204A5E2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Discussion</w:t>
            </w:r>
          </w:p>
        </w:tc>
        <w:tc>
          <w:tcPr>
            <w:tcW w:w="3800" w:type="dxa"/>
          </w:tcPr>
          <w:p w14:paraId="600AAE7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Interpret results in context of other evidence, discuss limitations, and implications.</w:t>
            </w:r>
          </w:p>
        </w:tc>
        <w:tc>
          <w:tcPr>
            <w:tcW w:w="3760" w:type="dxa"/>
          </w:tcPr>
          <w:p w14:paraId="14D51E0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Chapter 5, Sections 5.2–5.7</w:t>
            </w:r>
          </w:p>
        </w:tc>
      </w:tr>
      <w:tr w:rsidR="000F5408" w:rsidRPr="000F5408" w14:paraId="76904C2B" w14:textId="77777777" w:rsidTr="000F5408">
        <w:tc>
          <w:tcPr>
            <w:tcW w:w="700" w:type="dxa"/>
          </w:tcPr>
          <w:p w14:paraId="2DA5734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24a–24c</w:t>
            </w:r>
          </w:p>
        </w:tc>
        <w:tc>
          <w:tcPr>
            <w:tcW w:w="1800" w:type="dxa"/>
          </w:tcPr>
          <w:p w14:paraId="3F4563E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Registration and protocol</w:t>
            </w:r>
          </w:p>
        </w:tc>
        <w:tc>
          <w:tcPr>
            <w:tcW w:w="3800" w:type="dxa"/>
          </w:tcPr>
          <w:p w14:paraId="64169CB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State registration details or that the review was not registered, and availability of protocol.</w:t>
            </w:r>
          </w:p>
        </w:tc>
        <w:tc>
          <w:tcPr>
            <w:tcW w:w="3760" w:type="dxa"/>
          </w:tcPr>
          <w:p w14:paraId="5285EAD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Not registered (</w:t>
            </w:r>
            <w:proofErr w:type="spellStart"/>
            <w:r w:rsidRPr="0043400D">
              <w:rPr>
                <w:rFonts w:ascii="Times New Roman" w:hAnsi="Times New Roman"/>
                <w:sz w:val="18"/>
                <w:szCs w:val="18"/>
                <w:lang w:val="en-US" w:eastAsia="en-US"/>
              </w:rPr>
              <w:t>MRes</w:t>
            </w:r>
            <w:proofErr w:type="spellEnd"/>
            <w:r w:rsidRPr="0043400D">
              <w:rPr>
                <w:rFonts w:ascii="Times New Roman" w:hAnsi="Times New Roman"/>
                <w:sz w:val="18"/>
                <w:szCs w:val="18"/>
                <w:lang w:val="en-US" w:eastAsia="en-US"/>
              </w:rPr>
              <w:t xml:space="preserve"> thesis, not submitted to a public register); see Chapter 3, Section 3.4 for the pre-specified review protocol followed internally</w:t>
            </w:r>
          </w:p>
        </w:tc>
      </w:tr>
      <w:tr w:rsidR="000F5408" w:rsidRPr="000F5408" w14:paraId="2ECA8363" w14:textId="77777777" w:rsidTr="000F5408">
        <w:tc>
          <w:tcPr>
            <w:tcW w:w="700" w:type="dxa"/>
          </w:tcPr>
          <w:p w14:paraId="18C701B0"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lastRenderedPageBreak/>
              <w:t>25</w:t>
            </w:r>
          </w:p>
        </w:tc>
        <w:tc>
          <w:tcPr>
            <w:tcW w:w="1800" w:type="dxa"/>
          </w:tcPr>
          <w:p w14:paraId="25987E5A"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Support</w:t>
            </w:r>
          </w:p>
        </w:tc>
        <w:tc>
          <w:tcPr>
            <w:tcW w:w="3800" w:type="dxa"/>
          </w:tcPr>
          <w:p w14:paraId="66340C1F"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Describe sources of financial or non-financial support for the review.</w:t>
            </w:r>
          </w:p>
        </w:tc>
        <w:tc>
          <w:tcPr>
            <w:tcW w:w="3760" w:type="dxa"/>
          </w:tcPr>
          <w:p w14:paraId="75C201C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None — self-funded student research (state explicitly in final submission)</w:t>
            </w:r>
          </w:p>
        </w:tc>
      </w:tr>
      <w:tr w:rsidR="000F5408" w:rsidRPr="000F5408" w14:paraId="5D5D8C39" w14:textId="77777777" w:rsidTr="000F5408">
        <w:tc>
          <w:tcPr>
            <w:tcW w:w="700" w:type="dxa"/>
          </w:tcPr>
          <w:p w14:paraId="2A1F3606"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26</w:t>
            </w:r>
          </w:p>
        </w:tc>
        <w:tc>
          <w:tcPr>
            <w:tcW w:w="1800" w:type="dxa"/>
          </w:tcPr>
          <w:p w14:paraId="0A683B7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Competing interests</w:t>
            </w:r>
          </w:p>
        </w:tc>
        <w:tc>
          <w:tcPr>
            <w:tcW w:w="3800" w:type="dxa"/>
          </w:tcPr>
          <w:p w14:paraId="5BBE931B"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Declare any competing interests of review authors.</w:t>
            </w:r>
          </w:p>
        </w:tc>
        <w:tc>
          <w:tcPr>
            <w:tcW w:w="3760" w:type="dxa"/>
          </w:tcPr>
          <w:p w14:paraId="391E6034"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None declared (confirm explicitly in final submission)</w:t>
            </w:r>
          </w:p>
        </w:tc>
      </w:tr>
      <w:tr w:rsidR="000F5408" w:rsidRPr="000F5408" w14:paraId="74754CC4" w14:textId="77777777" w:rsidTr="000F5408">
        <w:tc>
          <w:tcPr>
            <w:tcW w:w="700" w:type="dxa"/>
          </w:tcPr>
          <w:p w14:paraId="68D93EAC"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27</w:t>
            </w:r>
          </w:p>
        </w:tc>
        <w:tc>
          <w:tcPr>
            <w:tcW w:w="1800" w:type="dxa"/>
          </w:tcPr>
          <w:p w14:paraId="71462FC3"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Availability of data, code, and other materials</w:t>
            </w:r>
          </w:p>
        </w:tc>
        <w:tc>
          <w:tcPr>
            <w:tcW w:w="3800" w:type="dxa"/>
          </w:tcPr>
          <w:p w14:paraId="2CA33F88" w14:textId="77777777" w:rsidR="000F5408" w:rsidRPr="0043400D" w:rsidRDefault="000F5408" w:rsidP="000F540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State which materials are publicly available and where they can be accessed.</w:t>
            </w:r>
          </w:p>
        </w:tc>
        <w:tc>
          <w:tcPr>
            <w:tcW w:w="3760" w:type="dxa"/>
          </w:tcPr>
          <w:p w14:paraId="0DC90945" w14:textId="0F90632B" w:rsidR="000F5408" w:rsidRPr="0043400D" w:rsidRDefault="000F5408" w:rsidP="00043BE8">
            <w:pPr>
              <w:spacing w:line="240" w:lineRule="auto"/>
              <w:rPr>
                <w:rFonts w:ascii="Times New Roman" w:hAnsi="Times New Roman"/>
                <w:sz w:val="18"/>
                <w:szCs w:val="18"/>
                <w:lang w:val="en-US" w:eastAsia="en-US"/>
              </w:rPr>
            </w:pPr>
            <w:r w:rsidRPr="0043400D">
              <w:rPr>
                <w:rFonts w:ascii="Times New Roman" w:hAnsi="Times New Roman"/>
                <w:sz w:val="18"/>
                <w:szCs w:val="18"/>
                <w:lang w:val="en-US" w:eastAsia="en-US"/>
              </w:rPr>
              <w:t xml:space="preserve">Extraction form (Appendix C) and appraisal scores (Appendix B) </w:t>
            </w:r>
          </w:p>
        </w:tc>
      </w:tr>
    </w:tbl>
    <w:p w14:paraId="530EFDF4" w14:textId="77777777" w:rsidR="000F5408" w:rsidRPr="000F5408" w:rsidRDefault="000F5408" w:rsidP="000F5408">
      <w:pPr>
        <w:spacing w:line="240" w:lineRule="auto"/>
        <w:rPr>
          <w:rFonts w:ascii="Times New Roman" w:hAnsi="Times New Roman"/>
          <w:sz w:val="20"/>
          <w:szCs w:val="20"/>
          <w:lang w:val="en-US" w:eastAsia="en-US"/>
        </w:rPr>
        <w:sectPr w:rsidR="000F5408" w:rsidRPr="000F5408" w:rsidSect="000F5408">
          <w:pgSz w:w="11906" w:h="16838"/>
          <w:pgMar w:top="900" w:right="1000" w:bottom="900" w:left="1000" w:header="708" w:footer="708" w:gutter="0"/>
          <w:cols w:space="720"/>
          <w:docGrid w:linePitch="360"/>
        </w:sectPr>
      </w:pPr>
    </w:p>
    <w:p w14:paraId="01315223" w14:textId="77777777" w:rsidR="000F5408" w:rsidRPr="000F5408" w:rsidRDefault="000F5408" w:rsidP="000F5408">
      <w:pPr>
        <w:spacing w:after="300" w:line="240" w:lineRule="auto"/>
        <w:outlineLvl w:val="0"/>
        <w:rPr>
          <w:rFonts w:ascii="Times New Roman" w:hAnsi="Times New Roman"/>
          <w:sz w:val="32"/>
          <w:szCs w:val="32"/>
          <w:lang w:val="en-US" w:eastAsia="en-US"/>
        </w:rPr>
      </w:pPr>
      <w:bookmarkStart w:id="69" w:name="_Toc239804254"/>
      <w:r w:rsidRPr="000F5408">
        <w:rPr>
          <w:rFonts w:ascii="Times New Roman" w:hAnsi="Times New Roman"/>
          <w:b/>
          <w:bCs/>
          <w:sz w:val="30"/>
          <w:szCs w:val="30"/>
          <w:lang w:val="en-US" w:eastAsia="en-US"/>
        </w:rPr>
        <w:lastRenderedPageBreak/>
        <w:t>APPENDIX E: Ethics Approval Confirmation</w:t>
      </w:r>
      <w:bookmarkEnd w:id="69"/>
    </w:p>
    <w:p w14:paraId="5C28A9AF" w14:textId="77777777" w:rsidR="000F5408" w:rsidRPr="000F5408" w:rsidRDefault="000F5408" w:rsidP="000F5408">
      <w:pPr>
        <w:spacing w:after="200" w:line="340" w:lineRule="auto"/>
        <w:jc w:val="both"/>
        <w:rPr>
          <w:rFonts w:ascii="Times New Roman" w:hAnsi="Times New Roman"/>
          <w:lang w:val="en-US" w:eastAsia="en-US"/>
        </w:rPr>
      </w:pPr>
      <w:r w:rsidRPr="000F5408">
        <w:rPr>
          <w:rFonts w:ascii="Times New Roman" w:hAnsi="Times New Roman"/>
          <w:lang w:val="en-US" w:eastAsia="en-US"/>
        </w:rPr>
        <w:t>The following pages reproduce the completed York St John University (London Campus) Postgraduate Students Ethics Form for this study (</w:t>
      </w:r>
      <w:proofErr w:type="spellStart"/>
      <w:r w:rsidRPr="000F5408">
        <w:rPr>
          <w:rFonts w:ascii="Times New Roman" w:hAnsi="Times New Roman"/>
          <w:lang w:val="en-US" w:eastAsia="en-US"/>
        </w:rPr>
        <w:t>MRes</w:t>
      </w:r>
      <w:proofErr w:type="spellEnd"/>
      <w:r w:rsidRPr="000F5408">
        <w:rPr>
          <w:rFonts w:ascii="Times New Roman" w:hAnsi="Times New Roman"/>
          <w:lang w:val="en-US" w:eastAsia="en-US"/>
        </w:rPr>
        <w:t xml:space="preserve"> Management Studies, Thesis module MSR7003M). The self-assessment confirms the study is secondary research, does not involve sensitive research areas under the Counter-Terrorism and Security Act 2015 / Prevent Duty, and is not of a sexual or violent nature; the outcome recorded is that the study may proceed, subject to discussing any minor ethical risk with the supervisor, as no full ethics application was required.</w:t>
      </w:r>
    </w:p>
    <w:p w14:paraId="1F02756B" w14:textId="77777777" w:rsidR="000F5408" w:rsidRPr="000F5408" w:rsidRDefault="000F5408" w:rsidP="000F5408">
      <w:pPr>
        <w:spacing w:after="300" w:line="240" w:lineRule="auto"/>
        <w:rPr>
          <w:rFonts w:ascii="Times New Roman" w:hAnsi="Times New Roman"/>
          <w:sz w:val="20"/>
          <w:szCs w:val="20"/>
          <w:lang w:val="en-US" w:eastAsia="en-US"/>
        </w:rPr>
      </w:pPr>
      <w:r w:rsidRPr="000F5408">
        <w:rPr>
          <w:rFonts w:ascii="Times New Roman" w:hAnsi="Times New Roman"/>
          <w:noProof/>
          <w:sz w:val="20"/>
          <w:szCs w:val="20"/>
          <w:lang w:val="en-US" w:eastAsia="en-US" w:bidi="ur-PK"/>
        </w:rPr>
        <w:lastRenderedPageBreak/>
        <w:drawing>
          <wp:inline distT="0" distB="0" distL="0" distR="0" wp14:anchorId="45D8E11B" wp14:editId="2C4096CF">
            <wp:extent cx="5238750" cy="7410450"/>
            <wp:effectExtent l="0" t="0" r="0" b="0"/>
            <wp:docPr id="2" name="Picture 2"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per with text on it&#10;&#10;AI-generated content may be incorrect."/>
                    <pic:cNvPicPr>
                      <a:picLocks noChangeAspect="1" noChangeArrowheads="1"/>
                    </pic:cNvPicPr>
                  </pic:nvPicPr>
                  <pic:blipFill>
                    <a:blip r:embed="rId62"/>
                    <a:srcRect/>
                    <a:stretch>
                      <a:fillRect/>
                    </a:stretch>
                  </pic:blipFill>
                  <pic:spPr bwMode="auto">
                    <a:xfrm>
                      <a:off x="0" y="0"/>
                      <a:ext cx="5238750" cy="7410450"/>
                    </a:xfrm>
                    <a:prstGeom prst="rect">
                      <a:avLst/>
                    </a:prstGeom>
                  </pic:spPr>
                </pic:pic>
              </a:graphicData>
            </a:graphic>
          </wp:inline>
        </w:drawing>
      </w:r>
    </w:p>
    <w:p w14:paraId="3C5F5CD1" w14:textId="77777777" w:rsidR="000F5408" w:rsidRPr="000F5408" w:rsidRDefault="000F5408" w:rsidP="000F5408">
      <w:pPr>
        <w:spacing w:after="300" w:line="240" w:lineRule="auto"/>
        <w:jc w:val="center"/>
        <w:rPr>
          <w:rFonts w:ascii="Times New Roman" w:hAnsi="Times New Roman"/>
          <w:sz w:val="20"/>
          <w:szCs w:val="20"/>
          <w:lang w:val="en-US" w:eastAsia="en-US"/>
        </w:rPr>
      </w:pPr>
      <w:r w:rsidRPr="000F5408">
        <w:rPr>
          <w:rFonts w:ascii="Times New Roman" w:hAnsi="Times New Roman"/>
          <w:noProof/>
          <w:sz w:val="20"/>
          <w:szCs w:val="20"/>
          <w:lang w:val="en-US" w:eastAsia="en-US" w:bidi="ur-PK"/>
        </w:rPr>
        <w:lastRenderedPageBreak/>
        <w:drawing>
          <wp:inline distT="0" distB="0" distL="0" distR="0" wp14:anchorId="44E66069" wp14:editId="550D747C">
            <wp:extent cx="5238750" cy="7410450"/>
            <wp:effectExtent l="0" t="0" r="0" b="0"/>
            <wp:docPr id="3" name="Picture 3"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10125" name="Picture 716110125" descr="A paper with text on it&#10;&#10;AI-generated content may be incorrect."/>
                    <pic:cNvPicPr>
                      <a:picLocks noChangeAspect="1" noChangeArrowheads="1"/>
                    </pic:cNvPicPr>
                  </pic:nvPicPr>
                  <pic:blipFill>
                    <a:blip r:embed="rId63"/>
                    <a:srcRect/>
                    <a:stretch>
                      <a:fillRect/>
                    </a:stretch>
                  </pic:blipFill>
                  <pic:spPr bwMode="auto">
                    <a:xfrm>
                      <a:off x="0" y="0"/>
                      <a:ext cx="5238750" cy="7410450"/>
                    </a:xfrm>
                    <a:prstGeom prst="rect">
                      <a:avLst/>
                    </a:prstGeom>
                  </pic:spPr>
                </pic:pic>
              </a:graphicData>
            </a:graphic>
          </wp:inline>
        </w:drawing>
      </w:r>
    </w:p>
    <w:p w14:paraId="31789AB0" w14:textId="77777777" w:rsidR="000F5408" w:rsidRPr="000F5408" w:rsidRDefault="000F5408" w:rsidP="000F5408">
      <w:pPr>
        <w:spacing w:after="300" w:line="240" w:lineRule="auto"/>
        <w:jc w:val="center"/>
        <w:rPr>
          <w:rFonts w:ascii="Times New Roman" w:hAnsi="Times New Roman"/>
          <w:sz w:val="20"/>
          <w:szCs w:val="20"/>
          <w:lang w:val="en-US" w:eastAsia="en-US"/>
        </w:rPr>
      </w:pPr>
      <w:r w:rsidRPr="000F5408">
        <w:rPr>
          <w:rFonts w:ascii="Times New Roman" w:hAnsi="Times New Roman"/>
          <w:noProof/>
          <w:sz w:val="20"/>
          <w:szCs w:val="20"/>
          <w:lang w:val="en-US" w:eastAsia="en-US" w:bidi="ur-PK"/>
        </w:rPr>
        <w:lastRenderedPageBreak/>
        <w:drawing>
          <wp:inline distT="0" distB="0" distL="0" distR="0" wp14:anchorId="003A98CF" wp14:editId="6304F5EB">
            <wp:extent cx="5238750" cy="7410450"/>
            <wp:effectExtent l="0" t="0" r="0" b="0"/>
            <wp:docPr id="4" name="Picture 4"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86858" name="Picture 257186858" descr="A close-up of a questionnaire&#10;&#10;AI-generated content may be incorrect."/>
                    <pic:cNvPicPr>
                      <a:picLocks noChangeAspect="1" noChangeArrowheads="1"/>
                    </pic:cNvPicPr>
                  </pic:nvPicPr>
                  <pic:blipFill>
                    <a:blip r:embed="rId64"/>
                    <a:srcRect/>
                    <a:stretch>
                      <a:fillRect/>
                    </a:stretch>
                  </pic:blipFill>
                  <pic:spPr bwMode="auto">
                    <a:xfrm>
                      <a:off x="0" y="0"/>
                      <a:ext cx="5238750" cy="7410450"/>
                    </a:xfrm>
                    <a:prstGeom prst="rect">
                      <a:avLst/>
                    </a:prstGeom>
                  </pic:spPr>
                </pic:pic>
              </a:graphicData>
            </a:graphic>
          </wp:inline>
        </w:drawing>
      </w:r>
    </w:p>
    <w:p w14:paraId="7AD326D4" w14:textId="77777777" w:rsidR="000F5408" w:rsidRPr="000F5408" w:rsidRDefault="000F5408" w:rsidP="000F5408">
      <w:pPr>
        <w:spacing w:after="200" w:line="360" w:lineRule="auto"/>
        <w:jc w:val="both"/>
        <w:rPr>
          <w:rFonts w:ascii="Times New Roman" w:hAnsi="Times New Roman"/>
          <w:lang w:val="en-US" w:eastAsia="en-US" w:bidi="ur-PK"/>
        </w:rPr>
      </w:pPr>
    </w:p>
    <w:p w14:paraId="11858B81" w14:textId="77777777" w:rsidR="000F5408" w:rsidRPr="000F5408" w:rsidRDefault="000F5408" w:rsidP="000F5408">
      <w:pPr>
        <w:spacing w:after="200" w:line="360" w:lineRule="auto"/>
        <w:jc w:val="both"/>
        <w:rPr>
          <w:rFonts w:ascii="Times New Roman" w:hAnsi="Times New Roman"/>
          <w:lang w:val="en-US" w:eastAsia="en-US" w:bidi="ur-PK"/>
        </w:rPr>
      </w:pPr>
    </w:p>
    <w:p w14:paraId="2D6A7A8B" w14:textId="77777777" w:rsidR="000F5408" w:rsidRDefault="000F5408">
      <w:pPr>
        <w:rPr>
          <w:rFonts w:ascii="Times New Roman" w:hAnsi="Times New Roman"/>
          <w:lang w:val="en-US" w:eastAsia="en-US" w:bidi="ur-PK"/>
        </w:rPr>
      </w:pPr>
    </w:p>
    <w:p w14:paraId="4D7DE5F8" w14:textId="77777777" w:rsidR="007F48D8" w:rsidRDefault="007F48D8"/>
    <w:sectPr w:rsidR="007F48D8">
      <w:head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8E9C" w14:textId="77777777" w:rsidR="00A82984" w:rsidRDefault="00A82984" w:rsidP="00FD4548">
      <w:r>
        <w:separator/>
      </w:r>
    </w:p>
  </w:endnote>
  <w:endnote w:type="continuationSeparator" w:id="0">
    <w:p w14:paraId="4A5BEEA0" w14:textId="77777777" w:rsidR="00A82984" w:rsidRDefault="00A82984" w:rsidP="00FD4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288B4" w14:textId="77777777" w:rsidR="00A82984" w:rsidRDefault="00A82984" w:rsidP="00FD4548">
      <w:r>
        <w:separator/>
      </w:r>
    </w:p>
  </w:footnote>
  <w:footnote w:type="continuationSeparator" w:id="0">
    <w:p w14:paraId="7525CD8E" w14:textId="77777777" w:rsidR="00A82984" w:rsidRDefault="00A82984" w:rsidP="00FD4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A186" w14:textId="2C1E6064" w:rsidR="003A6314" w:rsidRDefault="003A6314">
    <w:pPr>
      <w:pStyle w:val="Header"/>
    </w:pPr>
    <w:r>
      <w:rPr>
        <w:noProof/>
        <w:lang w:val="en-US" w:eastAsia="en-US" w:bidi="ur-PK"/>
      </w:rPr>
      <w:drawing>
        <wp:inline distT="0" distB="0" distL="0" distR="0" wp14:anchorId="2464AB9B" wp14:editId="22B39517">
          <wp:extent cx="851300" cy="450000"/>
          <wp:effectExtent l="0" t="0" r="0" b="0"/>
          <wp:docPr id="88460365" name="Picture 88460365" descr="York St John University. Est 1841" title="York St John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60365"/>
                  <pic:cNvPicPr/>
                </pic:nvPicPr>
                <pic:blipFill>
                  <a:blip r:embed="rId1">
                    <a:extLst>
                      <a:ext uri="{28A0092B-C50C-407E-A947-70E740481C1C}">
                        <a14:useLocalDpi xmlns:a14="http://schemas.microsoft.com/office/drawing/2010/main" val="0"/>
                      </a:ext>
                    </a:extLst>
                  </a:blip>
                  <a:stretch>
                    <a:fillRect/>
                  </a:stretch>
                </pic:blipFill>
                <pic:spPr>
                  <a:xfrm>
                    <a:off x="0" y="0"/>
                    <a:ext cx="851300" cy="45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3223F"/>
    <w:multiLevelType w:val="hybridMultilevel"/>
    <w:tmpl w:val="20F83762"/>
    <w:lvl w:ilvl="0" w:tplc="0D3ACAC4">
      <w:start w:val="1"/>
      <w:numFmt w:val="bullet"/>
      <w:lvlText w:val="●"/>
      <w:lvlJc w:val="left"/>
      <w:pPr>
        <w:ind w:left="720" w:hanging="360"/>
      </w:pPr>
    </w:lvl>
    <w:lvl w:ilvl="1" w:tplc="7A488544">
      <w:start w:val="1"/>
      <w:numFmt w:val="bullet"/>
      <w:lvlText w:val="○"/>
      <w:lvlJc w:val="left"/>
      <w:pPr>
        <w:ind w:left="1440" w:hanging="360"/>
      </w:pPr>
    </w:lvl>
    <w:lvl w:ilvl="2" w:tplc="23806B84">
      <w:start w:val="1"/>
      <w:numFmt w:val="bullet"/>
      <w:lvlText w:val="■"/>
      <w:lvlJc w:val="left"/>
      <w:pPr>
        <w:ind w:left="2160" w:hanging="360"/>
      </w:pPr>
    </w:lvl>
    <w:lvl w:ilvl="3" w:tplc="27729200">
      <w:start w:val="1"/>
      <w:numFmt w:val="bullet"/>
      <w:lvlText w:val="●"/>
      <w:lvlJc w:val="left"/>
      <w:pPr>
        <w:ind w:left="2880" w:hanging="360"/>
      </w:pPr>
    </w:lvl>
    <w:lvl w:ilvl="4" w:tplc="7ECA69D8">
      <w:start w:val="1"/>
      <w:numFmt w:val="bullet"/>
      <w:lvlText w:val="○"/>
      <w:lvlJc w:val="left"/>
      <w:pPr>
        <w:ind w:left="3600" w:hanging="360"/>
      </w:pPr>
    </w:lvl>
    <w:lvl w:ilvl="5" w:tplc="F85A5778">
      <w:start w:val="1"/>
      <w:numFmt w:val="bullet"/>
      <w:lvlText w:val="■"/>
      <w:lvlJc w:val="left"/>
      <w:pPr>
        <w:ind w:left="4320" w:hanging="360"/>
      </w:pPr>
    </w:lvl>
    <w:lvl w:ilvl="6" w:tplc="FAB8F586">
      <w:start w:val="1"/>
      <w:numFmt w:val="bullet"/>
      <w:lvlText w:val="●"/>
      <w:lvlJc w:val="left"/>
      <w:pPr>
        <w:ind w:left="5040" w:hanging="360"/>
      </w:pPr>
    </w:lvl>
    <w:lvl w:ilvl="7" w:tplc="D1040D3A">
      <w:start w:val="1"/>
      <w:numFmt w:val="bullet"/>
      <w:lvlText w:val="●"/>
      <w:lvlJc w:val="left"/>
      <w:pPr>
        <w:ind w:left="5760" w:hanging="360"/>
      </w:pPr>
    </w:lvl>
    <w:lvl w:ilvl="8" w:tplc="AD8AF1BC">
      <w:start w:val="1"/>
      <w:numFmt w:val="bullet"/>
      <w:lvlText w:val="●"/>
      <w:lvlJc w:val="left"/>
      <w:pPr>
        <w:ind w:left="6480" w:hanging="360"/>
      </w:pPr>
    </w:lvl>
  </w:abstractNum>
  <w:abstractNum w:abstractNumId="1" w15:restartNumberingAfterBreak="0">
    <w:nsid w:val="2C9B73EC"/>
    <w:multiLevelType w:val="hybridMultilevel"/>
    <w:tmpl w:val="F92254F4"/>
    <w:lvl w:ilvl="0" w:tplc="78FE2256">
      <w:start w:val="1"/>
      <w:numFmt w:val="bullet"/>
      <w:lvlText w:val="●"/>
      <w:lvlJc w:val="left"/>
      <w:pPr>
        <w:ind w:left="720" w:hanging="360"/>
      </w:pPr>
    </w:lvl>
    <w:lvl w:ilvl="1" w:tplc="BB96E6E4">
      <w:start w:val="1"/>
      <w:numFmt w:val="bullet"/>
      <w:lvlText w:val="○"/>
      <w:lvlJc w:val="left"/>
      <w:pPr>
        <w:ind w:left="1440" w:hanging="360"/>
      </w:pPr>
    </w:lvl>
    <w:lvl w:ilvl="2" w:tplc="4D4E3A14">
      <w:start w:val="1"/>
      <w:numFmt w:val="bullet"/>
      <w:lvlText w:val="■"/>
      <w:lvlJc w:val="left"/>
      <w:pPr>
        <w:ind w:left="2160" w:hanging="360"/>
      </w:pPr>
    </w:lvl>
    <w:lvl w:ilvl="3" w:tplc="84CABAEC">
      <w:start w:val="1"/>
      <w:numFmt w:val="bullet"/>
      <w:lvlText w:val="●"/>
      <w:lvlJc w:val="left"/>
      <w:pPr>
        <w:ind w:left="2880" w:hanging="360"/>
      </w:pPr>
    </w:lvl>
    <w:lvl w:ilvl="4" w:tplc="9A1A703E">
      <w:start w:val="1"/>
      <w:numFmt w:val="bullet"/>
      <w:lvlText w:val="○"/>
      <w:lvlJc w:val="left"/>
      <w:pPr>
        <w:ind w:left="3600" w:hanging="360"/>
      </w:pPr>
    </w:lvl>
    <w:lvl w:ilvl="5" w:tplc="90EC3FB8">
      <w:start w:val="1"/>
      <w:numFmt w:val="bullet"/>
      <w:lvlText w:val="■"/>
      <w:lvlJc w:val="left"/>
      <w:pPr>
        <w:ind w:left="4320" w:hanging="360"/>
      </w:pPr>
    </w:lvl>
    <w:lvl w:ilvl="6" w:tplc="E982E02E">
      <w:start w:val="1"/>
      <w:numFmt w:val="bullet"/>
      <w:lvlText w:val="●"/>
      <w:lvlJc w:val="left"/>
      <w:pPr>
        <w:ind w:left="5040" w:hanging="360"/>
      </w:pPr>
    </w:lvl>
    <w:lvl w:ilvl="7" w:tplc="DE0E3D8C">
      <w:start w:val="1"/>
      <w:numFmt w:val="bullet"/>
      <w:lvlText w:val="●"/>
      <w:lvlJc w:val="left"/>
      <w:pPr>
        <w:ind w:left="5760" w:hanging="360"/>
      </w:pPr>
    </w:lvl>
    <w:lvl w:ilvl="8" w:tplc="A04AE8AC">
      <w:start w:val="1"/>
      <w:numFmt w:val="bullet"/>
      <w:lvlText w:val="●"/>
      <w:lvlJc w:val="left"/>
      <w:pPr>
        <w:ind w:left="6480" w:hanging="360"/>
      </w:pPr>
    </w:lvl>
  </w:abstractNum>
  <w:abstractNum w:abstractNumId="2" w15:restartNumberingAfterBreak="0">
    <w:nsid w:val="2E6355B9"/>
    <w:multiLevelType w:val="hybridMultilevel"/>
    <w:tmpl w:val="B4549848"/>
    <w:lvl w:ilvl="0" w:tplc="9E104C02">
      <w:start w:val="1"/>
      <w:numFmt w:val="bullet"/>
      <w:lvlText w:val="●"/>
      <w:lvlJc w:val="left"/>
      <w:pPr>
        <w:ind w:left="720" w:hanging="360"/>
      </w:pPr>
    </w:lvl>
    <w:lvl w:ilvl="1" w:tplc="4544C716">
      <w:start w:val="1"/>
      <w:numFmt w:val="bullet"/>
      <w:lvlText w:val="○"/>
      <w:lvlJc w:val="left"/>
      <w:pPr>
        <w:ind w:left="1440" w:hanging="360"/>
      </w:pPr>
    </w:lvl>
    <w:lvl w:ilvl="2" w:tplc="4E28BF1A">
      <w:start w:val="1"/>
      <w:numFmt w:val="bullet"/>
      <w:lvlText w:val="■"/>
      <w:lvlJc w:val="left"/>
      <w:pPr>
        <w:ind w:left="2160" w:hanging="360"/>
      </w:pPr>
    </w:lvl>
    <w:lvl w:ilvl="3" w:tplc="F0D6E1E2">
      <w:start w:val="1"/>
      <w:numFmt w:val="bullet"/>
      <w:lvlText w:val="●"/>
      <w:lvlJc w:val="left"/>
      <w:pPr>
        <w:ind w:left="2880" w:hanging="360"/>
      </w:pPr>
    </w:lvl>
    <w:lvl w:ilvl="4" w:tplc="15A01F08">
      <w:start w:val="1"/>
      <w:numFmt w:val="bullet"/>
      <w:lvlText w:val="○"/>
      <w:lvlJc w:val="left"/>
      <w:pPr>
        <w:ind w:left="3600" w:hanging="360"/>
      </w:pPr>
    </w:lvl>
    <w:lvl w:ilvl="5" w:tplc="D9B8E2C4">
      <w:start w:val="1"/>
      <w:numFmt w:val="bullet"/>
      <w:lvlText w:val="■"/>
      <w:lvlJc w:val="left"/>
      <w:pPr>
        <w:ind w:left="4320" w:hanging="360"/>
      </w:pPr>
    </w:lvl>
    <w:lvl w:ilvl="6" w:tplc="1A069B4C">
      <w:start w:val="1"/>
      <w:numFmt w:val="bullet"/>
      <w:lvlText w:val="●"/>
      <w:lvlJc w:val="left"/>
      <w:pPr>
        <w:ind w:left="5040" w:hanging="360"/>
      </w:pPr>
    </w:lvl>
    <w:lvl w:ilvl="7" w:tplc="337452E4">
      <w:start w:val="1"/>
      <w:numFmt w:val="bullet"/>
      <w:lvlText w:val="●"/>
      <w:lvlJc w:val="left"/>
      <w:pPr>
        <w:ind w:left="5760" w:hanging="360"/>
      </w:pPr>
    </w:lvl>
    <w:lvl w:ilvl="8" w:tplc="62D61F3A">
      <w:start w:val="1"/>
      <w:numFmt w:val="bullet"/>
      <w:lvlText w:val="●"/>
      <w:lvlJc w:val="left"/>
      <w:pPr>
        <w:ind w:left="6480" w:hanging="360"/>
      </w:pPr>
    </w:lvl>
  </w:abstractNum>
  <w:abstractNum w:abstractNumId="3" w15:restartNumberingAfterBreak="0">
    <w:nsid w:val="2F436B2F"/>
    <w:multiLevelType w:val="hybridMultilevel"/>
    <w:tmpl w:val="727EED54"/>
    <w:lvl w:ilvl="0" w:tplc="3B2A0B1E">
      <w:start w:val="1"/>
      <w:numFmt w:val="bullet"/>
      <w:lvlText w:val="●"/>
      <w:lvlJc w:val="left"/>
      <w:pPr>
        <w:ind w:left="720" w:hanging="360"/>
      </w:pPr>
    </w:lvl>
    <w:lvl w:ilvl="1" w:tplc="FFC4C81A">
      <w:start w:val="1"/>
      <w:numFmt w:val="bullet"/>
      <w:lvlText w:val="○"/>
      <w:lvlJc w:val="left"/>
      <w:pPr>
        <w:ind w:left="1440" w:hanging="360"/>
      </w:pPr>
    </w:lvl>
    <w:lvl w:ilvl="2" w:tplc="00F40508">
      <w:start w:val="1"/>
      <w:numFmt w:val="bullet"/>
      <w:lvlText w:val="■"/>
      <w:lvlJc w:val="left"/>
      <w:pPr>
        <w:ind w:left="2160" w:hanging="360"/>
      </w:pPr>
    </w:lvl>
    <w:lvl w:ilvl="3" w:tplc="6AFCA3F4">
      <w:start w:val="1"/>
      <w:numFmt w:val="bullet"/>
      <w:lvlText w:val="●"/>
      <w:lvlJc w:val="left"/>
      <w:pPr>
        <w:ind w:left="2880" w:hanging="360"/>
      </w:pPr>
    </w:lvl>
    <w:lvl w:ilvl="4" w:tplc="496ADEB2">
      <w:start w:val="1"/>
      <w:numFmt w:val="bullet"/>
      <w:lvlText w:val="○"/>
      <w:lvlJc w:val="left"/>
      <w:pPr>
        <w:ind w:left="3600" w:hanging="360"/>
      </w:pPr>
    </w:lvl>
    <w:lvl w:ilvl="5" w:tplc="EB30308A">
      <w:start w:val="1"/>
      <w:numFmt w:val="bullet"/>
      <w:lvlText w:val="■"/>
      <w:lvlJc w:val="left"/>
      <w:pPr>
        <w:ind w:left="4320" w:hanging="360"/>
      </w:pPr>
    </w:lvl>
    <w:lvl w:ilvl="6" w:tplc="A20A074A">
      <w:start w:val="1"/>
      <w:numFmt w:val="bullet"/>
      <w:lvlText w:val="●"/>
      <w:lvlJc w:val="left"/>
      <w:pPr>
        <w:ind w:left="5040" w:hanging="360"/>
      </w:pPr>
    </w:lvl>
    <w:lvl w:ilvl="7" w:tplc="EA16F15A">
      <w:start w:val="1"/>
      <w:numFmt w:val="bullet"/>
      <w:lvlText w:val="●"/>
      <w:lvlJc w:val="left"/>
      <w:pPr>
        <w:ind w:left="5760" w:hanging="360"/>
      </w:pPr>
    </w:lvl>
    <w:lvl w:ilvl="8" w:tplc="A184DA90">
      <w:start w:val="1"/>
      <w:numFmt w:val="bullet"/>
      <w:lvlText w:val="●"/>
      <w:lvlJc w:val="left"/>
      <w:pPr>
        <w:ind w:left="6480" w:hanging="360"/>
      </w:pPr>
    </w:lvl>
  </w:abstractNum>
  <w:abstractNum w:abstractNumId="4" w15:restartNumberingAfterBreak="0">
    <w:nsid w:val="36437738"/>
    <w:multiLevelType w:val="hybridMultilevel"/>
    <w:tmpl w:val="D6564D4C"/>
    <w:lvl w:ilvl="0" w:tplc="DA3826C2">
      <w:start w:val="1"/>
      <w:numFmt w:val="bullet"/>
      <w:lvlText w:val="●"/>
      <w:lvlJc w:val="left"/>
      <w:pPr>
        <w:ind w:left="720" w:hanging="360"/>
      </w:pPr>
    </w:lvl>
    <w:lvl w:ilvl="1" w:tplc="2D4AF07A">
      <w:start w:val="1"/>
      <w:numFmt w:val="bullet"/>
      <w:lvlText w:val="○"/>
      <w:lvlJc w:val="left"/>
      <w:pPr>
        <w:ind w:left="1440" w:hanging="360"/>
      </w:pPr>
    </w:lvl>
    <w:lvl w:ilvl="2" w:tplc="F8BAB028">
      <w:start w:val="1"/>
      <w:numFmt w:val="bullet"/>
      <w:lvlText w:val="■"/>
      <w:lvlJc w:val="left"/>
      <w:pPr>
        <w:ind w:left="2160" w:hanging="360"/>
      </w:pPr>
    </w:lvl>
    <w:lvl w:ilvl="3" w:tplc="704C9D1E">
      <w:start w:val="1"/>
      <w:numFmt w:val="bullet"/>
      <w:lvlText w:val="●"/>
      <w:lvlJc w:val="left"/>
      <w:pPr>
        <w:ind w:left="2880" w:hanging="360"/>
      </w:pPr>
    </w:lvl>
    <w:lvl w:ilvl="4" w:tplc="F5600E4A">
      <w:start w:val="1"/>
      <w:numFmt w:val="bullet"/>
      <w:lvlText w:val="○"/>
      <w:lvlJc w:val="left"/>
      <w:pPr>
        <w:ind w:left="3600" w:hanging="360"/>
      </w:pPr>
    </w:lvl>
    <w:lvl w:ilvl="5" w:tplc="6DD64A68">
      <w:start w:val="1"/>
      <w:numFmt w:val="bullet"/>
      <w:lvlText w:val="■"/>
      <w:lvlJc w:val="left"/>
      <w:pPr>
        <w:ind w:left="4320" w:hanging="360"/>
      </w:pPr>
    </w:lvl>
    <w:lvl w:ilvl="6" w:tplc="C73E4020">
      <w:start w:val="1"/>
      <w:numFmt w:val="bullet"/>
      <w:lvlText w:val="●"/>
      <w:lvlJc w:val="left"/>
      <w:pPr>
        <w:ind w:left="5040" w:hanging="360"/>
      </w:pPr>
    </w:lvl>
    <w:lvl w:ilvl="7" w:tplc="74742052">
      <w:start w:val="1"/>
      <w:numFmt w:val="bullet"/>
      <w:lvlText w:val="●"/>
      <w:lvlJc w:val="left"/>
      <w:pPr>
        <w:ind w:left="5760" w:hanging="360"/>
      </w:pPr>
    </w:lvl>
    <w:lvl w:ilvl="8" w:tplc="4440A190">
      <w:start w:val="1"/>
      <w:numFmt w:val="bullet"/>
      <w:lvlText w:val="●"/>
      <w:lvlJc w:val="left"/>
      <w:pPr>
        <w:ind w:left="6480" w:hanging="360"/>
      </w:pPr>
    </w:lvl>
  </w:abstractNum>
  <w:abstractNum w:abstractNumId="5" w15:restartNumberingAfterBreak="0">
    <w:nsid w:val="4E350AEC"/>
    <w:multiLevelType w:val="hybridMultilevel"/>
    <w:tmpl w:val="84E85268"/>
    <w:lvl w:ilvl="0" w:tplc="B30EAF72">
      <w:start w:val="1"/>
      <w:numFmt w:val="bullet"/>
      <w:lvlText w:val="●"/>
      <w:lvlJc w:val="left"/>
      <w:pPr>
        <w:ind w:left="720" w:hanging="360"/>
      </w:pPr>
    </w:lvl>
    <w:lvl w:ilvl="1" w:tplc="2A58BDF8">
      <w:start w:val="1"/>
      <w:numFmt w:val="bullet"/>
      <w:lvlText w:val="○"/>
      <w:lvlJc w:val="left"/>
      <w:pPr>
        <w:ind w:left="1440" w:hanging="360"/>
      </w:pPr>
    </w:lvl>
    <w:lvl w:ilvl="2" w:tplc="84AC634C">
      <w:start w:val="1"/>
      <w:numFmt w:val="bullet"/>
      <w:lvlText w:val="■"/>
      <w:lvlJc w:val="left"/>
      <w:pPr>
        <w:ind w:left="2160" w:hanging="360"/>
      </w:pPr>
    </w:lvl>
    <w:lvl w:ilvl="3" w:tplc="B16AD5D4">
      <w:start w:val="1"/>
      <w:numFmt w:val="bullet"/>
      <w:lvlText w:val="●"/>
      <w:lvlJc w:val="left"/>
      <w:pPr>
        <w:ind w:left="2880" w:hanging="360"/>
      </w:pPr>
    </w:lvl>
    <w:lvl w:ilvl="4" w:tplc="D4B4BFC2">
      <w:start w:val="1"/>
      <w:numFmt w:val="bullet"/>
      <w:lvlText w:val="○"/>
      <w:lvlJc w:val="left"/>
      <w:pPr>
        <w:ind w:left="3600" w:hanging="360"/>
      </w:pPr>
    </w:lvl>
    <w:lvl w:ilvl="5" w:tplc="F5FEA10C">
      <w:start w:val="1"/>
      <w:numFmt w:val="bullet"/>
      <w:lvlText w:val="■"/>
      <w:lvlJc w:val="left"/>
      <w:pPr>
        <w:ind w:left="4320" w:hanging="360"/>
      </w:pPr>
    </w:lvl>
    <w:lvl w:ilvl="6" w:tplc="C1D49660">
      <w:start w:val="1"/>
      <w:numFmt w:val="bullet"/>
      <w:lvlText w:val="●"/>
      <w:lvlJc w:val="left"/>
      <w:pPr>
        <w:ind w:left="5040" w:hanging="360"/>
      </w:pPr>
    </w:lvl>
    <w:lvl w:ilvl="7" w:tplc="85A0C936">
      <w:start w:val="1"/>
      <w:numFmt w:val="bullet"/>
      <w:lvlText w:val="●"/>
      <w:lvlJc w:val="left"/>
      <w:pPr>
        <w:ind w:left="5760" w:hanging="360"/>
      </w:pPr>
    </w:lvl>
    <w:lvl w:ilvl="8" w:tplc="C3A05DB0">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 w:numId="3">
    <w:abstractNumId w:val="5"/>
    <w:lvlOverride w:ilvl="0">
      <w:startOverride w:val="1"/>
    </w:lvlOverride>
  </w:num>
  <w:num w:numId="4">
    <w:abstractNumId w:val="4"/>
    <w:lvlOverride w:ilvl="0">
      <w:startOverride w:val="1"/>
    </w:lvlOverride>
  </w:num>
  <w:num w:numId="5">
    <w:abstractNumId w:val="2"/>
    <w:lvlOverride w:ilvl="0">
      <w:startOverride w:val="1"/>
    </w:lvlOverride>
  </w:num>
  <w:num w:numId="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668"/>
    <w:rsid w:val="0001690A"/>
    <w:rsid w:val="00043BE8"/>
    <w:rsid w:val="000657C3"/>
    <w:rsid w:val="000714E5"/>
    <w:rsid w:val="0008168D"/>
    <w:rsid w:val="000A36FE"/>
    <w:rsid w:val="000A49FB"/>
    <w:rsid w:val="000A514F"/>
    <w:rsid w:val="000A73B0"/>
    <w:rsid w:val="000B1140"/>
    <w:rsid w:val="000D1F3E"/>
    <w:rsid w:val="000F5408"/>
    <w:rsid w:val="000F5620"/>
    <w:rsid w:val="00107C73"/>
    <w:rsid w:val="00125FBD"/>
    <w:rsid w:val="00135991"/>
    <w:rsid w:val="001369BC"/>
    <w:rsid w:val="00150B7D"/>
    <w:rsid w:val="001B7473"/>
    <w:rsid w:val="001B7885"/>
    <w:rsid w:val="002002EA"/>
    <w:rsid w:val="002033F7"/>
    <w:rsid w:val="00216D7B"/>
    <w:rsid w:val="002269D8"/>
    <w:rsid w:val="0023506C"/>
    <w:rsid w:val="00247C8A"/>
    <w:rsid w:val="00274394"/>
    <w:rsid w:val="00282A3C"/>
    <w:rsid w:val="00287FE6"/>
    <w:rsid w:val="002C46E0"/>
    <w:rsid w:val="002F7350"/>
    <w:rsid w:val="003111C9"/>
    <w:rsid w:val="0033030D"/>
    <w:rsid w:val="00355B6E"/>
    <w:rsid w:val="00377CAF"/>
    <w:rsid w:val="003903BB"/>
    <w:rsid w:val="003A6314"/>
    <w:rsid w:val="003B7FC6"/>
    <w:rsid w:val="003C3551"/>
    <w:rsid w:val="00413F5F"/>
    <w:rsid w:val="00417449"/>
    <w:rsid w:val="004273A2"/>
    <w:rsid w:val="0043400D"/>
    <w:rsid w:val="004509E8"/>
    <w:rsid w:val="004A1FDA"/>
    <w:rsid w:val="004B49C6"/>
    <w:rsid w:val="004C63D5"/>
    <w:rsid w:val="004E4843"/>
    <w:rsid w:val="004F4901"/>
    <w:rsid w:val="004F617F"/>
    <w:rsid w:val="00524D61"/>
    <w:rsid w:val="00571A93"/>
    <w:rsid w:val="00577398"/>
    <w:rsid w:val="005F3241"/>
    <w:rsid w:val="005F4E39"/>
    <w:rsid w:val="006062B8"/>
    <w:rsid w:val="00634668"/>
    <w:rsid w:val="00644441"/>
    <w:rsid w:val="006513FD"/>
    <w:rsid w:val="0065251B"/>
    <w:rsid w:val="0069000C"/>
    <w:rsid w:val="00691D26"/>
    <w:rsid w:val="006A3E19"/>
    <w:rsid w:val="006A51B1"/>
    <w:rsid w:val="006B6D1C"/>
    <w:rsid w:val="006D139B"/>
    <w:rsid w:val="00713D20"/>
    <w:rsid w:val="00732D47"/>
    <w:rsid w:val="0073329A"/>
    <w:rsid w:val="00744B48"/>
    <w:rsid w:val="00750B8D"/>
    <w:rsid w:val="007541C3"/>
    <w:rsid w:val="00787EF7"/>
    <w:rsid w:val="007A5449"/>
    <w:rsid w:val="007B397E"/>
    <w:rsid w:val="007B76D4"/>
    <w:rsid w:val="007C07C6"/>
    <w:rsid w:val="007C3AC9"/>
    <w:rsid w:val="007C411E"/>
    <w:rsid w:val="007C4C6A"/>
    <w:rsid w:val="007F48D8"/>
    <w:rsid w:val="00800D5A"/>
    <w:rsid w:val="00810699"/>
    <w:rsid w:val="00825162"/>
    <w:rsid w:val="0082529F"/>
    <w:rsid w:val="008A61C0"/>
    <w:rsid w:val="008B27BF"/>
    <w:rsid w:val="008C4A02"/>
    <w:rsid w:val="008E1FDF"/>
    <w:rsid w:val="008F1F88"/>
    <w:rsid w:val="00901D48"/>
    <w:rsid w:val="009067E6"/>
    <w:rsid w:val="009147D5"/>
    <w:rsid w:val="009B716A"/>
    <w:rsid w:val="009D072E"/>
    <w:rsid w:val="009D0858"/>
    <w:rsid w:val="009D5184"/>
    <w:rsid w:val="009E4994"/>
    <w:rsid w:val="00A41119"/>
    <w:rsid w:val="00A459C5"/>
    <w:rsid w:val="00A57FE7"/>
    <w:rsid w:val="00A74E42"/>
    <w:rsid w:val="00A82984"/>
    <w:rsid w:val="00A96266"/>
    <w:rsid w:val="00AB3F6B"/>
    <w:rsid w:val="00AD1BB1"/>
    <w:rsid w:val="00B0530D"/>
    <w:rsid w:val="00B707CE"/>
    <w:rsid w:val="00BA271F"/>
    <w:rsid w:val="00C2673F"/>
    <w:rsid w:val="00C2736C"/>
    <w:rsid w:val="00C3730C"/>
    <w:rsid w:val="00C53C38"/>
    <w:rsid w:val="00C577D9"/>
    <w:rsid w:val="00C93B99"/>
    <w:rsid w:val="00CA6668"/>
    <w:rsid w:val="00CB6218"/>
    <w:rsid w:val="00CD0EE4"/>
    <w:rsid w:val="00CE4F09"/>
    <w:rsid w:val="00CF73AB"/>
    <w:rsid w:val="00D163BD"/>
    <w:rsid w:val="00D610F9"/>
    <w:rsid w:val="00D848B2"/>
    <w:rsid w:val="00DE41E6"/>
    <w:rsid w:val="00DE6B6B"/>
    <w:rsid w:val="00E13009"/>
    <w:rsid w:val="00E376E8"/>
    <w:rsid w:val="00E562D5"/>
    <w:rsid w:val="00E6796B"/>
    <w:rsid w:val="00E83FD1"/>
    <w:rsid w:val="00E85A24"/>
    <w:rsid w:val="00E9604D"/>
    <w:rsid w:val="00EB36D8"/>
    <w:rsid w:val="00EB7B6E"/>
    <w:rsid w:val="00EC5131"/>
    <w:rsid w:val="00EE1A6B"/>
    <w:rsid w:val="00EF5DDD"/>
    <w:rsid w:val="00F14323"/>
    <w:rsid w:val="00F15505"/>
    <w:rsid w:val="00F767DA"/>
    <w:rsid w:val="00F8028C"/>
    <w:rsid w:val="00FC1F0A"/>
    <w:rsid w:val="00FC39AC"/>
    <w:rsid w:val="00FD4548"/>
    <w:rsid w:val="00FD641E"/>
    <w:rsid w:val="00FF007C"/>
    <w:rsid w:val="00FF0F9C"/>
    <w:rsid w:val="38D8B7BC"/>
    <w:rsid w:val="3BCF5100"/>
    <w:rsid w:val="4641C846"/>
    <w:rsid w:val="4E3F69CF"/>
    <w:rsid w:val="505236F0"/>
    <w:rsid w:val="52D88B15"/>
    <w:rsid w:val="6B8DD6D1"/>
    <w:rsid w:val="6D4999BB"/>
    <w:rsid w:val="7336E7BD"/>
    <w:rsid w:val="757FF2A1"/>
    <w:rsid w:val="7DFC8E81"/>
  </w:rsids>
  <m:mathPr>
    <m:mathFont m:val="Cambria Math"/>
    <m:brkBin m:val="before"/>
    <m:brkBinSub m:val="--"/>
    <m:smallFrac m:val="0"/>
    <m:dispDef/>
    <m:lMargin m:val="0"/>
    <m:rMargin m:val="0"/>
    <m:defJc m:val="centerGroup"/>
    <m:wrapIndent m:val="1440"/>
    <m:intLim m:val="subSup"/>
    <m:naryLim m:val="undOvr"/>
  </m:mathPr>
  <w:themeFontLang w:val="en-GB" w:bidi="ur-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F28E"/>
  <w15:chartTrackingRefBased/>
  <w15:docId w15:val="{62CBB873-F924-4C12-9556-C4FAC5E43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641C846"/>
    <w:pPr>
      <w:spacing w:after="0"/>
    </w:pPr>
    <w:rPr>
      <w:rFonts w:ascii="Helvetica" w:eastAsia="Times New Roman" w:hAnsi="Helvetica" w:cs="Times New Roman"/>
      <w:sz w:val="24"/>
      <w:szCs w:val="24"/>
      <w:lang w:eastAsia="ja-JP"/>
    </w:rPr>
  </w:style>
  <w:style w:type="paragraph" w:styleId="Heading1">
    <w:name w:val="heading 1"/>
    <w:basedOn w:val="Normal"/>
    <w:next w:val="Normal"/>
    <w:link w:val="Heading1Char"/>
    <w:qFormat/>
    <w:rsid w:val="4641C846"/>
    <w:pPr>
      <w:keepNext/>
      <w:keepLines/>
      <w:spacing w:before="240"/>
      <w:outlineLvl w:val="0"/>
    </w:pPr>
    <w:rPr>
      <w:rFonts w:ascii="Arial" w:eastAsiaTheme="majorEastAsia" w:hAnsi="Arial" w:cstheme="majorBidi"/>
      <w:b/>
      <w:bCs/>
      <w:color w:val="FFFFFF" w:themeColor="background1"/>
    </w:rPr>
  </w:style>
  <w:style w:type="paragraph" w:styleId="Heading2">
    <w:name w:val="heading 2"/>
    <w:basedOn w:val="Normal"/>
    <w:next w:val="Normal"/>
    <w:unhideWhenUsed/>
    <w:qFormat/>
    <w:rsid w:val="4641C84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nhideWhenUsed/>
    <w:qFormat/>
    <w:rsid w:val="4641C846"/>
    <w:pPr>
      <w:keepNext/>
      <w:keepLines/>
      <w:spacing w:before="40"/>
      <w:outlineLvl w:val="2"/>
    </w:pPr>
    <w:rPr>
      <w:rFonts w:asciiTheme="majorHAnsi" w:eastAsiaTheme="majorEastAsia" w:hAnsiTheme="majorHAnsi" w:cstheme="majorBidi"/>
      <w:color w:val="1F3763"/>
    </w:rPr>
  </w:style>
  <w:style w:type="paragraph" w:styleId="Heading4">
    <w:name w:val="heading 4"/>
    <w:basedOn w:val="Normal"/>
    <w:next w:val="Normal"/>
    <w:unhideWhenUsed/>
    <w:qFormat/>
    <w:rsid w:val="4641C84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nhideWhenUsed/>
    <w:qFormat/>
    <w:rsid w:val="4641C84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nhideWhenUsed/>
    <w:qFormat/>
    <w:rsid w:val="4641C846"/>
    <w:pPr>
      <w:keepNext/>
      <w:keepLines/>
      <w:spacing w:before="4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4641C846"/>
    <w:pPr>
      <w:keepNext/>
      <w:keepLines/>
      <w:spacing w:before="4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4641C846"/>
    <w:pPr>
      <w:keepNext/>
      <w:keepLines/>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4641C846"/>
    <w:pPr>
      <w:keepNext/>
      <w:keepLines/>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6668"/>
    <w:rPr>
      <w:rFonts w:ascii="Arial" w:eastAsiaTheme="majorEastAsia" w:hAnsi="Arial" w:cstheme="majorBidi"/>
      <w:b/>
      <w:color w:val="FFFFFF" w:themeColor="background1"/>
      <w:sz w:val="24"/>
      <w:szCs w:val="32"/>
      <w:lang w:val="en-US" w:eastAsia="ja-JP"/>
    </w:rPr>
  </w:style>
  <w:style w:type="character" w:customStyle="1" w:styleId="normaltextrun">
    <w:name w:val="normaltextrun"/>
    <w:basedOn w:val="DefaultParagraphFont"/>
    <w:rsid w:val="00CA6668"/>
  </w:style>
  <w:style w:type="character" w:customStyle="1" w:styleId="eop">
    <w:name w:val="eop"/>
    <w:basedOn w:val="DefaultParagraphFont"/>
    <w:rsid w:val="00CA6668"/>
  </w:style>
  <w:style w:type="paragraph" w:customStyle="1" w:styleId="paragraph">
    <w:name w:val="paragraph"/>
    <w:basedOn w:val="Normal"/>
    <w:uiPriority w:val="1"/>
    <w:rsid w:val="4641C846"/>
    <w:pPr>
      <w:spacing w:beforeAutospacing="1" w:afterAutospacing="1"/>
    </w:pPr>
    <w:rPr>
      <w:rFonts w:ascii="Times New Roman" w:hAnsi="Times New Roman"/>
      <w:lang w:eastAsia="en-GB"/>
    </w:rPr>
  </w:style>
  <w:style w:type="character" w:customStyle="1" w:styleId="tabchar">
    <w:name w:val="tabchar"/>
    <w:basedOn w:val="DefaultParagraphFont"/>
    <w:rsid w:val="00CA6668"/>
  </w:style>
  <w:style w:type="character" w:customStyle="1" w:styleId="contentcontrolboundarysink">
    <w:name w:val="contentcontrolboundarysink"/>
    <w:basedOn w:val="DefaultParagraphFont"/>
    <w:rsid w:val="00CA6668"/>
  </w:style>
  <w:style w:type="character" w:styleId="Hyperlink">
    <w:name w:val="Hyperlink"/>
    <w:basedOn w:val="DefaultParagraphFont"/>
    <w:uiPriority w:val="99"/>
    <w:unhideWhenUsed/>
    <w:rsid w:val="001369BC"/>
    <w:rPr>
      <w:color w:val="0563C1" w:themeColor="hyperlink"/>
      <w:u w:val="single"/>
    </w:rPr>
  </w:style>
  <w:style w:type="character" w:customStyle="1" w:styleId="UnresolvedMention1">
    <w:name w:val="Unresolved Mention1"/>
    <w:basedOn w:val="DefaultParagraphFont"/>
    <w:uiPriority w:val="99"/>
    <w:semiHidden/>
    <w:unhideWhenUsed/>
    <w:rsid w:val="001369BC"/>
    <w:rPr>
      <w:color w:val="605E5C"/>
      <w:shd w:val="clear" w:color="auto" w:fill="E1DFDD"/>
    </w:rPr>
  </w:style>
  <w:style w:type="table" w:styleId="TableGrid">
    <w:name w:val="Table Grid"/>
    <w:basedOn w:val="TableNormal"/>
    <w:uiPriority w:val="39"/>
    <w:rsid w:val="00F76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4641C846"/>
    <w:pPr>
      <w:tabs>
        <w:tab w:val="center" w:pos="4513"/>
        <w:tab w:val="right" w:pos="9026"/>
      </w:tabs>
    </w:pPr>
  </w:style>
  <w:style w:type="character" w:customStyle="1" w:styleId="HeaderChar">
    <w:name w:val="Header Char"/>
    <w:basedOn w:val="DefaultParagraphFont"/>
    <w:link w:val="Header"/>
    <w:uiPriority w:val="99"/>
    <w:rsid w:val="00FD4548"/>
    <w:rPr>
      <w:rFonts w:ascii="Helvetica" w:eastAsia="Times New Roman" w:hAnsi="Helvetica" w:cs="Times New Roman"/>
      <w:sz w:val="24"/>
      <w:szCs w:val="20"/>
      <w:lang w:val="en-US" w:eastAsia="ja-JP"/>
    </w:rPr>
  </w:style>
  <w:style w:type="paragraph" w:styleId="Footer">
    <w:name w:val="footer"/>
    <w:basedOn w:val="Normal"/>
    <w:link w:val="FooterChar"/>
    <w:uiPriority w:val="99"/>
    <w:unhideWhenUsed/>
    <w:rsid w:val="4641C846"/>
    <w:pPr>
      <w:tabs>
        <w:tab w:val="center" w:pos="4513"/>
        <w:tab w:val="right" w:pos="9026"/>
      </w:tabs>
    </w:pPr>
  </w:style>
  <w:style w:type="character" w:customStyle="1" w:styleId="FooterChar">
    <w:name w:val="Footer Char"/>
    <w:basedOn w:val="DefaultParagraphFont"/>
    <w:link w:val="Footer"/>
    <w:uiPriority w:val="99"/>
    <w:rsid w:val="00FD4548"/>
    <w:rPr>
      <w:rFonts w:ascii="Helvetica" w:eastAsia="Times New Roman" w:hAnsi="Helvetica" w:cs="Times New Roman"/>
      <w:sz w:val="24"/>
      <w:szCs w:val="20"/>
      <w:lang w:val="en-US" w:eastAsia="ja-JP"/>
    </w:rPr>
  </w:style>
  <w:style w:type="paragraph" w:styleId="Title">
    <w:name w:val="Title"/>
    <w:basedOn w:val="Normal"/>
    <w:next w:val="Normal"/>
    <w:qFormat/>
    <w:rsid w:val="4641C846"/>
    <w:pPr>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4641C846"/>
    <w:rPr>
      <w:rFonts w:eastAsiaTheme="minorEastAsia"/>
      <w:color w:val="5A5A5A"/>
    </w:rPr>
  </w:style>
  <w:style w:type="paragraph" w:styleId="Quote">
    <w:name w:val="Quote"/>
    <w:basedOn w:val="Normal"/>
    <w:next w:val="Normal"/>
    <w:uiPriority w:val="29"/>
    <w:qFormat/>
    <w:rsid w:val="4641C846"/>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4641C846"/>
    <w:pPr>
      <w:spacing w:before="360" w:after="360"/>
      <w:ind w:left="864" w:right="864"/>
      <w:jc w:val="center"/>
    </w:pPr>
    <w:rPr>
      <w:i/>
      <w:iCs/>
      <w:color w:val="4472C4" w:themeColor="accent1"/>
    </w:rPr>
  </w:style>
  <w:style w:type="paragraph" w:styleId="ListParagraph">
    <w:name w:val="List Paragraph"/>
    <w:basedOn w:val="Normal"/>
    <w:qFormat/>
    <w:rsid w:val="4641C846"/>
    <w:pPr>
      <w:ind w:left="720"/>
      <w:contextualSpacing/>
    </w:pPr>
  </w:style>
  <w:style w:type="paragraph" w:styleId="TOC1">
    <w:name w:val="toc 1"/>
    <w:basedOn w:val="Normal"/>
    <w:next w:val="Normal"/>
    <w:uiPriority w:val="39"/>
    <w:unhideWhenUsed/>
    <w:rsid w:val="4641C846"/>
    <w:pPr>
      <w:spacing w:after="100"/>
    </w:pPr>
  </w:style>
  <w:style w:type="paragraph" w:styleId="TOC2">
    <w:name w:val="toc 2"/>
    <w:basedOn w:val="Normal"/>
    <w:next w:val="Normal"/>
    <w:uiPriority w:val="39"/>
    <w:unhideWhenUsed/>
    <w:rsid w:val="4641C846"/>
    <w:pPr>
      <w:spacing w:after="100"/>
      <w:ind w:left="220"/>
    </w:pPr>
  </w:style>
  <w:style w:type="paragraph" w:styleId="TOC3">
    <w:name w:val="toc 3"/>
    <w:basedOn w:val="Normal"/>
    <w:next w:val="Normal"/>
    <w:uiPriority w:val="39"/>
    <w:unhideWhenUsed/>
    <w:rsid w:val="4641C846"/>
    <w:pPr>
      <w:spacing w:after="100"/>
      <w:ind w:left="440"/>
    </w:pPr>
  </w:style>
  <w:style w:type="paragraph" w:styleId="TOC4">
    <w:name w:val="toc 4"/>
    <w:basedOn w:val="Normal"/>
    <w:next w:val="Normal"/>
    <w:uiPriority w:val="39"/>
    <w:unhideWhenUsed/>
    <w:rsid w:val="4641C846"/>
    <w:pPr>
      <w:spacing w:after="100"/>
      <w:ind w:left="660"/>
    </w:pPr>
  </w:style>
  <w:style w:type="paragraph" w:styleId="TOC5">
    <w:name w:val="toc 5"/>
    <w:basedOn w:val="Normal"/>
    <w:next w:val="Normal"/>
    <w:uiPriority w:val="39"/>
    <w:unhideWhenUsed/>
    <w:rsid w:val="4641C846"/>
    <w:pPr>
      <w:spacing w:after="100"/>
      <w:ind w:left="880"/>
    </w:pPr>
  </w:style>
  <w:style w:type="paragraph" w:styleId="TOC6">
    <w:name w:val="toc 6"/>
    <w:basedOn w:val="Normal"/>
    <w:next w:val="Normal"/>
    <w:uiPriority w:val="39"/>
    <w:unhideWhenUsed/>
    <w:rsid w:val="4641C846"/>
    <w:pPr>
      <w:spacing w:after="100"/>
      <w:ind w:left="1100"/>
    </w:pPr>
  </w:style>
  <w:style w:type="paragraph" w:styleId="TOC7">
    <w:name w:val="toc 7"/>
    <w:basedOn w:val="Normal"/>
    <w:next w:val="Normal"/>
    <w:uiPriority w:val="39"/>
    <w:unhideWhenUsed/>
    <w:rsid w:val="4641C846"/>
    <w:pPr>
      <w:spacing w:after="100"/>
      <w:ind w:left="1320"/>
    </w:pPr>
  </w:style>
  <w:style w:type="paragraph" w:styleId="TOC8">
    <w:name w:val="toc 8"/>
    <w:basedOn w:val="Normal"/>
    <w:next w:val="Normal"/>
    <w:uiPriority w:val="39"/>
    <w:unhideWhenUsed/>
    <w:rsid w:val="4641C846"/>
    <w:pPr>
      <w:spacing w:after="100"/>
      <w:ind w:left="1540"/>
    </w:pPr>
  </w:style>
  <w:style w:type="paragraph" w:styleId="TOC9">
    <w:name w:val="toc 9"/>
    <w:basedOn w:val="Normal"/>
    <w:next w:val="Normal"/>
    <w:uiPriority w:val="39"/>
    <w:unhideWhenUsed/>
    <w:rsid w:val="4641C846"/>
    <w:pPr>
      <w:spacing w:after="100"/>
      <w:ind w:left="1760"/>
    </w:pPr>
  </w:style>
  <w:style w:type="paragraph" w:styleId="EndnoteText">
    <w:name w:val="endnote text"/>
    <w:basedOn w:val="Normal"/>
    <w:link w:val="EndnoteTextChar"/>
    <w:uiPriority w:val="99"/>
    <w:semiHidden/>
    <w:unhideWhenUsed/>
    <w:rsid w:val="4641C846"/>
    <w:rPr>
      <w:sz w:val="20"/>
      <w:szCs w:val="20"/>
    </w:rPr>
  </w:style>
  <w:style w:type="paragraph" w:styleId="FootnoteText">
    <w:name w:val="footnote text"/>
    <w:basedOn w:val="Normal"/>
    <w:link w:val="FootnoteTextChar"/>
    <w:uiPriority w:val="99"/>
    <w:semiHidden/>
    <w:unhideWhenUsed/>
    <w:rsid w:val="4641C846"/>
    <w:rPr>
      <w:sz w:val="20"/>
      <w:szCs w:val="20"/>
    </w:rPr>
  </w:style>
  <w:style w:type="paragraph" w:styleId="TOCHeading">
    <w:name w:val="TOC Heading"/>
    <w:basedOn w:val="Heading1"/>
    <w:next w:val="Normal"/>
    <w:uiPriority w:val="39"/>
    <w:unhideWhenUsed/>
    <w:qFormat/>
    <w:rsid w:val="000F5408"/>
    <w:pPr>
      <w:outlineLvl w:val="9"/>
    </w:pPr>
    <w:rPr>
      <w:rFonts w:asciiTheme="majorHAnsi" w:hAnsiTheme="majorHAnsi"/>
      <w:b w:val="0"/>
      <w:bCs w:val="0"/>
      <w:color w:val="2F5496" w:themeColor="accent1" w:themeShade="BF"/>
      <w:sz w:val="32"/>
      <w:szCs w:val="32"/>
    </w:rPr>
  </w:style>
  <w:style w:type="numbering" w:customStyle="1" w:styleId="NoList1">
    <w:name w:val="No List1"/>
    <w:next w:val="NoList"/>
    <w:uiPriority w:val="99"/>
    <w:semiHidden/>
    <w:unhideWhenUsed/>
    <w:rsid w:val="000F5408"/>
  </w:style>
  <w:style w:type="paragraph" w:customStyle="1" w:styleId="Strong1">
    <w:name w:val="Strong1"/>
    <w:qFormat/>
    <w:rsid w:val="000F5408"/>
    <w:pPr>
      <w:spacing w:after="0" w:line="240" w:lineRule="auto"/>
    </w:pPr>
    <w:rPr>
      <w:rFonts w:ascii="Times New Roman" w:eastAsia="Times New Roman" w:hAnsi="Times New Roman" w:cs="Times New Roman"/>
      <w:b/>
      <w:bCs/>
      <w:sz w:val="20"/>
      <w:szCs w:val="20"/>
      <w:lang w:val="en-US" w:bidi="ur-PK"/>
    </w:rPr>
  </w:style>
  <w:style w:type="character" w:styleId="FootnoteReference">
    <w:name w:val="footnote reference"/>
    <w:uiPriority w:val="99"/>
    <w:semiHidden/>
    <w:unhideWhenUsed/>
    <w:rsid w:val="000F5408"/>
    <w:rPr>
      <w:vertAlign w:val="superscript"/>
    </w:rPr>
  </w:style>
  <w:style w:type="character" w:customStyle="1" w:styleId="FootnoteTextChar">
    <w:name w:val="Footnote Text Char"/>
    <w:link w:val="FootnoteText"/>
    <w:uiPriority w:val="99"/>
    <w:semiHidden/>
    <w:unhideWhenUsed/>
    <w:rsid w:val="000F5408"/>
    <w:rPr>
      <w:rFonts w:ascii="Helvetica" w:eastAsia="Times New Roman" w:hAnsi="Helvetica" w:cs="Times New Roman"/>
      <w:sz w:val="20"/>
      <w:szCs w:val="20"/>
      <w:lang w:eastAsia="ja-JP"/>
    </w:rPr>
  </w:style>
  <w:style w:type="character" w:styleId="EndnoteReference">
    <w:name w:val="endnote reference"/>
    <w:uiPriority w:val="99"/>
    <w:semiHidden/>
    <w:unhideWhenUsed/>
    <w:rsid w:val="000F5408"/>
    <w:rPr>
      <w:vertAlign w:val="superscript"/>
    </w:rPr>
  </w:style>
  <w:style w:type="character" w:customStyle="1" w:styleId="EndnoteTextChar">
    <w:name w:val="Endnote Text Char"/>
    <w:link w:val="EndnoteText"/>
    <w:uiPriority w:val="99"/>
    <w:semiHidden/>
    <w:unhideWhenUsed/>
    <w:rsid w:val="000F5408"/>
    <w:rPr>
      <w:rFonts w:ascii="Helvetica" w:eastAsia="Times New Roman" w:hAnsi="Helvetica" w:cs="Times New Roman"/>
      <w:sz w:val="20"/>
      <w:szCs w:val="20"/>
      <w:lang w:eastAsia="ja-JP"/>
    </w:rPr>
  </w:style>
  <w:style w:type="paragraph" w:styleId="NormalWeb">
    <w:name w:val="Normal (Web)"/>
    <w:basedOn w:val="Normal"/>
    <w:uiPriority w:val="99"/>
    <w:unhideWhenUsed/>
    <w:rsid w:val="000F5408"/>
    <w:pPr>
      <w:spacing w:before="100" w:beforeAutospacing="1" w:after="100" w:afterAutospacing="1" w:line="240" w:lineRule="auto"/>
    </w:pPr>
    <w:rPr>
      <w:rFonts w:ascii="Times New Roman" w:hAnsi="Times New Roman"/>
      <w:lang w:val="en-US" w:eastAsia="en-US" w:bidi="ur-PK"/>
    </w:rPr>
  </w:style>
  <w:style w:type="character" w:styleId="Strong">
    <w:name w:val="Strong"/>
    <w:basedOn w:val="DefaultParagraphFont"/>
    <w:uiPriority w:val="22"/>
    <w:qFormat/>
    <w:rsid w:val="000F5408"/>
    <w:rPr>
      <w:b/>
      <w:bCs/>
    </w:rPr>
  </w:style>
  <w:style w:type="paragraph" w:customStyle="1" w:styleId="NoSpacing1">
    <w:name w:val="No Spacing1"/>
    <w:next w:val="NoSpacing"/>
    <w:uiPriority w:val="1"/>
    <w:qFormat/>
    <w:rsid w:val="000F5408"/>
    <w:pPr>
      <w:bidi/>
      <w:spacing w:after="0" w:line="240" w:lineRule="auto"/>
    </w:pPr>
    <w:rPr>
      <w:lang w:val="en-US" w:bidi="ur-PK"/>
    </w:rPr>
  </w:style>
  <w:style w:type="character" w:styleId="Emphasis">
    <w:name w:val="Emphasis"/>
    <w:basedOn w:val="DefaultParagraphFont"/>
    <w:uiPriority w:val="20"/>
    <w:qFormat/>
    <w:rsid w:val="000F5408"/>
    <w:rPr>
      <w:i/>
      <w:iCs/>
    </w:rPr>
  </w:style>
  <w:style w:type="paragraph" w:styleId="NoSpacing">
    <w:name w:val="No Spacing"/>
    <w:uiPriority w:val="1"/>
    <w:qFormat/>
    <w:rsid w:val="000F5408"/>
    <w:pPr>
      <w:spacing w:after="0" w:line="240" w:lineRule="auto"/>
    </w:pPr>
    <w:rPr>
      <w:rFonts w:ascii="Helvetica" w:eastAsia="Times New Roman" w:hAnsi="Helvetica"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307/249008" TargetMode="External"/><Relationship Id="rId21" Type="http://schemas.openxmlformats.org/officeDocument/2006/relationships/hyperlink" Target="https://doi.org/10.1177/20552076241242558" TargetMode="External"/><Relationship Id="rId34" Type="http://schemas.openxmlformats.org/officeDocument/2006/relationships/hyperlink" Target="https://doi.org/10.1080/17483107.2024.2351499" TargetMode="External"/><Relationship Id="rId42" Type="http://schemas.openxmlformats.org/officeDocument/2006/relationships/hyperlink" Target="https://doi.org/10.2196/31752" TargetMode="External"/><Relationship Id="rId47" Type="http://schemas.openxmlformats.org/officeDocument/2006/relationships/hyperlink" Target="https://doi.org/10.1177/20552076231211551" TargetMode="External"/><Relationship Id="rId50" Type="http://schemas.openxmlformats.org/officeDocument/2006/relationships/hyperlink" Target="https://doi.org/10.1016/j.jclinepi.2021.03.001" TargetMode="External"/><Relationship Id="rId55" Type="http://schemas.openxmlformats.org/officeDocument/2006/relationships/hyperlink" Target="https://doi.org/10.3389/fpubh.2022.1036800" TargetMode="External"/><Relationship Id="rId63" Type="http://schemas.openxmlformats.org/officeDocument/2006/relationships/image" Target="media/image2.jp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02/msc.1737" TargetMode="External"/><Relationship Id="rId29" Type="http://schemas.openxmlformats.org/officeDocument/2006/relationships/hyperlink" Target="https://doi.org/10.1016/j.msksp.2024.103132" TargetMode="External"/><Relationship Id="rId11" Type="http://schemas.openxmlformats.org/officeDocument/2006/relationships/hyperlink" Target="https://doi.org/10.1177/20552076241303812" TargetMode="External"/><Relationship Id="rId24" Type="http://schemas.openxmlformats.org/officeDocument/2006/relationships/hyperlink" Target="https://doi.org/10.1111/1460-6984.70018" TargetMode="External"/><Relationship Id="rId32" Type="http://schemas.openxmlformats.org/officeDocument/2006/relationships/hyperlink" Target="https://doi.org/10.1111/1460-6984.12996" TargetMode="External"/><Relationship Id="rId37" Type="http://schemas.openxmlformats.org/officeDocument/2006/relationships/hyperlink" Target="https://doi.org/10.2196/21691" TargetMode="External"/><Relationship Id="rId40" Type="http://schemas.openxmlformats.org/officeDocument/2006/relationships/hyperlink" Target="https://doi.org/10.3389/fpubh.2025.1504318" TargetMode="External"/><Relationship Id="rId45" Type="http://schemas.openxmlformats.org/officeDocument/2006/relationships/hyperlink" Target="https://doi.org/10.1186/s12909-025-08102-w" TargetMode="External"/><Relationship Id="rId53" Type="http://schemas.openxmlformats.org/officeDocument/2006/relationships/hyperlink" Target="https://doi.org/10.1177/20552076241292682" TargetMode="External"/><Relationship Id="rId58" Type="http://schemas.openxmlformats.org/officeDocument/2006/relationships/hyperlink" Target="https://doi.org/10.1177/27550834241266413"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doi.org/10.5195/ijt.2022.6509" TargetMode="External"/><Relationship Id="rId19" Type="http://schemas.openxmlformats.org/officeDocument/2006/relationships/hyperlink" Target="https://doi.org/10.3233/ACS-220018" TargetMode="External"/><Relationship Id="rId14" Type="http://schemas.openxmlformats.org/officeDocument/2006/relationships/hyperlink" Target="https://doi.org/10.1080/19932820.2024.2301829" TargetMode="External"/><Relationship Id="rId22" Type="http://schemas.openxmlformats.org/officeDocument/2006/relationships/hyperlink" Target="https://doi.org/10.1080/07359683.2024.2340196" TargetMode="External"/><Relationship Id="rId27" Type="http://schemas.openxmlformats.org/officeDocument/2006/relationships/hyperlink" Target="https://www.gov.uk/government/publications/a-plan-for-digital-health-and-social-care?utm_source=chatgpt.com" TargetMode="External"/><Relationship Id="rId30" Type="http://schemas.openxmlformats.org/officeDocument/2006/relationships/hyperlink" Target="https://doi.org/10.1177/20552076221129076" TargetMode="External"/><Relationship Id="rId35" Type="http://schemas.openxmlformats.org/officeDocument/2006/relationships/hyperlink" Target="https://doi.org/10.1016/j.techsoc.2019.101212" TargetMode="External"/><Relationship Id="rId43" Type="http://schemas.openxmlformats.org/officeDocument/2006/relationships/hyperlink" Target="https://doi.org/10.1002/hsr2.438" TargetMode="External"/><Relationship Id="rId48" Type="http://schemas.openxmlformats.org/officeDocument/2006/relationships/hyperlink" Target="https://doi.org/10.3399/BJGP.2020.0948" TargetMode="External"/><Relationship Id="rId56" Type="http://schemas.openxmlformats.org/officeDocument/2006/relationships/hyperlink" Target="https://doi.org/10.1186/s13643-022-01934-3" TargetMode="External"/><Relationship Id="rId64" Type="http://schemas.openxmlformats.org/officeDocument/2006/relationships/image" Target="media/image3.jpg"/><Relationship Id="rId8" Type="http://schemas.openxmlformats.org/officeDocument/2006/relationships/webSettings" Target="webSettings.xml"/><Relationship Id="rId51" Type="http://schemas.openxmlformats.org/officeDocument/2006/relationships/hyperlink" Target="https://doi.org/10.1186/s12889-025-22082-y" TargetMode="External"/><Relationship Id="rId3" Type="http://schemas.openxmlformats.org/officeDocument/2006/relationships/customXml" Target="../customXml/item3.xml"/><Relationship Id="rId12" Type="http://schemas.openxmlformats.org/officeDocument/2006/relationships/hyperlink" Target="https://doi.org/10.1016/j.jjimei.2022.100079" TargetMode="External"/><Relationship Id="rId17" Type="http://schemas.openxmlformats.org/officeDocument/2006/relationships/hyperlink" Target="https://synthesismanual.jbi.global" TargetMode="External"/><Relationship Id="rId25" Type="http://schemas.openxmlformats.org/officeDocument/2006/relationships/hyperlink" Target="https://doi.org/10.1055/s-0042-1742498" TargetMode="External"/><Relationship Id="rId33" Type="http://schemas.openxmlformats.org/officeDocument/2006/relationships/hyperlink" Target="https://doi.org/10.17605/OSF.IO/6JQ5C" TargetMode="External"/><Relationship Id="rId38" Type="http://schemas.openxmlformats.org/officeDocument/2006/relationships/hyperlink" Target="https://doi.org/10.1186/s41043-025-01170-0" TargetMode="External"/><Relationship Id="rId46" Type="http://schemas.openxmlformats.org/officeDocument/2006/relationships/hyperlink" Target="https://doi.org/10.2196/52792" TargetMode="External"/><Relationship Id="rId59" Type="http://schemas.openxmlformats.org/officeDocument/2006/relationships/hyperlink" Target="https://www.who.int/publications/i/item/9789240059184?utm_source=chatgpt.com" TargetMode="External"/><Relationship Id="rId67" Type="http://schemas.openxmlformats.org/officeDocument/2006/relationships/theme" Target="theme/theme1.xml"/><Relationship Id="rId20" Type="http://schemas.openxmlformats.org/officeDocument/2006/relationships/hyperlink" Target="https://doi.org/10.1111/1460-6984.12988" TargetMode="External"/><Relationship Id="rId41" Type="http://schemas.openxmlformats.org/officeDocument/2006/relationships/hyperlink" Target="https://doi.org/10.1136/bmjhci-2021-100429" TargetMode="External"/><Relationship Id="rId54" Type="http://schemas.openxmlformats.org/officeDocument/2006/relationships/hyperlink" Target="https://doi.org/10.1016/j.jbusres.2019.07.039" TargetMode="External"/><Relationship Id="rId62"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3390/ijerph191711125" TargetMode="External"/><Relationship Id="rId23" Type="http://schemas.openxmlformats.org/officeDocument/2006/relationships/hyperlink" Target="https://doi.org/10.1177/20552076231173560" TargetMode="External"/><Relationship Id="rId28" Type="http://schemas.openxmlformats.org/officeDocument/2006/relationships/hyperlink" Target="https://doi.org/10.1177/20552076231185442" TargetMode="External"/><Relationship Id="rId36" Type="http://schemas.openxmlformats.org/officeDocument/2006/relationships/hyperlink" Target="https://doi.org/10.1016/j.cegh.2024.101607" TargetMode="External"/><Relationship Id="rId49" Type="http://schemas.openxmlformats.org/officeDocument/2006/relationships/hyperlink" Target="https://doi.org/10.1787/d46e9a02-en" TargetMode="External"/><Relationship Id="rId57" Type="http://schemas.openxmlformats.org/officeDocument/2006/relationships/hyperlink" Target="https://doi.org/10.2307/30036540" TargetMode="External"/><Relationship Id="rId10" Type="http://schemas.openxmlformats.org/officeDocument/2006/relationships/endnotes" Target="endnotes.xml"/><Relationship Id="rId31" Type="http://schemas.openxmlformats.org/officeDocument/2006/relationships/hyperlink" Target="https://doi.org/10.1080/09593985.2023.2247069" TargetMode="External"/><Relationship Id="rId44" Type="http://schemas.openxmlformats.org/officeDocument/2006/relationships/hyperlink" Target="https://doi.org/10.1186/s12913-025-13820-4" TargetMode="External"/><Relationship Id="rId52" Type="http://schemas.openxmlformats.org/officeDocument/2006/relationships/hyperlink" Target="https://doi.org/10.3389/fpubh.2024.1376534" TargetMode="External"/><Relationship Id="rId60" Type="http://schemas.openxmlformats.org/officeDocument/2006/relationships/hyperlink" Target="https://doi.org/10.3389/fdgth.2026.1723805"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12669/pjms.37.5.3970" TargetMode="External"/><Relationship Id="rId18" Type="http://schemas.openxmlformats.org/officeDocument/2006/relationships/hyperlink" Target="https://doi.org/10.1016/j.amsu.2022.104425" TargetMode="External"/><Relationship Id="rId39" Type="http://schemas.openxmlformats.org/officeDocument/2006/relationships/hyperlink" Target="https://doi.org/10.30953/thmt.v9.54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707E57FFDC9D47BC848F9422EE99E7" ma:contentTypeVersion="18" ma:contentTypeDescription="Create a new document." ma:contentTypeScope="" ma:versionID="f70968cfc3c77de13bd8c1e1c6ac8019">
  <xsd:schema xmlns:xsd="http://www.w3.org/2001/XMLSchema" xmlns:xs="http://www.w3.org/2001/XMLSchema" xmlns:p="http://schemas.microsoft.com/office/2006/metadata/properties" xmlns:ns2="44f545ed-fcef-44a8-a36e-31b0b94cebd9" xmlns:ns3="87551c6a-94d5-43f8-89bd-8ae1076ef560" targetNamespace="http://schemas.microsoft.com/office/2006/metadata/properties" ma:root="true" ma:fieldsID="0cc8cd03994b806dcdcb3292b776f2e9" ns2:_="" ns3:_="">
    <xsd:import namespace="44f545ed-fcef-44a8-a36e-31b0b94cebd9"/>
    <xsd:import namespace="87551c6a-94d5-43f8-89bd-8ae1076ef5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f545ed-fcef-44a8-a36e-31b0b94ceb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b1a67c-477c-4f54-866d-e73c7b3fe0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551c6a-94d5-43f8-89bd-8ae1076ef56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e444e03-16a7-4ef9-ab71-b4cfc9d1adc4}" ma:internalName="TaxCatchAll" ma:showField="CatchAllData" ma:web="87551c6a-94d5-43f8-89bd-8ae1076ef5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7551c6a-94d5-43f8-89bd-8ae1076ef560" xsi:nil="true"/>
    <lcf76f155ced4ddcb4097134ff3c332f xmlns="44f545ed-fcef-44a8-a36e-31b0b94cebd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9AAC0-E91F-4BBF-BCA6-E65FF5EE66B1}">
  <ds:schemaRefs>
    <ds:schemaRef ds:uri="http://schemas.microsoft.com/sharepoint/v3/contenttype/forms"/>
  </ds:schemaRefs>
</ds:datastoreItem>
</file>

<file path=customXml/itemProps2.xml><?xml version="1.0" encoding="utf-8"?>
<ds:datastoreItem xmlns:ds="http://schemas.openxmlformats.org/officeDocument/2006/customXml" ds:itemID="{4047CCA9-AD2A-42FF-9444-BB110C52E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f545ed-fcef-44a8-a36e-31b0b94cebd9"/>
    <ds:schemaRef ds:uri="87551c6a-94d5-43f8-89bd-8ae1076e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4EC05-B895-4E54-A8E6-2DDB3AB82AD5}">
  <ds:schemaRefs>
    <ds:schemaRef ds:uri="http://schemas.microsoft.com/office/2006/metadata/properties"/>
    <ds:schemaRef ds:uri="http://schemas.microsoft.com/office/infopath/2007/PartnerControls"/>
    <ds:schemaRef ds:uri="87551c6a-94d5-43f8-89bd-8ae1076ef560"/>
    <ds:schemaRef ds:uri="44f545ed-fcef-44a8-a36e-31b0b94cebd9"/>
  </ds:schemaRefs>
</ds:datastoreItem>
</file>

<file path=customXml/itemProps4.xml><?xml version="1.0" encoding="utf-8"?>
<ds:datastoreItem xmlns:ds="http://schemas.openxmlformats.org/officeDocument/2006/customXml" ds:itemID="{66A24650-D0AA-4177-9EEC-8B0F1B811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33799</Words>
  <Characters>192659</Characters>
  <Application>Microsoft Office Word</Application>
  <DocSecurity>0</DocSecurity>
  <Lines>1605</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Whiting</dc:creator>
  <cp:keywords/>
  <dc:description/>
  <cp:lastModifiedBy>Megan Kilvington</cp:lastModifiedBy>
  <cp:revision>2</cp:revision>
  <dcterms:created xsi:type="dcterms:W3CDTF">2026-11-04T10:25:00Z</dcterms:created>
  <dcterms:modified xsi:type="dcterms:W3CDTF">2026-11-04T10:25:00Z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0x0101005F707E57FFDC9D47BC848F9422EE99E7</vt:lpwstr>
  </property>
  <property fmtid="{D5CDD505-2E9C-101B-9397-08002B2CF9AE}" pid="3" name="MediaServiceImageTags">
    <vt:lpwstr/>
  </property>
  <property fmtid="{D5CDD505-2E9C-101B-9397-08002B2CF9AE}" pid="4" name="GrammarlyDocumentId">
    <vt:lpwstr>e0bd6ffb-f2e7-45de-b056-a501664a1654</vt:lpwstr>
  </property>
</Properties>
</file>