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4D" w:rsidRPr="003E4AD7" w:rsidRDefault="00936710" w:rsidP="003E4AD7">
      <w:pPr>
        <w:spacing w:line="480" w:lineRule="auto"/>
      </w:pPr>
      <w:r>
        <w:rPr>
          <w:b/>
        </w:rPr>
        <w:t>RESEARCH</w:t>
      </w:r>
      <w:r w:rsidR="00DE664D">
        <w:rPr>
          <w:b/>
        </w:rPr>
        <w:t xml:space="preserve"> ARTICLE</w:t>
      </w:r>
    </w:p>
    <w:p w:rsidR="00DE664D" w:rsidRDefault="00DE664D" w:rsidP="003E4AD7">
      <w:pPr>
        <w:spacing w:line="480" w:lineRule="auto"/>
        <w:rPr>
          <w:b/>
        </w:rPr>
      </w:pPr>
    </w:p>
    <w:p w:rsidR="00D15080" w:rsidRPr="00734C02" w:rsidRDefault="007A7C4C" w:rsidP="003E4AD7">
      <w:pPr>
        <w:spacing w:line="480" w:lineRule="auto"/>
        <w:rPr>
          <w:b/>
        </w:rPr>
      </w:pPr>
      <w:r>
        <w:rPr>
          <w:b/>
        </w:rPr>
        <w:t>Unloading</w:t>
      </w:r>
      <w:r w:rsidR="00734C02" w:rsidRPr="00734C02">
        <w:rPr>
          <w:b/>
        </w:rPr>
        <w:t xml:space="preserve"> shoes for intermittent </w:t>
      </w:r>
      <w:proofErr w:type="spellStart"/>
      <w:r w:rsidR="00734C02" w:rsidRPr="00734C02">
        <w:rPr>
          <w:b/>
        </w:rPr>
        <w:t>claudication</w:t>
      </w:r>
      <w:proofErr w:type="spellEnd"/>
      <w:r w:rsidR="00734C02" w:rsidRPr="00734C02">
        <w:rPr>
          <w:b/>
        </w:rPr>
        <w:t>: a randomised crossover trial</w:t>
      </w:r>
    </w:p>
    <w:p w:rsidR="00734C02" w:rsidRDefault="00734C02" w:rsidP="003E4AD7">
      <w:pPr>
        <w:spacing w:line="480" w:lineRule="auto"/>
      </w:pPr>
    </w:p>
    <w:p w:rsidR="00BB3935" w:rsidRDefault="00734C02" w:rsidP="003E4AD7">
      <w:pPr>
        <w:spacing w:line="480" w:lineRule="auto"/>
      </w:pPr>
      <w:r>
        <w:t xml:space="preserve">Garry A. </w:t>
      </w:r>
      <w:proofErr w:type="spellStart"/>
      <w:r>
        <w:t>Tew</w:t>
      </w:r>
      <w:proofErr w:type="spellEnd"/>
      <w:r>
        <w:t xml:space="preserve">, </w:t>
      </w:r>
      <w:r w:rsidR="00BB3935" w:rsidRPr="00DE664D">
        <w:t xml:space="preserve">Department of Sport, Exercise and Rehabilitation, Northumbria University, Newcastle upon Tyne, </w:t>
      </w:r>
      <w:r w:rsidR="00BB3935">
        <w:t xml:space="preserve">NE1 8ST, </w:t>
      </w:r>
      <w:r w:rsidR="00BB3935" w:rsidRPr="00DE664D">
        <w:t>United Kingdom</w:t>
      </w:r>
      <w:r w:rsidR="00BB3935">
        <w:t xml:space="preserve"> (</w:t>
      </w:r>
      <w:hyperlink r:id="rId8" w:history="1">
        <w:r w:rsidR="00BB3935" w:rsidRPr="00AC6881">
          <w:rPr>
            <w:rStyle w:val="Hyperlink"/>
          </w:rPr>
          <w:t>garry.tew@northumbria.ac.uk</w:t>
        </w:r>
      </w:hyperlink>
      <w:r w:rsidR="00BB3935">
        <w:t>)</w:t>
      </w:r>
    </w:p>
    <w:p w:rsidR="00BB3935" w:rsidRDefault="00BB3935" w:rsidP="003E4AD7">
      <w:pPr>
        <w:spacing w:line="480" w:lineRule="auto"/>
      </w:pPr>
      <w:r>
        <w:t xml:space="preserve">Ahmed </w:t>
      </w:r>
      <w:proofErr w:type="spellStart"/>
      <w:r>
        <w:t>Shalan</w:t>
      </w:r>
      <w:proofErr w:type="spellEnd"/>
      <w:r>
        <w:t xml:space="preserve">, General Surgery Department, </w:t>
      </w:r>
      <w:r w:rsidRPr="00DE664D">
        <w:t xml:space="preserve">York Hospital, </w:t>
      </w:r>
      <w:proofErr w:type="spellStart"/>
      <w:r w:rsidRPr="00DE664D">
        <w:t>Wigginton</w:t>
      </w:r>
      <w:proofErr w:type="spellEnd"/>
      <w:r w:rsidRPr="00DE664D">
        <w:t xml:space="preserve"> Road, York, YO31 8HE</w:t>
      </w:r>
      <w:r>
        <w:t>, United Kingdom (</w:t>
      </w:r>
      <w:hyperlink r:id="rId9" w:history="1">
        <w:r w:rsidRPr="00AC6881">
          <w:rPr>
            <w:rStyle w:val="Hyperlink"/>
          </w:rPr>
          <w:t>Ahmed.Shalan@york.nhs.uk</w:t>
        </w:r>
      </w:hyperlink>
      <w:r>
        <w:t>)</w:t>
      </w:r>
    </w:p>
    <w:p w:rsidR="00BB3935" w:rsidRPr="00DE664D" w:rsidRDefault="00734C02" w:rsidP="00BB3935">
      <w:pPr>
        <w:spacing w:line="480" w:lineRule="auto"/>
      </w:pPr>
      <w:r>
        <w:t xml:space="preserve">Alastair </w:t>
      </w:r>
      <w:r w:rsidR="0014501C">
        <w:t xml:space="preserve">R. </w:t>
      </w:r>
      <w:r w:rsidR="00BB3935">
        <w:t>Jordan, School of Sport</w:t>
      </w:r>
      <w:r w:rsidR="00BB3935" w:rsidRPr="00DE664D">
        <w:t>, York St John University, Lord Mayor's Walk, York, YO31 7EX</w:t>
      </w:r>
      <w:r w:rsidR="00BB3935">
        <w:t xml:space="preserve"> (</w:t>
      </w:r>
      <w:hyperlink r:id="rId10" w:history="1">
        <w:r w:rsidR="00BB3935" w:rsidRPr="00AC6881">
          <w:rPr>
            <w:rStyle w:val="Hyperlink"/>
          </w:rPr>
          <w:t>a.jordan1@yorksj.ac.uk</w:t>
        </w:r>
      </w:hyperlink>
      <w:r w:rsidR="00BB3935" w:rsidRPr="00BB3935">
        <w:t>)</w:t>
      </w:r>
    </w:p>
    <w:p w:rsidR="00BB3935" w:rsidRDefault="00BB3935" w:rsidP="00BB3935">
      <w:pPr>
        <w:spacing w:line="480" w:lineRule="auto"/>
      </w:pPr>
      <w:r>
        <w:t xml:space="preserve">Liz Cook, York Trials Unit, </w:t>
      </w:r>
      <w:r w:rsidRPr="00DE664D">
        <w:t xml:space="preserve">Department of Health Sciences, University of York, York, </w:t>
      </w:r>
      <w:r>
        <w:t xml:space="preserve">YO10 5DD, </w:t>
      </w:r>
      <w:r w:rsidRPr="00DE664D">
        <w:t>United Kingdom</w:t>
      </w:r>
      <w:r>
        <w:t xml:space="preserve"> (</w:t>
      </w:r>
      <w:hyperlink r:id="rId11" w:history="1">
        <w:r w:rsidRPr="00AC6881">
          <w:rPr>
            <w:rStyle w:val="Hyperlink"/>
          </w:rPr>
          <w:t>liz.cook@york.ac.uk</w:t>
        </w:r>
      </w:hyperlink>
      <w:r>
        <w:t>)</w:t>
      </w:r>
    </w:p>
    <w:p w:rsidR="00BB3935" w:rsidRPr="00BB3935" w:rsidRDefault="00BB3935" w:rsidP="00BB3935">
      <w:pPr>
        <w:spacing w:line="480" w:lineRule="auto"/>
      </w:pPr>
      <w:r>
        <w:t xml:space="preserve">Caroline </w:t>
      </w:r>
      <w:proofErr w:type="spellStart"/>
      <w:r>
        <w:t>Fairhurst</w:t>
      </w:r>
      <w:proofErr w:type="spellEnd"/>
      <w:r>
        <w:t xml:space="preserve">, </w:t>
      </w:r>
      <w:r w:rsidRPr="00BB3935">
        <w:t>York Trials Unit, Department of Health Sciences, University of York, York, YO10 5DD, United Kingdom</w:t>
      </w:r>
      <w:r>
        <w:t xml:space="preserve"> (</w:t>
      </w:r>
      <w:hyperlink r:id="rId12" w:history="1">
        <w:r w:rsidRPr="00AC6881">
          <w:rPr>
            <w:rStyle w:val="Hyperlink"/>
          </w:rPr>
          <w:t>caroline.fairhurst@york.ac.uk</w:t>
        </w:r>
      </w:hyperlink>
      <w:r>
        <w:t>)</w:t>
      </w:r>
    </w:p>
    <w:p w:rsidR="00BB3935" w:rsidRDefault="0059576E" w:rsidP="00BB3935">
      <w:pPr>
        <w:spacing w:line="480" w:lineRule="auto"/>
      </w:pPr>
      <w:r w:rsidRPr="0059576E">
        <w:t>Elizabeth S</w:t>
      </w:r>
      <w:r>
        <w:t>.</w:t>
      </w:r>
      <w:r w:rsidR="00BB3935">
        <w:t xml:space="preserve"> Coleman, York Trials Unit, </w:t>
      </w:r>
      <w:r w:rsidR="00BB3935" w:rsidRPr="00DE664D">
        <w:t xml:space="preserve">Department of Health Sciences, University of York, York, </w:t>
      </w:r>
      <w:r w:rsidR="00BB3935">
        <w:t xml:space="preserve">YO10 5DD, </w:t>
      </w:r>
      <w:r w:rsidR="00BB3935" w:rsidRPr="00DE664D">
        <w:t>United Kingdom</w:t>
      </w:r>
      <w:r w:rsidR="00BB3935">
        <w:t xml:space="preserve"> (</w:t>
      </w:r>
      <w:hyperlink r:id="rId13" w:history="1">
        <w:r w:rsidR="00BB3935" w:rsidRPr="00AC6881">
          <w:rPr>
            <w:rStyle w:val="Hyperlink"/>
          </w:rPr>
          <w:t>izzy.coleman@york.ac.uk</w:t>
        </w:r>
      </w:hyperlink>
      <w:r w:rsidR="00BB3935">
        <w:t>)</w:t>
      </w:r>
    </w:p>
    <w:p w:rsidR="00BB3935" w:rsidRPr="00BB3935" w:rsidRDefault="00BB3935" w:rsidP="00BB3935">
      <w:pPr>
        <w:spacing w:line="480" w:lineRule="auto"/>
      </w:pPr>
      <w:r>
        <w:t xml:space="preserve">Catherine Hewitt, </w:t>
      </w:r>
      <w:r w:rsidRPr="00BB3935">
        <w:t>York Trials Unit, Department of Health Sciences, University of York, York, YO10 5DD, United Kingdom</w:t>
      </w:r>
      <w:r>
        <w:t xml:space="preserve"> (</w:t>
      </w:r>
      <w:hyperlink r:id="rId14" w:history="1">
        <w:r w:rsidRPr="00AC6881">
          <w:rPr>
            <w:rStyle w:val="Hyperlink"/>
          </w:rPr>
          <w:t>Catherine.hewitt@york.ac.uk</w:t>
        </w:r>
      </w:hyperlink>
      <w:r>
        <w:t>)</w:t>
      </w:r>
    </w:p>
    <w:p w:rsidR="00BB3935" w:rsidRDefault="00734C02" w:rsidP="00BB3935">
      <w:pPr>
        <w:spacing w:line="480" w:lineRule="auto"/>
      </w:pPr>
      <w:r>
        <w:t xml:space="preserve">Stephen </w:t>
      </w:r>
      <w:r w:rsidR="0014501C">
        <w:t xml:space="preserve">W. </w:t>
      </w:r>
      <w:r w:rsidR="00BB3935">
        <w:t>Hutchins, Department of Occupational Therapy, Prosthetics and Orthotics,</w:t>
      </w:r>
      <w:r w:rsidR="00BB3935" w:rsidRPr="0014501C">
        <w:t xml:space="preserve"> </w:t>
      </w:r>
      <w:r w:rsidR="00BB3935">
        <w:t xml:space="preserve">Faculty of Health Sciences, Oslo and </w:t>
      </w:r>
      <w:proofErr w:type="spellStart"/>
      <w:r w:rsidR="00BB3935">
        <w:t>Akershus</w:t>
      </w:r>
      <w:proofErr w:type="spellEnd"/>
      <w:r w:rsidR="00BB3935">
        <w:t xml:space="preserve"> University College of Applied Sciences, </w:t>
      </w:r>
      <w:proofErr w:type="spellStart"/>
      <w:r w:rsidR="00BB3935">
        <w:t>Pilestredet</w:t>
      </w:r>
      <w:proofErr w:type="spellEnd"/>
      <w:r w:rsidR="00BB3935">
        <w:t xml:space="preserve"> 44, PB4 </w:t>
      </w:r>
      <w:proofErr w:type="spellStart"/>
      <w:r w:rsidR="00BB3935">
        <w:t>St.Olavs</w:t>
      </w:r>
      <w:proofErr w:type="spellEnd"/>
      <w:r w:rsidR="00BB3935">
        <w:t xml:space="preserve"> </w:t>
      </w:r>
      <w:proofErr w:type="spellStart"/>
      <w:r w:rsidR="00BB3935">
        <w:t>plass</w:t>
      </w:r>
      <w:proofErr w:type="spellEnd"/>
      <w:r w:rsidR="00BB3935">
        <w:t>, N-0130, Oslo, Norway; Directorate of Prosthetics and Orthotics and Podiatry, School of Health Sciences, University of Salford, Frederick Road, Salford, M6 6PU, United Kingdom (</w:t>
      </w:r>
      <w:hyperlink r:id="rId15" w:history="1">
        <w:r w:rsidR="00BB3935" w:rsidRPr="00AC6881">
          <w:rPr>
            <w:rStyle w:val="Hyperlink"/>
          </w:rPr>
          <w:t>stephen.hutchins@hioa.no</w:t>
        </w:r>
      </w:hyperlink>
      <w:r w:rsidR="00BB3935" w:rsidRPr="00BB3935">
        <w:t>)</w:t>
      </w:r>
    </w:p>
    <w:p w:rsidR="00DE664D" w:rsidRDefault="00734C02" w:rsidP="003E4AD7">
      <w:pPr>
        <w:spacing w:line="480" w:lineRule="auto"/>
      </w:pPr>
      <w:r>
        <w:t xml:space="preserve">Andrew </w:t>
      </w:r>
      <w:r w:rsidR="00BB3935">
        <w:t xml:space="preserve">Thompson, </w:t>
      </w:r>
      <w:r w:rsidR="00BB3935" w:rsidRPr="00BB3935">
        <w:t xml:space="preserve">General Surgery Department, York Hospital, </w:t>
      </w:r>
      <w:proofErr w:type="spellStart"/>
      <w:r w:rsidR="00BB3935" w:rsidRPr="00BB3935">
        <w:t>Wigginton</w:t>
      </w:r>
      <w:proofErr w:type="spellEnd"/>
      <w:r w:rsidR="00BB3935" w:rsidRPr="00BB3935">
        <w:t xml:space="preserve"> Road, York, YO31 8HE, United Kingdom</w:t>
      </w:r>
      <w:r w:rsidR="00BB3935">
        <w:t xml:space="preserve"> (</w:t>
      </w:r>
      <w:hyperlink r:id="rId16" w:history="1">
        <w:r w:rsidR="00BB3935" w:rsidRPr="00AC6881">
          <w:rPr>
            <w:rStyle w:val="Hyperlink"/>
          </w:rPr>
          <w:t>Andrew.Thompson@york.nhs.uk</w:t>
        </w:r>
      </w:hyperlink>
      <w:r w:rsidR="00BB3935">
        <w:t>)</w:t>
      </w:r>
    </w:p>
    <w:p w:rsidR="0014501C" w:rsidRDefault="0014501C" w:rsidP="003E4AD7">
      <w:pPr>
        <w:spacing w:line="480" w:lineRule="auto"/>
        <w:rPr>
          <w:u w:val="single"/>
        </w:rPr>
      </w:pPr>
    </w:p>
    <w:p w:rsidR="00DE664D" w:rsidRDefault="00972F66" w:rsidP="003E4AD7">
      <w:pPr>
        <w:spacing w:line="480" w:lineRule="auto"/>
      </w:pPr>
      <w:r w:rsidRPr="00972F66">
        <w:lastRenderedPageBreak/>
        <w:t>*</w:t>
      </w:r>
      <w:r w:rsidR="00DE664D" w:rsidRPr="00972F66">
        <w:t>Correspond</w:t>
      </w:r>
      <w:r w:rsidRPr="00972F66">
        <w:t>ence</w:t>
      </w:r>
      <w:r w:rsidR="00DE664D" w:rsidRPr="00972F66">
        <w:t>:</w:t>
      </w:r>
      <w:r w:rsidR="00DE664D" w:rsidRPr="00DE664D">
        <w:t xml:space="preserve"> </w:t>
      </w:r>
      <w:r w:rsidR="00DE664D">
        <w:t xml:space="preserve">Dr </w:t>
      </w:r>
      <w:r w:rsidR="00DE664D" w:rsidRPr="00DE664D">
        <w:t>Garry</w:t>
      </w:r>
      <w:r w:rsidR="00DE664D">
        <w:t xml:space="preserve"> A.</w:t>
      </w:r>
      <w:r w:rsidR="00DE664D" w:rsidRPr="00DE664D">
        <w:t xml:space="preserve"> </w:t>
      </w:r>
      <w:proofErr w:type="spellStart"/>
      <w:r w:rsidR="00DE664D" w:rsidRPr="00DE664D">
        <w:t>Tew</w:t>
      </w:r>
      <w:proofErr w:type="spellEnd"/>
      <w:r w:rsidR="00DE664D" w:rsidRPr="00DE664D">
        <w:t xml:space="preserve">, Department of Sport, Exercise and Rehabilitation, Northumberland Building, Northumberland Road, Newcastle upon Tyne, </w:t>
      </w:r>
      <w:r w:rsidR="00DE664D">
        <w:t>NE1 8ST, United Kingdom</w:t>
      </w:r>
      <w:r w:rsidR="00DE664D" w:rsidRPr="00DE664D">
        <w:t xml:space="preserve">. Tel: +44(0)191 2437556; Email: </w:t>
      </w:r>
      <w:hyperlink r:id="rId17" w:history="1">
        <w:r w:rsidR="00DE664D" w:rsidRPr="00790A2C">
          <w:rPr>
            <w:rStyle w:val="Hyperlink"/>
          </w:rPr>
          <w:t>garry.tew@northumbria.ac.uk</w:t>
        </w:r>
      </w:hyperlink>
      <w:r w:rsidR="00DE664D">
        <w:br w:type="page"/>
      </w:r>
    </w:p>
    <w:p w:rsidR="00DE664D" w:rsidRPr="00DE664D" w:rsidRDefault="00DE664D" w:rsidP="003E4AD7">
      <w:pPr>
        <w:spacing w:line="480" w:lineRule="auto"/>
        <w:rPr>
          <w:b/>
        </w:rPr>
      </w:pPr>
      <w:r w:rsidRPr="00DE664D">
        <w:rPr>
          <w:b/>
        </w:rPr>
        <w:lastRenderedPageBreak/>
        <w:t>ABSTRACT</w:t>
      </w:r>
    </w:p>
    <w:p w:rsidR="00DE664D" w:rsidRDefault="00972F66" w:rsidP="003E4AD7">
      <w:pPr>
        <w:spacing w:line="480" w:lineRule="auto"/>
      </w:pPr>
      <w:r>
        <w:rPr>
          <w:b/>
        </w:rPr>
        <w:t>Background</w:t>
      </w:r>
      <w:r w:rsidR="00DE664D" w:rsidRPr="00972F66">
        <w:rPr>
          <w:b/>
        </w:rPr>
        <w:t>:</w:t>
      </w:r>
      <w:r w:rsidR="00DE664D">
        <w:t xml:space="preserve"> </w:t>
      </w:r>
      <w:r w:rsidR="0076603E" w:rsidRPr="009303F8">
        <w:t>T</w:t>
      </w:r>
      <w:r w:rsidR="0076603E">
        <w:t>he</w:t>
      </w:r>
      <w:r w:rsidR="0076603E" w:rsidRPr="009303F8">
        <w:t xml:space="preserve"> </w:t>
      </w:r>
      <w:r>
        <w:t xml:space="preserve">purpose of this study was to </w:t>
      </w:r>
      <w:r w:rsidR="009303F8" w:rsidRPr="009303F8">
        <w:t>assess</w:t>
      </w:r>
      <w:r w:rsidR="00333948">
        <w:t xml:space="preserve"> the </w:t>
      </w:r>
      <w:r w:rsidR="009303F8" w:rsidRPr="009303F8">
        <w:t>functi</w:t>
      </w:r>
      <w:r w:rsidR="00333948">
        <w:t>onal effects</w:t>
      </w:r>
      <w:r w:rsidR="003E4AD7">
        <w:t xml:space="preserve"> and</w:t>
      </w:r>
      <w:r w:rsidR="00333948">
        <w:t xml:space="preserve"> </w:t>
      </w:r>
      <w:r w:rsidR="003E4AD7">
        <w:t>acceptability</w:t>
      </w:r>
      <w:r w:rsidR="003E4AD7" w:rsidRPr="009303F8">
        <w:t xml:space="preserve"> </w:t>
      </w:r>
      <w:r w:rsidR="00333948">
        <w:t>of rocker-sol</w:t>
      </w:r>
      <w:r w:rsidR="009303F8" w:rsidRPr="009303F8">
        <w:t xml:space="preserve">ed shoes that </w:t>
      </w:r>
      <w:r w:rsidR="00333948">
        <w:t xml:space="preserve">were designed to </w:t>
      </w:r>
      <w:r w:rsidR="001E6AED">
        <w:t xml:space="preserve">relatively </w:t>
      </w:r>
      <w:r w:rsidR="009303F8" w:rsidRPr="009303F8">
        <w:t>“unload” the calf muscles</w:t>
      </w:r>
      <w:r w:rsidR="00333948">
        <w:t xml:space="preserve"> during walking</w:t>
      </w:r>
      <w:r w:rsidR="009303F8" w:rsidRPr="009303F8">
        <w:t xml:space="preserve"> in people with calf </w:t>
      </w:r>
      <w:proofErr w:type="spellStart"/>
      <w:r w:rsidR="009303F8" w:rsidRPr="009303F8">
        <w:t>claudication</w:t>
      </w:r>
      <w:proofErr w:type="spellEnd"/>
      <w:r w:rsidR="009303F8" w:rsidRPr="009303F8">
        <w:t xml:space="preserve"> due to peripheral arterial disease.  </w:t>
      </w:r>
    </w:p>
    <w:p w:rsidR="00DE664D" w:rsidRDefault="009F57D4" w:rsidP="003E4AD7">
      <w:pPr>
        <w:spacing w:line="480" w:lineRule="auto"/>
      </w:pPr>
      <w:r>
        <w:rPr>
          <w:b/>
        </w:rPr>
        <w:t>Methods</w:t>
      </w:r>
      <w:r w:rsidR="00A65ADD" w:rsidRPr="00972F66">
        <w:rPr>
          <w:b/>
        </w:rPr>
        <w:t>:</w:t>
      </w:r>
      <w:r w:rsidR="00A65ADD">
        <w:t xml:space="preserve"> </w:t>
      </w:r>
      <w:r w:rsidR="00A65ADD" w:rsidRPr="00A65ADD">
        <w:t xml:space="preserve">In this </w:t>
      </w:r>
      <w:r w:rsidR="00A65ADD">
        <w:t>randomised AB/BA crossover trial</w:t>
      </w:r>
      <w:r w:rsidR="00A65ADD" w:rsidRPr="00A65ADD">
        <w:t>, participants completed two assessment visits up to two weeks apart. At each visit, par</w:t>
      </w:r>
      <w:r w:rsidR="00AB54B8">
        <w:t xml:space="preserve">ticipants completed walking tests whilst wearing </w:t>
      </w:r>
      <w:r w:rsidR="00A65ADD" w:rsidRPr="00A65ADD">
        <w:t>the unload</w:t>
      </w:r>
      <w:r w:rsidR="00A65ADD">
        <w:t xml:space="preserve">ing shoes or </w:t>
      </w:r>
      <w:r w:rsidR="00A65ADD" w:rsidRPr="00D85A9F">
        <w:t>visually-similar</w:t>
      </w:r>
      <w:r w:rsidR="00634870" w:rsidRPr="00D85A9F">
        <w:t xml:space="preserve"> </w:t>
      </w:r>
      <w:r w:rsidR="00A65ADD" w:rsidRPr="00D85A9F">
        <w:t xml:space="preserve">control </w:t>
      </w:r>
      <w:r w:rsidR="00A65ADD" w:rsidRPr="00A65ADD">
        <w:t xml:space="preserve">shoes. </w:t>
      </w:r>
      <w:r w:rsidR="00A65ADD">
        <w:t xml:space="preserve">At </w:t>
      </w:r>
      <w:r w:rsidR="00AB54B8">
        <w:t>the end of the second</w:t>
      </w:r>
      <w:r w:rsidR="00A65ADD">
        <w:t xml:space="preserve"> visit, participants were given </w:t>
      </w:r>
      <w:r w:rsidR="0028677E">
        <w:t xml:space="preserve">either the unloading or </w:t>
      </w:r>
      <w:r w:rsidR="0028677E" w:rsidRPr="00D85A9F">
        <w:t>control</w:t>
      </w:r>
      <w:r w:rsidR="00A65ADD" w:rsidRPr="00D85A9F">
        <w:t xml:space="preserve"> shoes </w:t>
      </w:r>
      <w:r w:rsidR="00A65ADD">
        <w:t xml:space="preserve">to use in their home environment for 2 weeks, with the instruction to wear them </w:t>
      </w:r>
      <w:r w:rsidR="00336197">
        <w:t xml:space="preserve">for </w:t>
      </w:r>
      <w:r w:rsidR="00A65ADD">
        <w:t>at least 4 hours every day.</w:t>
      </w:r>
      <w:r w:rsidR="00972F66">
        <w:t xml:space="preserve"> </w:t>
      </w:r>
      <w:r w:rsidR="00A65ADD" w:rsidRPr="00A65ADD">
        <w:t xml:space="preserve">The primary outcome was </w:t>
      </w:r>
      <w:r w:rsidR="00634870">
        <w:t>6-minute</w:t>
      </w:r>
      <w:r w:rsidR="00A65ADD" w:rsidRPr="00A65ADD">
        <w:t xml:space="preserve"> walk</w:t>
      </w:r>
      <w:r w:rsidR="0076603E">
        <w:t xml:space="preserve"> distance</w:t>
      </w:r>
      <w:r w:rsidR="00A65ADD" w:rsidRPr="00A65ADD">
        <w:t>.</w:t>
      </w:r>
      <w:r w:rsidR="0028677E" w:rsidRPr="0028677E">
        <w:t xml:space="preserve"> </w:t>
      </w:r>
      <w:r w:rsidR="0028677E">
        <w:t>We also assessed</w:t>
      </w:r>
      <w:r w:rsidR="0028677E" w:rsidRPr="0028677E">
        <w:t xml:space="preserve"> pain-free walking distance and gait</w:t>
      </w:r>
      <w:r w:rsidR="0028677E">
        <w:t xml:space="preserve"> biomechanical variables</w:t>
      </w:r>
      <w:r w:rsidR="0028677E" w:rsidRPr="0028677E">
        <w:t xml:space="preserve"> during usual-pace walking</w:t>
      </w:r>
      <w:r w:rsidR="00A266E7">
        <w:t>, adverse event</w:t>
      </w:r>
      <w:r w:rsidR="0028677E">
        <w:t>s, and participants’ opinions about the shoes</w:t>
      </w:r>
      <w:r w:rsidR="0028677E" w:rsidRPr="0028677E">
        <w:t>.</w:t>
      </w:r>
      <w:r w:rsidR="004203E8">
        <w:t xml:space="preserve"> Data for continuous outcomes are presented as </w:t>
      </w:r>
      <w:r w:rsidR="004203E8" w:rsidRPr="004203E8">
        <w:t>mean di</w:t>
      </w:r>
      <w:r w:rsidR="004203E8">
        <w:t>fference between conditions with</w:t>
      </w:r>
      <w:r w:rsidR="004203E8" w:rsidRPr="004203E8">
        <w:t xml:space="preserve"> corresponding 95% confidenc</w:t>
      </w:r>
      <w:r w:rsidR="004203E8">
        <w:t>e interval.</w:t>
      </w:r>
    </w:p>
    <w:p w:rsidR="00DE664D" w:rsidRDefault="00DE664D" w:rsidP="003E4AD7">
      <w:pPr>
        <w:spacing w:line="480" w:lineRule="auto"/>
      </w:pPr>
      <w:r w:rsidRPr="00972F66">
        <w:rPr>
          <w:b/>
        </w:rPr>
        <w:t>Results</w:t>
      </w:r>
      <w:r w:rsidR="0028677E" w:rsidRPr="00972F66">
        <w:rPr>
          <w:b/>
        </w:rPr>
        <w:t>:</w:t>
      </w:r>
      <w:r w:rsidR="0028677E">
        <w:t xml:space="preserve"> Thirty-four participants (27</w:t>
      </w:r>
      <w:r w:rsidR="009432E9">
        <w:t xml:space="preserve"> males,</w:t>
      </w:r>
      <w:r w:rsidR="00280ECE">
        <w:t xml:space="preserve"> </w:t>
      </w:r>
      <w:r w:rsidR="009432E9">
        <w:t>mean age 68 years,</w:t>
      </w:r>
      <w:r w:rsidR="00280ECE">
        <w:t xml:space="preserve"> </w:t>
      </w:r>
      <w:r w:rsidR="009432E9">
        <w:t>mean ankle-brachial index 0.54</w:t>
      </w:r>
      <w:r w:rsidR="0028677E" w:rsidRPr="0028677E">
        <w:t xml:space="preserve">) </w:t>
      </w:r>
      <w:r w:rsidR="0028677E">
        <w:t>completed both assessment visits.</w:t>
      </w:r>
      <w:r w:rsidR="001D4A98">
        <w:t xml:space="preserve"> </w:t>
      </w:r>
      <w:r w:rsidR="004C0584">
        <w:t>On average, the 6-minute walk distance was</w:t>
      </w:r>
      <w:r w:rsidR="001D4A98" w:rsidRPr="001D4A98">
        <w:t xml:space="preserve"> 11 m </w:t>
      </w:r>
      <w:r w:rsidR="004C0584">
        <w:t>greater when participants wore the control shoes</w:t>
      </w:r>
      <w:r w:rsidR="001D4A98" w:rsidRPr="001D4A98">
        <w:t xml:space="preserve"> (</w:t>
      </w:r>
      <w:r w:rsidR="004C0584">
        <w:t>95% CI -</w:t>
      </w:r>
      <w:r w:rsidR="00D85CA9">
        <w:t>5 to 2</w:t>
      </w:r>
      <w:r w:rsidR="00854843">
        <w:t>6</w:t>
      </w:r>
      <w:r w:rsidR="007058F2">
        <w:t>), whe</w:t>
      </w:r>
      <w:r w:rsidR="00D85CA9">
        <w:t>reas</w:t>
      </w:r>
      <w:r w:rsidR="001D4A98" w:rsidRPr="001D4A98">
        <w:t xml:space="preserve"> </w:t>
      </w:r>
      <w:r w:rsidR="004C0584">
        <w:t>mean</w:t>
      </w:r>
      <w:r w:rsidR="001D4A98" w:rsidRPr="001D4A98">
        <w:t xml:space="preserve"> pain-free walking</w:t>
      </w:r>
      <w:r w:rsidR="004C0584">
        <w:t xml:space="preserve"> distance was 7 m gr</w:t>
      </w:r>
      <w:r w:rsidR="00D85CA9">
        <w:t>eater in the unloading shoes</w:t>
      </w:r>
      <w:r w:rsidR="004C0584">
        <w:t xml:space="preserve"> (</w:t>
      </w:r>
      <w:r w:rsidR="00D85CA9">
        <w:t>95% CI -17 to 32</w:t>
      </w:r>
      <w:r w:rsidR="001D4A98" w:rsidRPr="001D4A98">
        <w:t>).</w:t>
      </w:r>
      <w:r w:rsidR="004C0584" w:rsidRPr="004C0584">
        <w:t xml:space="preserve"> Neither of these differences were statistically significant</w:t>
      </w:r>
      <w:r w:rsidR="00D85CA9">
        <w:t xml:space="preserve"> (p=0.18 and </w:t>
      </w:r>
      <w:r w:rsidR="007058F2">
        <w:t>p=</w:t>
      </w:r>
      <w:r w:rsidR="00D85CA9">
        <w:t>0.55, respectively)</w:t>
      </w:r>
      <w:r w:rsidR="004C0584" w:rsidRPr="004C0584">
        <w:t>.</w:t>
      </w:r>
      <w:r w:rsidR="007058F2">
        <w:t xml:space="preserve"> This was despite the</w:t>
      </w:r>
      <w:r w:rsidR="00F507C7">
        <w:t xml:space="preserve"> unloading shoes </w:t>
      </w:r>
      <w:r w:rsidR="007058F2">
        <w:t>reducing</w:t>
      </w:r>
      <w:r w:rsidR="00F507C7">
        <w:t xml:space="preserve"> peak ankle </w:t>
      </w:r>
      <w:proofErr w:type="spellStart"/>
      <w:r w:rsidR="00F507C7">
        <w:t>plantarflexion</w:t>
      </w:r>
      <w:proofErr w:type="spellEnd"/>
      <w:r w:rsidR="00F507C7">
        <w:t xml:space="preserve"> moment</w:t>
      </w:r>
      <w:r w:rsidR="007058F2">
        <w:t xml:space="preserve"> (</w:t>
      </w:r>
      <w:r w:rsidR="00AB54B8">
        <w:t xml:space="preserve">mean difference </w:t>
      </w:r>
      <w:r w:rsidR="007058F2">
        <w:t>0.2 Nm/kg, 95% CI 0.0 to 0.3)</w:t>
      </w:r>
      <w:r w:rsidR="00F507C7">
        <w:t xml:space="preserve"> and peak </w:t>
      </w:r>
      <w:r w:rsidR="00E75B3C" w:rsidRPr="00E75B3C">
        <w:t>ankle power generation (mean differe</w:t>
      </w:r>
      <w:r w:rsidR="00E75B3C">
        <w:t>nce 0.6 W/kg, 95% CI 0.2 to 1.0</w:t>
      </w:r>
      <w:r w:rsidR="00F507C7" w:rsidRPr="00F507C7">
        <w:t>)</w:t>
      </w:r>
      <w:r w:rsidR="007058F2">
        <w:t xml:space="preserve"> during pain-free walking</w:t>
      </w:r>
      <w:r w:rsidR="00F507C7">
        <w:t>.</w:t>
      </w:r>
      <w:r w:rsidR="007058F2">
        <w:t xml:space="preserve"> The survey and interview data was mixed, with no clear differences between the unloading and control shoes.</w:t>
      </w:r>
    </w:p>
    <w:p w:rsidR="00DE664D" w:rsidRDefault="00DE664D" w:rsidP="003E4AD7">
      <w:pPr>
        <w:spacing w:line="480" w:lineRule="auto"/>
      </w:pPr>
      <w:r w:rsidRPr="00972F66">
        <w:rPr>
          <w:b/>
        </w:rPr>
        <w:t>Conclusions</w:t>
      </w:r>
      <w:r w:rsidR="004203E8" w:rsidRPr="00972F66">
        <w:rPr>
          <w:b/>
        </w:rPr>
        <w:t>:</w:t>
      </w:r>
      <w:r w:rsidR="00075775">
        <w:rPr>
          <w:i/>
        </w:rPr>
        <w:t xml:space="preserve"> </w:t>
      </w:r>
      <w:r w:rsidR="00075775">
        <w:t xml:space="preserve">Shoes with modified </w:t>
      </w:r>
      <w:r w:rsidR="00075775" w:rsidRPr="00075775">
        <w:t xml:space="preserve">soles to </w:t>
      </w:r>
      <w:r w:rsidR="00AB54B8">
        <w:t xml:space="preserve">relatively </w:t>
      </w:r>
      <w:r w:rsidR="00075775" w:rsidRPr="00075775">
        <w:t xml:space="preserve">unload the </w:t>
      </w:r>
      <w:r w:rsidR="00075775">
        <w:t>calf muscle</w:t>
      </w:r>
      <w:r w:rsidR="00AB54B8">
        <w:t>s during walking</w:t>
      </w:r>
      <w:r w:rsidR="00075775">
        <w:t xml:space="preserve"> conferred no </w:t>
      </w:r>
      <w:r w:rsidR="00AB54B8">
        <w:t xml:space="preserve">substantial </w:t>
      </w:r>
      <w:r w:rsidR="00075775">
        <w:t>acute functional</w:t>
      </w:r>
      <w:r w:rsidR="00075775" w:rsidRPr="00075775">
        <w:t xml:space="preserve"> b</w:t>
      </w:r>
      <w:r w:rsidR="00075775">
        <w:t>enefit over</w:t>
      </w:r>
      <w:r w:rsidR="00075775" w:rsidRPr="00575B6D">
        <w:t xml:space="preserve"> con</w:t>
      </w:r>
      <w:r w:rsidR="00D54799" w:rsidRPr="00575B6D">
        <w:t xml:space="preserve">trol </w:t>
      </w:r>
      <w:r w:rsidR="00075775" w:rsidRPr="00075775">
        <w:t>shoes.</w:t>
      </w:r>
    </w:p>
    <w:p w:rsidR="001A2826" w:rsidRPr="00075775" w:rsidRDefault="001A2826" w:rsidP="003E4AD7">
      <w:pPr>
        <w:spacing w:line="480" w:lineRule="auto"/>
      </w:pPr>
      <w:r w:rsidRPr="001A2826">
        <w:rPr>
          <w:b/>
        </w:rPr>
        <w:t>Trial Registration:</w:t>
      </w:r>
      <w:r>
        <w:t xml:space="preserve"> </w:t>
      </w:r>
      <w:r w:rsidR="008C1008" w:rsidRPr="008C1008">
        <w:t xml:space="preserve">Clinicaltrials.gov, Trial Registration Number: </w:t>
      </w:r>
      <w:r w:rsidR="008C1008" w:rsidRPr="001A2826">
        <w:t>NCT02505503</w:t>
      </w:r>
      <w:r w:rsidR="008C1008">
        <w:t>, First registered 22 July 2015</w:t>
      </w:r>
      <w:r w:rsidR="008C1008" w:rsidRPr="008C1008">
        <w:t>.</w:t>
      </w:r>
      <w:r w:rsidR="008C1008">
        <w:t xml:space="preserve"> </w:t>
      </w:r>
    </w:p>
    <w:p w:rsidR="0001038D" w:rsidRDefault="0001038D" w:rsidP="003E4AD7">
      <w:pPr>
        <w:spacing w:line="480" w:lineRule="auto"/>
        <w:rPr>
          <w:i/>
        </w:rPr>
      </w:pPr>
    </w:p>
    <w:p w:rsidR="003E4AD7" w:rsidRDefault="0001038D" w:rsidP="003E4AD7">
      <w:pPr>
        <w:spacing w:line="480" w:lineRule="auto"/>
      </w:pPr>
      <w:r w:rsidRPr="00333948">
        <w:rPr>
          <w:b/>
        </w:rPr>
        <w:t>Keywords:</w:t>
      </w:r>
      <w:r>
        <w:rPr>
          <w:i/>
        </w:rPr>
        <w:t xml:space="preserve"> </w:t>
      </w:r>
      <w:r>
        <w:t xml:space="preserve">Peripheral arterial disease, </w:t>
      </w:r>
      <w:r w:rsidR="00333948">
        <w:t xml:space="preserve">Foot </w:t>
      </w:r>
      <w:proofErr w:type="spellStart"/>
      <w:r w:rsidR="00333948">
        <w:t>orthoses</w:t>
      </w:r>
      <w:proofErr w:type="spellEnd"/>
      <w:r w:rsidR="00333948">
        <w:t>, Gait, Cross-over studies</w:t>
      </w:r>
      <w:r w:rsidR="003E4AD7">
        <w:br w:type="page"/>
      </w:r>
    </w:p>
    <w:p w:rsidR="003E4AD7" w:rsidRPr="009F57D4" w:rsidRDefault="009F57D4" w:rsidP="003E4AD7">
      <w:pPr>
        <w:spacing w:line="480" w:lineRule="auto"/>
        <w:rPr>
          <w:b/>
          <w:sz w:val="28"/>
        </w:rPr>
      </w:pPr>
      <w:r w:rsidRPr="009F57D4">
        <w:rPr>
          <w:b/>
          <w:sz w:val="28"/>
        </w:rPr>
        <w:lastRenderedPageBreak/>
        <w:t>Background</w:t>
      </w:r>
    </w:p>
    <w:p w:rsidR="003E4AD7" w:rsidRDefault="001E6AED" w:rsidP="003E4AD7">
      <w:pPr>
        <w:spacing w:line="480" w:lineRule="auto"/>
      </w:pPr>
      <w:r>
        <w:t xml:space="preserve">Intermittent </w:t>
      </w:r>
      <w:proofErr w:type="spellStart"/>
      <w:r>
        <w:t>claudication</w:t>
      </w:r>
      <w:proofErr w:type="spellEnd"/>
      <w:r>
        <w:t xml:space="preserve">, </w:t>
      </w:r>
      <w:r w:rsidR="00A5623A">
        <w:t>a</w:t>
      </w:r>
      <w:r>
        <w:t xml:space="preserve"> common symptom of lower-limb peripheral arterial disease</w:t>
      </w:r>
      <w:r w:rsidR="008B4234">
        <w:t xml:space="preserve"> (PAD)</w:t>
      </w:r>
      <w:r>
        <w:t>,</w:t>
      </w:r>
      <w:r w:rsidRPr="001E6AED">
        <w:t xml:space="preserve"> is defined as leg pain or discomfort in the calf of one or both legs that occurs during walking and is relieved within 10 minutes of rest. </w:t>
      </w:r>
      <w:r>
        <w:t xml:space="preserve">Although intermittent </w:t>
      </w:r>
      <w:proofErr w:type="spellStart"/>
      <w:r>
        <w:t>claudication</w:t>
      </w:r>
      <w:proofErr w:type="spellEnd"/>
      <w:r>
        <w:t xml:space="preserve"> is not directly life threatening, it can markedly reduce </w:t>
      </w:r>
      <w:r w:rsidRPr="001E6AED">
        <w:t>quality of life by limiting</w:t>
      </w:r>
      <w:r w:rsidR="00D92BA0">
        <w:t xml:space="preserve"> walking</w:t>
      </w:r>
      <w:r w:rsidRPr="001E6AED">
        <w:t xml:space="preserve"> and </w:t>
      </w:r>
      <w:r w:rsidR="00D92BA0">
        <w:t xml:space="preserve">other </w:t>
      </w:r>
      <w:r w:rsidRPr="001E6AED">
        <w:t>activities of daily livin</w:t>
      </w:r>
      <w:r w:rsidR="00330511">
        <w:t>g</w:t>
      </w:r>
      <w:r w:rsidR="00BB3935">
        <w:t xml:space="preserve"> [1]</w:t>
      </w:r>
      <w:r w:rsidRPr="001E6AED">
        <w:t>.</w:t>
      </w:r>
      <w:r w:rsidR="00D92BA0">
        <w:t xml:space="preserve"> Qualitative research</w:t>
      </w:r>
      <w:r w:rsidR="00D92BA0" w:rsidRPr="00D92BA0">
        <w:t xml:space="preserve"> </w:t>
      </w:r>
      <w:r w:rsidR="00D92BA0">
        <w:t xml:space="preserve">has identified that the intensity of </w:t>
      </w:r>
      <w:proofErr w:type="spellStart"/>
      <w:r w:rsidR="00D92BA0" w:rsidRPr="00D92BA0">
        <w:t>claudication</w:t>
      </w:r>
      <w:proofErr w:type="spellEnd"/>
      <w:r w:rsidR="00D92BA0" w:rsidRPr="00D92BA0">
        <w:t xml:space="preserve"> pain experienced during walking is influenced by several factors</w:t>
      </w:r>
      <w:r w:rsidR="00D92BA0">
        <w:t>,</w:t>
      </w:r>
      <w:r w:rsidR="00D92BA0" w:rsidRPr="00D92BA0">
        <w:t xml:space="preserve"> such as the surface walked on (e.g.</w:t>
      </w:r>
      <w:r w:rsidR="00D92BA0">
        <w:t>,</w:t>
      </w:r>
      <w:r w:rsidR="00D92BA0" w:rsidRPr="00D92BA0">
        <w:t xml:space="preserve"> grass versus tarmac), the incline and speed of walking</w:t>
      </w:r>
      <w:r w:rsidR="00D92BA0">
        <w:t>, and the type of</w:t>
      </w:r>
      <w:r w:rsidR="00330511">
        <w:t xml:space="preserve"> shoes worn</w:t>
      </w:r>
      <w:r w:rsidR="00BB3935">
        <w:t xml:space="preserve"> [2]</w:t>
      </w:r>
      <w:r w:rsidR="00D92BA0" w:rsidRPr="00D92BA0">
        <w:t>.</w:t>
      </w:r>
      <w:r w:rsidR="00D92BA0">
        <w:t xml:space="preserve"> </w:t>
      </w:r>
      <w:r w:rsidR="00D92BA0" w:rsidRPr="00D92BA0">
        <w:t xml:space="preserve">Regarding the latter, it is thought that factors such as the pitch of the shoe and the amount of support that a shoe gives to </w:t>
      </w:r>
      <w:r w:rsidR="007A7C4C">
        <w:t>the ankle joint</w:t>
      </w:r>
      <w:r w:rsidR="00D92BA0" w:rsidRPr="00D92BA0">
        <w:t xml:space="preserve"> may influence the metabolic demands of the calf musculature during walking, and thus the speed of occurrence and in</w:t>
      </w:r>
      <w:r w:rsidR="00733A1B">
        <w:t xml:space="preserve">tensity of </w:t>
      </w:r>
      <w:proofErr w:type="spellStart"/>
      <w:r w:rsidR="00733A1B">
        <w:t>claudica</w:t>
      </w:r>
      <w:r w:rsidR="00330511">
        <w:t>tion</w:t>
      </w:r>
      <w:proofErr w:type="spellEnd"/>
      <w:r w:rsidR="00330511">
        <w:t xml:space="preserve"> pain</w:t>
      </w:r>
      <w:r w:rsidR="00BB3935">
        <w:t xml:space="preserve"> [3]</w:t>
      </w:r>
      <w:r w:rsidR="00D92BA0" w:rsidRPr="00D92BA0">
        <w:t>. Therefore, if specific shoes could be designed to</w:t>
      </w:r>
      <w:r w:rsidR="00733A1B">
        <w:t xml:space="preserve"> relatively</w:t>
      </w:r>
      <w:r w:rsidR="00D92BA0" w:rsidRPr="00D92BA0">
        <w:t xml:space="preserve"> “unload” the calf musculature</w:t>
      </w:r>
      <w:r w:rsidR="00733A1B">
        <w:t xml:space="preserve"> during walking</w:t>
      </w:r>
      <w:r w:rsidR="00D92BA0" w:rsidRPr="00D92BA0">
        <w:t>, then they might be a useful adju</w:t>
      </w:r>
      <w:r w:rsidR="00733A1B">
        <w:t xml:space="preserve">nct treatment for people with calf </w:t>
      </w:r>
      <w:proofErr w:type="spellStart"/>
      <w:r w:rsidR="00733A1B">
        <w:t>claudication</w:t>
      </w:r>
      <w:proofErr w:type="spellEnd"/>
      <w:r w:rsidR="00D92BA0" w:rsidRPr="00D92BA0">
        <w:t>.</w:t>
      </w:r>
    </w:p>
    <w:p w:rsidR="00733A1B" w:rsidRDefault="00733A1B" w:rsidP="003E4AD7">
      <w:pPr>
        <w:spacing w:line="480" w:lineRule="auto"/>
      </w:pPr>
    </w:p>
    <w:p w:rsidR="001E6AED" w:rsidRDefault="0022204F" w:rsidP="003E4AD7">
      <w:pPr>
        <w:spacing w:line="480" w:lineRule="auto"/>
      </w:pPr>
      <w:r>
        <w:t>Empirical evidence</w:t>
      </w:r>
      <w:r w:rsidR="00733A1B">
        <w:t xml:space="preserve"> on footwear interventions for intermittent </w:t>
      </w:r>
      <w:proofErr w:type="spellStart"/>
      <w:r w:rsidR="00733A1B">
        <w:t>claudication</w:t>
      </w:r>
      <w:proofErr w:type="spellEnd"/>
      <w:r w:rsidR="00733A1B">
        <w:t xml:space="preserve"> is </w:t>
      </w:r>
      <w:r w:rsidR="006A7B23">
        <w:t xml:space="preserve">mixed and </w:t>
      </w:r>
      <w:r w:rsidR="00733A1B">
        <w:t>spars</w:t>
      </w:r>
      <w:r w:rsidR="00330511">
        <w:t>e</w:t>
      </w:r>
      <w:r w:rsidR="00BB3935">
        <w:t xml:space="preserve"> [3-5]</w:t>
      </w:r>
      <w:r w:rsidR="00733A1B">
        <w:t xml:space="preserve">. </w:t>
      </w:r>
      <w:r w:rsidR="00210BA8">
        <w:t xml:space="preserve">A recent pilot </w:t>
      </w:r>
      <w:r w:rsidR="006E0DCD">
        <w:t>study</w:t>
      </w:r>
      <w:r w:rsidR="00210BA8">
        <w:t xml:space="preserve"> in</w:t>
      </w:r>
      <w:r w:rsidR="00210BA8" w:rsidRPr="00210BA8">
        <w:t xml:space="preserve">dicated that pain-free walking distance was </w:t>
      </w:r>
      <w:r>
        <w:t xml:space="preserve">increased, and the intensity of </w:t>
      </w:r>
      <w:proofErr w:type="spellStart"/>
      <w:r>
        <w:t>claudication</w:t>
      </w:r>
      <w:proofErr w:type="spellEnd"/>
      <w:r>
        <w:t xml:space="preserve"> </w:t>
      </w:r>
      <w:r w:rsidR="00210BA8" w:rsidRPr="00210BA8">
        <w:t>pai</w:t>
      </w:r>
      <w:r w:rsidR="00210BA8">
        <w:t xml:space="preserve">n reduced, when participants with calf </w:t>
      </w:r>
      <w:proofErr w:type="spellStart"/>
      <w:r w:rsidR="00210BA8">
        <w:t>claudication</w:t>
      </w:r>
      <w:proofErr w:type="spellEnd"/>
      <w:r w:rsidR="00210BA8" w:rsidRPr="00210BA8">
        <w:t xml:space="preserve"> (n=8) walked</w:t>
      </w:r>
      <w:r w:rsidR="00210BA8" w:rsidRPr="006A7B23">
        <w:t xml:space="preserve"> </w:t>
      </w:r>
      <w:r w:rsidR="00043B1F" w:rsidRPr="006A7B23">
        <w:t xml:space="preserve">at their self-selected walking speed </w:t>
      </w:r>
      <w:r w:rsidR="00210BA8">
        <w:t xml:space="preserve">in a </w:t>
      </w:r>
      <w:r w:rsidR="007A7C4C">
        <w:t>specially-designed</w:t>
      </w:r>
      <w:r w:rsidR="00210BA8">
        <w:t>,</w:t>
      </w:r>
      <w:r w:rsidR="00210BA8" w:rsidRPr="00210BA8">
        <w:t xml:space="preserve"> rocker-soled sh</w:t>
      </w:r>
      <w:r w:rsidR="007A7C4C">
        <w:t>oe</w:t>
      </w:r>
      <w:r w:rsidR="00210BA8">
        <w:t xml:space="preserve"> compared with when walking in</w:t>
      </w:r>
      <w:r w:rsidR="00210BA8" w:rsidRPr="00210BA8">
        <w:t xml:space="preserve"> an un</w:t>
      </w:r>
      <w:r w:rsidR="00210BA8">
        <w:t>-</w:t>
      </w:r>
      <w:r w:rsidR="00210BA8" w:rsidRPr="00210BA8">
        <w:t>adapted control shoe</w:t>
      </w:r>
      <w:r w:rsidR="00BB3935">
        <w:t xml:space="preserve"> [3]</w:t>
      </w:r>
      <w:r w:rsidR="00210BA8">
        <w:t>. The rocker</w:t>
      </w:r>
      <w:r w:rsidR="00EF5F99">
        <w:t xml:space="preserve"> </w:t>
      </w:r>
      <w:r w:rsidR="00210BA8">
        <w:t xml:space="preserve">sole used </w:t>
      </w:r>
      <w:r w:rsidR="007A7C4C">
        <w:t>was shap</w:t>
      </w:r>
      <w:r w:rsidR="00210BA8">
        <w:t>ed to place the foot in</w:t>
      </w:r>
      <w:r w:rsidR="00210BA8" w:rsidRPr="00210BA8">
        <w:t xml:space="preserve"> </w:t>
      </w:r>
      <w:r w:rsidR="006E0DCD">
        <w:t xml:space="preserve">a </w:t>
      </w:r>
      <w:r w:rsidR="00210BA8" w:rsidRPr="00210BA8">
        <w:t>relative</w:t>
      </w:r>
      <w:r w:rsidR="006E0DCD">
        <w:t>ly</w:t>
      </w:r>
      <w:r w:rsidR="00210BA8" w:rsidRPr="00210BA8">
        <w:t xml:space="preserve"> plantar</w:t>
      </w:r>
      <w:r w:rsidR="006E0DCD">
        <w:t>-</w:t>
      </w:r>
      <w:r w:rsidR="00210BA8" w:rsidRPr="00210BA8">
        <w:t>flex</w:t>
      </w:r>
      <w:r w:rsidR="006E0DCD">
        <w:t>ed posit</w:t>
      </w:r>
      <w:r w:rsidR="00210BA8" w:rsidRPr="00210BA8">
        <w:t>ion during the stance phase o</w:t>
      </w:r>
      <w:r w:rsidR="006E0DCD">
        <w:t>f gait</w:t>
      </w:r>
      <w:r w:rsidR="00210BA8" w:rsidRPr="00210BA8">
        <w:t xml:space="preserve"> while simultaneously reducing</w:t>
      </w:r>
      <w:r w:rsidR="00210BA8" w:rsidRPr="006A7B23">
        <w:t xml:space="preserve"> </w:t>
      </w:r>
      <w:proofErr w:type="spellStart"/>
      <w:r w:rsidR="00E04C45" w:rsidRPr="006A7B23">
        <w:t>sagittal</w:t>
      </w:r>
      <w:proofErr w:type="spellEnd"/>
      <w:r w:rsidR="00E04C45" w:rsidRPr="006A7B23">
        <w:t xml:space="preserve"> plane </w:t>
      </w:r>
      <w:r w:rsidR="00210BA8" w:rsidRPr="006A7B23">
        <w:t>ankle</w:t>
      </w:r>
      <w:r w:rsidR="00E04C45" w:rsidRPr="006A7B23">
        <w:t xml:space="preserve"> range of</w:t>
      </w:r>
      <w:r w:rsidR="00210BA8" w:rsidRPr="006A7B23">
        <w:t xml:space="preserve"> motion.</w:t>
      </w:r>
      <w:r w:rsidR="00957530" w:rsidRPr="006A7B23">
        <w:t xml:space="preserve"> </w:t>
      </w:r>
      <w:r>
        <w:t xml:space="preserve">Previous testing in healthy adults (n=12) </w:t>
      </w:r>
      <w:r w:rsidR="00A04ED9">
        <w:t xml:space="preserve">had suggested a calf-unloading effect of these shoes; </w:t>
      </w:r>
      <w:r w:rsidR="00E04C45" w:rsidRPr="006A7B23">
        <w:t xml:space="preserve">peak ankle </w:t>
      </w:r>
      <w:proofErr w:type="spellStart"/>
      <w:r w:rsidR="00E04C45" w:rsidRPr="006A7B23">
        <w:t>plantarflexion</w:t>
      </w:r>
      <w:proofErr w:type="spellEnd"/>
      <w:r w:rsidR="00E04C45" w:rsidRPr="006A7B23">
        <w:t xml:space="preserve"> moment </w:t>
      </w:r>
      <w:r w:rsidR="006A7B23">
        <w:t xml:space="preserve">during walking </w:t>
      </w:r>
      <w:r w:rsidR="00A04ED9">
        <w:t>being</w:t>
      </w:r>
      <w:r>
        <w:t xml:space="preserve"> reduced </w:t>
      </w:r>
      <w:r w:rsidR="006A7B23">
        <w:t xml:space="preserve">by 25% </w:t>
      </w:r>
      <w:r w:rsidR="00A04ED9">
        <w:t>versus control</w:t>
      </w:r>
      <w:r w:rsidR="00BB3935">
        <w:t xml:space="preserve"> [6]</w:t>
      </w:r>
      <w:r w:rsidR="006A7B23">
        <w:t>.</w:t>
      </w:r>
      <w:r w:rsidR="00043B1F" w:rsidRPr="006A7B23">
        <w:t xml:space="preserve"> </w:t>
      </w:r>
      <w:r w:rsidR="00957530">
        <w:t>The present study sought to further explore the efficacy an</w:t>
      </w:r>
      <w:r w:rsidR="007A7C4C">
        <w:t xml:space="preserve">d acceptability of </w:t>
      </w:r>
      <w:r w:rsidR="0059576E">
        <w:t>similar rocker-soled</w:t>
      </w:r>
      <w:r w:rsidR="007A7C4C">
        <w:t xml:space="preserve"> unloading</w:t>
      </w:r>
      <w:r w:rsidR="006E0DCD">
        <w:t xml:space="preserve"> </w:t>
      </w:r>
      <w:r w:rsidR="00957530">
        <w:t>shoes in a</w:t>
      </w:r>
      <w:r w:rsidR="006E0DCD">
        <w:t xml:space="preserve"> larger sample of people with calf </w:t>
      </w:r>
      <w:proofErr w:type="spellStart"/>
      <w:r w:rsidR="006E0DCD">
        <w:t>claudication</w:t>
      </w:r>
      <w:proofErr w:type="spellEnd"/>
      <w:r w:rsidR="00957530">
        <w:t xml:space="preserve">. The primary objective was to assess the </w:t>
      </w:r>
      <w:r w:rsidR="006E0DCD">
        <w:t>immediate effect</w:t>
      </w:r>
      <w:r w:rsidR="00957530" w:rsidRPr="00957530">
        <w:t xml:space="preserve"> of </w:t>
      </w:r>
      <w:r w:rsidR="006E0DCD">
        <w:t xml:space="preserve">wearing the shoes on walking distances and gait. We </w:t>
      </w:r>
      <w:r w:rsidR="006E0DCD">
        <w:lastRenderedPageBreak/>
        <w:t>also sought participants’ opinions about the shoes following a 2-week period of use in the home environment.</w:t>
      </w:r>
      <w:r w:rsidR="00957530" w:rsidRPr="00957530">
        <w:t xml:space="preserve">  </w:t>
      </w:r>
    </w:p>
    <w:p w:rsidR="00210BA8" w:rsidRPr="003E4AD7" w:rsidRDefault="00210BA8" w:rsidP="003E4AD7">
      <w:pPr>
        <w:spacing w:line="480" w:lineRule="auto"/>
        <w:rPr>
          <w:b/>
        </w:rPr>
      </w:pPr>
    </w:p>
    <w:p w:rsidR="003E4AD7" w:rsidRPr="009F57D4" w:rsidRDefault="003E4AD7" w:rsidP="003E4AD7">
      <w:pPr>
        <w:spacing w:line="480" w:lineRule="auto"/>
        <w:rPr>
          <w:b/>
          <w:sz w:val="28"/>
        </w:rPr>
      </w:pPr>
      <w:r w:rsidRPr="009F57D4">
        <w:rPr>
          <w:b/>
          <w:sz w:val="28"/>
        </w:rPr>
        <w:t>Methods</w:t>
      </w:r>
    </w:p>
    <w:p w:rsidR="003E4AD7" w:rsidRPr="009F57D4" w:rsidRDefault="001A3B39" w:rsidP="003E4AD7">
      <w:pPr>
        <w:spacing w:line="480" w:lineRule="auto"/>
        <w:rPr>
          <w:b/>
        </w:rPr>
      </w:pPr>
      <w:r w:rsidRPr="009F57D4">
        <w:rPr>
          <w:b/>
        </w:rPr>
        <w:t>Study design and setting</w:t>
      </w:r>
    </w:p>
    <w:p w:rsidR="001A3B39" w:rsidRPr="001A3B39" w:rsidRDefault="001A3B39" w:rsidP="003E4AD7">
      <w:pPr>
        <w:spacing w:line="480" w:lineRule="auto"/>
      </w:pPr>
      <w:r>
        <w:t>YORVIC (</w:t>
      </w:r>
      <w:r w:rsidRPr="001A3B39">
        <w:rPr>
          <w:u w:val="single"/>
        </w:rPr>
        <w:t>Yor</w:t>
      </w:r>
      <w:r>
        <w:t xml:space="preserve">k study of unloading shoes for </w:t>
      </w:r>
      <w:r w:rsidRPr="001A3B39">
        <w:rPr>
          <w:u w:val="single"/>
        </w:rPr>
        <w:t>v</w:t>
      </w:r>
      <w:r>
        <w:t xml:space="preserve">ascular </w:t>
      </w:r>
      <w:r w:rsidRPr="001A3B39">
        <w:rPr>
          <w:u w:val="single"/>
        </w:rPr>
        <w:t>i</w:t>
      </w:r>
      <w:r>
        <w:t xml:space="preserve">ntermittent </w:t>
      </w:r>
      <w:proofErr w:type="spellStart"/>
      <w:r w:rsidRPr="001A3B39">
        <w:rPr>
          <w:u w:val="single"/>
        </w:rPr>
        <w:t>c</w:t>
      </w:r>
      <w:r>
        <w:t>laudication</w:t>
      </w:r>
      <w:proofErr w:type="spellEnd"/>
      <w:r>
        <w:t>) was a single-centre randomised</w:t>
      </w:r>
      <w:r w:rsidR="00DE6143">
        <w:t xml:space="preserve"> </w:t>
      </w:r>
      <w:r w:rsidR="00E04D4B">
        <w:t>AB/BA</w:t>
      </w:r>
      <w:r>
        <w:t xml:space="preserve"> crossover trial with a 2-week observational follow-up. Participants were recruited from vas</w:t>
      </w:r>
      <w:r w:rsidR="009349A7">
        <w:t xml:space="preserve">cular clinics at York Hospital, </w:t>
      </w:r>
      <w:r w:rsidR="00253E83">
        <w:t>and all assessments wer</w:t>
      </w:r>
      <w:r w:rsidR="009349A7">
        <w:t>e conducted</w:t>
      </w:r>
      <w:r w:rsidR="00253E83">
        <w:t xml:space="preserve"> at York St John University. Following a screening visit, </w:t>
      </w:r>
      <w:r w:rsidR="00253E83" w:rsidRPr="00253E83">
        <w:t>participants completed</w:t>
      </w:r>
      <w:r w:rsidR="00895802">
        <w:t xml:space="preserve"> two assessment visits up to 2</w:t>
      </w:r>
      <w:r w:rsidR="00253E83" w:rsidRPr="00253E83">
        <w:t xml:space="preserve"> weeks apart. At each </w:t>
      </w:r>
      <w:r w:rsidR="00253E83">
        <w:t xml:space="preserve">assessment </w:t>
      </w:r>
      <w:r w:rsidR="00253E83" w:rsidRPr="00253E83">
        <w:t xml:space="preserve">visit, participants completed </w:t>
      </w:r>
      <w:r w:rsidR="00296834">
        <w:t>three standardised walking test</w:t>
      </w:r>
      <w:r w:rsidR="00253E83" w:rsidRPr="00253E83">
        <w:t>s whilst wearing either the unloading shoes or visually-similar control shoes</w:t>
      </w:r>
      <w:r w:rsidR="00253E83">
        <w:t>, the order of which was randomly assigned</w:t>
      </w:r>
      <w:r w:rsidR="00253E83" w:rsidRPr="00253E83">
        <w:t>.</w:t>
      </w:r>
      <w:r w:rsidR="00253E83">
        <w:t xml:space="preserve"> At the end of the second assessment visit, </w:t>
      </w:r>
      <w:r w:rsidR="00895802" w:rsidRPr="00895802">
        <w:t>participants were given either the unloading or control shoes to use</w:t>
      </w:r>
      <w:r w:rsidR="00895802">
        <w:t xml:space="preserve"> in their home environment for 2</w:t>
      </w:r>
      <w:r w:rsidR="00895802" w:rsidRPr="00895802">
        <w:t xml:space="preserve"> weeks, with the instruction to wear them </w:t>
      </w:r>
      <w:r w:rsidR="00336197">
        <w:t xml:space="preserve">for </w:t>
      </w:r>
      <w:r w:rsidR="00895802" w:rsidRPr="00895802">
        <w:t>at least 4 hours every day.</w:t>
      </w:r>
      <w:r w:rsidR="00895802">
        <w:t xml:space="preserve"> At the end of this period, participants returned the shoes and a </w:t>
      </w:r>
      <w:r w:rsidR="00336197">
        <w:t>completed survey about them</w:t>
      </w:r>
      <w:r w:rsidR="00895802">
        <w:t xml:space="preserve">. </w:t>
      </w:r>
      <w:r w:rsidR="00253E83" w:rsidRPr="00253E83">
        <w:t>A sub-sample of participan</w:t>
      </w:r>
      <w:r w:rsidR="00E04D4B">
        <w:t>ts was</w:t>
      </w:r>
      <w:r w:rsidR="00895802">
        <w:t xml:space="preserve"> also</w:t>
      </w:r>
      <w:r w:rsidR="00253E83" w:rsidRPr="00253E83">
        <w:t xml:space="preserve"> interv</w:t>
      </w:r>
      <w:r w:rsidR="00895802">
        <w:t>iewed about their experiences</w:t>
      </w:r>
      <w:r w:rsidR="00CF33E0">
        <w:t xml:space="preserve"> of</w:t>
      </w:r>
      <w:r w:rsidR="00895802">
        <w:t xml:space="preserve"> using</w:t>
      </w:r>
      <w:r w:rsidR="00253E83" w:rsidRPr="00253E83">
        <w:t xml:space="preserve"> the shoes.</w:t>
      </w:r>
      <w:r w:rsidR="00895802">
        <w:t xml:space="preserve"> </w:t>
      </w:r>
      <w:r w:rsidR="003A7D88">
        <w:t>Participants were</w:t>
      </w:r>
      <w:r w:rsidR="003A7D88" w:rsidRPr="003A7D88">
        <w:t xml:space="preserve"> able to claim up to £15 per visit towards travel expenses. </w:t>
      </w:r>
      <w:r w:rsidR="00895802">
        <w:t xml:space="preserve">The study was approved by the </w:t>
      </w:r>
      <w:r w:rsidR="00895802" w:rsidRPr="00895802">
        <w:t xml:space="preserve">NRES Committee </w:t>
      </w:r>
      <w:r w:rsidR="00895802">
        <w:t xml:space="preserve">for </w:t>
      </w:r>
      <w:r w:rsidR="00895802" w:rsidRPr="00895802">
        <w:t>Yorkshire &amp; The Humber - Leeds West</w:t>
      </w:r>
      <w:r w:rsidR="00895802">
        <w:t xml:space="preserve"> (Ref: </w:t>
      </w:r>
      <w:r w:rsidR="00895802" w:rsidRPr="00895802">
        <w:t>15/YH/0107</w:t>
      </w:r>
      <w:r w:rsidR="00895802">
        <w:t xml:space="preserve">), and prospectively registered (ClinicalTrials.gov: </w:t>
      </w:r>
      <w:r w:rsidR="00895802" w:rsidRPr="00895802">
        <w:t>NCT02505503</w:t>
      </w:r>
      <w:r w:rsidR="00895802">
        <w:t xml:space="preserve">). Written informed consent was obtained from participants prior to enrolment. </w:t>
      </w:r>
    </w:p>
    <w:p w:rsidR="001A3B39" w:rsidRDefault="001A3B39" w:rsidP="003E4AD7">
      <w:pPr>
        <w:spacing w:line="480" w:lineRule="auto"/>
        <w:rPr>
          <w:b/>
          <w:i/>
        </w:rPr>
      </w:pPr>
    </w:p>
    <w:p w:rsidR="001A3B39" w:rsidRPr="009F57D4" w:rsidRDefault="001A3B39" w:rsidP="003E4AD7">
      <w:pPr>
        <w:spacing w:line="480" w:lineRule="auto"/>
        <w:rPr>
          <w:b/>
        </w:rPr>
      </w:pPr>
      <w:r w:rsidRPr="009F57D4">
        <w:rPr>
          <w:b/>
        </w:rPr>
        <w:t>Participants</w:t>
      </w:r>
    </w:p>
    <w:p w:rsidR="008B4234" w:rsidRDefault="008B4234" w:rsidP="008B4234">
      <w:pPr>
        <w:spacing w:line="480" w:lineRule="auto"/>
      </w:pPr>
      <w:r>
        <w:t xml:space="preserve">Inclusion criteria were: aged ≥16 years; stable symptoms of intermittent </w:t>
      </w:r>
      <w:proofErr w:type="spellStart"/>
      <w:r>
        <w:t>claudication</w:t>
      </w:r>
      <w:proofErr w:type="spellEnd"/>
      <w:r>
        <w:t xml:space="preserve"> for ≥3 months; resting ankle-brachial index ≤0.9 and/or imaging evidence of PAD; pain-free walking distance &lt;250 m on 6-minute walk test with ambulation limited primarily by calf </w:t>
      </w:r>
      <w:proofErr w:type="spellStart"/>
      <w:r>
        <w:t>claudication</w:t>
      </w:r>
      <w:proofErr w:type="spellEnd"/>
      <w:r>
        <w:t xml:space="preserve"> (assessed at screening visit), and; able to read and speak English and provide written informed consent. We excluded people with: absolute contraindications to exercise testing (as defined by the American</w:t>
      </w:r>
      <w:r w:rsidR="00E0065A">
        <w:t xml:space="preserve"> College of </w:t>
      </w:r>
      <w:r w:rsidR="00E0065A">
        <w:lastRenderedPageBreak/>
        <w:t>Sports Medicine</w:t>
      </w:r>
      <w:r w:rsidR="00BB3935">
        <w:t xml:space="preserve"> [7]</w:t>
      </w:r>
      <w:r>
        <w:t xml:space="preserve">); critical limb ischemia; lower-limb amputation; co-morbidities that limit walking to a greater extent than intermittent </w:t>
      </w:r>
      <w:proofErr w:type="spellStart"/>
      <w:r>
        <w:t>claudication</w:t>
      </w:r>
      <w:proofErr w:type="spellEnd"/>
      <w:r>
        <w:t xml:space="preserve"> (e.g., severe knee osteoarthritis); ambulation limited by </w:t>
      </w:r>
      <w:proofErr w:type="spellStart"/>
      <w:r>
        <w:t>claudication</w:t>
      </w:r>
      <w:proofErr w:type="spellEnd"/>
      <w:r>
        <w:t xml:space="preserve"> in regions other than the calf; </w:t>
      </w:r>
      <w:r w:rsidR="00083C07">
        <w:t xml:space="preserve">major </w:t>
      </w:r>
      <w:r w:rsidR="00204399">
        <w:t>ankle or foot pathology, and; c</w:t>
      </w:r>
      <w:r>
        <w:t>urrent or previous (within 6 months) use of shoe inserts, knee or ankle braces or customised shoes prescribed by a health professional</w:t>
      </w:r>
      <w:r w:rsidR="00204399">
        <w:t>.</w:t>
      </w:r>
      <w:r w:rsidR="003A7D88">
        <w:t xml:space="preserve"> </w:t>
      </w:r>
    </w:p>
    <w:p w:rsidR="00895802" w:rsidRPr="001A3B39" w:rsidRDefault="00895802" w:rsidP="003E4AD7">
      <w:pPr>
        <w:spacing w:line="480" w:lineRule="auto"/>
        <w:rPr>
          <w:b/>
          <w:i/>
        </w:rPr>
      </w:pPr>
    </w:p>
    <w:p w:rsidR="00204399" w:rsidRPr="009F57D4" w:rsidRDefault="00296834" w:rsidP="00204399">
      <w:pPr>
        <w:spacing w:line="480" w:lineRule="auto"/>
        <w:rPr>
          <w:b/>
        </w:rPr>
      </w:pPr>
      <w:r w:rsidRPr="009F57D4">
        <w:rPr>
          <w:b/>
        </w:rPr>
        <w:t>I</w:t>
      </w:r>
      <w:r w:rsidR="00204399" w:rsidRPr="009F57D4">
        <w:rPr>
          <w:b/>
        </w:rPr>
        <w:t>nterventions</w:t>
      </w:r>
    </w:p>
    <w:p w:rsidR="00204399" w:rsidRPr="00204399" w:rsidRDefault="00204399" w:rsidP="00204399">
      <w:pPr>
        <w:spacing w:line="480" w:lineRule="auto"/>
      </w:pPr>
      <w:r>
        <w:t>The unloading and control shoes were produced and supplied by an established shoe manufacturer</w:t>
      </w:r>
      <w:r w:rsidR="0061519F">
        <w:t xml:space="preserve"> (</w:t>
      </w:r>
      <w:proofErr w:type="spellStart"/>
      <w:r>
        <w:t>Chane</w:t>
      </w:r>
      <w:r w:rsidR="0061519F">
        <w:t>co</w:t>
      </w:r>
      <w:proofErr w:type="spellEnd"/>
      <w:r w:rsidR="0061519F">
        <w:t xml:space="preserve">; </w:t>
      </w:r>
      <w:hyperlink r:id="rId18" w:history="1">
        <w:r w:rsidRPr="00103E0D">
          <w:rPr>
            <w:rStyle w:val="Hyperlink"/>
          </w:rPr>
          <w:t>www.chaneco.co.uk</w:t>
        </w:r>
      </w:hyperlink>
      <w:r>
        <w:t xml:space="preserve">). </w:t>
      </w:r>
      <w:r w:rsidR="0008281F">
        <w:t xml:space="preserve">Shoe size was assessed during the screening visit, and shoes were ordered after eligibility had been confirmed. </w:t>
      </w:r>
      <w:r>
        <w:t>The unloading</w:t>
      </w:r>
      <w:r w:rsidR="0061519F">
        <w:t xml:space="preserve"> shoe </w:t>
      </w:r>
      <w:r>
        <w:t>was</w:t>
      </w:r>
      <w:r w:rsidR="0061519F">
        <w:t xml:space="preserve"> a</w:t>
      </w:r>
      <w:r w:rsidRPr="00204399">
        <w:t xml:space="preserve"> trainer-type</w:t>
      </w:r>
      <w:r w:rsidR="0061519F">
        <w:t xml:space="preserve"> shoe with a black leather upper section, laces, and a specially-designed</w:t>
      </w:r>
      <w:r w:rsidRPr="00204399">
        <w:t xml:space="preserve"> rock</w:t>
      </w:r>
      <w:r w:rsidR="00BB3935">
        <w:t>er sole (Fig.</w:t>
      </w:r>
      <w:r w:rsidR="0061519F">
        <w:t xml:space="preserve"> 1A)</w:t>
      </w:r>
      <w:r w:rsidRPr="00204399">
        <w:t>. The rocker sole</w:t>
      </w:r>
      <w:r w:rsidR="0061519F">
        <w:t>s, which were manually shaped according to the specifications of the patent that is owne</w:t>
      </w:r>
      <w:r w:rsidR="003F4133">
        <w:t>d by the University of York (Patent no.: GB2458741B</w:t>
      </w:r>
      <w:r w:rsidR="0061519F">
        <w:t>), comprised three circular curves with</w:t>
      </w:r>
      <w:r w:rsidRPr="00204399">
        <w:t xml:space="preserve"> arc centres </w:t>
      </w:r>
      <w:r w:rsidR="0061519F">
        <w:t xml:space="preserve">that </w:t>
      </w:r>
      <w:r w:rsidRPr="00204399">
        <w:t>are positioned at the anatomical ankle, hip and knee</w:t>
      </w:r>
      <w:r w:rsidR="0061519F">
        <w:t>, respectively (</w:t>
      </w:r>
      <w:r w:rsidRPr="00204399">
        <w:t>assuming a vertical lower limb</w:t>
      </w:r>
      <w:r w:rsidR="0061519F">
        <w:t>)</w:t>
      </w:r>
      <w:r w:rsidR="00B568A2">
        <w:t xml:space="preserve">, </w:t>
      </w:r>
      <w:r w:rsidR="00B568A2" w:rsidRPr="00DF2FE8">
        <w:t xml:space="preserve">and so forming a </w:t>
      </w:r>
      <w:proofErr w:type="spellStart"/>
      <w:r w:rsidR="00B568A2" w:rsidRPr="00DF2FE8">
        <w:t>posteriorly</w:t>
      </w:r>
      <w:proofErr w:type="spellEnd"/>
      <w:r w:rsidR="00B568A2" w:rsidRPr="00DF2FE8">
        <w:t>-placed apex to the rocker shape.</w:t>
      </w:r>
      <w:r w:rsidRPr="00DF2FE8">
        <w:t xml:space="preserve"> </w:t>
      </w:r>
      <w:r w:rsidRPr="00204399">
        <w:t>This is designed to influence the line of action of the ground</w:t>
      </w:r>
      <w:r w:rsidR="0061519F">
        <w:t xml:space="preserve"> reaction force</w:t>
      </w:r>
      <w:r w:rsidRPr="00204399">
        <w:t xml:space="preserve"> to pass close to the anatomical joint centres and so reduce the moments needed to be generated for ambulation by the muscles acting across those joints in the lower limb. Additionally</w:t>
      </w:r>
      <w:r w:rsidR="0008281F">
        <w:t>,</w:t>
      </w:r>
      <w:r w:rsidRPr="00204399">
        <w:t xml:space="preserve"> it is designed to place the ankle into a relatively </w:t>
      </w:r>
      <w:proofErr w:type="spellStart"/>
      <w:r w:rsidRPr="00204399">
        <w:t>plantarflexed</w:t>
      </w:r>
      <w:proofErr w:type="spellEnd"/>
      <w:r w:rsidRPr="00204399">
        <w:t xml:space="preserve"> position where the ankle </w:t>
      </w:r>
      <w:proofErr w:type="spellStart"/>
      <w:r w:rsidRPr="00204399">
        <w:t>plantarflexors</w:t>
      </w:r>
      <w:proofErr w:type="spellEnd"/>
      <w:r w:rsidRPr="00204399">
        <w:t xml:space="preserve"> use less energy than</w:t>
      </w:r>
      <w:r w:rsidR="004B3CEE">
        <w:t>,</w:t>
      </w:r>
      <w:r w:rsidRPr="00204399">
        <w:t xml:space="preserve"> for instance</w:t>
      </w:r>
      <w:r w:rsidR="004B3CEE">
        <w:t>,</w:t>
      </w:r>
      <w:r w:rsidRPr="00204399">
        <w:t xml:space="preserve"> when placed i</w:t>
      </w:r>
      <w:r w:rsidR="0061519F">
        <w:t xml:space="preserve">n </w:t>
      </w:r>
      <w:proofErr w:type="spellStart"/>
      <w:r w:rsidR="0061519F">
        <w:t>dorsiflexio</w:t>
      </w:r>
      <w:r w:rsidR="0061519F" w:rsidRPr="00DF2FE8">
        <w:t>n</w:t>
      </w:r>
      <w:proofErr w:type="spellEnd"/>
      <w:r w:rsidR="0061519F" w:rsidRPr="00DF2FE8">
        <w:t xml:space="preserve">. </w:t>
      </w:r>
      <w:r w:rsidR="00B568A2" w:rsidRPr="00DF2FE8">
        <w:t>This is because it also increases the lever arm between the Achilles tendon and the ankle joint; so making propulsion, and therefore calf muscle power generation, more efficient</w:t>
      </w:r>
      <w:r w:rsidR="00B568A2">
        <w:t>.</w:t>
      </w:r>
      <w:r w:rsidR="00B568A2" w:rsidRPr="00DF2FE8">
        <w:t xml:space="preserve"> It</w:t>
      </w:r>
      <w:r w:rsidR="0061519F" w:rsidRPr="00DF2FE8">
        <w:t xml:space="preserve"> is </w:t>
      </w:r>
      <w:r w:rsidR="00B568A2" w:rsidRPr="00DF2FE8">
        <w:t xml:space="preserve">also </w:t>
      </w:r>
      <w:r w:rsidR="0061519F">
        <w:t>intended</w:t>
      </w:r>
      <w:r w:rsidRPr="00204399">
        <w:t xml:space="preserve"> to unload the calf muscles by providing a simultaneous reduction in ankle range of motion in relative </w:t>
      </w:r>
      <w:proofErr w:type="spellStart"/>
      <w:r w:rsidRPr="00204399">
        <w:t>plantarflexion</w:t>
      </w:r>
      <w:proofErr w:type="spellEnd"/>
      <w:r w:rsidRPr="00204399">
        <w:t xml:space="preserve"> but still moving with a near-normal </w:t>
      </w:r>
      <w:r w:rsidRPr="00A22EE5">
        <w:t xml:space="preserve">trajectory. </w:t>
      </w:r>
      <w:r w:rsidR="0008281F" w:rsidRPr="00A22EE5">
        <w:t>T</w:t>
      </w:r>
      <w:r w:rsidR="00DF2FE8" w:rsidRPr="00A22EE5">
        <w:t>o facilitate participant blinding, the</w:t>
      </w:r>
      <w:r w:rsidR="0008281F" w:rsidRPr="00A22EE5">
        <w:t xml:space="preserve"> control shoes were </w:t>
      </w:r>
      <w:r w:rsidR="00DF2FE8" w:rsidRPr="00A22EE5">
        <w:t xml:space="preserve">made to be </w:t>
      </w:r>
      <w:r w:rsidR="0008281F" w:rsidRPr="00A22EE5">
        <w:t>similar in appearance to the unloading shoes</w:t>
      </w:r>
      <w:r w:rsidR="00BB3935">
        <w:t xml:space="preserve"> (Fig.</w:t>
      </w:r>
      <w:r w:rsidR="00DF2FE8" w:rsidRPr="00A22EE5">
        <w:t xml:space="preserve"> 1B). These shoes </w:t>
      </w:r>
      <w:r w:rsidR="00A22EE5">
        <w:t xml:space="preserve">had the same upper section as the unloading shoes, but a different </w:t>
      </w:r>
      <w:r w:rsidR="00DF2FE8" w:rsidRPr="00A22EE5">
        <w:t>rocker sole</w:t>
      </w:r>
      <w:r w:rsidR="00A22EE5">
        <w:t xml:space="preserve">. Here, </w:t>
      </w:r>
      <w:r w:rsidR="00DF2FE8" w:rsidRPr="00A22EE5">
        <w:t xml:space="preserve">the apex </w:t>
      </w:r>
      <w:r w:rsidR="00A22EE5">
        <w:t xml:space="preserve">of the sole </w:t>
      </w:r>
      <w:r w:rsidR="00DF2FE8" w:rsidRPr="00A22EE5">
        <w:t xml:space="preserve">was </w:t>
      </w:r>
      <w:proofErr w:type="spellStart"/>
      <w:r w:rsidR="00DF2FE8" w:rsidRPr="00A22EE5">
        <w:t>anteriorly</w:t>
      </w:r>
      <w:proofErr w:type="spellEnd"/>
      <w:r w:rsidR="00DF2FE8" w:rsidRPr="00A22EE5">
        <w:t>-placed</w:t>
      </w:r>
      <w:r w:rsidR="00B568A2" w:rsidRPr="00A22EE5">
        <w:t xml:space="preserve">, </w:t>
      </w:r>
      <w:r w:rsidR="00DF2FE8" w:rsidRPr="00A22EE5">
        <w:t>which is</w:t>
      </w:r>
      <w:r w:rsidR="00A049B2" w:rsidRPr="00A22EE5">
        <w:t xml:space="preserve"> not designed to place the ankle in relative </w:t>
      </w:r>
      <w:proofErr w:type="spellStart"/>
      <w:r w:rsidR="00A049B2" w:rsidRPr="00A22EE5">
        <w:t>plantarflexion</w:t>
      </w:r>
      <w:proofErr w:type="spellEnd"/>
      <w:r w:rsidR="00B568A2" w:rsidRPr="00A22EE5">
        <w:t xml:space="preserve"> during </w:t>
      </w:r>
      <w:r w:rsidR="00B568A2" w:rsidRPr="00A22EE5">
        <w:lastRenderedPageBreak/>
        <w:t>stance phase of gait</w:t>
      </w:r>
      <w:r w:rsidR="0008281F" w:rsidRPr="00A22EE5">
        <w:t xml:space="preserve">. </w:t>
      </w:r>
      <w:r w:rsidR="0008281F">
        <w:t>Participants were allowed to habituate to wearing each pair of</w:t>
      </w:r>
      <w:r w:rsidRPr="00204399">
        <w:t xml:space="preserve"> shoes </w:t>
      </w:r>
      <w:r w:rsidR="0008281F">
        <w:t>for 5 minutes before commencing the first walking test</w:t>
      </w:r>
      <w:r w:rsidRPr="00204399">
        <w:t xml:space="preserve">. </w:t>
      </w:r>
    </w:p>
    <w:p w:rsidR="00204399" w:rsidRDefault="00204399" w:rsidP="00204399">
      <w:pPr>
        <w:spacing w:line="480" w:lineRule="auto"/>
        <w:rPr>
          <w:b/>
          <w:i/>
        </w:rPr>
      </w:pPr>
    </w:p>
    <w:p w:rsidR="001A3B39" w:rsidRPr="009F57D4" w:rsidRDefault="00296834" w:rsidP="00204399">
      <w:pPr>
        <w:spacing w:line="480" w:lineRule="auto"/>
        <w:rPr>
          <w:b/>
        </w:rPr>
      </w:pPr>
      <w:r w:rsidRPr="009F57D4">
        <w:rPr>
          <w:b/>
        </w:rPr>
        <w:t>Assessment p</w:t>
      </w:r>
      <w:r w:rsidR="00AB4AC8" w:rsidRPr="009F57D4">
        <w:rPr>
          <w:b/>
        </w:rPr>
        <w:t>rocedures and o</w:t>
      </w:r>
      <w:r w:rsidR="001A3B39" w:rsidRPr="009F57D4">
        <w:rPr>
          <w:b/>
        </w:rPr>
        <w:t>utcome measures</w:t>
      </w:r>
    </w:p>
    <w:p w:rsidR="003B5748" w:rsidRDefault="00296834" w:rsidP="003B5748">
      <w:pPr>
        <w:spacing w:line="480" w:lineRule="auto"/>
      </w:pPr>
      <w:r>
        <w:t>Both</w:t>
      </w:r>
      <w:r w:rsidR="00AB4AC8">
        <w:t xml:space="preserve"> assessment visit</w:t>
      </w:r>
      <w:r>
        <w:t>s</w:t>
      </w:r>
      <w:r w:rsidR="00AB4AC8">
        <w:t xml:space="preserve"> involved three walking tests that were separated by 20-minute periods of seated rest: (</w:t>
      </w:r>
      <w:proofErr w:type="spellStart"/>
      <w:r w:rsidR="00AB4AC8">
        <w:t>i</w:t>
      </w:r>
      <w:proofErr w:type="spellEnd"/>
      <w:r w:rsidR="00AB4AC8">
        <w:t>) a 6-minute corridor walk test to</w:t>
      </w:r>
      <w:r w:rsidR="006E4E0D">
        <w:t xml:space="preserve"> quantify</w:t>
      </w:r>
      <w:r w:rsidR="00AB4AC8">
        <w:t xml:space="preserve"> 6-minute walk distance</w:t>
      </w:r>
      <w:r w:rsidR="00BF6A9E">
        <w:t xml:space="preserve"> (6MWD)</w:t>
      </w:r>
      <w:r w:rsidR="00BB3935">
        <w:t xml:space="preserve"> [8]</w:t>
      </w:r>
      <w:r w:rsidR="00AB4AC8">
        <w:t xml:space="preserve">, (ii) </w:t>
      </w:r>
      <w:r w:rsidR="00342A9A">
        <w:t>a usual-pace walk</w:t>
      </w:r>
      <w:r w:rsidR="00AB4AC8">
        <w:t xml:space="preserve"> test to measure pain-free walking distance, and (iii) </w:t>
      </w:r>
      <w:r w:rsidR="00342A9A">
        <w:t xml:space="preserve">a </w:t>
      </w:r>
      <w:r w:rsidR="00AB4AC8">
        <w:t>“figure-of-8”</w:t>
      </w:r>
      <w:r w:rsidR="00342A9A">
        <w:t xml:space="preserve"> walk</w:t>
      </w:r>
      <w:r w:rsidR="00AB4AC8">
        <w:t xml:space="preserve"> test during which gait biomechanical parameters were quantified </w:t>
      </w:r>
      <w:r w:rsidR="00330511">
        <w:t>as described previously</w:t>
      </w:r>
      <w:r w:rsidR="00BB3935">
        <w:t xml:space="preserve"> [9]</w:t>
      </w:r>
      <w:r w:rsidR="00AB4AC8">
        <w:t xml:space="preserve">. </w:t>
      </w:r>
      <w:r w:rsidR="00024FD7">
        <w:t>Heart rate (</w:t>
      </w:r>
      <w:r w:rsidR="004B11B8">
        <w:t>via t</w:t>
      </w:r>
      <w:r w:rsidR="009349A7">
        <w:t xml:space="preserve">elemetry: Polar T31 </w:t>
      </w:r>
      <w:r w:rsidR="004B11B8">
        <w:t xml:space="preserve">transmitter with Polar FT1 watch, </w:t>
      </w:r>
      <w:r w:rsidR="004B11B8" w:rsidRPr="004B11B8">
        <w:t xml:space="preserve">Polar Electro, </w:t>
      </w:r>
      <w:proofErr w:type="spellStart"/>
      <w:r w:rsidR="004B11B8" w:rsidRPr="004B11B8">
        <w:t>Oy</w:t>
      </w:r>
      <w:proofErr w:type="spellEnd"/>
      <w:r w:rsidR="004B11B8" w:rsidRPr="004B11B8">
        <w:t>, Finland</w:t>
      </w:r>
      <w:r w:rsidR="00024FD7">
        <w:t>),</w:t>
      </w:r>
      <w:r w:rsidR="004B11B8">
        <w:t xml:space="preserve"> blood pressure (Omron M6 Comfort, Omron Healthcare Europe B.V., </w:t>
      </w:r>
      <w:proofErr w:type="spellStart"/>
      <w:r w:rsidR="004B11B8">
        <w:t>Hoofddorp</w:t>
      </w:r>
      <w:proofErr w:type="spellEnd"/>
      <w:r w:rsidR="004B11B8">
        <w:t>, The Netherlands</w:t>
      </w:r>
      <w:r w:rsidR="00024FD7">
        <w:t>)</w:t>
      </w:r>
      <w:r w:rsidR="004B11B8">
        <w:t>, and ratings of</w:t>
      </w:r>
      <w:r w:rsidR="00024FD7">
        <w:t xml:space="preserve"> </w:t>
      </w:r>
      <w:r w:rsidR="004B11B8">
        <w:t>perceived exertion (Borg 6-20 scale</w:t>
      </w:r>
      <w:r w:rsidR="00BB3935">
        <w:t xml:space="preserve"> [10]</w:t>
      </w:r>
      <w:r w:rsidR="004B11B8">
        <w:t>) and</w:t>
      </w:r>
      <w:r w:rsidR="004B11B8" w:rsidRPr="00024FD7">
        <w:t xml:space="preserve"> leg pain (Borg CR-10 scale</w:t>
      </w:r>
      <w:r w:rsidR="00BB3935">
        <w:t xml:space="preserve"> [10]</w:t>
      </w:r>
      <w:r w:rsidR="004B11B8" w:rsidRPr="00024FD7">
        <w:t xml:space="preserve">) </w:t>
      </w:r>
      <w:r w:rsidR="00024FD7">
        <w:t>were</w:t>
      </w:r>
      <w:r w:rsidR="00024FD7" w:rsidRPr="00024FD7">
        <w:t xml:space="preserve"> recorded </w:t>
      </w:r>
      <w:r w:rsidR="00024FD7">
        <w:t>before and immediately after each test</w:t>
      </w:r>
      <w:r w:rsidR="00024FD7" w:rsidRPr="00024FD7">
        <w:t>.</w:t>
      </w:r>
      <w:r w:rsidR="00024FD7">
        <w:t xml:space="preserve"> </w:t>
      </w:r>
      <w:r w:rsidR="0076603E">
        <w:t>A</w:t>
      </w:r>
      <w:r w:rsidR="0076603E" w:rsidRPr="0076603E">
        <w:t xml:space="preserve">ll participants had a </w:t>
      </w:r>
      <w:r w:rsidR="0076603E">
        <w:t xml:space="preserve">leg pain </w:t>
      </w:r>
      <w:r w:rsidR="0076603E" w:rsidRPr="0076603E">
        <w:t>score of 0 b</w:t>
      </w:r>
      <w:r w:rsidR="0076603E">
        <w:t>efore commencing the next test.</w:t>
      </w:r>
      <w:r w:rsidR="0076603E" w:rsidRPr="0076603E">
        <w:t xml:space="preserve"> </w:t>
      </w:r>
      <w:r w:rsidR="00342A9A">
        <w:t>For the 6-minute walk test, we</w:t>
      </w:r>
      <w:r w:rsidR="000535E9">
        <w:t xml:space="preserve"> used a</w:t>
      </w:r>
      <w:r w:rsidR="009349A7">
        <w:t xml:space="preserve"> 30-m straight corridor</w:t>
      </w:r>
      <w:r w:rsidR="000535E9">
        <w:t xml:space="preserve"> and standardised instructions</w:t>
      </w:r>
      <w:r w:rsidR="00BB3935">
        <w:t xml:space="preserve"> [11]</w:t>
      </w:r>
      <w:r w:rsidR="000535E9">
        <w:t>, which included to walk as far a</w:t>
      </w:r>
      <w:r w:rsidR="00AB4AC8">
        <w:t>s</w:t>
      </w:r>
      <w:r w:rsidR="000535E9">
        <w:t xml:space="preserve"> possible within the 6 minutes.</w:t>
      </w:r>
      <w:r w:rsidR="00AB4AC8">
        <w:t xml:space="preserve"> </w:t>
      </w:r>
      <w:r w:rsidR="00342A9A">
        <w:t>The same course was used for the usual-pace test.</w:t>
      </w:r>
      <w:r w:rsidR="00AB4AC8">
        <w:t xml:space="preserve"> </w:t>
      </w:r>
      <w:r w:rsidR="00342A9A">
        <w:t xml:space="preserve">The figure-of-8 test was conducted in a gait laboratory. </w:t>
      </w:r>
      <w:r w:rsidR="00366E8A">
        <w:t xml:space="preserve">A figure-of-8 was chosen to minimise the potential for fatigue that might have been be caused through participants solely performing all clockwise or all </w:t>
      </w:r>
      <w:proofErr w:type="spellStart"/>
      <w:r w:rsidR="00366E8A">
        <w:t>counterclockwise</w:t>
      </w:r>
      <w:proofErr w:type="spellEnd"/>
      <w:r w:rsidR="00366E8A">
        <w:t xml:space="preserve"> turns. </w:t>
      </w:r>
      <w:r w:rsidR="00342A9A">
        <w:t>Reflective markers were</w:t>
      </w:r>
      <w:r w:rsidR="00342A9A" w:rsidRPr="00342A9A">
        <w:t xml:space="preserve"> positioned on anatomical landmarks of the lower extremities using double-sided sticky tape</w:t>
      </w:r>
      <w:r w:rsidR="00342A9A">
        <w:t xml:space="preserve"> to allow 3D motion</w:t>
      </w:r>
      <w:r w:rsidR="00330511">
        <w:t xml:space="preserve"> analysis</w:t>
      </w:r>
      <w:r w:rsidR="00BB3935">
        <w:t xml:space="preserve"> [9]</w:t>
      </w:r>
      <w:r w:rsidR="00342A9A" w:rsidRPr="00342A9A">
        <w:t xml:space="preserve">. </w:t>
      </w:r>
      <w:r w:rsidR="00342A9A">
        <w:t>Participants were instructed to</w:t>
      </w:r>
      <w:r w:rsidR="00342A9A" w:rsidRPr="00342A9A">
        <w:t xml:space="preserve"> walk at their usual pace along a figure-of-8 circuit</w:t>
      </w:r>
      <w:r w:rsidR="00342A9A">
        <w:t>, without slowing down,</w:t>
      </w:r>
      <w:r w:rsidR="00342A9A" w:rsidRPr="00342A9A">
        <w:t xml:space="preserve"> for a ma</w:t>
      </w:r>
      <w:r w:rsidR="00342A9A">
        <w:t>ximum of 12 minutes. A force plate</w:t>
      </w:r>
      <w:r w:rsidR="00342A9A" w:rsidRPr="00342A9A">
        <w:t xml:space="preserve"> (9281EA, </w:t>
      </w:r>
      <w:proofErr w:type="spellStart"/>
      <w:r w:rsidR="00342A9A" w:rsidRPr="00342A9A">
        <w:t>Kistler</w:t>
      </w:r>
      <w:proofErr w:type="spellEnd"/>
      <w:r w:rsidR="00390DB6">
        <w:t>, Germany</w:t>
      </w:r>
      <w:r w:rsidR="00342A9A" w:rsidRPr="00342A9A">
        <w:t xml:space="preserve">) positioned in the central straight </w:t>
      </w:r>
      <w:r w:rsidR="00342A9A">
        <w:t xml:space="preserve">portion of the course </w:t>
      </w:r>
      <w:r w:rsidR="00342A9A" w:rsidRPr="00342A9A">
        <w:t>capture</w:t>
      </w:r>
      <w:r w:rsidR="00342A9A">
        <w:t>d</w:t>
      </w:r>
      <w:r w:rsidR="00342A9A" w:rsidRPr="00342A9A">
        <w:t xml:space="preserve"> kineti</w:t>
      </w:r>
      <w:r w:rsidR="00342A9A">
        <w:t>c data. The participants were</w:t>
      </w:r>
      <w:r w:rsidR="00342A9A" w:rsidRPr="00342A9A">
        <w:t xml:space="preserve"> naïve to the force plate, to help ensure a natural walking gait. Infra-red 3D optical motion analysi</w:t>
      </w:r>
      <w:r w:rsidR="00342A9A">
        <w:t>s cameras (</w:t>
      </w:r>
      <w:proofErr w:type="spellStart"/>
      <w:r w:rsidR="00342A9A">
        <w:t>Oqus</w:t>
      </w:r>
      <w:proofErr w:type="spellEnd"/>
      <w:r w:rsidR="00342A9A">
        <w:t xml:space="preserve">, </w:t>
      </w:r>
      <w:proofErr w:type="spellStart"/>
      <w:r w:rsidR="00342A9A">
        <w:t>Qualisys</w:t>
      </w:r>
      <w:proofErr w:type="spellEnd"/>
      <w:r w:rsidR="00390DB6">
        <w:t>, Sweden</w:t>
      </w:r>
      <w:r w:rsidR="00342A9A">
        <w:t xml:space="preserve">) </w:t>
      </w:r>
      <w:r w:rsidR="00342A9A" w:rsidRPr="00342A9A">
        <w:t>capture</w:t>
      </w:r>
      <w:r w:rsidR="00342A9A">
        <w:t>d</w:t>
      </w:r>
      <w:r w:rsidR="00342A9A" w:rsidRPr="00342A9A">
        <w:t xml:space="preserve"> kinematic data ea</w:t>
      </w:r>
      <w:r w:rsidR="00342A9A">
        <w:t>ch time a participant approached and passed</w:t>
      </w:r>
      <w:r w:rsidR="00342A9A" w:rsidRPr="00342A9A">
        <w:t xml:space="preserve"> over the</w:t>
      </w:r>
      <w:r w:rsidR="00342A9A">
        <w:t xml:space="preserve"> force plate.</w:t>
      </w:r>
      <w:r w:rsidR="006A40E3" w:rsidRPr="006A40E3">
        <w:rPr>
          <w:sz w:val="24"/>
          <w:szCs w:val="24"/>
        </w:rPr>
        <w:t xml:space="preserve"> </w:t>
      </w:r>
      <w:r w:rsidR="00E156D0">
        <w:rPr>
          <w:sz w:val="24"/>
          <w:szCs w:val="24"/>
        </w:rPr>
        <w:t xml:space="preserve">Kinetic and </w:t>
      </w:r>
      <w:proofErr w:type="spellStart"/>
      <w:r w:rsidR="00E156D0">
        <w:t>sagittal</w:t>
      </w:r>
      <w:proofErr w:type="spellEnd"/>
      <w:r w:rsidR="00E156D0">
        <w:t xml:space="preserve"> plane </w:t>
      </w:r>
      <w:r w:rsidR="00E156D0">
        <w:rPr>
          <w:sz w:val="24"/>
          <w:szCs w:val="24"/>
        </w:rPr>
        <w:t xml:space="preserve">kinematic data were </w:t>
      </w:r>
      <w:r w:rsidR="00E156D0" w:rsidRPr="00855CEA">
        <w:rPr>
          <w:sz w:val="24"/>
          <w:szCs w:val="24"/>
        </w:rPr>
        <w:t>exported to Visual 3D motion analysis software (C</w:t>
      </w:r>
      <w:r w:rsidR="00E156D0" w:rsidRPr="00855CEA">
        <w:rPr>
          <w:sz w:val="24"/>
          <w:szCs w:val="24"/>
        </w:rPr>
        <w:noBreakHyphen/>
      </w:r>
      <w:proofErr w:type="spellStart"/>
      <w:r w:rsidR="00E156D0" w:rsidRPr="00855CEA">
        <w:rPr>
          <w:sz w:val="24"/>
          <w:szCs w:val="24"/>
        </w:rPr>
        <w:t>Motion</w:t>
      </w:r>
      <w:proofErr w:type="spellEnd"/>
      <w:r w:rsidR="00E156D0" w:rsidRPr="00855CEA">
        <w:rPr>
          <w:sz w:val="24"/>
          <w:szCs w:val="24"/>
        </w:rPr>
        <w:t>, Rockville, MD, USA) for processing and analysis.</w:t>
      </w:r>
      <w:r w:rsidR="00E156D0">
        <w:t xml:space="preserve"> Inverse dynamics were used to determine joint moments and powers.</w:t>
      </w:r>
      <w:r w:rsidR="00E156D0" w:rsidRPr="00581F29">
        <w:t xml:space="preserve"> </w:t>
      </w:r>
      <w:r w:rsidR="00342A9A">
        <w:t>Participants</w:t>
      </w:r>
      <w:r w:rsidR="00342A9A" w:rsidRPr="00342A9A">
        <w:t xml:space="preserve"> indicate</w:t>
      </w:r>
      <w:r w:rsidR="00342A9A">
        <w:t>d</w:t>
      </w:r>
      <w:r w:rsidR="00342A9A" w:rsidRPr="00342A9A">
        <w:t xml:space="preserve"> when </w:t>
      </w:r>
      <w:r w:rsidR="00342A9A" w:rsidRPr="00342A9A">
        <w:lastRenderedPageBreak/>
        <w:t>they experience</w:t>
      </w:r>
      <w:r w:rsidR="00342A9A">
        <w:t>d</w:t>
      </w:r>
      <w:r w:rsidR="00342A9A" w:rsidRPr="00342A9A">
        <w:t xml:space="preserve"> the onset of </w:t>
      </w:r>
      <w:proofErr w:type="spellStart"/>
      <w:r w:rsidR="00342A9A" w:rsidRPr="00342A9A">
        <w:t>claudication</w:t>
      </w:r>
      <w:proofErr w:type="spellEnd"/>
      <w:r w:rsidR="00342A9A" w:rsidRPr="00342A9A">
        <w:t xml:space="preserve"> pain and continue</w:t>
      </w:r>
      <w:r w:rsidR="00342A9A">
        <w:t>d walking</w:t>
      </w:r>
      <w:r w:rsidR="003B5748">
        <w:t xml:space="preserve"> until pain prevented them walking further. </w:t>
      </w:r>
      <w:r w:rsidR="00E547DD">
        <w:t>Time-distance v</w:t>
      </w:r>
      <w:r w:rsidR="003B5748">
        <w:t>ariables us</w:t>
      </w:r>
      <w:r w:rsidR="008609AB">
        <w:t xml:space="preserve">ed to identify </w:t>
      </w:r>
      <w:r w:rsidR="00E547DD">
        <w:t xml:space="preserve">gait </w:t>
      </w:r>
      <w:r w:rsidR="003B5748">
        <w:t xml:space="preserve">differences </w:t>
      </w:r>
      <w:r w:rsidR="0014501C">
        <w:t xml:space="preserve">between </w:t>
      </w:r>
      <w:r w:rsidR="00E547DD">
        <w:t xml:space="preserve">the two </w:t>
      </w:r>
      <w:r w:rsidR="0014501C">
        <w:t>shoe conditions d</w:t>
      </w:r>
      <w:r w:rsidR="00E547DD">
        <w:t>uring pain-free walking were</w:t>
      </w:r>
      <w:r w:rsidR="003B5748">
        <w:t xml:space="preserve"> walking </w:t>
      </w:r>
      <w:r w:rsidR="008609AB">
        <w:t>speed, step length,</w:t>
      </w:r>
      <w:r w:rsidR="0014501C">
        <w:t xml:space="preserve"> step cadence</w:t>
      </w:r>
      <w:r w:rsidR="008609AB">
        <w:t xml:space="preserve">, </w:t>
      </w:r>
      <w:r w:rsidR="00E547DD">
        <w:t>and time in stance phase, swing phase, and double support (% of gait cycle)</w:t>
      </w:r>
      <w:r w:rsidR="003B5748">
        <w:t xml:space="preserve">. </w:t>
      </w:r>
      <w:r w:rsidR="001C2206">
        <w:t>The potential calf unloading effect of the adapted shoes was also explored using t</w:t>
      </w:r>
      <w:r w:rsidR="00390DB6">
        <w:t xml:space="preserve">he following variables for the most affected limb: </w:t>
      </w:r>
      <w:r w:rsidR="00E547DD">
        <w:t>ankle range of motion,</w:t>
      </w:r>
      <w:r w:rsidR="00E25200">
        <w:t xml:space="preserve"> peak</w:t>
      </w:r>
      <w:r w:rsidR="00E547DD">
        <w:t xml:space="preserve"> </w:t>
      </w:r>
      <w:proofErr w:type="spellStart"/>
      <w:r w:rsidR="00E547DD">
        <w:t>plantarflexion</w:t>
      </w:r>
      <w:proofErr w:type="spellEnd"/>
      <w:r w:rsidR="00E547DD">
        <w:t xml:space="preserve"> </w:t>
      </w:r>
      <w:r w:rsidR="00E25200">
        <w:t xml:space="preserve">angle, peak </w:t>
      </w:r>
      <w:proofErr w:type="spellStart"/>
      <w:r w:rsidR="00E25200">
        <w:t>plantarflexion</w:t>
      </w:r>
      <w:proofErr w:type="spellEnd"/>
      <w:r w:rsidR="00E25200">
        <w:t xml:space="preserve"> </w:t>
      </w:r>
      <w:r w:rsidR="00E547DD">
        <w:t>moment</w:t>
      </w:r>
      <w:r w:rsidR="00854843">
        <w:t xml:space="preserve"> (in Nm per kg body mass)</w:t>
      </w:r>
      <w:r w:rsidR="00E547DD">
        <w:t xml:space="preserve">, and peak </w:t>
      </w:r>
      <w:proofErr w:type="spellStart"/>
      <w:r w:rsidR="00E25200">
        <w:t>plantarflexion</w:t>
      </w:r>
      <w:proofErr w:type="spellEnd"/>
      <w:r w:rsidR="00E25200">
        <w:t xml:space="preserve"> power (in W</w:t>
      </w:r>
      <w:r w:rsidR="00854843">
        <w:t xml:space="preserve"> per kg body mass)</w:t>
      </w:r>
      <w:r w:rsidR="00390DB6">
        <w:t xml:space="preserve">. </w:t>
      </w:r>
    </w:p>
    <w:p w:rsidR="00A266E7" w:rsidRDefault="00A266E7" w:rsidP="003B5748">
      <w:pPr>
        <w:spacing w:line="480" w:lineRule="auto"/>
      </w:pPr>
    </w:p>
    <w:p w:rsidR="00A266E7" w:rsidRDefault="00A266E7" w:rsidP="00A266E7">
      <w:pPr>
        <w:spacing w:line="480" w:lineRule="auto"/>
      </w:pPr>
      <w:r>
        <w:t>After completing the second assessment visit, all partic</w:t>
      </w:r>
      <w:bookmarkStart w:id="0" w:name="_GoBack"/>
      <w:bookmarkEnd w:id="0"/>
      <w:r>
        <w:t xml:space="preserve">ipants were given the pair of shoes that they wore during that visit to wear for 2 weeks. During this </w:t>
      </w:r>
      <w:r w:rsidR="007E0884">
        <w:t>period, the participants were</w:t>
      </w:r>
      <w:r>
        <w:t xml:space="preserve"> instructed to wear the allocated shoes as much as possible every day, with a minimum target of 4 hou</w:t>
      </w:r>
      <w:r w:rsidR="00330511">
        <w:t>rs per day</w:t>
      </w:r>
      <w:r w:rsidR="00BB3935">
        <w:t xml:space="preserve"> [12]</w:t>
      </w:r>
      <w:r>
        <w:t xml:space="preserve">. On completing the 2-week period, the participants were asked to return the shoes along with a </w:t>
      </w:r>
      <w:r w:rsidR="007779E8">
        <w:t>completed survey about them</w:t>
      </w:r>
      <w:r>
        <w:t xml:space="preserve">. In the survey, participants were asked to estimate, on average, how many hours per day they wore the shoes. They also rated the overall level of shoe comfort using an 11-point </w:t>
      </w:r>
      <w:r w:rsidR="00AB5D9C">
        <w:t xml:space="preserve">(0-10) </w:t>
      </w:r>
      <w:r>
        <w:t>numeric rating scale (with terminal descriptors of ‘extremely uncomfortable’ and ‘extr</w:t>
      </w:r>
      <w:r w:rsidR="007E0884">
        <w:t>emely comfortable’), and</w:t>
      </w:r>
      <w:r>
        <w:t xml:space="preserve"> </w:t>
      </w:r>
      <w:r w:rsidR="007E0884">
        <w:t xml:space="preserve">perceived </w:t>
      </w:r>
      <w:r>
        <w:t>change</w:t>
      </w:r>
      <w:r w:rsidR="007E0884">
        <w:t>s</w:t>
      </w:r>
      <w:r>
        <w:t xml:space="preserve"> in walki</w:t>
      </w:r>
      <w:r w:rsidR="007E0884">
        <w:t>ng ability and physical activity using</w:t>
      </w:r>
      <w:r>
        <w:t xml:space="preserve"> 5-point </w:t>
      </w:r>
      <w:r w:rsidR="00AB5D9C">
        <w:t xml:space="preserve">(1-5) </w:t>
      </w:r>
      <w:r>
        <w:t>scale</w:t>
      </w:r>
      <w:r w:rsidR="007E0884">
        <w:t>s</w:t>
      </w:r>
      <w:r>
        <w:t xml:space="preserve"> </w:t>
      </w:r>
      <w:r w:rsidR="007E0884">
        <w:t>(</w:t>
      </w:r>
      <w:r>
        <w:t>with terminal descriptors of ‘much worse’ to ‘much better’</w:t>
      </w:r>
      <w:r w:rsidR="007E0884">
        <w:t xml:space="preserve"> and </w:t>
      </w:r>
      <w:r>
        <w:t>‘much less physically active’ to ‘much more physically active’</w:t>
      </w:r>
      <w:r w:rsidR="007E0884">
        <w:t>, respectively)</w:t>
      </w:r>
      <w:r>
        <w:t>. F</w:t>
      </w:r>
      <w:r w:rsidR="007E0884">
        <w:t xml:space="preserve">inally, participants </w:t>
      </w:r>
      <w:r>
        <w:t>record</w:t>
      </w:r>
      <w:r w:rsidR="007E0884">
        <w:t>ed</w:t>
      </w:r>
      <w:r>
        <w:t xml:space="preserve"> any benefits, negative aspects, and untoward medical </w:t>
      </w:r>
      <w:r w:rsidR="007779E8">
        <w:t xml:space="preserve">events related to the </w:t>
      </w:r>
      <w:r>
        <w:t>shoes.</w:t>
      </w:r>
    </w:p>
    <w:p w:rsidR="00A266E7" w:rsidRDefault="00A266E7" w:rsidP="00A266E7">
      <w:pPr>
        <w:spacing w:line="480" w:lineRule="auto"/>
      </w:pPr>
    </w:p>
    <w:p w:rsidR="00A266E7" w:rsidRDefault="00A266E7" w:rsidP="00A266E7">
      <w:pPr>
        <w:spacing w:line="480" w:lineRule="auto"/>
      </w:pPr>
      <w:r>
        <w:t xml:space="preserve">A sub-sample of </w:t>
      </w:r>
      <w:r w:rsidR="007E0884">
        <w:t>12 participant</w:t>
      </w:r>
      <w:r w:rsidR="007779E8">
        <w:t>s also undertook a telephone-based interview</w:t>
      </w:r>
      <w:r w:rsidR="007E0884">
        <w:t xml:space="preserve"> </w:t>
      </w:r>
      <w:r w:rsidR="007779E8">
        <w:t>to share</w:t>
      </w:r>
      <w:r>
        <w:t xml:space="preserve"> their </w:t>
      </w:r>
      <w:r w:rsidR="007779E8">
        <w:t>thoughts about</w:t>
      </w:r>
      <w:r w:rsidR="007E0884">
        <w:t xml:space="preserve"> the shoes. Purposive s</w:t>
      </w:r>
      <w:r>
        <w:t xml:space="preserve">ampling </w:t>
      </w:r>
      <w:r w:rsidR="007E0884">
        <w:t>was used according to the fo</w:t>
      </w:r>
      <w:r w:rsidR="007779E8">
        <w:t>llowing criteria</w:t>
      </w:r>
      <w:r w:rsidR="007E0884">
        <w:t>: shoe type (unloading and control), age (above and below 65 years), sex, and walking ability (6MWD above and below 350 m</w:t>
      </w:r>
      <w:r>
        <w:t xml:space="preserve">). </w:t>
      </w:r>
      <w:r w:rsidR="001E1996">
        <w:t xml:space="preserve">The interviewer sought feedback regarding </w:t>
      </w:r>
      <w:r w:rsidR="00E84703">
        <w:t>factors affecting shoe usage,</w:t>
      </w:r>
      <w:r w:rsidR="001E1996">
        <w:t xml:space="preserve"> </w:t>
      </w:r>
      <w:r>
        <w:t>benefits and negative cons</w:t>
      </w:r>
      <w:r w:rsidR="00E84703">
        <w:t>equences of</w:t>
      </w:r>
      <w:r w:rsidR="001E1996">
        <w:t xml:space="preserve"> wearing the shoes,</w:t>
      </w:r>
      <w:r w:rsidR="00E84703">
        <w:t xml:space="preserve"> and</w:t>
      </w:r>
      <w:r w:rsidR="001E1996">
        <w:t xml:space="preserve"> the design</w:t>
      </w:r>
      <w:r>
        <w:t xml:space="preserve"> of the shoes</w:t>
      </w:r>
      <w:r w:rsidR="001E1996">
        <w:t>. All interviews were audio-recorded, transcribed, and analysed to identify themes</w:t>
      </w:r>
      <w:r>
        <w:t xml:space="preserve">. </w:t>
      </w:r>
    </w:p>
    <w:p w:rsidR="00A266E7" w:rsidRDefault="00A266E7" w:rsidP="003B5748">
      <w:pPr>
        <w:spacing w:line="480" w:lineRule="auto"/>
      </w:pPr>
    </w:p>
    <w:p w:rsidR="00A266E7" w:rsidRPr="009F57D4" w:rsidRDefault="00A266E7" w:rsidP="003E4AD7">
      <w:pPr>
        <w:spacing w:line="480" w:lineRule="auto"/>
        <w:rPr>
          <w:b/>
        </w:rPr>
      </w:pPr>
      <w:r w:rsidRPr="009F57D4">
        <w:rPr>
          <w:b/>
        </w:rPr>
        <w:t>Adverse events</w:t>
      </w:r>
    </w:p>
    <w:p w:rsidR="001D4071" w:rsidRDefault="00A266E7" w:rsidP="003E4AD7">
      <w:pPr>
        <w:spacing w:line="480" w:lineRule="auto"/>
      </w:pPr>
      <w:r>
        <w:t>We recorded all</w:t>
      </w:r>
      <w:r w:rsidR="00F25618">
        <w:t xml:space="preserve"> serious adverse events (regardless of cause), and all non-serious</w:t>
      </w:r>
      <w:r>
        <w:t xml:space="preserve"> adverse events that were believed to have</w:t>
      </w:r>
      <w:r w:rsidRPr="00A266E7">
        <w:t xml:space="preserve"> occur</w:t>
      </w:r>
      <w:r>
        <w:t>red</w:t>
      </w:r>
      <w:r w:rsidRPr="00A266E7">
        <w:t xml:space="preserve"> as a</w:t>
      </w:r>
      <w:r>
        <w:t xml:space="preserve"> result of performing a study assessment, or from using the study shoes</w:t>
      </w:r>
      <w:r w:rsidRPr="00A266E7">
        <w:t>.</w:t>
      </w:r>
      <w:r w:rsidR="003772A8">
        <w:t xml:space="preserve"> The latter are subsequently termed ‘adverse device effects’.</w:t>
      </w:r>
    </w:p>
    <w:p w:rsidR="00A266E7" w:rsidRDefault="00A266E7" w:rsidP="003E4AD7">
      <w:pPr>
        <w:spacing w:line="480" w:lineRule="auto"/>
        <w:rPr>
          <w:b/>
          <w:i/>
        </w:rPr>
      </w:pPr>
    </w:p>
    <w:p w:rsidR="001A3B39" w:rsidRPr="009F57D4" w:rsidRDefault="001A3B39" w:rsidP="003E4AD7">
      <w:pPr>
        <w:spacing w:line="480" w:lineRule="auto"/>
        <w:rPr>
          <w:b/>
        </w:rPr>
      </w:pPr>
      <w:r w:rsidRPr="009F57D4">
        <w:rPr>
          <w:b/>
        </w:rPr>
        <w:t>Randomisation, allocation concealment and blinding</w:t>
      </w:r>
    </w:p>
    <w:p w:rsidR="0008281F" w:rsidRDefault="00296834" w:rsidP="003E4AD7">
      <w:pPr>
        <w:spacing w:line="480" w:lineRule="auto"/>
      </w:pPr>
      <w:r w:rsidRPr="00296834">
        <w:t>The order of testing for each participant (i.e.</w:t>
      </w:r>
      <w:r>
        <w:t>,</w:t>
      </w:r>
      <w:r w:rsidRPr="00296834">
        <w:t xml:space="preserve"> unloading shoes first then contr</w:t>
      </w:r>
      <w:r>
        <w:t>ol shoes, or vice versa) was</w:t>
      </w:r>
      <w:r w:rsidRPr="00296834">
        <w:t xml:space="preserve"> determined using a computer-generated randomisation se</w:t>
      </w:r>
      <w:r>
        <w:t>quence created by a statistician at</w:t>
      </w:r>
      <w:r w:rsidRPr="00296834">
        <w:t xml:space="preserve"> York Trials Uni</w:t>
      </w:r>
      <w:r>
        <w:t>t</w:t>
      </w:r>
      <w:r w:rsidR="00AB5D9C">
        <w:t>, who was not otherwise involved in the study</w:t>
      </w:r>
      <w:r w:rsidR="005369A8">
        <w:t>.</w:t>
      </w:r>
      <w:r>
        <w:t xml:space="preserve"> Blocked randomisation </w:t>
      </w:r>
      <w:r w:rsidR="0093103D">
        <w:t xml:space="preserve">with a block size of 8 </w:t>
      </w:r>
      <w:r>
        <w:t>was</w:t>
      </w:r>
      <w:r w:rsidRPr="00296834">
        <w:t xml:space="preserve"> used to ensure tha</w:t>
      </w:r>
      <w:r>
        <w:t>t the overall order of testing wa</w:t>
      </w:r>
      <w:r w:rsidR="00771797">
        <w:t>s balanced</w:t>
      </w:r>
      <w:r w:rsidR="00624801">
        <w:t xml:space="preserve"> (ratio 1:1)</w:t>
      </w:r>
      <w:r>
        <w:t xml:space="preserve">. </w:t>
      </w:r>
      <w:r w:rsidR="005369A8">
        <w:t xml:space="preserve">The allocations were blinded (i.e. labelled AB and BA) before being passed to the trial statistician. Once </w:t>
      </w:r>
      <w:r w:rsidR="002A2BD4">
        <w:t>a</w:t>
      </w:r>
      <w:r w:rsidR="005369A8">
        <w:t xml:space="preserve"> participant had</w:t>
      </w:r>
      <w:r>
        <w:t xml:space="preserve"> completed the screening visit</w:t>
      </w:r>
      <w:r w:rsidR="00624801">
        <w:t>,</w:t>
      </w:r>
      <w:r w:rsidR="00F25618">
        <w:t xml:space="preserve"> an</w:t>
      </w:r>
      <w:r w:rsidR="005369A8">
        <w:t xml:space="preserve"> </w:t>
      </w:r>
      <w:r w:rsidR="00E0065A">
        <w:t xml:space="preserve">investigator </w:t>
      </w:r>
      <w:r w:rsidR="005369A8">
        <w:t xml:space="preserve">emailed the trial statistician </w:t>
      </w:r>
      <w:r w:rsidR="002A2BD4">
        <w:t>who assigned the participant to the next available allocation</w:t>
      </w:r>
      <w:r w:rsidRPr="00296834">
        <w:t>.</w:t>
      </w:r>
    </w:p>
    <w:p w:rsidR="0040546F" w:rsidRDefault="0040546F" w:rsidP="003E4AD7">
      <w:pPr>
        <w:spacing w:line="480" w:lineRule="auto"/>
      </w:pPr>
    </w:p>
    <w:p w:rsidR="0040546F" w:rsidRPr="006E4E0D" w:rsidRDefault="0040546F" w:rsidP="003E4AD7">
      <w:pPr>
        <w:spacing w:line="480" w:lineRule="auto"/>
      </w:pPr>
      <w:r>
        <w:t>P</w:t>
      </w:r>
      <w:r w:rsidRPr="0040546F">
        <w:t xml:space="preserve">articipants </w:t>
      </w:r>
      <w:r>
        <w:t xml:space="preserve">were blinded to allocation by using control shoes that were visually-similar to the unloading shoes and by stating in the </w:t>
      </w:r>
      <w:r w:rsidRPr="0040546F">
        <w:t xml:space="preserve">participant </w:t>
      </w:r>
      <w:r>
        <w:t>information sheet that the study was</w:t>
      </w:r>
      <w:r w:rsidRPr="0040546F">
        <w:t xml:space="preserve"> investigating </w:t>
      </w:r>
      <w:r>
        <w:t xml:space="preserve">two </w:t>
      </w:r>
      <w:r w:rsidRPr="0040546F">
        <w:t>different types o</w:t>
      </w:r>
      <w:r>
        <w:t xml:space="preserve">f shoes, rather than comparing </w:t>
      </w:r>
      <w:r w:rsidRPr="0040546F">
        <w:t>norm</w:t>
      </w:r>
      <w:r>
        <w:t>al and adapted shoes. Our attempt</w:t>
      </w:r>
      <w:r w:rsidRPr="0040546F">
        <w:t xml:space="preserve"> to blind the outcome assessor </w:t>
      </w:r>
      <w:r>
        <w:t>was unsuc</w:t>
      </w:r>
      <w:r w:rsidR="00624801">
        <w:t>cessful because they were</w:t>
      </w:r>
      <w:r>
        <w:t xml:space="preserve"> not naïve to the true purpose of the study and </w:t>
      </w:r>
      <w:r w:rsidR="00624801">
        <w:t>therefore</w:t>
      </w:r>
      <w:r w:rsidR="003A7D88">
        <w:t xml:space="preserve"> could tell which</w:t>
      </w:r>
      <w:r w:rsidR="00624801">
        <w:t xml:space="preserve"> shoe was the unloading</w:t>
      </w:r>
      <w:r w:rsidR="003F4133">
        <w:t xml:space="preserve"> shoe</w:t>
      </w:r>
      <w:r>
        <w:t xml:space="preserve"> when preparing the p</w:t>
      </w:r>
      <w:r w:rsidR="00083C07">
        <w:t>articipant for the gait analysis</w:t>
      </w:r>
      <w:r>
        <w:t xml:space="preserve">. </w:t>
      </w:r>
      <w:r w:rsidR="003A7D88">
        <w:t xml:space="preserve">However, the use of standardised testing procedures and objective outcomes (e.g., 6MWD) </w:t>
      </w:r>
      <w:r w:rsidR="005E5546">
        <w:t xml:space="preserve">ensured </w:t>
      </w:r>
      <w:r w:rsidR="003A7D88">
        <w:t>that the risk of detection bias is low.</w:t>
      </w:r>
      <w:r w:rsidR="00E04D4B">
        <w:t xml:space="preserve"> </w:t>
      </w:r>
      <w:r w:rsidR="00D070CE">
        <w:t>T</w:t>
      </w:r>
      <w:r w:rsidR="003A7D88">
        <w:t>he r</w:t>
      </w:r>
      <w:r w:rsidR="00E0065A">
        <w:t>esearcher overseeing data entry</w:t>
      </w:r>
      <w:r w:rsidR="00083C07">
        <w:t xml:space="preserve"> </w:t>
      </w:r>
      <w:r w:rsidR="00E0065A">
        <w:t>and</w:t>
      </w:r>
      <w:r w:rsidR="005430E2">
        <w:t xml:space="preserve"> </w:t>
      </w:r>
      <w:r w:rsidR="00624801">
        <w:t xml:space="preserve">the </w:t>
      </w:r>
      <w:r w:rsidR="00E0065A">
        <w:t>statistician</w:t>
      </w:r>
      <w:r w:rsidR="00083C07">
        <w:t xml:space="preserve"> </w:t>
      </w:r>
      <w:r w:rsidR="00D070CE">
        <w:t xml:space="preserve">remained </w:t>
      </w:r>
      <w:r w:rsidR="003A7D88">
        <w:t>blinded</w:t>
      </w:r>
      <w:r w:rsidR="00D070CE">
        <w:t xml:space="preserve"> until the analysis was complete</w:t>
      </w:r>
      <w:r w:rsidRPr="0040546F">
        <w:t>.</w:t>
      </w:r>
    </w:p>
    <w:p w:rsidR="006E4E0D" w:rsidRDefault="006E4E0D" w:rsidP="003E4AD7">
      <w:pPr>
        <w:spacing w:line="480" w:lineRule="auto"/>
        <w:rPr>
          <w:b/>
          <w:i/>
        </w:rPr>
      </w:pPr>
    </w:p>
    <w:p w:rsidR="000535E9" w:rsidRPr="009F57D4" w:rsidRDefault="000535E9" w:rsidP="003E4AD7">
      <w:pPr>
        <w:spacing w:line="480" w:lineRule="auto"/>
        <w:rPr>
          <w:b/>
        </w:rPr>
      </w:pPr>
      <w:r w:rsidRPr="009F57D4">
        <w:rPr>
          <w:b/>
        </w:rPr>
        <w:t>Sample size</w:t>
      </w:r>
    </w:p>
    <w:p w:rsidR="000535E9" w:rsidRDefault="006E4E0D" w:rsidP="000535E9">
      <w:pPr>
        <w:spacing w:line="480" w:lineRule="auto"/>
      </w:pPr>
      <w:r>
        <w:lastRenderedPageBreak/>
        <w:t>The primary outcome wa</w:t>
      </w:r>
      <w:r w:rsidR="000535E9">
        <w:t xml:space="preserve">s </w:t>
      </w:r>
      <w:r w:rsidR="00BF6A9E">
        <w:t>6MWD</w:t>
      </w:r>
      <w:r w:rsidR="00D75918">
        <w:t xml:space="preserve"> measured in met</w:t>
      </w:r>
      <w:r w:rsidR="00E04D4B">
        <w:t>re</w:t>
      </w:r>
      <w:r w:rsidR="00D75918">
        <w:t>s</w:t>
      </w:r>
      <w:r w:rsidR="000535E9">
        <w:t xml:space="preserve">. The cross-over ANOVA </w:t>
      </w:r>
      <w:r w:rsidR="00EF5F99">
        <w:t>square root of the mean square</w:t>
      </w:r>
      <w:r w:rsidR="00624FCC">
        <w:t>d</w:t>
      </w:r>
      <w:r w:rsidR="00EF5F99">
        <w:t xml:space="preserve"> error</w:t>
      </w:r>
      <w:r w:rsidR="000535E9">
        <w:t xml:space="preserve"> for</w:t>
      </w:r>
      <w:r w:rsidR="00D75918">
        <w:t xml:space="preserve"> </w:t>
      </w:r>
      <w:r w:rsidR="000535E9">
        <w:t xml:space="preserve">6MWD was found </w:t>
      </w:r>
      <w:r>
        <w:t xml:space="preserve">to be 30 m in </w:t>
      </w:r>
      <w:r w:rsidR="00330511">
        <w:t>a recent trial</w:t>
      </w:r>
      <w:r w:rsidR="00BB3935">
        <w:t xml:space="preserve"> [13]</w:t>
      </w:r>
      <w:r w:rsidR="000535E9">
        <w:t>. A mean difference of 25 m</w:t>
      </w:r>
      <w:r w:rsidR="003F4133">
        <w:t xml:space="preserve"> has been suggested as the minimum</w:t>
      </w:r>
      <w:r>
        <w:t xml:space="preserve"> clinically important </w:t>
      </w:r>
      <w:r w:rsidR="00330511">
        <w:t>difference</w:t>
      </w:r>
      <w:r w:rsidR="00BB3935">
        <w:t xml:space="preserve"> [14]</w:t>
      </w:r>
      <w:r w:rsidR="000535E9">
        <w:t>. Using these values at 90% power and 2-sided 5% significance level in a cross-over design would requi</w:t>
      </w:r>
      <w:r>
        <w:t>re 34 participants. Therefore</w:t>
      </w:r>
      <w:r w:rsidR="000535E9">
        <w:t xml:space="preserve">, </w:t>
      </w:r>
      <w:r>
        <w:t>recruitment stopped once 6MWD had</w:t>
      </w:r>
      <w:r w:rsidR="000535E9">
        <w:t xml:space="preserve"> been collected at both assessment visits for 34 participants.</w:t>
      </w:r>
    </w:p>
    <w:p w:rsidR="000535E9" w:rsidRPr="000535E9" w:rsidRDefault="000535E9" w:rsidP="000535E9">
      <w:pPr>
        <w:spacing w:line="480" w:lineRule="auto"/>
      </w:pPr>
    </w:p>
    <w:p w:rsidR="001A3B39" w:rsidRPr="009F57D4" w:rsidRDefault="001A3B39" w:rsidP="003E4AD7">
      <w:pPr>
        <w:spacing w:line="480" w:lineRule="auto"/>
        <w:rPr>
          <w:b/>
        </w:rPr>
      </w:pPr>
      <w:r w:rsidRPr="009F57D4">
        <w:rPr>
          <w:b/>
        </w:rPr>
        <w:t>Statistical analysis</w:t>
      </w:r>
    </w:p>
    <w:p w:rsidR="00052383" w:rsidRPr="00252454" w:rsidRDefault="003D5CB5" w:rsidP="00052383">
      <w:pPr>
        <w:spacing w:line="480" w:lineRule="auto"/>
      </w:pPr>
      <w:r>
        <w:t>Formal a</w:t>
      </w:r>
      <w:r w:rsidR="00DA3D98" w:rsidRPr="00DA3D98">
        <w:t xml:space="preserve">nalyses </w:t>
      </w:r>
      <w:r w:rsidR="00DA3D98">
        <w:t>were</w:t>
      </w:r>
      <w:r w:rsidR="00DA3D98" w:rsidRPr="00DA3D98">
        <w:t xml:space="preserve"> conducted following the principles of intention-to-treat with </w:t>
      </w:r>
      <w:r w:rsidR="00DA3D98">
        <w:t>participant’s</w:t>
      </w:r>
      <w:r w:rsidR="00DA3D98" w:rsidRPr="00DA3D98">
        <w:t xml:space="preserve"> outcomes analysed according to </w:t>
      </w:r>
      <w:r w:rsidR="003F4133">
        <w:t>their original, randomised testing order</w:t>
      </w:r>
      <w:r w:rsidR="00DA3D98" w:rsidRPr="00DA3D98">
        <w:t xml:space="preserve"> irrespective of </w:t>
      </w:r>
      <w:r w:rsidR="00624801">
        <w:t>the order that they</w:t>
      </w:r>
      <w:r w:rsidR="00DA3D98">
        <w:t xml:space="preserve"> actually received the shoes</w:t>
      </w:r>
      <w:r w:rsidR="0033647B">
        <w:t>, where data were available</w:t>
      </w:r>
      <w:r w:rsidR="00DA3D98" w:rsidRPr="00DA3D98">
        <w:t xml:space="preserve">. Analyses </w:t>
      </w:r>
      <w:r w:rsidR="00DA3D98">
        <w:t>were</w:t>
      </w:r>
      <w:r w:rsidR="00DA3D98" w:rsidRPr="00DA3D98">
        <w:t xml:space="preserve"> undertaken in </w:t>
      </w:r>
      <w:proofErr w:type="spellStart"/>
      <w:r w:rsidR="00DA3D98" w:rsidRPr="00DA3D98">
        <w:t>Stata</w:t>
      </w:r>
      <w:proofErr w:type="spellEnd"/>
      <w:r w:rsidR="00DA3D98" w:rsidRPr="00DA3D98">
        <w:t xml:space="preserve"> v13 </w:t>
      </w:r>
      <w:r w:rsidR="00DA3D98">
        <w:t xml:space="preserve">using </w:t>
      </w:r>
      <w:r w:rsidR="00DA3D98" w:rsidRPr="00DA3D98">
        <w:t xml:space="preserve">two-sided </w:t>
      </w:r>
      <w:r w:rsidR="0093103D">
        <w:t>statistical</w:t>
      </w:r>
      <w:r w:rsidR="0093103D" w:rsidRPr="00DA3D98">
        <w:t xml:space="preserve"> </w:t>
      </w:r>
      <w:r w:rsidR="00DA3D98" w:rsidRPr="00DA3D98">
        <w:t xml:space="preserve">tests </w:t>
      </w:r>
      <w:r w:rsidR="00DA3D98">
        <w:t>at the 5% significance level</w:t>
      </w:r>
      <w:r w:rsidR="00BF6A9E">
        <w:t>.</w:t>
      </w:r>
      <w:r w:rsidR="00DA3D98" w:rsidRPr="00DA3D98">
        <w:t xml:space="preserve"> </w:t>
      </w:r>
      <w:r w:rsidR="009C6F82">
        <w:rPr>
          <w:rFonts w:eastAsia="Times New Roman" w:cs="Arial"/>
        </w:rPr>
        <w:t>P</w:t>
      </w:r>
      <w:r w:rsidR="009C6F82" w:rsidRPr="00E84308">
        <w:rPr>
          <w:rFonts w:eastAsia="Times New Roman" w:cs="Arial"/>
        </w:rPr>
        <w:t xml:space="preserve">articipant baseline data </w:t>
      </w:r>
      <w:r w:rsidR="005761DD">
        <w:rPr>
          <w:rFonts w:eastAsia="Times New Roman" w:cs="Arial"/>
        </w:rPr>
        <w:t>are</w:t>
      </w:r>
      <w:r w:rsidR="009C6F82" w:rsidRPr="00E84308">
        <w:rPr>
          <w:rFonts w:eastAsia="Times New Roman" w:cs="Arial"/>
        </w:rPr>
        <w:t xml:space="preserve"> summarised descri</w:t>
      </w:r>
      <w:r w:rsidR="003F4133">
        <w:rPr>
          <w:rFonts w:eastAsia="Times New Roman" w:cs="Arial"/>
        </w:rPr>
        <w:t>ptively overall and by testing order (AB or BA)</w:t>
      </w:r>
      <w:r w:rsidR="009C6F82" w:rsidRPr="00E84308">
        <w:rPr>
          <w:rFonts w:eastAsia="Times New Roman" w:cs="Arial"/>
        </w:rPr>
        <w:t xml:space="preserve"> both as randomised and as analysed in t</w:t>
      </w:r>
      <w:r w:rsidR="00BF6A9E">
        <w:rPr>
          <w:rFonts w:eastAsia="Times New Roman" w:cs="Arial"/>
        </w:rPr>
        <w:t>he primary analysis.</w:t>
      </w:r>
      <w:r w:rsidR="009C6F82" w:rsidRPr="00E84308">
        <w:rPr>
          <w:rFonts w:eastAsia="Times New Roman" w:cs="Arial"/>
        </w:rPr>
        <w:t xml:space="preserve"> No formal statistical comparisons </w:t>
      </w:r>
      <w:r w:rsidR="003F4133">
        <w:rPr>
          <w:rFonts w:eastAsia="Times New Roman" w:cs="Arial"/>
        </w:rPr>
        <w:t>between testing order</w:t>
      </w:r>
      <w:r w:rsidR="009C6F82">
        <w:rPr>
          <w:rFonts w:eastAsia="Times New Roman" w:cs="Arial"/>
        </w:rPr>
        <w:t>s were</w:t>
      </w:r>
      <w:r w:rsidR="009C6F82" w:rsidRPr="00E84308">
        <w:rPr>
          <w:rFonts w:eastAsia="Times New Roman" w:cs="Arial"/>
        </w:rPr>
        <w:t xml:space="preserve"> undertaken</w:t>
      </w:r>
      <w:r w:rsidR="009C6F82">
        <w:rPr>
          <w:rFonts w:eastAsia="Times New Roman" w:cs="Arial"/>
        </w:rPr>
        <w:t xml:space="preserve"> on baseline data</w:t>
      </w:r>
      <w:r w:rsidR="00BF6A9E">
        <w:rPr>
          <w:rFonts w:eastAsia="Times New Roman" w:cs="Arial"/>
        </w:rPr>
        <w:t>.</w:t>
      </w:r>
      <w:r w:rsidR="009C6F82" w:rsidRPr="00E84308">
        <w:rPr>
          <w:rFonts w:eastAsia="Times New Roman" w:cs="Arial"/>
        </w:rPr>
        <w:t xml:space="preserve"> </w:t>
      </w:r>
      <w:r w:rsidR="00052383">
        <w:rPr>
          <w:rFonts w:eastAsia="Times New Roman" w:cs="Arial"/>
        </w:rPr>
        <w:t>To allow for a possible period effect, a</w:t>
      </w:r>
      <w:r w:rsidR="00052383" w:rsidRPr="008C7A30">
        <w:t>nalys</w:t>
      </w:r>
      <w:r w:rsidR="00052383">
        <w:t xml:space="preserve">is of </w:t>
      </w:r>
      <w:r w:rsidR="00052383" w:rsidRPr="00FD38D5">
        <w:t>the 6MWD was via a two-sample t-test to compare the difference between assessment 1 and asse</w:t>
      </w:r>
      <w:r w:rsidR="00BF6A9E">
        <w:t>ssment 2 for the two sequences.</w:t>
      </w:r>
      <w:r w:rsidR="00052383" w:rsidRPr="00FD38D5">
        <w:t xml:space="preserve"> </w:t>
      </w:r>
      <w:r w:rsidR="00BF6A9E">
        <w:t>D</w:t>
      </w:r>
      <w:r w:rsidR="00052383" w:rsidRPr="00FD38D5">
        <w:t xml:space="preserve">ividing the resultant difference </w:t>
      </w:r>
      <w:r w:rsidR="0018606D">
        <w:t xml:space="preserve">(and corresponding 95% confidence limits) </w:t>
      </w:r>
      <w:r w:rsidR="00052383" w:rsidRPr="00FD38D5">
        <w:t>by two gives</w:t>
      </w:r>
      <w:r w:rsidR="0018606D">
        <w:t xml:space="preserve"> </w:t>
      </w:r>
      <w:r w:rsidR="00052383" w:rsidRPr="00FD38D5">
        <w:t>an estimate of the treatment effect</w:t>
      </w:r>
      <w:r w:rsidR="0018606D">
        <w:t xml:space="preserve"> </w:t>
      </w:r>
      <w:r w:rsidR="00B020C1">
        <w:t xml:space="preserve">(i.e., A minus B) </w:t>
      </w:r>
      <w:r w:rsidR="0018606D">
        <w:t>and 95% CI</w:t>
      </w:r>
      <w:r w:rsidR="00B020C1">
        <w:t>.</w:t>
      </w:r>
      <w:r w:rsidR="00052383" w:rsidRPr="00FD38D5">
        <w:t xml:space="preserve"> Pain-free walking distance at usual pace was </w:t>
      </w:r>
      <w:r w:rsidR="005E5546">
        <w:t>analysed in the same manner</w:t>
      </w:r>
      <w:r w:rsidR="00052383" w:rsidRPr="00FD38D5">
        <w:t>.</w:t>
      </w:r>
      <w:r w:rsidR="00052383">
        <w:t xml:space="preserve"> K</w:t>
      </w:r>
      <w:r w:rsidR="00BF6732">
        <w:t>inetic, kinematic and temporal-</w:t>
      </w:r>
      <w:r w:rsidR="00052383">
        <w:t>spatial measures of gait were taken at each assessment visit and c</w:t>
      </w:r>
      <w:r w:rsidR="00BF6732">
        <w:t>alculated for each participant</w:t>
      </w:r>
      <w:r w:rsidR="00052383">
        <w:t xml:space="preserve"> when pain free, at the onset of pain</w:t>
      </w:r>
      <w:r w:rsidR="00BF6732">
        <w:t>,</w:t>
      </w:r>
      <w:r w:rsidR="00052383">
        <w:t xml:space="preserve"> and at absolute pain</w:t>
      </w:r>
      <w:r w:rsidR="00BF6732">
        <w:t>.</w:t>
      </w:r>
      <w:r w:rsidR="00052383">
        <w:t xml:space="preserve"> The difference between the measure as assessed at visit 1 and visit 2 was calculated for ea</w:t>
      </w:r>
      <w:r w:rsidR="00BF6732">
        <w:t>ch participant</w:t>
      </w:r>
      <w:r w:rsidR="00052383">
        <w:t xml:space="preserve"> at each point in time</w:t>
      </w:r>
      <w:r w:rsidR="00336197">
        <w:t xml:space="preserve"> (pain free, pain onset, and absolute pain)</w:t>
      </w:r>
      <w:r w:rsidR="00BF6732">
        <w:t>.</w:t>
      </w:r>
      <w:r w:rsidR="00052383">
        <w:t xml:space="preserve"> These three differences were modelled using a covariance pattern mixed model, with sequence allocation (AB or BA), time and an allocation-by-time interaction</w:t>
      </w:r>
      <w:r w:rsidR="007C51C1">
        <w:t xml:space="preserve"> as fixed effects and</w:t>
      </w:r>
      <w:r w:rsidR="00052383">
        <w:t xml:space="preserve"> pa</w:t>
      </w:r>
      <w:r w:rsidR="00BF6732">
        <w:t xml:space="preserve">rticipant </w:t>
      </w:r>
      <w:r w:rsidR="00052383">
        <w:t>as a ran</w:t>
      </w:r>
      <w:r w:rsidR="00BF6732">
        <w:t>dom effect.</w:t>
      </w:r>
      <w:r w:rsidR="00052383">
        <w:t xml:space="preserve"> The mean differences (</w:t>
      </w:r>
      <w:r w:rsidR="0018606D">
        <w:t>and</w:t>
      </w:r>
      <w:r w:rsidR="00052383">
        <w:t xml:space="preserve"> 95% </w:t>
      </w:r>
      <w:r w:rsidR="0018606D">
        <w:t>CI</w:t>
      </w:r>
      <w:r w:rsidR="00052383">
        <w:t xml:space="preserve">) between the two sequences were extracted for the pain-free, onset of pain, and absolute pain time points, and divided by two to obtain an estimate </w:t>
      </w:r>
      <w:r w:rsidR="00052383">
        <w:lastRenderedPageBreak/>
        <w:t xml:space="preserve">of the treatment effect A-B. </w:t>
      </w:r>
      <w:r w:rsidR="00BF6732">
        <w:t>Only the data for pain-free walking is presented in this manuscript; all other gait data will be published elsewhere.</w:t>
      </w:r>
      <w:r w:rsidR="00052383">
        <w:t xml:space="preserve">   </w:t>
      </w:r>
    </w:p>
    <w:p w:rsidR="00DA3D98" w:rsidRPr="003E4AD7" w:rsidRDefault="00DA3D98" w:rsidP="003E4AD7">
      <w:pPr>
        <w:spacing w:line="480" w:lineRule="auto"/>
        <w:rPr>
          <w:b/>
        </w:rPr>
      </w:pPr>
    </w:p>
    <w:p w:rsidR="003E4AD7" w:rsidRPr="009F57D4" w:rsidRDefault="003E4AD7" w:rsidP="003E4AD7">
      <w:pPr>
        <w:spacing w:line="480" w:lineRule="auto"/>
        <w:rPr>
          <w:b/>
          <w:sz w:val="28"/>
        </w:rPr>
      </w:pPr>
      <w:r w:rsidRPr="009F57D4">
        <w:rPr>
          <w:b/>
          <w:sz w:val="28"/>
        </w:rPr>
        <w:t xml:space="preserve">Results </w:t>
      </w:r>
    </w:p>
    <w:p w:rsidR="003921E3" w:rsidRDefault="003A342A" w:rsidP="00EC77DC">
      <w:pPr>
        <w:spacing w:line="480" w:lineRule="auto"/>
      </w:pPr>
      <w:r>
        <w:t>Between August 2015 and August 2016, 71 patients were approached to partic</w:t>
      </w:r>
      <w:r w:rsidR="001D5314">
        <w:t xml:space="preserve">ipate in the trial, </w:t>
      </w:r>
      <w:r w:rsidR="00854843">
        <w:t>of whom 42</w:t>
      </w:r>
      <w:r w:rsidR="001D5314">
        <w:t xml:space="preserve"> (59</w:t>
      </w:r>
      <w:r>
        <w:t>%) were screened</w:t>
      </w:r>
      <w:r w:rsidR="00854843">
        <w:t xml:space="preserve"> and 37 (52%) were randomised</w:t>
      </w:r>
      <w:r w:rsidR="00205CCC">
        <w:t xml:space="preserve"> (Fig.</w:t>
      </w:r>
      <w:r w:rsidR="00B403AA">
        <w:t xml:space="preserve"> 2)</w:t>
      </w:r>
      <w:r w:rsidR="00336197">
        <w:t>:</w:t>
      </w:r>
      <w:r>
        <w:t xml:space="preserve"> 18 were allocated to the sequence AB</w:t>
      </w:r>
      <w:r w:rsidR="00252454">
        <w:t xml:space="preserve"> (control, unloading)</w:t>
      </w:r>
      <w:r>
        <w:t xml:space="preserve"> and 19 to BA</w:t>
      </w:r>
      <w:r w:rsidR="00252454">
        <w:t xml:space="preserve"> (unloading, control)</w:t>
      </w:r>
      <w:r w:rsidR="00854843">
        <w:t>.</w:t>
      </w:r>
      <w:r>
        <w:t xml:space="preserve"> T</w:t>
      </w:r>
      <w:r w:rsidR="00CF4F94">
        <w:t>wo</w:t>
      </w:r>
      <w:r>
        <w:t xml:space="preserve"> participants</w:t>
      </w:r>
      <w:r w:rsidR="00CF4F94">
        <w:t xml:space="preserve"> </w:t>
      </w:r>
      <w:r w:rsidR="00BB516B">
        <w:t xml:space="preserve">withdrew </w:t>
      </w:r>
      <w:r w:rsidR="008406CF">
        <w:t xml:space="preserve">from the trial </w:t>
      </w:r>
      <w:r w:rsidR="00CF4F94">
        <w:t xml:space="preserve">before the first assessment visit, and one </w:t>
      </w:r>
      <w:r w:rsidR="009B48AA">
        <w:t xml:space="preserve">participant withdrew </w:t>
      </w:r>
      <w:r w:rsidR="00DE6143">
        <w:t xml:space="preserve">during the second assessment visit </w:t>
      </w:r>
      <w:r w:rsidR="00083C07">
        <w:t>due to an adverse device effec</w:t>
      </w:r>
      <w:r w:rsidR="00BB516B">
        <w:t xml:space="preserve">t of feeling unbalanced whilst </w:t>
      </w:r>
      <w:r w:rsidR="00C25CBE">
        <w:t>wearing</w:t>
      </w:r>
      <w:r w:rsidR="00BB516B">
        <w:t xml:space="preserve"> the shoes</w:t>
      </w:r>
      <w:r w:rsidR="00854843">
        <w:t>;</w:t>
      </w:r>
      <w:r w:rsidR="009B48AA">
        <w:t xml:space="preserve"> resulting in 34 participants</w:t>
      </w:r>
      <w:r w:rsidR="00DE6143">
        <w:t xml:space="preserve"> </w:t>
      </w:r>
      <w:r w:rsidR="00854843">
        <w:t xml:space="preserve">being </w:t>
      </w:r>
      <w:r w:rsidR="009B48AA">
        <w:t>included in the primary analysis</w:t>
      </w:r>
      <w:r w:rsidR="00EC77DC">
        <w:t xml:space="preserve">. Characteristics of the </w:t>
      </w:r>
      <w:r w:rsidR="00AD0C7F">
        <w:t xml:space="preserve">37 randomised participants </w:t>
      </w:r>
      <w:r w:rsidR="00EC77DC">
        <w:t xml:space="preserve">and the 34 </w:t>
      </w:r>
      <w:r w:rsidR="00B403AA">
        <w:t xml:space="preserve">analysed </w:t>
      </w:r>
      <w:r w:rsidR="00EC77DC">
        <w:t>participants are presented in Table 1.</w:t>
      </w:r>
      <w:r w:rsidR="00CF3E13">
        <w:t xml:space="preserve"> The majority of pa</w:t>
      </w:r>
      <w:r w:rsidR="00252454">
        <w:t xml:space="preserve">rticipants </w:t>
      </w:r>
      <w:r w:rsidR="00BF7A89">
        <w:t xml:space="preserve">(as randomised) </w:t>
      </w:r>
      <w:r w:rsidR="00252454">
        <w:t>were male (n=27, 73</w:t>
      </w:r>
      <w:r w:rsidR="00083C07">
        <w:t>%), and the mean</w:t>
      </w:r>
      <w:r w:rsidR="00CF3E13">
        <w:t xml:space="preserve"> age was </w:t>
      </w:r>
      <w:r w:rsidR="00BF7A89">
        <w:t>67</w:t>
      </w:r>
      <w:r w:rsidR="00CF3E13">
        <w:t xml:space="preserve"> yea</w:t>
      </w:r>
      <w:r w:rsidR="00083C07">
        <w:t>rs (range 31 to 86). All participants had experienced</w:t>
      </w:r>
      <w:r w:rsidR="00CF3E13">
        <w:t xml:space="preserve"> symptoms of intermittent </w:t>
      </w:r>
      <w:proofErr w:type="spellStart"/>
      <w:r w:rsidR="00CF3E13">
        <w:t>claudication</w:t>
      </w:r>
      <w:proofErr w:type="spellEnd"/>
      <w:r w:rsidR="00CF3E13">
        <w:t xml:space="preserve"> fo</w:t>
      </w:r>
      <w:r w:rsidR="001C4275">
        <w:t>r at least 4 months (median 16</w:t>
      </w:r>
      <w:r w:rsidR="00CF3E13">
        <w:t xml:space="preserve"> months) at screening, and </w:t>
      </w:r>
      <w:r w:rsidR="00083C07">
        <w:t xml:space="preserve">had </w:t>
      </w:r>
      <w:r w:rsidR="00BF7A89">
        <w:t xml:space="preserve">a </w:t>
      </w:r>
      <w:r w:rsidR="00CF3E13">
        <w:t xml:space="preserve">resting </w:t>
      </w:r>
      <w:r w:rsidR="00CF3E13">
        <w:rPr>
          <w:rFonts w:cs="Arial"/>
          <w:color w:val="000000" w:themeColor="dark1"/>
          <w:kern w:val="24"/>
        </w:rPr>
        <w:t>a</w:t>
      </w:r>
      <w:r w:rsidR="00CF3E13" w:rsidRPr="00A15D24">
        <w:rPr>
          <w:rFonts w:cs="Arial"/>
          <w:color w:val="000000" w:themeColor="dark1"/>
          <w:kern w:val="24"/>
        </w:rPr>
        <w:t>nkle-brachial index</w:t>
      </w:r>
      <w:r w:rsidR="00CF3E13">
        <w:rPr>
          <w:rFonts w:cs="Arial"/>
          <w:color w:val="000000" w:themeColor="dark1"/>
          <w:kern w:val="24"/>
        </w:rPr>
        <w:t xml:space="preserve"> </w:t>
      </w:r>
      <w:r w:rsidR="00BF7A89">
        <w:rPr>
          <w:rFonts w:cs="Arial"/>
          <w:color w:val="000000" w:themeColor="dark1"/>
          <w:kern w:val="24"/>
        </w:rPr>
        <w:t xml:space="preserve">for the most-affected limb </w:t>
      </w:r>
      <w:r w:rsidR="00CF3E13">
        <w:rPr>
          <w:rFonts w:cs="Arial"/>
          <w:color w:val="000000" w:themeColor="dark1"/>
          <w:kern w:val="24"/>
        </w:rPr>
        <w:t>of between 0.25 and 0.89 (mean 0.53, SD 0.14)</w:t>
      </w:r>
      <w:r w:rsidR="00CF3E13">
        <w:t>.</w:t>
      </w:r>
      <w:r w:rsidR="00624801">
        <w:t xml:space="preserve"> The mean </w:t>
      </w:r>
      <w:r w:rsidR="0024476B">
        <w:t xml:space="preserve">distance walked during the 6-minute walk test </w:t>
      </w:r>
      <w:r w:rsidR="00252454">
        <w:t>at screening was 373 m (</w:t>
      </w:r>
      <w:r w:rsidR="00624801">
        <w:t xml:space="preserve">SD </w:t>
      </w:r>
      <w:r w:rsidR="00252454">
        <w:t>100</w:t>
      </w:r>
      <w:r w:rsidR="0024476B">
        <w:t xml:space="preserve">).   </w:t>
      </w:r>
      <w:r w:rsidR="00CF3E13">
        <w:t xml:space="preserve">      </w:t>
      </w:r>
    </w:p>
    <w:p w:rsidR="00EC77DC" w:rsidRDefault="00EC77DC" w:rsidP="00EC77DC">
      <w:pPr>
        <w:spacing w:line="480" w:lineRule="auto"/>
      </w:pPr>
    </w:p>
    <w:p w:rsidR="00EC77DC" w:rsidRPr="009F57D4" w:rsidRDefault="00EC77DC" w:rsidP="00EC77DC">
      <w:pPr>
        <w:spacing w:line="480" w:lineRule="auto"/>
        <w:rPr>
          <w:b/>
        </w:rPr>
      </w:pPr>
      <w:r w:rsidRPr="009F57D4">
        <w:rPr>
          <w:b/>
        </w:rPr>
        <w:t>Effects of the unloading shoes on walking ability and gait</w:t>
      </w:r>
    </w:p>
    <w:p w:rsidR="00C25CBE" w:rsidRDefault="00C25CBE" w:rsidP="003E4AD7">
      <w:pPr>
        <w:spacing w:line="480" w:lineRule="auto"/>
      </w:pPr>
      <w:r w:rsidRPr="00C25CBE">
        <w:t>The first assessment</w:t>
      </w:r>
      <w:r>
        <w:t xml:space="preserve"> visit took place between </w:t>
      </w:r>
      <w:r w:rsidR="00FA3284">
        <w:t xml:space="preserve">3 </w:t>
      </w:r>
      <w:r>
        <w:t xml:space="preserve">and </w:t>
      </w:r>
      <w:r w:rsidR="00FA3284">
        <w:t>26</w:t>
      </w:r>
      <w:r>
        <w:t xml:space="preserve"> days after </w:t>
      </w:r>
      <w:r w:rsidR="00FA3284">
        <w:t xml:space="preserve">screening </w:t>
      </w:r>
      <w:r>
        <w:t xml:space="preserve">(median </w:t>
      </w:r>
      <w:r w:rsidR="00FA3284">
        <w:t>12</w:t>
      </w:r>
      <w:r>
        <w:t xml:space="preserve"> </w:t>
      </w:r>
      <w:r w:rsidR="008C4282">
        <w:t xml:space="preserve">days </w:t>
      </w:r>
      <w:r>
        <w:t>for the AB group and 1</w:t>
      </w:r>
      <w:r w:rsidR="00FA3284">
        <w:t>1</w:t>
      </w:r>
      <w:r>
        <w:t xml:space="preserve"> </w:t>
      </w:r>
      <w:r w:rsidR="008C4282">
        <w:t>day</w:t>
      </w:r>
      <w:r w:rsidR="00FA3284">
        <w:t>s</w:t>
      </w:r>
      <w:r w:rsidR="008C4282">
        <w:t xml:space="preserve"> </w:t>
      </w:r>
      <w:r>
        <w:t xml:space="preserve">for the BA group), </w:t>
      </w:r>
      <w:r w:rsidR="00825748">
        <w:t>and the second visi</w:t>
      </w:r>
      <w:r w:rsidR="005E2CD9">
        <w:t>t up to 14 days after the first (median 7</w:t>
      </w:r>
      <w:r w:rsidR="008C4282">
        <w:t xml:space="preserve"> days</w:t>
      </w:r>
      <w:r w:rsidR="005E2CD9">
        <w:t xml:space="preserve"> for the AB group and </w:t>
      </w:r>
      <w:r w:rsidR="00A14E2D">
        <w:t>5</w:t>
      </w:r>
      <w:r w:rsidR="005E2CD9">
        <w:t xml:space="preserve"> </w:t>
      </w:r>
      <w:r w:rsidR="008C4282">
        <w:t xml:space="preserve">days </w:t>
      </w:r>
      <w:r w:rsidR="005E2CD9">
        <w:t>for the BA group).</w:t>
      </w:r>
      <w:r w:rsidR="008B0787">
        <w:t xml:space="preserve"> </w:t>
      </w:r>
      <w:r w:rsidR="005D1D3B">
        <w:t xml:space="preserve">All participants received their footwear in the allocated order, except for one participant allocated to BA, who was tested in </w:t>
      </w:r>
      <w:r w:rsidR="008C3110">
        <w:t xml:space="preserve">the </w:t>
      </w:r>
      <w:r w:rsidR="0029449A">
        <w:t xml:space="preserve">order </w:t>
      </w:r>
      <w:r w:rsidR="008C3110">
        <w:t>A</w:t>
      </w:r>
      <w:r w:rsidR="0029449A">
        <w:t>B</w:t>
      </w:r>
      <w:r w:rsidR="008C3110">
        <w:t xml:space="preserve"> (control</w:t>
      </w:r>
      <w:r w:rsidR="00854843">
        <w:t>, unloading</w:t>
      </w:r>
      <w:r w:rsidR="008C3110">
        <w:t>) by mistake</w:t>
      </w:r>
      <w:r w:rsidR="005D1D3B">
        <w:t>.</w:t>
      </w:r>
      <w:r w:rsidR="00591F0F">
        <w:t xml:space="preserve">    </w:t>
      </w:r>
    </w:p>
    <w:p w:rsidR="00345BD3" w:rsidRDefault="00345BD3" w:rsidP="003E4AD7">
      <w:pPr>
        <w:spacing w:line="480" w:lineRule="auto"/>
      </w:pPr>
    </w:p>
    <w:p w:rsidR="005E2CD9" w:rsidRDefault="00BF6732" w:rsidP="003E4AD7">
      <w:pPr>
        <w:spacing w:line="480" w:lineRule="auto"/>
      </w:pPr>
      <w:r>
        <w:t xml:space="preserve">The </w:t>
      </w:r>
      <w:r w:rsidR="00336197">
        <w:t xml:space="preserve">unadjusted </w:t>
      </w:r>
      <w:r w:rsidR="00624801">
        <w:t xml:space="preserve">mean </w:t>
      </w:r>
      <w:r>
        <w:t xml:space="preserve">6MWD was </w:t>
      </w:r>
      <w:r w:rsidRPr="00BF6732">
        <w:t xml:space="preserve">381 </w:t>
      </w:r>
      <w:r>
        <w:t xml:space="preserve">m </w:t>
      </w:r>
      <w:r w:rsidRPr="00BF6732">
        <w:t>(</w:t>
      </w:r>
      <w:r w:rsidR="00624801">
        <w:t xml:space="preserve">SD </w:t>
      </w:r>
      <w:r w:rsidRPr="00BF6732">
        <w:t>99)</w:t>
      </w:r>
      <w:r>
        <w:t xml:space="preserve"> for the control shoe condition (n=35) and </w:t>
      </w:r>
      <w:r w:rsidR="00352BE0" w:rsidRPr="00352BE0">
        <w:t xml:space="preserve">372 </w:t>
      </w:r>
      <w:r w:rsidR="00352BE0">
        <w:t xml:space="preserve">m </w:t>
      </w:r>
      <w:r w:rsidR="00352BE0" w:rsidRPr="00352BE0">
        <w:t>(</w:t>
      </w:r>
      <w:r w:rsidR="00624801">
        <w:t xml:space="preserve">SD </w:t>
      </w:r>
      <w:r w:rsidR="00352BE0" w:rsidRPr="00352BE0">
        <w:t>94)</w:t>
      </w:r>
      <w:r w:rsidR="00352BE0">
        <w:t xml:space="preserve"> for the unloading shoe condition (n=34).</w:t>
      </w:r>
      <w:r>
        <w:t xml:space="preserve"> </w:t>
      </w:r>
      <w:r w:rsidR="00352BE0">
        <w:t xml:space="preserve">The analysis </w:t>
      </w:r>
      <w:r w:rsidR="00336197" w:rsidRPr="00336197">
        <w:t xml:space="preserve">accounting for a possible period effect </w:t>
      </w:r>
      <w:r w:rsidR="00352BE0">
        <w:lastRenderedPageBreak/>
        <w:t>indicated that the 6MWD was on average</w:t>
      </w:r>
      <w:r w:rsidR="008C3110">
        <w:t xml:space="preserve"> 11 m</w:t>
      </w:r>
      <w:r w:rsidR="00352BE0">
        <w:t xml:space="preserve"> great</w:t>
      </w:r>
      <w:r w:rsidR="000060C5">
        <w:t xml:space="preserve">er </w:t>
      </w:r>
      <w:r w:rsidR="00352BE0">
        <w:t>when participants wore the control shoes</w:t>
      </w:r>
      <w:r w:rsidR="00252454">
        <w:t xml:space="preserve"> (95% CI -5 to 2</w:t>
      </w:r>
      <w:r w:rsidR="00854843">
        <w:t>6</w:t>
      </w:r>
      <w:r w:rsidR="003B7762">
        <w:t>; Table 2</w:t>
      </w:r>
      <w:r w:rsidR="00352BE0">
        <w:t xml:space="preserve">); however, this was not statistically significant (p=0.18). </w:t>
      </w:r>
      <w:r w:rsidR="00352BE0" w:rsidRPr="00352BE0">
        <w:t xml:space="preserve">The </w:t>
      </w:r>
      <w:r w:rsidR="00336197">
        <w:t xml:space="preserve">unadjusted </w:t>
      </w:r>
      <w:r w:rsidR="00624801">
        <w:t>mean</w:t>
      </w:r>
      <w:r w:rsidR="00352BE0" w:rsidRPr="00352BE0">
        <w:t xml:space="preserve"> </w:t>
      </w:r>
      <w:r w:rsidR="00352BE0">
        <w:t>pain-free walking distance during usual-pace walking</w:t>
      </w:r>
      <w:r w:rsidR="00352BE0" w:rsidRPr="00352BE0">
        <w:t xml:space="preserve"> was 160 </w:t>
      </w:r>
      <w:r w:rsidR="00352BE0">
        <w:t xml:space="preserve">m </w:t>
      </w:r>
      <w:r w:rsidR="00352BE0" w:rsidRPr="00352BE0">
        <w:t>(</w:t>
      </w:r>
      <w:r w:rsidR="00624801">
        <w:t xml:space="preserve">SD </w:t>
      </w:r>
      <w:r w:rsidR="00352BE0" w:rsidRPr="00352BE0">
        <w:t>88)</w:t>
      </w:r>
      <w:r w:rsidR="00352BE0">
        <w:t xml:space="preserve"> for </w:t>
      </w:r>
      <w:r w:rsidR="007376D3">
        <w:t xml:space="preserve">the </w:t>
      </w:r>
      <w:r w:rsidR="00352BE0">
        <w:t>control</w:t>
      </w:r>
      <w:r w:rsidR="007376D3">
        <w:t xml:space="preserve"> condition</w:t>
      </w:r>
      <w:r w:rsidR="00352BE0">
        <w:t xml:space="preserve"> (n=35) and </w:t>
      </w:r>
      <w:r w:rsidR="00352BE0" w:rsidRPr="00352BE0">
        <w:t xml:space="preserve">164 </w:t>
      </w:r>
      <w:r w:rsidR="00352BE0">
        <w:t xml:space="preserve">m </w:t>
      </w:r>
      <w:r w:rsidR="00352BE0" w:rsidRPr="00352BE0">
        <w:t>(</w:t>
      </w:r>
      <w:r w:rsidR="00624801">
        <w:t xml:space="preserve">SD </w:t>
      </w:r>
      <w:r w:rsidR="00352BE0" w:rsidRPr="00352BE0">
        <w:t>132)</w:t>
      </w:r>
      <w:r w:rsidR="00352BE0">
        <w:t xml:space="preserve"> for</w:t>
      </w:r>
      <w:r w:rsidR="007376D3">
        <w:t xml:space="preserve"> the</w:t>
      </w:r>
      <w:r w:rsidR="00352BE0">
        <w:t xml:space="preserve"> unloading</w:t>
      </w:r>
      <w:r w:rsidR="007376D3">
        <w:t xml:space="preserve"> condition (n=34). O</w:t>
      </w:r>
      <w:r w:rsidR="00352BE0" w:rsidRPr="00352BE0">
        <w:t>n average</w:t>
      </w:r>
      <w:r w:rsidR="007376D3">
        <w:t>, participants walked 7</w:t>
      </w:r>
      <w:r w:rsidR="00352BE0" w:rsidRPr="00352BE0">
        <w:t xml:space="preserve"> m </w:t>
      </w:r>
      <w:r w:rsidR="007376D3">
        <w:t>further before experiencing pain when wearing the unloading shoes (</w:t>
      </w:r>
      <w:r w:rsidR="001C4275">
        <w:t>95% CI -17 to 32</w:t>
      </w:r>
      <w:r w:rsidR="007376D3">
        <w:t>; Table 2</w:t>
      </w:r>
      <w:r w:rsidR="003772A8">
        <w:t>).</w:t>
      </w:r>
      <w:r w:rsidR="000060C5">
        <w:t xml:space="preserve"> </w:t>
      </w:r>
      <w:r w:rsidR="007376D3">
        <w:t xml:space="preserve">Again, this difference was not </w:t>
      </w:r>
      <w:r w:rsidR="000060C5">
        <w:t>statistically significant</w:t>
      </w:r>
      <w:r w:rsidR="007376D3">
        <w:t xml:space="preserve"> (p=0.55)</w:t>
      </w:r>
      <w:r w:rsidR="000060C5">
        <w:t>.</w:t>
      </w:r>
    </w:p>
    <w:p w:rsidR="005E2CD9" w:rsidRPr="00C25CBE" w:rsidRDefault="005E2CD9" w:rsidP="003E4AD7">
      <w:pPr>
        <w:spacing w:line="480" w:lineRule="auto"/>
      </w:pPr>
    </w:p>
    <w:p w:rsidR="001232F3" w:rsidRDefault="0019579A" w:rsidP="001232F3">
      <w:pPr>
        <w:spacing w:line="480" w:lineRule="auto"/>
      </w:pPr>
      <w:r>
        <w:t xml:space="preserve">Mean </w:t>
      </w:r>
      <w:r w:rsidR="009432E9">
        <w:t>rating of perceived exertion at the end of t</w:t>
      </w:r>
      <w:r w:rsidR="008B0787">
        <w:t>he 6-minute walk</w:t>
      </w:r>
      <w:r w:rsidR="009432E9">
        <w:t xml:space="preserve"> test</w:t>
      </w:r>
      <w:r w:rsidR="0068101B" w:rsidRPr="008D685E">
        <w:t xml:space="preserve"> </w:t>
      </w:r>
      <w:r>
        <w:t xml:space="preserve">in the first assessment </w:t>
      </w:r>
      <w:r w:rsidR="0068101B" w:rsidRPr="008D685E">
        <w:t xml:space="preserve">was </w:t>
      </w:r>
      <w:r w:rsidR="0068101B">
        <w:t>12.1 (</w:t>
      </w:r>
      <w:r w:rsidR="008B0787">
        <w:t xml:space="preserve">i.e., “light” to “somewhat hard”; </w:t>
      </w:r>
      <w:r w:rsidR="0068101B">
        <w:t>SD 2.0) in the AB group and 12.1 (SD 1.9) in the BA group</w:t>
      </w:r>
      <w:r w:rsidR="008B0787">
        <w:t>. In the second assessment, it was</w:t>
      </w:r>
      <w:r w:rsidR="0068101B">
        <w:t xml:space="preserve"> 12.4 (SD 1.9) in the AB group and 12.0 (SD </w:t>
      </w:r>
      <w:r w:rsidR="008B0787">
        <w:t xml:space="preserve">2.6) in the BA group. The </w:t>
      </w:r>
      <w:r w:rsidR="0068101B">
        <w:t>mean difference</w:t>
      </w:r>
      <w:r w:rsidR="008B0787">
        <w:t xml:space="preserve"> between conditions (control minus unloading) was -0.1 (</w:t>
      </w:r>
      <w:r w:rsidR="0068101B">
        <w:t>95% CI -0.7 to 0.6)</w:t>
      </w:r>
      <w:r w:rsidR="008B0787">
        <w:t xml:space="preserve">. </w:t>
      </w:r>
      <w:r>
        <w:t xml:space="preserve">Mean </w:t>
      </w:r>
      <w:r w:rsidR="008B0787">
        <w:t xml:space="preserve">rating of leg pain at the end of the 6-minute walk test </w:t>
      </w:r>
      <w:r>
        <w:t xml:space="preserve">in the first assessment </w:t>
      </w:r>
      <w:r w:rsidR="001232F3" w:rsidRPr="00D93100">
        <w:t xml:space="preserve">was </w:t>
      </w:r>
      <w:r w:rsidR="001232F3">
        <w:t>5.1 (</w:t>
      </w:r>
      <w:r w:rsidR="008B0787">
        <w:t xml:space="preserve">i.e., “strong”; </w:t>
      </w:r>
      <w:r w:rsidR="001232F3">
        <w:t xml:space="preserve">SD 2.5) in the AB group and 5.0 (SD 2.2) in the </w:t>
      </w:r>
      <w:r w:rsidR="008B0787">
        <w:t>BA group. In the second assessment, it was</w:t>
      </w:r>
      <w:r w:rsidR="001232F3">
        <w:t xml:space="preserve"> 4.6 (SD 2.2) in the AB group and 5.3 (SD 2.1</w:t>
      </w:r>
      <w:r w:rsidR="008B0787">
        <w:t xml:space="preserve">) in the BA group. The </w:t>
      </w:r>
      <w:r w:rsidR="001232F3">
        <w:t xml:space="preserve">mean difference </w:t>
      </w:r>
      <w:r w:rsidR="008B0787">
        <w:t xml:space="preserve">was </w:t>
      </w:r>
      <w:r w:rsidR="001232F3">
        <w:t>0.5</w:t>
      </w:r>
      <w:r w:rsidR="008B0787">
        <w:t xml:space="preserve"> (</w:t>
      </w:r>
      <w:r w:rsidR="001232F3">
        <w:t>95% CI -0.1 to 1.1</w:t>
      </w:r>
      <w:r w:rsidR="0057745B">
        <w:t>)</w:t>
      </w:r>
      <w:r w:rsidR="001232F3">
        <w:t xml:space="preserve">. </w:t>
      </w:r>
      <w:r w:rsidR="004D4902">
        <w:t>Heart rate responses were similar for both</w:t>
      </w:r>
      <w:r w:rsidR="00D96B4F">
        <w:t xml:space="preserve"> conditions (data not presented).</w:t>
      </w:r>
      <w:r w:rsidR="001232F3">
        <w:t xml:space="preserve"> </w:t>
      </w:r>
    </w:p>
    <w:p w:rsidR="004D4902" w:rsidRDefault="004D4902" w:rsidP="001232F3">
      <w:pPr>
        <w:spacing w:line="480" w:lineRule="auto"/>
      </w:pPr>
    </w:p>
    <w:p w:rsidR="004D4902" w:rsidRDefault="004D4902" w:rsidP="001232F3">
      <w:pPr>
        <w:spacing w:line="480" w:lineRule="auto"/>
      </w:pPr>
      <w:r>
        <w:t xml:space="preserve">Gait variables for pain-free walking are presented in Table 3. </w:t>
      </w:r>
      <w:r w:rsidR="003E32A7">
        <w:t>T</w:t>
      </w:r>
      <w:r>
        <w:t>he temporal-spatial variables (e.g., walking speed, step length, step cadence) did not differ substantially between conditions.</w:t>
      </w:r>
      <w:r w:rsidR="003E32A7">
        <w:t xml:space="preserve"> This was also the case for a</w:t>
      </w:r>
      <w:r>
        <w:t>nkle range of motion (mean difference 0.8°; 95% CI -0.5 to 2.2).</w:t>
      </w:r>
      <w:r w:rsidRPr="004D4902">
        <w:t xml:space="preserve"> </w:t>
      </w:r>
      <w:r w:rsidR="003E32A7">
        <w:t>However, relative to control, the unloading shoes caused a reduction in</w:t>
      </w:r>
      <w:r w:rsidRPr="004D4902">
        <w:t xml:space="preserve"> </w:t>
      </w:r>
      <w:r w:rsidR="002D7CA8">
        <w:t xml:space="preserve">the </w:t>
      </w:r>
      <w:r w:rsidRPr="004D4902">
        <w:t>peak</w:t>
      </w:r>
      <w:r w:rsidR="002D7CA8">
        <w:t xml:space="preserve"> values of</w:t>
      </w:r>
      <w:r w:rsidRPr="004D4902">
        <w:t xml:space="preserve"> </w:t>
      </w:r>
      <w:proofErr w:type="spellStart"/>
      <w:r w:rsidR="00ED546A">
        <w:t>plantarflexion</w:t>
      </w:r>
      <w:proofErr w:type="spellEnd"/>
      <w:r w:rsidR="00ED546A">
        <w:t xml:space="preserve"> angle </w:t>
      </w:r>
      <w:r w:rsidR="00ED546A" w:rsidRPr="00ED546A">
        <w:t xml:space="preserve">(mean difference </w:t>
      </w:r>
      <w:r w:rsidR="00ED546A">
        <w:t>2.5</w:t>
      </w:r>
      <w:r w:rsidR="00ED546A" w:rsidRPr="00ED546A">
        <w:t xml:space="preserve">°; 95% CI </w:t>
      </w:r>
      <w:r w:rsidR="00ED546A">
        <w:t>1.3 to 3.7</w:t>
      </w:r>
      <w:r w:rsidR="00ED546A" w:rsidRPr="00ED546A">
        <w:t>)</w:t>
      </w:r>
      <w:r w:rsidR="00ED546A">
        <w:t xml:space="preserve">, </w:t>
      </w:r>
      <w:r w:rsidRPr="004D4902">
        <w:t xml:space="preserve">ankle </w:t>
      </w:r>
      <w:proofErr w:type="spellStart"/>
      <w:r w:rsidRPr="004D4902">
        <w:t>plantarflexion</w:t>
      </w:r>
      <w:proofErr w:type="spellEnd"/>
      <w:r w:rsidRPr="004D4902">
        <w:t xml:space="preserve"> moment (mean difference 0.2 Nm/kg, 95% CI 0.0 to 0.3)</w:t>
      </w:r>
      <w:r w:rsidR="00ED546A">
        <w:t>,</w:t>
      </w:r>
      <w:r w:rsidRPr="004D4902">
        <w:t xml:space="preserve"> </w:t>
      </w:r>
      <w:r w:rsidR="00E25200">
        <w:t xml:space="preserve">and </w:t>
      </w:r>
      <w:r w:rsidR="002D7CA8">
        <w:t>ankle power generation (mean differenc</w:t>
      </w:r>
      <w:r w:rsidR="00E25200">
        <w:t>e 0.6 W/kg, 95% CI 0.2 to 1.0)</w:t>
      </w:r>
      <w:r w:rsidR="003E32A7">
        <w:t>.</w:t>
      </w:r>
    </w:p>
    <w:p w:rsidR="009432E9" w:rsidRPr="009432E9" w:rsidRDefault="009432E9" w:rsidP="003E4AD7">
      <w:pPr>
        <w:spacing w:line="480" w:lineRule="auto"/>
      </w:pPr>
    </w:p>
    <w:p w:rsidR="00E84703" w:rsidRPr="009F57D4" w:rsidRDefault="00E84703" w:rsidP="003E4AD7">
      <w:pPr>
        <w:spacing w:line="480" w:lineRule="auto"/>
        <w:rPr>
          <w:b/>
        </w:rPr>
      </w:pPr>
      <w:r w:rsidRPr="009F57D4">
        <w:rPr>
          <w:b/>
        </w:rPr>
        <w:t>Adverse events</w:t>
      </w:r>
    </w:p>
    <w:p w:rsidR="00E84703" w:rsidRPr="00E84703" w:rsidRDefault="00E84703" w:rsidP="003E4AD7">
      <w:pPr>
        <w:spacing w:line="480" w:lineRule="auto"/>
      </w:pPr>
      <w:r>
        <w:t>There were four non-serious adverse device effects</w:t>
      </w:r>
      <w:r w:rsidR="003772A8">
        <w:t>: three for the unloading shoes and one for the control</w:t>
      </w:r>
      <w:r w:rsidR="001B1BAA">
        <w:t xml:space="preserve"> shoes. The </w:t>
      </w:r>
      <w:r w:rsidR="003772A8">
        <w:t>adverse device effects for the unloading</w:t>
      </w:r>
      <w:r w:rsidR="001B1BAA">
        <w:t xml:space="preserve"> shoes were foot and ankle pain (n=1), </w:t>
      </w:r>
      <w:r w:rsidR="001B1BAA">
        <w:lastRenderedPageBreak/>
        <w:t>perceived difficulty in balancing</w:t>
      </w:r>
      <w:r w:rsidR="007772F2">
        <w:t xml:space="preserve"> (n=1), and irrita</w:t>
      </w:r>
      <w:r w:rsidR="001B1BAA">
        <w:t>tion of a pre-existing bunion (n=1).</w:t>
      </w:r>
      <w:r w:rsidR="003772A8">
        <w:t xml:space="preserve"> For the control</w:t>
      </w:r>
      <w:r w:rsidR="007772F2">
        <w:t xml:space="preserve"> shoes, one participant </w:t>
      </w:r>
      <w:r w:rsidR="003772A8">
        <w:t xml:space="preserve">reported </w:t>
      </w:r>
      <w:r w:rsidR="007772F2">
        <w:t>exp</w:t>
      </w:r>
      <w:r w:rsidR="003772A8">
        <w:t>eriencing</w:t>
      </w:r>
      <w:r w:rsidR="007772F2">
        <w:t xml:space="preserve"> </w:t>
      </w:r>
      <w:r w:rsidR="003772A8">
        <w:t>‘</w:t>
      </w:r>
      <w:r w:rsidR="007772F2">
        <w:t>foot discomfort</w:t>
      </w:r>
      <w:r w:rsidR="003772A8">
        <w:t>’</w:t>
      </w:r>
      <w:r w:rsidR="007772F2">
        <w:t>. There was also one</w:t>
      </w:r>
      <w:r>
        <w:t xml:space="preserve"> protocol-related, non-serious adverse event. </w:t>
      </w:r>
      <w:r w:rsidR="007772F2">
        <w:t xml:space="preserve">Here, a participant experienced mild bruising to the medial aspect of the knee upon removal of the reflective marker that was used for the gait analysis. </w:t>
      </w:r>
    </w:p>
    <w:p w:rsidR="00E84703" w:rsidRPr="003E4AD7" w:rsidRDefault="00E84703" w:rsidP="003E4AD7">
      <w:pPr>
        <w:spacing w:line="480" w:lineRule="auto"/>
        <w:rPr>
          <w:b/>
        </w:rPr>
      </w:pPr>
    </w:p>
    <w:p w:rsidR="003921E3" w:rsidRPr="009F57D4" w:rsidRDefault="003921E3" w:rsidP="003921E3">
      <w:pPr>
        <w:spacing w:line="480" w:lineRule="auto"/>
        <w:rPr>
          <w:b/>
        </w:rPr>
      </w:pPr>
      <w:r w:rsidRPr="009F57D4">
        <w:rPr>
          <w:b/>
        </w:rPr>
        <w:t>Survey and interview responses</w:t>
      </w:r>
    </w:p>
    <w:p w:rsidR="00C736B5" w:rsidRDefault="003921E3" w:rsidP="003921E3">
      <w:pPr>
        <w:spacing w:line="480" w:lineRule="auto"/>
      </w:pPr>
      <w:r w:rsidRPr="003921E3">
        <w:t xml:space="preserve">Thirty-one </w:t>
      </w:r>
      <w:r w:rsidR="00A920CD" w:rsidRPr="003921E3">
        <w:t xml:space="preserve">(91%) </w:t>
      </w:r>
      <w:r w:rsidR="00A920CD">
        <w:t>o</w:t>
      </w:r>
      <w:r w:rsidR="00E25C2C">
        <w:t xml:space="preserve">f the 34 participants who attended their second assessment visit </w:t>
      </w:r>
      <w:r w:rsidRPr="003921E3">
        <w:t xml:space="preserve">were given a pair of shoes </w:t>
      </w:r>
      <w:r w:rsidR="005D037E">
        <w:t>(</w:t>
      </w:r>
      <w:r w:rsidR="00A920CD">
        <w:t xml:space="preserve">13 </w:t>
      </w:r>
      <w:r w:rsidR="005D037E">
        <w:t xml:space="preserve">unloading, </w:t>
      </w:r>
      <w:r w:rsidR="00A920CD">
        <w:t>18 control</w:t>
      </w:r>
      <w:r w:rsidR="005D037E">
        <w:t xml:space="preserve">) </w:t>
      </w:r>
      <w:r w:rsidRPr="003921E3">
        <w:t>to use in the</w:t>
      </w:r>
      <w:r>
        <w:t xml:space="preserve">ir home environment for 2 weeks, of whom 29 </w:t>
      </w:r>
      <w:r w:rsidR="005D037E">
        <w:t>(</w:t>
      </w:r>
      <w:r w:rsidR="00A920CD">
        <w:t>12 unloading</w:t>
      </w:r>
      <w:r w:rsidR="005D037E">
        <w:t xml:space="preserve">, </w:t>
      </w:r>
      <w:r w:rsidR="00A920CD">
        <w:t>17 control</w:t>
      </w:r>
      <w:r w:rsidR="005D037E">
        <w:t xml:space="preserve">) </w:t>
      </w:r>
      <w:r>
        <w:t>returned</w:t>
      </w:r>
      <w:r w:rsidRPr="003921E3">
        <w:t xml:space="preserve"> a </w:t>
      </w:r>
      <w:r>
        <w:t>completed survey</w:t>
      </w:r>
      <w:r w:rsidRPr="003921E3">
        <w:t xml:space="preserve"> at the end of this period. </w:t>
      </w:r>
      <w:r w:rsidR="00A920CD">
        <w:t xml:space="preserve">Twelve participants (7 male, 5 female; 6 unloading, 6 control) were also interviewed after the 2-week home-wear period. </w:t>
      </w:r>
      <w:r w:rsidR="007D37FB">
        <w:t>Survey responses indicated a mean daily wear times of 4.8 hours (SD 2.4) for the control shoes (n=17) and</w:t>
      </w:r>
      <w:r w:rsidRPr="003921E3">
        <w:t xml:space="preserve"> 3.8 hours</w:t>
      </w:r>
      <w:r w:rsidR="006959A1">
        <w:t xml:space="preserve"> (SD 1.8) </w:t>
      </w:r>
      <w:r w:rsidR="007D37FB">
        <w:t>for</w:t>
      </w:r>
      <w:r w:rsidRPr="003921E3">
        <w:t xml:space="preserve"> the </w:t>
      </w:r>
      <w:r w:rsidR="00622216">
        <w:t>unloading</w:t>
      </w:r>
      <w:r w:rsidRPr="003921E3">
        <w:t xml:space="preserve"> shoes (n = 1</w:t>
      </w:r>
      <w:r w:rsidR="006959A1">
        <w:t>1</w:t>
      </w:r>
      <w:r w:rsidR="00F3120D">
        <w:t>, one missing data point</w:t>
      </w:r>
      <w:r w:rsidRPr="003921E3">
        <w:t xml:space="preserve">). </w:t>
      </w:r>
      <w:r w:rsidR="007D37FB">
        <w:t xml:space="preserve">The interview data also showed similar shoe usage, with responses ranging 3 to 7 hours per day; however, one participant reported that she stopped using the unloading shoes after three days because they had irritated her bunion. </w:t>
      </w:r>
      <w:r w:rsidR="009362ED">
        <w:t xml:space="preserve">Median </w:t>
      </w:r>
      <w:r w:rsidR="007D37FB">
        <w:t xml:space="preserve">survey </w:t>
      </w:r>
      <w:r w:rsidR="009362ED">
        <w:t>c</w:t>
      </w:r>
      <w:r w:rsidRPr="003921E3">
        <w:t xml:space="preserve">omfort ratings were </w:t>
      </w:r>
      <w:r w:rsidR="00AF324F">
        <w:t>8 (</w:t>
      </w:r>
      <w:proofErr w:type="spellStart"/>
      <w:r w:rsidR="00AF324F">
        <w:t>interquartile</w:t>
      </w:r>
      <w:proofErr w:type="spellEnd"/>
      <w:r w:rsidR="00AF324F">
        <w:t xml:space="preserve"> range (IQR) 5-10)</w:t>
      </w:r>
      <w:r w:rsidRPr="003921E3">
        <w:t xml:space="preserve"> and 6 </w:t>
      </w:r>
      <w:r w:rsidR="00AF324F">
        <w:t>(IQR 3-10)</w:t>
      </w:r>
      <w:r w:rsidR="00622216">
        <w:t xml:space="preserve"> for the control and unloading shoe</w:t>
      </w:r>
      <w:r w:rsidRPr="003921E3">
        <w:t xml:space="preserve">s, respectively. </w:t>
      </w:r>
      <w:r w:rsidR="00A56388">
        <w:t>All</w:t>
      </w:r>
      <w:r w:rsidR="00A56388" w:rsidRPr="003921E3">
        <w:t xml:space="preserve"> </w:t>
      </w:r>
      <w:r w:rsidR="007D37FB">
        <w:t>survey respondent</w:t>
      </w:r>
      <w:r w:rsidRPr="003921E3">
        <w:t xml:space="preserve">s </w:t>
      </w:r>
      <w:r w:rsidR="007D37FB">
        <w:t xml:space="preserve">and </w:t>
      </w:r>
      <w:r w:rsidR="005B46BD">
        <w:t>11 out of 12 interviewees</w:t>
      </w:r>
      <w:r w:rsidR="007D37FB">
        <w:t xml:space="preserve"> </w:t>
      </w:r>
      <w:r w:rsidRPr="003921E3">
        <w:t xml:space="preserve">perceived their walking ability as unchanged </w:t>
      </w:r>
      <w:r w:rsidR="00A56388">
        <w:t xml:space="preserve">or better </w:t>
      </w:r>
      <w:r w:rsidRPr="003921E3">
        <w:t>during the home-wear period</w:t>
      </w:r>
      <w:r w:rsidR="00852CCF">
        <w:t>. In the control group, six survey respondents (35%) and two interviewees (33%) reported an improvement versus</w:t>
      </w:r>
      <w:r w:rsidRPr="003921E3">
        <w:t xml:space="preserve"> </w:t>
      </w:r>
      <w:r w:rsidR="00852CCF">
        <w:t xml:space="preserve">six survey respondents (50%) and three interviewees (50%) in the unloading group. However, fewer people reported that their physical activity had increased during the home-wear period: </w:t>
      </w:r>
      <w:r w:rsidR="00DF602E">
        <w:t>four</w:t>
      </w:r>
      <w:r w:rsidR="00DF602E" w:rsidRPr="00DF602E">
        <w:t xml:space="preserve"> </w:t>
      </w:r>
      <w:r w:rsidR="00DF602E">
        <w:t>survey respondents (24%) and one interviewee (17</w:t>
      </w:r>
      <w:r w:rsidR="00DF602E" w:rsidRPr="00DF602E">
        <w:t xml:space="preserve">%) </w:t>
      </w:r>
      <w:r w:rsidR="00DF602E">
        <w:t>from the control group and three</w:t>
      </w:r>
      <w:r w:rsidR="00DF602E" w:rsidRPr="00DF602E">
        <w:t xml:space="preserve"> su</w:t>
      </w:r>
      <w:r w:rsidR="00DF602E">
        <w:t>rvey respondents (25%) and two interviewees (33</w:t>
      </w:r>
      <w:r w:rsidR="00DF602E" w:rsidRPr="00DF602E">
        <w:t>%) in the unloading group.</w:t>
      </w:r>
      <w:r w:rsidR="00DF602E">
        <w:t xml:space="preserve"> From the survey, t</w:t>
      </w:r>
      <w:r w:rsidRPr="003921E3">
        <w:t>he most commonly cited barriers to using the shoes were “lack of comfort” (n=</w:t>
      </w:r>
      <w:r w:rsidR="00191B76">
        <w:t>3</w:t>
      </w:r>
      <w:r w:rsidRPr="003921E3">
        <w:t xml:space="preserve"> </w:t>
      </w:r>
      <w:r w:rsidR="00622216">
        <w:t>[</w:t>
      </w:r>
      <w:r w:rsidRPr="003921E3">
        <w:t>1</w:t>
      </w:r>
      <w:r w:rsidR="00622216">
        <w:t>8</w:t>
      </w:r>
      <w:r w:rsidRPr="003921E3">
        <w:t>%</w:t>
      </w:r>
      <w:r w:rsidR="00622216">
        <w:t>]</w:t>
      </w:r>
      <w:r w:rsidRPr="003921E3">
        <w:t xml:space="preserve"> v</w:t>
      </w:r>
      <w:r w:rsidR="00191B76">
        <w:t>s.</w:t>
      </w:r>
      <w:r w:rsidRPr="003921E3">
        <w:t xml:space="preserve"> </w:t>
      </w:r>
      <w:r w:rsidR="00622216">
        <w:t>n=2 [</w:t>
      </w:r>
      <w:r w:rsidRPr="003921E3">
        <w:t>1</w:t>
      </w:r>
      <w:r w:rsidR="00191B76">
        <w:t>7</w:t>
      </w:r>
      <w:r w:rsidRPr="003921E3">
        <w:t>%</w:t>
      </w:r>
      <w:r w:rsidR="00622216">
        <w:t>]</w:t>
      </w:r>
      <w:r w:rsidRPr="003921E3">
        <w:t>, respectively), “shoe appearance” (n=</w:t>
      </w:r>
      <w:r w:rsidR="00191B76">
        <w:t>5</w:t>
      </w:r>
      <w:r w:rsidRPr="003921E3">
        <w:t xml:space="preserve"> </w:t>
      </w:r>
      <w:r w:rsidR="00622216">
        <w:t>[</w:t>
      </w:r>
      <w:r w:rsidRPr="003921E3">
        <w:t>2</w:t>
      </w:r>
      <w:r w:rsidR="00622216">
        <w:t>9</w:t>
      </w:r>
      <w:r w:rsidRPr="003921E3">
        <w:t>%</w:t>
      </w:r>
      <w:r w:rsidR="00622216">
        <w:t>]</w:t>
      </w:r>
      <w:r w:rsidRPr="003921E3">
        <w:t xml:space="preserve"> v</w:t>
      </w:r>
      <w:r w:rsidR="00191B76">
        <w:t>s.</w:t>
      </w:r>
      <w:r w:rsidRPr="003921E3">
        <w:t xml:space="preserve"> </w:t>
      </w:r>
      <w:r w:rsidR="00622216">
        <w:t>n=2 [17%]</w:t>
      </w:r>
      <w:r w:rsidRPr="003921E3">
        <w:t>, respectively), and “impractical” (n=</w:t>
      </w:r>
      <w:r w:rsidR="00191B76">
        <w:t>2</w:t>
      </w:r>
      <w:r w:rsidRPr="003921E3">
        <w:t xml:space="preserve"> </w:t>
      </w:r>
      <w:r w:rsidR="00622216">
        <w:t>[12</w:t>
      </w:r>
      <w:r w:rsidRPr="003921E3">
        <w:t>%</w:t>
      </w:r>
      <w:r w:rsidR="00622216">
        <w:t>]</w:t>
      </w:r>
      <w:r w:rsidRPr="003921E3">
        <w:t xml:space="preserve"> v</w:t>
      </w:r>
      <w:r w:rsidR="00191B76">
        <w:t>s.</w:t>
      </w:r>
      <w:r w:rsidRPr="003921E3">
        <w:t xml:space="preserve"> </w:t>
      </w:r>
      <w:r w:rsidR="00622216">
        <w:t>n=3 [</w:t>
      </w:r>
      <w:r w:rsidRPr="003921E3">
        <w:t>2</w:t>
      </w:r>
      <w:r w:rsidR="00622216">
        <w:t>5</w:t>
      </w:r>
      <w:r w:rsidRPr="003921E3">
        <w:t>%</w:t>
      </w:r>
      <w:r w:rsidR="00622216">
        <w:t>]</w:t>
      </w:r>
      <w:r w:rsidRPr="003921E3">
        <w:t>, respectively).</w:t>
      </w:r>
      <w:r w:rsidR="00DF602E">
        <w:t xml:space="preserve"> The interviews also gleaned</w:t>
      </w:r>
      <w:r w:rsidR="00C46527">
        <w:t xml:space="preserve"> mixed feedback about the comfort and design of the shoes. Six participants (</w:t>
      </w:r>
      <w:r w:rsidR="00634870">
        <w:t xml:space="preserve">50%; </w:t>
      </w:r>
      <w:r w:rsidR="00C46527">
        <w:t xml:space="preserve">three from each group) reported </w:t>
      </w:r>
      <w:r w:rsidR="00C46527">
        <w:lastRenderedPageBreak/>
        <w:t>the shoes as being comfortable, and that they would be willing to pay between £30 and £60 for them</w:t>
      </w:r>
      <w:r w:rsidR="00634870">
        <w:t>. However, three participants (</w:t>
      </w:r>
      <w:r w:rsidR="00BA0371">
        <w:t>1 control</w:t>
      </w:r>
      <w:r w:rsidR="00634870">
        <w:t xml:space="preserve">, </w:t>
      </w:r>
      <w:r w:rsidR="00BA0371">
        <w:t>2 unloading</w:t>
      </w:r>
      <w:r w:rsidR="00C46527">
        <w:t>) found them to be uncomfortable</w:t>
      </w:r>
      <w:r w:rsidR="00634870">
        <w:t>. Four interviewees in the unloading</w:t>
      </w:r>
      <w:r w:rsidR="0011209E">
        <w:t xml:space="preserve"> group commented on the heel being too big, wherea</w:t>
      </w:r>
      <w:r w:rsidR="00634870">
        <w:t>s only one person from the control</w:t>
      </w:r>
      <w:r w:rsidR="0011209E">
        <w:t xml:space="preserve"> group com</w:t>
      </w:r>
      <w:r w:rsidR="00634870">
        <w:t>mented on size, describing the</w:t>
      </w:r>
      <w:r w:rsidR="0011209E">
        <w:t xml:space="preserve"> shoes as “bulky”. Recommendations on design features included having a boot style rather than a shoe (n=3), having Velcro instead of laces (n=1), and having a choice of colours (n=2). All</w:t>
      </w:r>
      <w:r w:rsidR="00634870">
        <w:t xml:space="preserve"> but one interviewee (from the control</w:t>
      </w:r>
      <w:r w:rsidR="0011209E">
        <w:t xml:space="preserve"> group) expressed a willingness to participate in a potential future study where participants would be required to use the shoes over a 6-month period. </w:t>
      </w:r>
      <w:r w:rsidR="009B5823">
        <w:t xml:space="preserve">Example quotes are shown in </w:t>
      </w:r>
      <w:r w:rsidR="00972F66">
        <w:t>Additional File</w:t>
      </w:r>
      <w:r w:rsidR="009B5823">
        <w:t xml:space="preserve"> 1.</w:t>
      </w:r>
    </w:p>
    <w:p w:rsidR="003921E3" w:rsidRPr="003E4AD7" w:rsidRDefault="003921E3" w:rsidP="003E4AD7">
      <w:pPr>
        <w:spacing w:line="480" w:lineRule="auto"/>
        <w:rPr>
          <w:b/>
        </w:rPr>
      </w:pPr>
    </w:p>
    <w:p w:rsidR="003E4AD7" w:rsidRPr="009F57D4" w:rsidRDefault="003E4AD7" w:rsidP="003E4AD7">
      <w:pPr>
        <w:spacing w:line="480" w:lineRule="auto"/>
        <w:rPr>
          <w:b/>
          <w:sz w:val="28"/>
        </w:rPr>
      </w:pPr>
      <w:r w:rsidRPr="009F57D4">
        <w:rPr>
          <w:b/>
          <w:sz w:val="28"/>
        </w:rPr>
        <w:t>Discussion</w:t>
      </w:r>
    </w:p>
    <w:p w:rsidR="005B46BD" w:rsidRDefault="003C5A1C" w:rsidP="0005593D">
      <w:pPr>
        <w:spacing w:line="480" w:lineRule="auto"/>
        <w:rPr>
          <w:rFonts w:eastAsia="Times New Roman"/>
          <w:lang w:val="en-US"/>
        </w:rPr>
      </w:pPr>
      <w:r>
        <w:t xml:space="preserve">In this study, </w:t>
      </w:r>
      <w:r w:rsidR="00261FBB">
        <w:t>s</w:t>
      </w:r>
      <w:r>
        <w:t>hoes with specially-designed rocker soles</w:t>
      </w:r>
      <w:r w:rsidR="00261FBB">
        <w:t xml:space="preserve"> </w:t>
      </w:r>
      <w:r>
        <w:t>to reduce calf</w:t>
      </w:r>
      <w:r w:rsidR="00261FBB">
        <w:t xml:space="preserve"> load </w:t>
      </w:r>
      <w:r w:rsidR="00BA0371">
        <w:t>during</w:t>
      </w:r>
      <w:r>
        <w:t xml:space="preserve"> walking offered no immediate functional benefit when compared with</w:t>
      </w:r>
      <w:r w:rsidRPr="00A22EE5">
        <w:t xml:space="preserve"> </w:t>
      </w:r>
      <w:r w:rsidR="00261FBB" w:rsidRPr="00A22EE5">
        <w:t>con</w:t>
      </w:r>
      <w:r w:rsidR="00EB0E60" w:rsidRPr="00A22EE5">
        <w:t>tro</w:t>
      </w:r>
      <w:r w:rsidR="00261FBB" w:rsidRPr="00A22EE5">
        <w:t xml:space="preserve">l </w:t>
      </w:r>
      <w:r w:rsidR="00261FBB">
        <w:t xml:space="preserve">shoes </w:t>
      </w:r>
      <w:r>
        <w:t xml:space="preserve">in people with calf </w:t>
      </w:r>
      <w:proofErr w:type="spellStart"/>
      <w:r>
        <w:t>claudication</w:t>
      </w:r>
      <w:proofErr w:type="spellEnd"/>
      <w:r>
        <w:t xml:space="preserve"> due to peripheral arterial disease</w:t>
      </w:r>
      <w:r w:rsidR="00261FBB">
        <w:t xml:space="preserve">. </w:t>
      </w:r>
      <w:r w:rsidR="00A920CD">
        <w:t xml:space="preserve">The gait analysis </w:t>
      </w:r>
      <w:r w:rsidR="00BA0371">
        <w:t>data indicate</w:t>
      </w:r>
      <w:r w:rsidR="00EF6530">
        <w:t>d that the rocker-soled shoes did</w:t>
      </w:r>
      <w:r w:rsidR="00BA0371">
        <w:t xml:space="preserve"> </w:t>
      </w:r>
      <w:r w:rsidR="0009700A">
        <w:t xml:space="preserve">indeed </w:t>
      </w:r>
      <w:r w:rsidR="00BA0371">
        <w:t>unload the calves</w:t>
      </w:r>
      <w:r w:rsidR="0009700A">
        <w:t xml:space="preserve"> of </w:t>
      </w:r>
      <w:proofErr w:type="spellStart"/>
      <w:r w:rsidR="0009700A">
        <w:t>claudication</w:t>
      </w:r>
      <w:proofErr w:type="spellEnd"/>
      <w:r w:rsidR="0009700A">
        <w:t xml:space="preserve"> patients</w:t>
      </w:r>
      <w:r w:rsidR="009B5AD4">
        <w:t xml:space="preserve"> during usual-pace, pain-free walking</w:t>
      </w:r>
      <w:r w:rsidR="00A920CD">
        <w:t xml:space="preserve">; however, this did not translate into improved walking distances during the standardised walking tests. </w:t>
      </w:r>
      <w:r w:rsidR="00BA0371">
        <w:t>Following the 2-week home-wear period, a</w:t>
      </w:r>
      <w:r w:rsidR="00261FBB">
        <w:t xml:space="preserve">pproximately </w:t>
      </w:r>
      <w:r w:rsidR="005B46BD">
        <w:t xml:space="preserve">one third of participants using the control shoes and one </w:t>
      </w:r>
      <w:r w:rsidR="00261FBB">
        <w:t>hal</w:t>
      </w:r>
      <w:r w:rsidR="00BA0371">
        <w:t>f of participants</w:t>
      </w:r>
      <w:r w:rsidR="005B46BD">
        <w:t xml:space="preserve"> using the unloading shoes</w:t>
      </w:r>
      <w:r w:rsidR="00BA0371">
        <w:t xml:space="preserve"> </w:t>
      </w:r>
      <w:r w:rsidR="00261FBB">
        <w:t xml:space="preserve">reported </w:t>
      </w:r>
      <w:r w:rsidR="00BA0371">
        <w:t>experiencing improved walking ability when wearing their a</w:t>
      </w:r>
      <w:r w:rsidR="00261FBB">
        <w:t>llocated shoes</w:t>
      </w:r>
      <w:r w:rsidR="00261FBB" w:rsidRPr="005B46BD">
        <w:t>.</w:t>
      </w:r>
      <w:r w:rsidR="005B46BD" w:rsidRPr="005B46BD">
        <w:rPr>
          <w:rFonts w:eastAsia="Times New Roman"/>
          <w:lang w:val="en-US"/>
        </w:rPr>
        <w:t xml:space="preserve"> </w:t>
      </w:r>
      <w:r w:rsidR="009B5AD4">
        <w:rPr>
          <w:rFonts w:eastAsia="Times New Roman"/>
          <w:lang w:val="en-US"/>
        </w:rPr>
        <w:t>There was mixed feedback regarding the acceptability of the shoes; however, 11</w:t>
      </w:r>
      <w:r w:rsidR="005B46BD" w:rsidRPr="005B46BD">
        <w:rPr>
          <w:rFonts w:eastAsia="Times New Roman"/>
          <w:lang w:val="en-US"/>
        </w:rPr>
        <w:t xml:space="preserve"> out of </w:t>
      </w:r>
      <w:r w:rsidR="009B5AD4">
        <w:rPr>
          <w:rFonts w:eastAsia="Times New Roman"/>
          <w:lang w:val="en-US"/>
        </w:rPr>
        <w:t>12 interviewee</w:t>
      </w:r>
      <w:r w:rsidR="005B46BD" w:rsidRPr="005B46BD">
        <w:rPr>
          <w:rFonts w:eastAsia="Times New Roman"/>
          <w:lang w:val="en-US"/>
        </w:rPr>
        <w:t xml:space="preserve">s reported they would </w:t>
      </w:r>
      <w:r w:rsidR="009B5AD4">
        <w:rPr>
          <w:rFonts w:eastAsia="Times New Roman"/>
          <w:lang w:val="en-US"/>
        </w:rPr>
        <w:t>be willing to taking part in a longer-term</w:t>
      </w:r>
      <w:r w:rsidR="005B46BD" w:rsidRPr="005B46BD">
        <w:rPr>
          <w:rFonts w:eastAsia="Times New Roman"/>
          <w:lang w:val="en-US"/>
        </w:rPr>
        <w:t xml:space="preserve"> shoe study</w:t>
      </w:r>
      <w:r w:rsidR="009B5AD4">
        <w:rPr>
          <w:rFonts w:eastAsia="Times New Roman"/>
          <w:lang w:val="en-US"/>
        </w:rPr>
        <w:t>, which</w:t>
      </w:r>
      <w:r w:rsidR="005B46BD" w:rsidRPr="005B46BD">
        <w:rPr>
          <w:rFonts w:eastAsia="Times New Roman"/>
          <w:lang w:val="en-US"/>
        </w:rPr>
        <w:t xml:space="preserve"> </w:t>
      </w:r>
      <w:r w:rsidR="009B5AD4">
        <w:rPr>
          <w:rFonts w:eastAsia="Times New Roman"/>
          <w:lang w:val="en-US"/>
        </w:rPr>
        <w:t>suggests</w:t>
      </w:r>
      <w:r w:rsidR="005B46BD" w:rsidRPr="005B46BD">
        <w:rPr>
          <w:rFonts w:eastAsia="Times New Roman"/>
          <w:lang w:val="en-US"/>
        </w:rPr>
        <w:t xml:space="preserve"> </w:t>
      </w:r>
      <w:r w:rsidR="00307739">
        <w:rPr>
          <w:rFonts w:eastAsia="Times New Roman"/>
          <w:lang w:val="en-US"/>
        </w:rPr>
        <w:t xml:space="preserve">that </w:t>
      </w:r>
      <w:r w:rsidR="005B46BD" w:rsidRPr="005B46BD">
        <w:rPr>
          <w:rFonts w:eastAsia="Times New Roman"/>
          <w:lang w:val="en-US"/>
        </w:rPr>
        <w:t>patient</w:t>
      </w:r>
      <w:r w:rsidR="00307739">
        <w:rPr>
          <w:rFonts w:eastAsia="Times New Roman"/>
          <w:lang w:val="en-US"/>
        </w:rPr>
        <w:t>s</w:t>
      </w:r>
      <w:r w:rsidR="009B5AD4">
        <w:rPr>
          <w:rFonts w:eastAsia="Times New Roman"/>
          <w:lang w:val="en-US"/>
        </w:rPr>
        <w:t xml:space="preserve"> are</w:t>
      </w:r>
      <w:r w:rsidR="005B46BD" w:rsidRPr="005B46BD">
        <w:rPr>
          <w:rFonts w:eastAsia="Times New Roman"/>
          <w:lang w:val="en-US"/>
        </w:rPr>
        <w:t xml:space="preserve"> interest</w:t>
      </w:r>
      <w:r w:rsidR="009B5AD4">
        <w:rPr>
          <w:rFonts w:eastAsia="Times New Roman"/>
          <w:lang w:val="en-US"/>
        </w:rPr>
        <w:t>ed</w:t>
      </w:r>
      <w:r w:rsidR="005B46BD" w:rsidRPr="005B46BD">
        <w:rPr>
          <w:rFonts w:eastAsia="Times New Roman"/>
          <w:lang w:val="en-US"/>
        </w:rPr>
        <w:t xml:space="preserve"> in footwear as an intervention for </w:t>
      </w:r>
      <w:proofErr w:type="spellStart"/>
      <w:r w:rsidR="005B46BD" w:rsidRPr="005B46BD">
        <w:rPr>
          <w:rFonts w:eastAsia="Times New Roman"/>
          <w:lang w:val="en-US"/>
        </w:rPr>
        <w:t>claudication</w:t>
      </w:r>
      <w:proofErr w:type="spellEnd"/>
      <w:r w:rsidR="005B46BD" w:rsidRPr="005B46BD">
        <w:rPr>
          <w:rFonts w:eastAsia="Times New Roman"/>
          <w:lang w:val="en-US"/>
        </w:rPr>
        <w:t>.</w:t>
      </w:r>
    </w:p>
    <w:p w:rsidR="009B5AD4" w:rsidRDefault="009B5AD4" w:rsidP="0005593D">
      <w:pPr>
        <w:spacing w:line="480" w:lineRule="auto"/>
        <w:rPr>
          <w:rFonts w:eastAsia="Times New Roman"/>
          <w:lang w:val="en-US"/>
        </w:rPr>
      </w:pPr>
    </w:p>
    <w:p w:rsidR="007508D5" w:rsidRDefault="00336197" w:rsidP="00D25F3B">
      <w:pPr>
        <w:spacing w:line="48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Our findings contrast that of</w:t>
      </w:r>
      <w:r w:rsidR="00E808F3">
        <w:rPr>
          <w:rFonts w:eastAsia="Times New Roman"/>
          <w:lang w:val="en-US"/>
        </w:rPr>
        <w:t xml:space="preserve"> previous limited research. A smaller study of 21 people with calf </w:t>
      </w:r>
      <w:proofErr w:type="spellStart"/>
      <w:r w:rsidR="00E808F3">
        <w:rPr>
          <w:rFonts w:eastAsia="Times New Roman"/>
          <w:lang w:val="en-US"/>
        </w:rPr>
        <w:t>claudication</w:t>
      </w:r>
      <w:proofErr w:type="spellEnd"/>
      <w:r w:rsidR="00E808F3">
        <w:rPr>
          <w:rFonts w:eastAsia="Times New Roman"/>
          <w:lang w:val="en-US"/>
        </w:rPr>
        <w:t xml:space="preserve"> showed that commercially-</w:t>
      </w:r>
      <w:r w:rsidR="00032CBE">
        <w:rPr>
          <w:rFonts w:eastAsia="Times New Roman"/>
          <w:lang w:val="en-US"/>
        </w:rPr>
        <w:t>made</w:t>
      </w:r>
      <w:r w:rsidR="00437F0A">
        <w:rPr>
          <w:rFonts w:eastAsia="Times New Roman"/>
          <w:lang w:val="en-US"/>
        </w:rPr>
        <w:t>,</w:t>
      </w:r>
      <w:r w:rsidR="00E808F3">
        <w:rPr>
          <w:rFonts w:eastAsia="Times New Roman"/>
          <w:lang w:val="en-US"/>
        </w:rPr>
        <w:t xml:space="preserve"> rocker-soled </w:t>
      </w:r>
      <w:r w:rsidR="00437F0A">
        <w:rPr>
          <w:rFonts w:eastAsia="Times New Roman"/>
          <w:lang w:val="en-US"/>
        </w:rPr>
        <w:t xml:space="preserve">unloading </w:t>
      </w:r>
      <w:r w:rsidR="00E808F3">
        <w:rPr>
          <w:rFonts w:eastAsia="Times New Roman"/>
          <w:lang w:val="en-US"/>
        </w:rPr>
        <w:t xml:space="preserve">shoes acutely </w:t>
      </w:r>
      <w:r w:rsidR="00D25F3B">
        <w:rPr>
          <w:rFonts w:eastAsia="Times New Roman"/>
          <w:lang w:val="en-US"/>
        </w:rPr>
        <w:t>increased</w:t>
      </w:r>
      <w:r w:rsidR="00D25F3B" w:rsidRPr="00D25F3B">
        <w:rPr>
          <w:rFonts w:eastAsia="Times New Roman"/>
          <w:lang w:val="en-US"/>
        </w:rPr>
        <w:t xml:space="preserve"> </w:t>
      </w:r>
      <w:r w:rsidR="00EC77CF">
        <w:rPr>
          <w:rFonts w:eastAsia="Times New Roman"/>
          <w:lang w:val="en-US"/>
        </w:rPr>
        <w:t xml:space="preserve">usual-pace walking ability, with </w:t>
      </w:r>
      <w:r w:rsidR="00D25F3B" w:rsidRPr="00D25F3B">
        <w:rPr>
          <w:rFonts w:eastAsia="Times New Roman"/>
          <w:lang w:val="en-US"/>
        </w:rPr>
        <w:t>both the total distance walked and</w:t>
      </w:r>
      <w:r w:rsidR="00D25F3B">
        <w:rPr>
          <w:rFonts w:eastAsia="Times New Roman"/>
          <w:lang w:val="en-US"/>
        </w:rPr>
        <w:t xml:space="preserve"> </w:t>
      </w:r>
      <w:r w:rsidR="00D25F3B" w:rsidRPr="00D25F3B">
        <w:rPr>
          <w:rFonts w:eastAsia="Times New Roman"/>
          <w:lang w:val="en-US"/>
        </w:rPr>
        <w:t>the distance at which patients were initially bothered by symptoms</w:t>
      </w:r>
      <w:r w:rsidR="00D25F3B">
        <w:rPr>
          <w:rFonts w:eastAsia="Times New Roman"/>
          <w:lang w:val="en-US"/>
        </w:rPr>
        <w:t xml:space="preserve"> </w:t>
      </w:r>
      <w:r w:rsidR="007E3BA6">
        <w:rPr>
          <w:rFonts w:eastAsia="Times New Roman"/>
          <w:lang w:val="en-US"/>
        </w:rPr>
        <w:t xml:space="preserve">being </w:t>
      </w:r>
      <w:r w:rsidR="00EC77CF">
        <w:rPr>
          <w:rFonts w:eastAsia="Times New Roman"/>
          <w:lang w:val="en-US"/>
        </w:rPr>
        <w:t>on average</w:t>
      </w:r>
      <w:r w:rsidR="007E3BA6">
        <w:rPr>
          <w:rFonts w:eastAsia="Times New Roman"/>
          <w:lang w:val="en-US"/>
        </w:rPr>
        <w:t xml:space="preserve"> </w:t>
      </w:r>
      <w:r w:rsidR="00E808F3" w:rsidRPr="00E808F3">
        <w:rPr>
          <w:rFonts w:eastAsia="Times New Roman"/>
          <w:lang w:val="en-US"/>
        </w:rPr>
        <w:t>77</w:t>
      </w:r>
      <w:r w:rsidR="00766B86">
        <w:rPr>
          <w:rFonts w:eastAsia="Times New Roman"/>
          <w:lang w:val="en-US"/>
        </w:rPr>
        <w:t xml:space="preserve"> m (37%, p&lt;0.01) and 89</w:t>
      </w:r>
      <w:r w:rsidR="00D25F3B">
        <w:rPr>
          <w:rFonts w:eastAsia="Times New Roman"/>
          <w:lang w:val="en-US"/>
        </w:rPr>
        <w:t xml:space="preserve"> </w:t>
      </w:r>
      <w:r w:rsidR="00766B86">
        <w:rPr>
          <w:rFonts w:eastAsia="Times New Roman"/>
          <w:lang w:val="en-US"/>
        </w:rPr>
        <w:t>m (91%, p&lt;0.01)</w:t>
      </w:r>
      <w:r w:rsidR="00EC77CF">
        <w:rPr>
          <w:rFonts w:eastAsia="Times New Roman"/>
          <w:lang w:val="en-US"/>
        </w:rPr>
        <w:t xml:space="preserve"> </w:t>
      </w:r>
      <w:r w:rsidR="00EC77CF">
        <w:rPr>
          <w:rFonts w:eastAsia="Times New Roman"/>
          <w:lang w:val="en-US"/>
        </w:rPr>
        <w:lastRenderedPageBreak/>
        <w:t>further</w:t>
      </w:r>
      <w:r w:rsidR="00766B86">
        <w:rPr>
          <w:rFonts w:eastAsia="Times New Roman"/>
          <w:lang w:val="en-US"/>
        </w:rPr>
        <w:t xml:space="preserve">, </w:t>
      </w:r>
      <w:r w:rsidR="00E808F3" w:rsidRPr="00E808F3">
        <w:rPr>
          <w:rFonts w:eastAsia="Times New Roman"/>
          <w:lang w:val="en-US"/>
        </w:rPr>
        <w:t>respectively</w:t>
      </w:r>
      <w:r w:rsidR="00EC77CF">
        <w:rPr>
          <w:rFonts w:eastAsia="Times New Roman"/>
          <w:lang w:val="en-US"/>
        </w:rPr>
        <w:t>, compared with a standard shoe condition</w:t>
      </w:r>
      <w:r w:rsidR="00205CCC">
        <w:rPr>
          <w:rFonts w:eastAsia="Times New Roman"/>
          <w:lang w:val="en-US"/>
        </w:rPr>
        <w:t xml:space="preserve"> [5]</w:t>
      </w:r>
      <w:r w:rsidR="0059576E">
        <w:rPr>
          <w:rFonts w:eastAsia="Times New Roman"/>
          <w:lang w:val="en-US"/>
        </w:rPr>
        <w:t>.</w:t>
      </w:r>
      <w:r w:rsidR="00437F0A">
        <w:rPr>
          <w:rFonts w:eastAsia="Times New Roman"/>
          <w:lang w:val="en-US"/>
        </w:rPr>
        <w:t xml:space="preserve"> The use of differ</w:t>
      </w:r>
      <w:r w:rsidR="009C5CDF">
        <w:rPr>
          <w:rFonts w:eastAsia="Times New Roman"/>
          <w:lang w:val="en-US"/>
        </w:rPr>
        <w:t>ent walking assessments prevent</w:t>
      </w:r>
      <w:r w:rsidR="00437F0A">
        <w:rPr>
          <w:rFonts w:eastAsia="Times New Roman"/>
          <w:lang w:val="en-US"/>
        </w:rPr>
        <w:t>s a direct comparison with our findings;</w:t>
      </w:r>
      <w:r w:rsidR="00D25F3B">
        <w:rPr>
          <w:rFonts w:eastAsia="Times New Roman"/>
          <w:lang w:val="en-US"/>
        </w:rPr>
        <w:t xml:space="preserve"> however,</w:t>
      </w:r>
      <w:r w:rsidR="00437F0A">
        <w:rPr>
          <w:rFonts w:eastAsia="Times New Roman"/>
          <w:lang w:val="en-US"/>
        </w:rPr>
        <w:t xml:space="preserve"> it is important to note that</w:t>
      </w:r>
      <w:r w:rsidR="00EC77CF">
        <w:rPr>
          <w:rFonts w:eastAsia="Times New Roman"/>
          <w:lang w:val="en-US"/>
        </w:rPr>
        <w:t xml:space="preserve"> the “bothered distance”</w:t>
      </w:r>
      <w:r w:rsidR="00307739">
        <w:rPr>
          <w:rFonts w:eastAsia="Times New Roman"/>
          <w:lang w:val="en-US"/>
        </w:rPr>
        <w:t xml:space="preserve"> is highly subjective</w:t>
      </w:r>
      <w:r w:rsidR="00EC77CF">
        <w:rPr>
          <w:rFonts w:eastAsia="Times New Roman"/>
          <w:lang w:val="en-US"/>
        </w:rPr>
        <w:t xml:space="preserve"> </w:t>
      </w:r>
      <w:r w:rsidR="00307739">
        <w:rPr>
          <w:rFonts w:eastAsia="Times New Roman"/>
          <w:lang w:val="en-US"/>
        </w:rPr>
        <w:t xml:space="preserve">(and thus </w:t>
      </w:r>
      <w:r w:rsidR="007E3BA6">
        <w:rPr>
          <w:rFonts w:eastAsia="Times New Roman"/>
          <w:lang w:val="en-US"/>
        </w:rPr>
        <w:t xml:space="preserve">has </w:t>
      </w:r>
      <w:r w:rsidR="00EC77CF">
        <w:rPr>
          <w:rFonts w:eastAsia="Times New Roman"/>
          <w:lang w:val="en-US"/>
        </w:rPr>
        <w:t>poor</w:t>
      </w:r>
      <w:r w:rsidR="007E3BA6">
        <w:rPr>
          <w:rFonts w:eastAsia="Times New Roman"/>
          <w:lang w:val="en-US"/>
        </w:rPr>
        <w:t xml:space="preserve"> reliability</w:t>
      </w:r>
      <w:r w:rsidR="00307739">
        <w:rPr>
          <w:rFonts w:eastAsia="Times New Roman"/>
          <w:lang w:val="en-US"/>
        </w:rPr>
        <w:t>)</w:t>
      </w:r>
      <w:r w:rsidR="00EC77CF">
        <w:rPr>
          <w:rFonts w:eastAsia="Times New Roman"/>
          <w:lang w:val="en-US"/>
        </w:rPr>
        <w:t>, and that</w:t>
      </w:r>
      <w:r w:rsidR="00437F0A">
        <w:rPr>
          <w:rFonts w:eastAsia="Times New Roman"/>
          <w:lang w:val="en-US"/>
        </w:rPr>
        <w:t xml:space="preserve"> the reported differences were</w:t>
      </w:r>
      <w:r w:rsidR="00D25F3B">
        <w:rPr>
          <w:rFonts w:eastAsia="Times New Roman"/>
          <w:lang w:val="en-US"/>
        </w:rPr>
        <w:t xml:space="preserve"> largely explained by one outlier participant</w:t>
      </w:r>
      <w:r w:rsidR="000F4EC0">
        <w:rPr>
          <w:rFonts w:eastAsia="Times New Roman"/>
          <w:lang w:val="en-US"/>
        </w:rPr>
        <w:t xml:space="preserve"> who showed improvements of 710 m and 850 m, respectively</w:t>
      </w:r>
      <w:r w:rsidR="00D25F3B">
        <w:rPr>
          <w:rFonts w:eastAsia="Times New Roman"/>
          <w:lang w:val="en-US"/>
        </w:rPr>
        <w:t>.</w:t>
      </w:r>
      <w:r w:rsidR="001B098F">
        <w:rPr>
          <w:rFonts w:eastAsia="Times New Roman"/>
          <w:lang w:val="en-US"/>
        </w:rPr>
        <w:t xml:space="preserve"> A more recent study of 8 people with calf </w:t>
      </w:r>
      <w:proofErr w:type="spellStart"/>
      <w:r w:rsidR="001B098F">
        <w:rPr>
          <w:rFonts w:eastAsia="Times New Roman"/>
          <w:lang w:val="en-US"/>
        </w:rPr>
        <w:t>claudication</w:t>
      </w:r>
      <w:proofErr w:type="spellEnd"/>
      <w:r w:rsidR="001B098F">
        <w:rPr>
          <w:rFonts w:eastAsia="Times New Roman"/>
          <w:lang w:val="en-US"/>
        </w:rPr>
        <w:t xml:space="preserve"> also showed that unloading shoes, which</w:t>
      </w:r>
      <w:r w:rsidR="00437F0A">
        <w:rPr>
          <w:rFonts w:eastAsia="Times New Roman"/>
          <w:lang w:val="en-US"/>
        </w:rPr>
        <w:t xml:space="preserve"> were similar to those used in the current study</w:t>
      </w:r>
      <w:r w:rsidR="001B098F">
        <w:rPr>
          <w:rFonts w:eastAsia="Times New Roman"/>
          <w:lang w:val="en-US"/>
        </w:rPr>
        <w:t>, improved</w:t>
      </w:r>
      <w:r w:rsidR="00EC77CF">
        <w:rPr>
          <w:rFonts w:eastAsia="Times New Roman"/>
          <w:lang w:val="en-US"/>
        </w:rPr>
        <w:t xml:space="preserve"> pain-free walking distance during usual-pace walking</w:t>
      </w:r>
      <w:r w:rsidR="001B098F">
        <w:rPr>
          <w:rFonts w:eastAsia="Times New Roman"/>
          <w:lang w:val="en-US"/>
        </w:rPr>
        <w:t xml:space="preserve"> by an average of 19 m (39%, p&lt;0.05)</w:t>
      </w:r>
      <w:r>
        <w:rPr>
          <w:rFonts w:eastAsia="Times New Roman"/>
          <w:lang w:val="en-US"/>
        </w:rPr>
        <w:t xml:space="preserve"> relative to an un-</w:t>
      </w:r>
      <w:r w:rsidR="000F4EC0">
        <w:rPr>
          <w:rFonts w:eastAsia="Times New Roman"/>
          <w:lang w:val="en-US"/>
        </w:rPr>
        <w:t>adapted control shoe</w:t>
      </w:r>
      <w:r w:rsidR="00205CCC">
        <w:rPr>
          <w:rFonts w:eastAsia="Times New Roman"/>
          <w:lang w:val="en-US"/>
        </w:rPr>
        <w:t xml:space="preserve"> [3]</w:t>
      </w:r>
      <w:r w:rsidR="001B098F">
        <w:rPr>
          <w:rFonts w:eastAsia="Times New Roman"/>
          <w:lang w:val="en-US"/>
        </w:rPr>
        <w:t>.</w:t>
      </w:r>
      <w:r w:rsidR="00ED358A">
        <w:rPr>
          <w:rFonts w:eastAsia="Times New Roman"/>
          <w:lang w:val="en-US"/>
        </w:rPr>
        <w:t xml:space="preserve"> Again, </w:t>
      </w:r>
      <w:r w:rsidR="00DB1320">
        <w:rPr>
          <w:rFonts w:eastAsia="Times New Roman"/>
          <w:lang w:val="en-US"/>
        </w:rPr>
        <w:t>a direct comparison cannot be made</w:t>
      </w:r>
      <w:r w:rsidR="00ED358A">
        <w:rPr>
          <w:rFonts w:eastAsia="Times New Roman"/>
          <w:lang w:val="en-US"/>
        </w:rPr>
        <w:t xml:space="preserve"> because</w:t>
      </w:r>
      <w:r w:rsidR="004F65CC">
        <w:rPr>
          <w:rFonts w:eastAsia="Times New Roman"/>
          <w:lang w:val="en-US"/>
        </w:rPr>
        <w:t xml:space="preserve"> of different walking test procedures</w:t>
      </w:r>
      <w:r w:rsidR="00ED358A">
        <w:rPr>
          <w:rFonts w:eastAsia="Times New Roman"/>
          <w:lang w:val="en-US"/>
        </w:rPr>
        <w:t>, but also beca</w:t>
      </w:r>
      <w:r w:rsidR="00DB1320">
        <w:rPr>
          <w:rFonts w:eastAsia="Times New Roman"/>
          <w:lang w:val="en-US"/>
        </w:rPr>
        <w:t>use slightly different</w:t>
      </w:r>
      <w:r w:rsidR="00ED358A">
        <w:rPr>
          <w:rFonts w:eastAsia="Times New Roman"/>
          <w:lang w:val="en-US"/>
        </w:rPr>
        <w:t xml:space="preserve"> intervention and contr</w:t>
      </w:r>
      <w:r w:rsidR="00DB1320">
        <w:rPr>
          <w:rFonts w:eastAsia="Times New Roman"/>
          <w:lang w:val="en-US"/>
        </w:rPr>
        <w:t>ol shoes were used.</w:t>
      </w:r>
      <w:r w:rsidR="000F4EC0">
        <w:rPr>
          <w:rFonts w:eastAsia="Times New Roman"/>
          <w:lang w:val="en-US"/>
        </w:rPr>
        <w:t xml:space="preserve"> </w:t>
      </w:r>
      <w:r w:rsidR="00DB1320">
        <w:rPr>
          <w:rFonts w:eastAsia="Times New Roman"/>
          <w:lang w:val="en-US"/>
        </w:rPr>
        <w:t>Nevertheless, this previous study was limited by a small sample size and lack of participant</w:t>
      </w:r>
      <w:r w:rsidR="00032CBE">
        <w:rPr>
          <w:rFonts w:eastAsia="Times New Roman"/>
          <w:lang w:val="en-US"/>
        </w:rPr>
        <w:t xml:space="preserve"> and tester</w:t>
      </w:r>
      <w:r w:rsidR="00DB1320">
        <w:rPr>
          <w:rFonts w:eastAsia="Times New Roman"/>
          <w:lang w:val="en-US"/>
        </w:rPr>
        <w:t xml:space="preserve"> blinding</w:t>
      </w:r>
      <w:r w:rsidR="0009700A">
        <w:rPr>
          <w:rFonts w:eastAsia="Times New Roman"/>
          <w:lang w:val="en-US"/>
        </w:rPr>
        <w:t>, which may have biased the results</w:t>
      </w:r>
      <w:r w:rsidR="00DB1320">
        <w:rPr>
          <w:rFonts w:eastAsia="Times New Roman"/>
          <w:lang w:val="en-US"/>
        </w:rPr>
        <w:t xml:space="preserve">. </w:t>
      </w:r>
      <w:r w:rsidR="007E3BA6">
        <w:rPr>
          <w:rFonts w:eastAsia="Times New Roman"/>
          <w:lang w:val="en-US"/>
        </w:rPr>
        <w:t>The aforementioned limitations in the evidence base prompted the current investigation.</w:t>
      </w:r>
    </w:p>
    <w:p w:rsidR="007508D5" w:rsidRDefault="007508D5" w:rsidP="00D25F3B">
      <w:pPr>
        <w:spacing w:line="480" w:lineRule="auto"/>
        <w:rPr>
          <w:rFonts w:eastAsia="Times New Roman"/>
          <w:lang w:val="en-US"/>
        </w:rPr>
      </w:pPr>
    </w:p>
    <w:p w:rsidR="00086F71" w:rsidRDefault="00382B88" w:rsidP="0005593D">
      <w:pPr>
        <w:spacing w:line="48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current study was appropriately powered and assessed</w:t>
      </w:r>
      <w:r w:rsidR="004F65C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walking ability at both usual and forced walking paces. </w:t>
      </w:r>
      <w:r w:rsidR="002D7CA8">
        <w:rPr>
          <w:rFonts w:eastAsia="Times New Roman"/>
          <w:lang w:val="en-US"/>
        </w:rPr>
        <w:t xml:space="preserve">Despite the unloading shoes causing </w:t>
      </w:r>
      <w:r w:rsidR="00086F71">
        <w:rPr>
          <w:rFonts w:eastAsia="Times New Roman"/>
          <w:lang w:val="en-US"/>
        </w:rPr>
        <w:t xml:space="preserve">mean </w:t>
      </w:r>
      <w:r w:rsidR="004F65CC">
        <w:rPr>
          <w:rFonts w:eastAsia="Times New Roman"/>
          <w:lang w:val="en-US"/>
        </w:rPr>
        <w:t>reduction</w:t>
      </w:r>
      <w:r w:rsidR="002D7CA8">
        <w:rPr>
          <w:rFonts w:eastAsia="Times New Roman"/>
          <w:lang w:val="en-US"/>
        </w:rPr>
        <w:t>s</w:t>
      </w:r>
      <w:r w:rsidR="004F65CC">
        <w:rPr>
          <w:rFonts w:eastAsia="Times New Roman"/>
          <w:lang w:val="en-US"/>
        </w:rPr>
        <w:t xml:space="preserve"> in peak ankle </w:t>
      </w:r>
      <w:proofErr w:type="spellStart"/>
      <w:r w:rsidR="004F65CC">
        <w:rPr>
          <w:rFonts w:eastAsia="Times New Roman"/>
          <w:lang w:val="en-US"/>
        </w:rPr>
        <w:t>plantarflexion</w:t>
      </w:r>
      <w:proofErr w:type="spellEnd"/>
      <w:r w:rsidR="004F65CC">
        <w:rPr>
          <w:rFonts w:eastAsia="Times New Roman"/>
          <w:lang w:val="en-US"/>
        </w:rPr>
        <w:t xml:space="preserve"> moment</w:t>
      </w:r>
      <w:r w:rsidR="002D7CA8">
        <w:rPr>
          <w:rFonts w:eastAsia="Times New Roman"/>
          <w:lang w:val="en-US"/>
        </w:rPr>
        <w:t xml:space="preserve"> and peak ankle power generation of 14% and 26%, respectively,</w:t>
      </w:r>
      <w:r w:rsidR="004F65CC">
        <w:rPr>
          <w:rFonts w:eastAsia="Times New Roman"/>
          <w:lang w:val="en-US"/>
        </w:rPr>
        <w:t xml:space="preserve"> the mean d</w:t>
      </w:r>
      <w:r w:rsidR="00BB299E">
        <w:rPr>
          <w:rFonts w:eastAsia="Times New Roman"/>
          <w:lang w:val="en-US"/>
        </w:rPr>
        <w:t>ifferences in walking distance</w:t>
      </w:r>
      <w:r w:rsidR="004F65CC">
        <w:rPr>
          <w:rFonts w:eastAsia="Times New Roman"/>
          <w:lang w:val="en-US"/>
        </w:rPr>
        <w:t>s between conditions were trivial and in varied direction (pain-free walking distance improved, 6MWD worsened</w:t>
      </w:r>
      <w:r w:rsidR="00086F71">
        <w:rPr>
          <w:rFonts w:eastAsia="Times New Roman"/>
          <w:lang w:val="en-US"/>
        </w:rPr>
        <w:t>; Table 2</w:t>
      </w:r>
      <w:r w:rsidR="004F65CC">
        <w:rPr>
          <w:rFonts w:eastAsia="Times New Roman"/>
          <w:lang w:val="en-US"/>
        </w:rPr>
        <w:t xml:space="preserve">). </w:t>
      </w:r>
      <w:r w:rsidR="00DB1320">
        <w:rPr>
          <w:rFonts w:eastAsia="Times New Roman"/>
          <w:lang w:val="en-US"/>
        </w:rPr>
        <w:t>It is unclear why the beneficial effects of unloading shoes on ankle biomechanics se</w:t>
      </w:r>
      <w:r w:rsidR="0059576E">
        <w:rPr>
          <w:rFonts w:eastAsia="Times New Roman"/>
          <w:lang w:val="en-US"/>
        </w:rPr>
        <w:t>en here and elsewhere</w:t>
      </w:r>
      <w:r w:rsidR="00205CCC">
        <w:rPr>
          <w:rFonts w:eastAsia="Times New Roman"/>
          <w:lang w:val="en-US"/>
        </w:rPr>
        <w:t xml:space="preserve"> [6]</w:t>
      </w:r>
      <w:r w:rsidR="00DB1320">
        <w:rPr>
          <w:rFonts w:eastAsia="Times New Roman"/>
          <w:lang w:val="en-US"/>
        </w:rPr>
        <w:t xml:space="preserve"> did not translate to funct</w:t>
      </w:r>
      <w:r w:rsidR="004A0EBD">
        <w:rPr>
          <w:rFonts w:eastAsia="Times New Roman"/>
          <w:lang w:val="en-US"/>
        </w:rPr>
        <w:t>ional benefit</w:t>
      </w:r>
      <w:r w:rsidR="00DB1320">
        <w:rPr>
          <w:rFonts w:eastAsia="Times New Roman"/>
          <w:lang w:val="en-US"/>
        </w:rPr>
        <w:t xml:space="preserve">. </w:t>
      </w:r>
      <w:r w:rsidR="004A0EBD">
        <w:rPr>
          <w:rFonts w:eastAsia="Times New Roman"/>
          <w:lang w:val="en-US"/>
        </w:rPr>
        <w:t>One</w:t>
      </w:r>
      <w:r w:rsidR="00DB1320">
        <w:rPr>
          <w:rFonts w:eastAsia="Times New Roman"/>
          <w:lang w:val="en-US"/>
        </w:rPr>
        <w:t xml:space="preserve"> possibility is that 5 minutes </w:t>
      </w:r>
      <w:r w:rsidR="004A0EBD">
        <w:rPr>
          <w:rFonts w:eastAsia="Times New Roman"/>
          <w:lang w:val="en-US"/>
        </w:rPr>
        <w:t xml:space="preserve">was not long enough for the participants to </w:t>
      </w:r>
      <w:r w:rsidR="00DB1320">
        <w:rPr>
          <w:rFonts w:eastAsia="Times New Roman"/>
          <w:lang w:val="en-US"/>
        </w:rPr>
        <w:t xml:space="preserve">habituate to </w:t>
      </w:r>
      <w:r w:rsidR="004A0EBD">
        <w:rPr>
          <w:rFonts w:eastAsia="Times New Roman"/>
          <w:lang w:val="en-US"/>
        </w:rPr>
        <w:t xml:space="preserve">wearing </w:t>
      </w:r>
      <w:r w:rsidR="00D00776">
        <w:rPr>
          <w:rFonts w:eastAsia="Times New Roman"/>
          <w:lang w:val="en-US"/>
        </w:rPr>
        <w:t>the different shoes</w:t>
      </w:r>
      <w:r w:rsidR="001A347F">
        <w:rPr>
          <w:rFonts w:eastAsia="Times New Roman"/>
          <w:lang w:val="en-US"/>
        </w:rPr>
        <w:t>. Although we cannot rule this out</w:t>
      </w:r>
      <w:r w:rsidR="00D00776">
        <w:rPr>
          <w:rFonts w:eastAsia="Times New Roman"/>
          <w:lang w:val="en-US"/>
        </w:rPr>
        <w:t>,</w:t>
      </w:r>
      <w:r w:rsidR="001A347F">
        <w:rPr>
          <w:rFonts w:eastAsia="Times New Roman"/>
          <w:lang w:val="en-US"/>
        </w:rPr>
        <w:t xml:space="preserve"> our approach wa</w:t>
      </w:r>
      <w:r w:rsidR="00937A8B">
        <w:rPr>
          <w:rFonts w:eastAsia="Times New Roman"/>
          <w:lang w:val="en-US"/>
        </w:rPr>
        <w:t xml:space="preserve">s consistent with what </w:t>
      </w:r>
      <w:r w:rsidR="001C76FA">
        <w:rPr>
          <w:rFonts w:eastAsia="Times New Roman"/>
          <w:lang w:val="en-US"/>
        </w:rPr>
        <w:t>others have</w:t>
      </w:r>
      <w:r w:rsidR="0059576E">
        <w:rPr>
          <w:rFonts w:eastAsia="Times New Roman"/>
          <w:lang w:val="en-US"/>
        </w:rPr>
        <w:t xml:space="preserve"> done previously</w:t>
      </w:r>
      <w:r w:rsidR="00205CCC">
        <w:rPr>
          <w:rFonts w:eastAsia="Times New Roman"/>
          <w:lang w:val="en-US"/>
        </w:rPr>
        <w:t xml:space="preserve"> [3, 5]</w:t>
      </w:r>
      <w:r w:rsidR="0059576E">
        <w:rPr>
          <w:rFonts w:eastAsia="Times New Roman"/>
          <w:lang w:val="en-US"/>
        </w:rPr>
        <w:t>.</w:t>
      </w:r>
      <w:r w:rsidR="0009700A">
        <w:rPr>
          <w:rFonts w:eastAsia="Times New Roman"/>
          <w:lang w:val="en-US"/>
        </w:rPr>
        <w:t xml:space="preserve"> </w:t>
      </w:r>
      <w:r w:rsidR="004A0EBD">
        <w:rPr>
          <w:rFonts w:eastAsia="Times New Roman"/>
          <w:lang w:val="en-US"/>
        </w:rPr>
        <w:t>Alternatively</w:t>
      </w:r>
      <w:r w:rsidR="004F65CC">
        <w:rPr>
          <w:rFonts w:eastAsia="Times New Roman"/>
          <w:lang w:val="en-US"/>
        </w:rPr>
        <w:t>, i</w:t>
      </w:r>
      <w:r w:rsidR="007508D5">
        <w:rPr>
          <w:rFonts w:eastAsia="Times New Roman"/>
          <w:lang w:val="en-US"/>
        </w:rPr>
        <w:t xml:space="preserve">t may be that the biomechanical effects were generally </w:t>
      </w:r>
      <w:r w:rsidR="0009700A">
        <w:rPr>
          <w:rFonts w:eastAsia="Times New Roman"/>
          <w:lang w:val="en-US"/>
        </w:rPr>
        <w:t>too small to influence</w:t>
      </w:r>
      <w:r w:rsidR="007508D5">
        <w:rPr>
          <w:rFonts w:eastAsia="Times New Roman"/>
          <w:lang w:val="en-US"/>
        </w:rPr>
        <w:t xml:space="preserve"> walking distances or that</w:t>
      </w:r>
      <w:r w:rsidR="009C5CDF">
        <w:rPr>
          <w:rFonts w:eastAsia="Times New Roman"/>
          <w:lang w:val="en-US"/>
        </w:rPr>
        <w:t xml:space="preserve"> </w:t>
      </w:r>
      <w:proofErr w:type="spellStart"/>
      <w:r w:rsidR="009C5CDF">
        <w:rPr>
          <w:rFonts w:eastAsia="Times New Roman"/>
          <w:lang w:val="en-US"/>
        </w:rPr>
        <w:t>claudication</w:t>
      </w:r>
      <w:proofErr w:type="spellEnd"/>
      <w:r w:rsidR="009C5CDF">
        <w:rPr>
          <w:rFonts w:eastAsia="Times New Roman"/>
          <w:lang w:val="en-US"/>
        </w:rPr>
        <w:t xml:space="preserve"> symptoms are not as strongly influenced </w:t>
      </w:r>
      <w:r w:rsidR="00307739">
        <w:rPr>
          <w:rFonts w:eastAsia="Times New Roman"/>
          <w:lang w:val="en-US"/>
        </w:rPr>
        <w:t>by manipulating ankle</w:t>
      </w:r>
      <w:r w:rsidR="009C5CDF">
        <w:rPr>
          <w:rFonts w:eastAsia="Times New Roman"/>
          <w:lang w:val="en-US"/>
        </w:rPr>
        <w:t xml:space="preserve"> biomechanics as we originally suspected. </w:t>
      </w:r>
      <w:r w:rsidR="00D00776">
        <w:rPr>
          <w:rFonts w:eastAsia="Times New Roman"/>
          <w:lang w:val="en-US"/>
        </w:rPr>
        <w:t xml:space="preserve">Interestingly, the mean reduction in peak ankle </w:t>
      </w:r>
      <w:proofErr w:type="spellStart"/>
      <w:r w:rsidR="00D00776">
        <w:rPr>
          <w:rFonts w:eastAsia="Times New Roman"/>
          <w:lang w:val="en-US"/>
        </w:rPr>
        <w:t>plantarflexion</w:t>
      </w:r>
      <w:proofErr w:type="spellEnd"/>
      <w:r w:rsidR="00032CBE">
        <w:rPr>
          <w:rFonts w:eastAsia="Times New Roman"/>
          <w:lang w:val="en-US"/>
        </w:rPr>
        <w:t xml:space="preserve"> moment</w:t>
      </w:r>
      <w:r w:rsidR="00D00776">
        <w:rPr>
          <w:rFonts w:eastAsia="Times New Roman"/>
          <w:lang w:val="en-US"/>
        </w:rPr>
        <w:t xml:space="preserve"> was smaller than that reported previously </w:t>
      </w:r>
      <w:r w:rsidR="0059576E">
        <w:rPr>
          <w:rFonts w:eastAsia="Times New Roman"/>
          <w:lang w:val="en-US"/>
        </w:rPr>
        <w:t>in healthy younger adults</w:t>
      </w:r>
      <w:r w:rsidR="00D00776">
        <w:rPr>
          <w:rFonts w:eastAsia="Times New Roman"/>
          <w:lang w:val="en-US"/>
        </w:rPr>
        <w:t xml:space="preserve"> (14% vs. 25%)</w:t>
      </w:r>
      <w:r w:rsidR="00205CCC">
        <w:rPr>
          <w:rFonts w:eastAsia="Times New Roman"/>
          <w:lang w:val="en-US"/>
        </w:rPr>
        <w:t xml:space="preserve"> [6]</w:t>
      </w:r>
      <w:r w:rsidR="001A347F">
        <w:rPr>
          <w:rFonts w:eastAsia="Times New Roman"/>
          <w:lang w:val="en-US"/>
        </w:rPr>
        <w:t>. This</w:t>
      </w:r>
      <w:r w:rsidR="00D00776">
        <w:rPr>
          <w:rFonts w:eastAsia="Times New Roman"/>
          <w:lang w:val="en-US"/>
        </w:rPr>
        <w:t xml:space="preserve"> </w:t>
      </w:r>
      <w:r w:rsidR="001A347F">
        <w:rPr>
          <w:rFonts w:eastAsia="Times New Roman"/>
          <w:lang w:val="en-US"/>
        </w:rPr>
        <w:t xml:space="preserve">difference </w:t>
      </w:r>
      <w:r w:rsidR="00D00776">
        <w:rPr>
          <w:rFonts w:eastAsia="Times New Roman"/>
          <w:lang w:val="en-US"/>
        </w:rPr>
        <w:t>may have be</w:t>
      </w:r>
      <w:r w:rsidR="001A347F">
        <w:rPr>
          <w:rFonts w:eastAsia="Times New Roman"/>
          <w:lang w:val="en-US"/>
        </w:rPr>
        <w:t xml:space="preserve">en due to the slight alterations that </w:t>
      </w:r>
      <w:r w:rsidR="001A347F">
        <w:rPr>
          <w:rFonts w:eastAsia="Times New Roman"/>
          <w:lang w:val="en-US"/>
        </w:rPr>
        <w:lastRenderedPageBreak/>
        <w:t>were made for</w:t>
      </w:r>
      <w:r w:rsidR="00D00776">
        <w:rPr>
          <w:rFonts w:eastAsia="Times New Roman"/>
          <w:lang w:val="en-US"/>
        </w:rPr>
        <w:t xml:space="preserve"> interventio</w:t>
      </w:r>
      <w:r w:rsidR="001A347F">
        <w:rPr>
          <w:rFonts w:eastAsia="Times New Roman"/>
          <w:lang w:val="en-US"/>
        </w:rPr>
        <w:t xml:space="preserve">n and control shoes </w:t>
      </w:r>
      <w:r w:rsidR="00086F71">
        <w:rPr>
          <w:rFonts w:eastAsia="Times New Roman"/>
          <w:lang w:val="en-US"/>
        </w:rPr>
        <w:t>in the present study, e.g.,</w:t>
      </w:r>
      <w:r w:rsidR="001A347F">
        <w:rPr>
          <w:rFonts w:eastAsia="Times New Roman"/>
          <w:lang w:val="en-US"/>
        </w:rPr>
        <w:t xml:space="preserve"> the soles of the unloading shoes being </w:t>
      </w:r>
      <w:r w:rsidR="00937A8B">
        <w:rPr>
          <w:rFonts w:eastAsia="Times New Roman"/>
          <w:lang w:val="en-US"/>
        </w:rPr>
        <w:t xml:space="preserve">made </w:t>
      </w:r>
      <w:r w:rsidR="001A347F">
        <w:rPr>
          <w:rFonts w:eastAsia="Times New Roman"/>
          <w:lang w:val="en-US"/>
        </w:rPr>
        <w:t>less d</w:t>
      </w:r>
      <w:r w:rsidR="00086F71">
        <w:rPr>
          <w:rFonts w:eastAsia="Times New Roman"/>
          <w:lang w:val="en-US"/>
        </w:rPr>
        <w:t xml:space="preserve">eep </w:t>
      </w:r>
      <w:r w:rsidR="001A347F">
        <w:rPr>
          <w:rFonts w:eastAsia="Times New Roman"/>
          <w:lang w:val="en-US"/>
        </w:rPr>
        <w:t xml:space="preserve">to </w:t>
      </w:r>
      <w:r w:rsidR="00086F71">
        <w:rPr>
          <w:rFonts w:eastAsia="Times New Roman"/>
          <w:lang w:val="en-US"/>
        </w:rPr>
        <w:t>increase acceptability</w:t>
      </w:r>
      <w:r w:rsidR="00BB299E">
        <w:rPr>
          <w:rFonts w:eastAsia="Times New Roman"/>
          <w:lang w:val="en-US"/>
        </w:rPr>
        <w:t xml:space="preserve"> to participants</w:t>
      </w:r>
      <w:r w:rsidR="00086F71">
        <w:rPr>
          <w:rFonts w:eastAsia="Times New Roman"/>
          <w:lang w:val="en-US"/>
        </w:rPr>
        <w:t>, and the soles of the control shoes being “filled in” to facilitate</w:t>
      </w:r>
      <w:r w:rsidR="00BB299E">
        <w:rPr>
          <w:rFonts w:eastAsia="Times New Roman"/>
          <w:lang w:val="en-US"/>
        </w:rPr>
        <w:t xml:space="preserve"> participant</w:t>
      </w:r>
      <w:r w:rsidR="00086F71">
        <w:rPr>
          <w:rFonts w:eastAsia="Times New Roman"/>
          <w:lang w:val="en-US"/>
        </w:rPr>
        <w:t xml:space="preserve"> blinding</w:t>
      </w:r>
      <w:r w:rsidR="00D00776">
        <w:rPr>
          <w:rFonts w:eastAsia="Times New Roman"/>
          <w:lang w:val="en-US"/>
        </w:rPr>
        <w:t xml:space="preserve">. </w:t>
      </w:r>
      <w:r w:rsidR="001C76FA">
        <w:rPr>
          <w:rFonts w:eastAsia="Times New Roman"/>
          <w:lang w:val="en-US"/>
        </w:rPr>
        <w:t xml:space="preserve">However, given that the absolute reduction in peak ankle power generation </w:t>
      </w:r>
      <w:r w:rsidR="000B0E6A">
        <w:rPr>
          <w:rFonts w:eastAsia="Times New Roman"/>
          <w:lang w:val="en-US"/>
        </w:rPr>
        <w:t>wa</w:t>
      </w:r>
      <w:r w:rsidR="001C76FA">
        <w:rPr>
          <w:rFonts w:eastAsia="Times New Roman"/>
          <w:lang w:val="en-US"/>
        </w:rPr>
        <w:t xml:space="preserve">s </w:t>
      </w:r>
      <w:r w:rsidR="000B0E6A">
        <w:rPr>
          <w:rFonts w:eastAsia="Times New Roman"/>
          <w:lang w:val="en-US"/>
        </w:rPr>
        <w:t>of similar</w:t>
      </w:r>
      <w:r w:rsidR="001C76FA">
        <w:rPr>
          <w:rFonts w:eastAsia="Times New Roman"/>
          <w:lang w:val="en-US"/>
        </w:rPr>
        <w:t xml:space="preserve"> magnitude to the difference </w:t>
      </w:r>
      <w:r w:rsidR="000B0E6A">
        <w:rPr>
          <w:rFonts w:eastAsia="Times New Roman"/>
          <w:lang w:val="en-US"/>
        </w:rPr>
        <w:t>previously</w:t>
      </w:r>
      <w:r w:rsidR="001C76FA">
        <w:rPr>
          <w:rFonts w:eastAsia="Times New Roman"/>
          <w:lang w:val="en-US"/>
        </w:rPr>
        <w:t xml:space="preserve"> reported between </w:t>
      </w:r>
      <w:proofErr w:type="spellStart"/>
      <w:r w:rsidR="001C76FA">
        <w:rPr>
          <w:rFonts w:eastAsia="Times New Roman"/>
          <w:lang w:val="en-US"/>
        </w:rPr>
        <w:t>claudication</w:t>
      </w:r>
      <w:proofErr w:type="spellEnd"/>
      <w:r w:rsidR="001C76FA">
        <w:rPr>
          <w:rFonts w:eastAsia="Times New Roman"/>
          <w:lang w:val="en-US"/>
        </w:rPr>
        <w:t xml:space="preserve"> patients and healthy controls (</w:t>
      </w:r>
      <w:r w:rsidR="001C76FA" w:rsidRPr="001C76FA">
        <w:rPr>
          <w:rFonts w:eastAsia="Times New Roman"/>
          <w:lang w:val="en-US"/>
        </w:rPr>
        <w:t xml:space="preserve">2.437 </w:t>
      </w:r>
      <w:r w:rsidR="00F15716">
        <w:rPr>
          <w:rFonts w:eastAsia="Times New Roman"/>
          <w:lang w:val="en-US"/>
        </w:rPr>
        <w:t xml:space="preserve">[SD </w:t>
      </w:r>
      <w:r w:rsidR="001C76FA" w:rsidRPr="001C76FA">
        <w:rPr>
          <w:rFonts w:eastAsia="Times New Roman"/>
          <w:lang w:val="en-US"/>
        </w:rPr>
        <w:t>0.445</w:t>
      </w:r>
      <w:r w:rsidR="00F15716">
        <w:rPr>
          <w:rFonts w:eastAsia="Times New Roman"/>
          <w:lang w:val="en-US"/>
        </w:rPr>
        <w:t>]</w:t>
      </w:r>
      <w:r w:rsidR="001C76FA">
        <w:rPr>
          <w:rFonts w:eastAsia="Times New Roman"/>
          <w:lang w:val="en-US"/>
        </w:rPr>
        <w:t xml:space="preserve"> vs. </w:t>
      </w:r>
      <w:r w:rsidR="001C76FA" w:rsidRPr="001C76FA">
        <w:rPr>
          <w:rFonts w:eastAsia="Times New Roman"/>
          <w:lang w:val="en-US"/>
        </w:rPr>
        <w:t xml:space="preserve">2.957 </w:t>
      </w:r>
      <w:r w:rsidR="00F15716">
        <w:rPr>
          <w:rFonts w:eastAsia="Times New Roman"/>
          <w:lang w:val="en-US"/>
        </w:rPr>
        <w:t xml:space="preserve">[SD </w:t>
      </w:r>
      <w:r w:rsidR="001C76FA" w:rsidRPr="001C76FA">
        <w:rPr>
          <w:rFonts w:eastAsia="Times New Roman"/>
          <w:lang w:val="en-US"/>
        </w:rPr>
        <w:t>0.686</w:t>
      </w:r>
      <w:r w:rsidR="00F15716">
        <w:rPr>
          <w:rFonts w:eastAsia="Times New Roman"/>
          <w:lang w:val="en-US"/>
        </w:rPr>
        <w:t>]</w:t>
      </w:r>
      <w:r w:rsidR="001C76FA">
        <w:rPr>
          <w:rFonts w:eastAsia="Times New Roman"/>
          <w:lang w:val="en-US"/>
        </w:rPr>
        <w:t>, p&lt;0.01)</w:t>
      </w:r>
      <w:r w:rsidR="00205CCC">
        <w:rPr>
          <w:rFonts w:eastAsia="Times New Roman"/>
          <w:lang w:val="en-US"/>
        </w:rPr>
        <w:t xml:space="preserve"> [15]</w:t>
      </w:r>
      <w:r w:rsidR="001C76FA">
        <w:rPr>
          <w:rFonts w:eastAsia="Times New Roman"/>
          <w:lang w:val="en-US"/>
        </w:rPr>
        <w:t xml:space="preserve">, we are surprised that </w:t>
      </w:r>
      <w:r w:rsidR="000B0E6A">
        <w:rPr>
          <w:rFonts w:eastAsia="Times New Roman"/>
          <w:lang w:val="en-US"/>
        </w:rPr>
        <w:t>changes in walking distances were not observed</w:t>
      </w:r>
      <w:r w:rsidR="001C76FA">
        <w:rPr>
          <w:rFonts w:eastAsia="Times New Roman"/>
          <w:lang w:val="en-US"/>
        </w:rPr>
        <w:t xml:space="preserve">. </w:t>
      </w:r>
      <w:r w:rsidR="00086F71">
        <w:rPr>
          <w:rFonts w:eastAsia="Times New Roman"/>
          <w:lang w:val="en-US"/>
        </w:rPr>
        <w:t>It is important to remember</w:t>
      </w:r>
      <w:r w:rsidR="00086F71" w:rsidRPr="001A347F">
        <w:rPr>
          <w:rFonts w:eastAsia="Times New Roman"/>
          <w:lang w:val="en-US"/>
        </w:rPr>
        <w:t xml:space="preserve"> that there is no such thing as a “biomechanically </w:t>
      </w:r>
      <w:r w:rsidR="00086F71">
        <w:rPr>
          <w:rFonts w:eastAsia="Times New Roman"/>
          <w:lang w:val="en-US"/>
        </w:rPr>
        <w:t>inert” shoe to use as a placebo, and we are confident</w:t>
      </w:r>
      <w:r w:rsidR="00086F71" w:rsidRPr="001A347F">
        <w:rPr>
          <w:rFonts w:eastAsia="Times New Roman"/>
          <w:lang w:val="en-US"/>
        </w:rPr>
        <w:t xml:space="preserve"> </w:t>
      </w:r>
      <w:r w:rsidR="00086F71">
        <w:rPr>
          <w:rFonts w:eastAsia="Times New Roman"/>
          <w:lang w:val="en-US"/>
        </w:rPr>
        <w:t>that the shoe</w:t>
      </w:r>
      <w:r w:rsidR="001A347F">
        <w:rPr>
          <w:rFonts w:eastAsia="Times New Roman"/>
          <w:lang w:val="en-US"/>
        </w:rPr>
        <w:t xml:space="preserve"> design features </w:t>
      </w:r>
      <w:r w:rsidR="00086F71">
        <w:rPr>
          <w:rFonts w:eastAsia="Times New Roman"/>
          <w:lang w:val="en-US"/>
        </w:rPr>
        <w:t>we selected</w:t>
      </w:r>
      <w:r w:rsidR="001A347F">
        <w:rPr>
          <w:rFonts w:eastAsia="Times New Roman"/>
          <w:lang w:val="en-US"/>
        </w:rPr>
        <w:t xml:space="preserve"> were appropriate for assessing the functional effects of unloading shoes while maintaining </w:t>
      </w:r>
      <w:r w:rsidR="00086F71">
        <w:rPr>
          <w:rFonts w:eastAsia="Times New Roman"/>
          <w:lang w:val="en-US"/>
        </w:rPr>
        <w:t>methodological rigor</w:t>
      </w:r>
      <w:r w:rsidR="001A347F">
        <w:rPr>
          <w:rFonts w:eastAsia="Times New Roman"/>
          <w:lang w:val="en-US"/>
        </w:rPr>
        <w:t xml:space="preserve">. </w:t>
      </w:r>
      <w:r w:rsidR="00A50711">
        <w:rPr>
          <w:rFonts w:eastAsia="Times New Roman"/>
          <w:lang w:val="en-US"/>
        </w:rPr>
        <w:t>Nevertheless, f</w:t>
      </w:r>
      <w:r w:rsidR="00A50711" w:rsidRPr="007508D5">
        <w:rPr>
          <w:rFonts w:eastAsia="Times New Roman"/>
          <w:lang w:val="en-US"/>
        </w:rPr>
        <w:t xml:space="preserve">urther research </w:t>
      </w:r>
      <w:r w:rsidR="00A50711">
        <w:rPr>
          <w:rFonts w:eastAsia="Times New Roman"/>
          <w:lang w:val="en-US"/>
        </w:rPr>
        <w:t>would be useful</w:t>
      </w:r>
      <w:r w:rsidR="00A50711" w:rsidRPr="007508D5">
        <w:rPr>
          <w:rFonts w:eastAsia="Times New Roman"/>
          <w:lang w:val="en-US"/>
        </w:rPr>
        <w:t xml:space="preserve"> to</w:t>
      </w:r>
      <w:r w:rsidR="00A50711">
        <w:rPr>
          <w:rFonts w:eastAsia="Times New Roman"/>
          <w:lang w:val="en-US"/>
        </w:rPr>
        <w:t xml:space="preserve"> determine the magnitude of calf unloading that is needed to observe an improved walking ability in different </w:t>
      </w:r>
      <w:proofErr w:type="spellStart"/>
      <w:r w:rsidR="00A50711">
        <w:rPr>
          <w:rFonts w:eastAsia="Times New Roman"/>
          <w:lang w:val="en-US"/>
        </w:rPr>
        <w:t>claudicants</w:t>
      </w:r>
      <w:proofErr w:type="spellEnd"/>
      <w:r w:rsidR="00A50711">
        <w:rPr>
          <w:rFonts w:eastAsia="Times New Roman"/>
          <w:lang w:val="en-US"/>
        </w:rPr>
        <w:t>, and to</w:t>
      </w:r>
      <w:r w:rsidR="00A50711" w:rsidRPr="007508D5">
        <w:rPr>
          <w:rFonts w:eastAsia="Times New Roman"/>
          <w:lang w:val="en-US"/>
        </w:rPr>
        <w:t xml:space="preserve"> see if engineering of the shoe can produce greater biomechanical effects without compromising safe</w:t>
      </w:r>
      <w:r w:rsidR="00A50711">
        <w:rPr>
          <w:rFonts w:eastAsia="Times New Roman"/>
          <w:lang w:val="en-US"/>
        </w:rPr>
        <w:t>ty and acceptability</w:t>
      </w:r>
      <w:r w:rsidR="00A50711" w:rsidRPr="007508D5">
        <w:rPr>
          <w:rFonts w:eastAsia="Times New Roman"/>
          <w:lang w:val="en-US"/>
        </w:rPr>
        <w:t>.</w:t>
      </w:r>
    </w:p>
    <w:p w:rsidR="00086F71" w:rsidRDefault="00086F71" w:rsidP="0005593D">
      <w:pPr>
        <w:spacing w:line="480" w:lineRule="auto"/>
        <w:rPr>
          <w:rFonts w:eastAsia="Times New Roman"/>
          <w:lang w:val="en-US"/>
        </w:rPr>
      </w:pPr>
    </w:p>
    <w:p w:rsidR="00086F71" w:rsidRPr="001F4474" w:rsidRDefault="00494BFD" w:rsidP="00086F71">
      <w:pPr>
        <w:spacing w:line="480" w:lineRule="auto"/>
      </w:pPr>
      <w:r>
        <w:rPr>
          <w:rFonts w:eastAsia="Times New Roman"/>
          <w:lang w:val="en-US"/>
        </w:rPr>
        <w:t xml:space="preserve">Interestingly, the variable effects of footwear on the walking ability of </w:t>
      </w:r>
      <w:proofErr w:type="spellStart"/>
      <w:r>
        <w:rPr>
          <w:rFonts w:eastAsia="Times New Roman"/>
          <w:lang w:val="en-US"/>
        </w:rPr>
        <w:t>claudicant</w:t>
      </w:r>
      <w:r w:rsidR="0059576E">
        <w:rPr>
          <w:rFonts w:eastAsia="Times New Roman"/>
          <w:lang w:val="en-US"/>
        </w:rPr>
        <w:t>s</w:t>
      </w:r>
      <w:proofErr w:type="spellEnd"/>
      <w:r w:rsidR="0059576E">
        <w:rPr>
          <w:rFonts w:eastAsia="Times New Roman"/>
          <w:lang w:val="en-US"/>
        </w:rPr>
        <w:t xml:space="preserve"> in the literature</w:t>
      </w:r>
      <w:r w:rsidR="00205CCC">
        <w:rPr>
          <w:rFonts w:eastAsia="Times New Roman"/>
          <w:lang w:val="en-US"/>
        </w:rPr>
        <w:t xml:space="preserve"> [3, 5]</w:t>
      </w:r>
      <w:r w:rsidR="0059576E">
        <w:rPr>
          <w:rFonts w:eastAsia="Times New Roman"/>
          <w:lang w:val="en-US"/>
        </w:rPr>
        <w:t>,</w:t>
      </w:r>
      <w:r>
        <w:rPr>
          <w:rFonts w:eastAsia="Times New Roman"/>
          <w:lang w:val="en-US"/>
        </w:rPr>
        <w:t xml:space="preserve"> and the fact that </w:t>
      </w:r>
      <w:r w:rsidR="00086F71">
        <w:rPr>
          <w:rFonts w:eastAsia="Times New Roman"/>
          <w:lang w:val="en-US"/>
        </w:rPr>
        <w:t>many</w:t>
      </w:r>
      <w:r>
        <w:rPr>
          <w:rFonts w:eastAsia="Times New Roman"/>
          <w:lang w:val="en-US"/>
        </w:rPr>
        <w:t xml:space="preserve"> of participants reported ben</w:t>
      </w:r>
      <w:r w:rsidR="00086F71">
        <w:rPr>
          <w:rFonts w:eastAsia="Times New Roman"/>
          <w:lang w:val="en-US"/>
        </w:rPr>
        <w:t>eficial effects of both</w:t>
      </w:r>
      <w:r>
        <w:rPr>
          <w:rFonts w:eastAsia="Times New Roman"/>
          <w:lang w:val="en-US"/>
        </w:rPr>
        <w:t xml:space="preserve"> shoe</w:t>
      </w:r>
      <w:r w:rsidR="00086F71">
        <w:rPr>
          <w:rFonts w:eastAsia="Times New Roman"/>
          <w:lang w:val="en-US"/>
        </w:rPr>
        <w:t xml:space="preserve"> type</w:t>
      </w:r>
      <w:r>
        <w:rPr>
          <w:rFonts w:eastAsia="Times New Roman"/>
          <w:lang w:val="en-US"/>
        </w:rPr>
        <w:t>s during the 2-week home-wear period, raises the possibility</w:t>
      </w:r>
      <w:r w:rsidR="004A0EBD">
        <w:rPr>
          <w:rFonts w:eastAsia="Times New Roman"/>
          <w:lang w:val="en-US"/>
        </w:rPr>
        <w:t xml:space="preserve"> that</w:t>
      </w:r>
      <w:r w:rsidR="00ED358A">
        <w:rPr>
          <w:rFonts w:eastAsia="Times New Roman"/>
          <w:lang w:val="en-US"/>
        </w:rPr>
        <w:t xml:space="preserve"> </w:t>
      </w:r>
      <w:r w:rsidR="004F65CC">
        <w:rPr>
          <w:rFonts w:eastAsia="Times New Roman"/>
          <w:lang w:val="en-US"/>
        </w:rPr>
        <w:t>some pa</w:t>
      </w:r>
      <w:r w:rsidR="00937A8B">
        <w:rPr>
          <w:rFonts w:eastAsia="Times New Roman"/>
          <w:lang w:val="en-US"/>
        </w:rPr>
        <w:t>tient</w:t>
      </w:r>
      <w:r w:rsidR="004F65CC">
        <w:rPr>
          <w:rFonts w:eastAsia="Times New Roman"/>
          <w:lang w:val="en-US"/>
        </w:rPr>
        <w:t>s are</w:t>
      </w:r>
      <w:r w:rsidR="00ED358A">
        <w:rPr>
          <w:rFonts w:eastAsia="Times New Roman"/>
          <w:lang w:val="en-US"/>
        </w:rPr>
        <w:t xml:space="preserve"> more responsive to biomechanical interventions </w:t>
      </w:r>
      <w:r>
        <w:rPr>
          <w:rFonts w:eastAsia="Times New Roman"/>
          <w:lang w:val="en-US"/>
        </w:rPr>
        <w:t>than others</w:t>
      </w:r>
      <w:r w:rsidR="00ED358A">
        <w:rPr>
          <w:rFonts w:eastAsia="Times New Roman"/>
          <w:lang w:val="en-US"/>
        </w:rPr>
        <w:t xml:space="preserve">. </w:t>
      </w:r>
      <w:r w:rsidR="00086F71">
        <w:t>Placebo effects likely explain at least some of the reported benefits by survey respondents and interviewees</w:t>
      </w:r>
      <w:r w:rsidR="00086F71" w:rsidRPr="00EF6530">
        <w:t xml:space="preserve"> </w:t>
      </w:r>
      <w:r w:rsidR="00086F71">
        <w:t xml:space="preserve">for both types of shoes. </w:t>
      </w:r>
      <w:r w:rsidR="00086F71" w:rsidRPr="008854E8">
        <w:t>The reported benefits of both shoe types</w:t>
      </w:r>
      <w:r w:rsidR="00086F71">
        <w:t xml:space="preserve"> might, however,</w:t>
      </w:r>
      <w:r w:rsidR="00086F71" w:rsidRPr="008854E8">
        <w:t xml:space="preserve"> </w:t>
      </w:r>
      <w:r w:rsidR="00086F71">
        <w:t xml:space="preserve">also </w:t>
      </w:r>
      <w:r w:rsidR="00086F71" w:rsidRPr="008854E8">
        <w:t>be related to other characteristics that were</w:t>
      </w:r>
      <w:r w:rsidR="00A50711">
        <w:t xml:space="preserve"> common to both shoes. Both</w:t>
      </w:r>
      <w:r w:rsidR="00086F71" w:rsidRPr="008854E8">
        <w:t xml:space="preserve"> were cushioned, lace-up shoes with flexible leather uppers, which</w:t>
      </w:r>
      <w:r w:rsidR="00086F71">
        <w:t xml:space="preserve"> for some participants may have represented a significant improvement over their usual footwear. Unfortunately</w:t>
      </w:r>
      <w:r w:rsidR="006F45C0">
        <w:t xml:space="preserve">, the </w:t>
      </w:r>
      <w:r w:rsidR="00086F71">
        <w:t>usual footwear</w:t>
      </w:r>
      <w:r w:rsidR="006F45C0">
        <w:t xml:space="preserve"> was not recorded</w:t>
      </w:r>
      <w:r w:rsidR="00086F71">
        <w:t>.</w:t>
      </w:r>
      <w:r w:rsidR="00A50711">
        <w:t xml:space="preserve"> </w:t>
      </w:r>
    </w:p>
    <w:p w:rsidR="00086F71" w:rsidRDefault="00086F71" w:rsidP="0005593D">
      <w:pPr>
        <w:spacing w:line="480" w:lineRule="auto"/>
        <w:rPr>
          <w:rFonts w:eastAsia="Times New Roman"/>
          <w:lang w:val="en-US"/>
        </w:rPr>
      </w:pPr>
    </w:p>
    <w:p w:rsidR="001F4474" w:rsidRPr="001F4474" w:rsidRDefault="006F45C0" w:rsidP="00937A8B">
      <w:pPr>
        <w:spacing w:line="480" w:lineRule="auto"/>
      </w:pPr>
      <w:r>
        <w:rPr>
          <w:rFonts w:eastAsia="Times New Roman"/>
          <w:lang w:val="en-US"/>
        </w:rPr>
        <w:t xml:space="preserve">In conclusion, the main finding from this study was that the unloading shoes were relatively ineffective for improving walking ability in people with calf </w:t>
      </w:r>
      <w:proofErr w:type="spellStart"/>
      <w:r>
        <w:rPr>
          <w:rFonts w:eastAsia="Times New Roman"/>
          <w:lang w:val="en-US"/>
        </w:rPr>
        <w:t>claudication</w:t>
      </w:r>
      <w:proofErr w:type="spellEnd"/>
      <w:r>
        <w:rPr>
          <w:rFonts w:eastAsia="Times New Roman"/>
          <w:lang w:val="en-US"/>
        </w:rPr>
        <w:t xml:space="preserve">. </w:t>
      </w:r>
      <w:r w:rsidR="00A50711">
        <w:rPr>
          <w:rFonts w:eastAsia="Times New Roman"/>
          <w:lang w:val="en-US"/>
        </w:rPr>
        <w:t>Although</w:t>
      </w:r>
      <w:r>
        <w:rPr>
          <w:rFonts w:eastAsia="Times New Roman"/>
          <w:lang w:val="en-US"/>
        </w:rPr>
        <w:t xml:space="preserve"> this finding is</w:t>
      </w:r>
      <w:r w:rsidR="00FC7E70" w:rsidRPr="00307739">
        <w:rPr>
          <w:rFonts w:eastAsia="Times New Roman"/>
          <w:lang w:val="en-US"/>
        </w:rPr>
        <w:t xml:space="preserve"> disappointing, the concept o</w:t>
      </w:r>
      <w:r>
        <w:rPr>
          <w:rFonts w:eastAsia="Times New Roman"/>
          <w:lang w:val="en-US"/>
        </w:rPr>
        <w:t xml:space="preserve">f a shoe reducing </w:t>
      </w:r>
      <w:proofErr w:type="spellStart"/>
      <w:r w:rsidR="00FC7E70" w:rsidRPr="00307739">
        <w:rPr>
          <w:rFonts w:eastAsia="Times New Roman"/>
          <w:lang w:val="en-US"/>
        </w:rPr>
        <w:t>claudication</w:t>
      </w:r>
      <w:proofErr w:type="spellEnd"/>
      <w:r w:rsidR="00FC7E70" w:rsidRPr="00307739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pain </w:t>
      </w:r>
      <w:r w:rsidR="00FC7E70" w:rsidRPr="00307739">
        <w:rPr>
          <w:rFonts w:eastAsia="Times New Roman"/>
          <w:lang w:val="en-US"/>
        </w:rPr>
        <w:t>remains good.</w:t>
      </w:r>
      <w:r w:rsidR="00F5390D" w:rsidRPr="00307739">
        <w:rPr>
          <w:rFonts w:eastAsia="Times New Roman"/>
          <w:lang w:val="en-US"/>
        </w:rPr>
        <w:t xml:space="preserve"> The mainstay </w:t>
      </w:r>
      <w:r w:rsidR="008371E5" w:rsidRPr="00307739">
        <w:rPr>
          <w:rFonts w:eastAsia="Times New Roman"/>
          <w:lang w:val="en-US"/>
        </w:rPr>
        <w:t xml:space="preserve">of </w:t>
      </w:r>
      <w:r w:rsidR="008371E5" w:rsidRPr="00307739">
        <w:rPr>
          <w:rFonts w:eastAsia="Times New Roman"/>
          <w:lang w:val="en-US"/>
        </w:rPr>
        <w:lastRenderedPageBreak/>
        <w:t xml:space="preserve">current </w:t>
      </w:r>
      <w:r w:rsidR="00F5390D" w:rsidRPr="00307739">
        <w:rPr>
          <w:rFonts w:eastAsia="Times New Roman"/>
          <w:lang w:val="en-US"/>
        </w:rPr>
        <w:t xml:space="preserve">treatment for intermittent </w:t>
      </w:r>
      <w:proofErr w:type="spellStart"/>
      <w:r w:rsidR="00F5390D" w:rsidRPr="00307739">
        <w:rPr>
          <w:rFonts w:eastAsia="Times New Roman"/>
          <w:lang w:val="en-US"/>
        </w:rPr>
        <w:t>claudication</w:t>
      </w:r>
      <w:proofErr w:type="spellEnd"/>
      <w:r w:rsidR="008371E5" w:rsidRPr="00307739">
        <w:rPr>
          <w:rFonts w:eastAsia="Times New Roman"/>
          <w:lang w:val="en-US"/>
        </w:rPr>
        <w:t>,</w:t>
      </w:r>
      <w:r w:rsidR="00F5390D" w:rsidRPr="00307739">
        <w:rPr>
          <w:rFonts w:eastAsia="Times New Roman"/>
          <w:lang w:val="en-US"/>
        </w:rPr>
        <w:t xml:space="preserve"> </w:t>
      </w:r>
      <w:r w:rsidR="008371E5" w:rsidRPr="00307739">
        <w:rPr>
          <w:rFonts w:eastAsia="Times New Roman"/>
          <w:lang w:val="en-US"/>
        </w:rPr>
        <w:t>after best medical therapy, is invasive intervention. We have a</w:t>
      </w:r>
      <w:r w:rsidR="00BE3FE0" w:rsidRPr="00307739">
        <w:rPr>
          <w:rFonts w:eastAsia="Times New Roman"/>
          <w:lang w:val="en-US"/>
        </w:rPr>
        <w:t xml:space="preserve"> </w:t>
      </w:r>
      <w:r w:rsidR="008371E5" w:rsidRPr="00307739">
        <w:rPr>
          <w:rFonts w:eastAsia="Times New Roman"/>
          <w:lang w:val="en-US"/>
        </w:rPr>
        <w:t>duty to continue to explore non-invasive options in</w:t>
      </w:r>
      <w:r w:rsidR="00BE3FE0" w:rsidRPr="00307739">
        <w:rPr>
          <w:rFonts w:eastAsia="Times New Roman"/>
          <w:lang w:val="en-US"/>
        </w:rPr>
        <w:t xml:space="preserve"> the management of</w:t>
      </w:r>
      <w:r w:rsidR="008371E5" w:rsidRPr="00307739">
        <w:rPr>
          <w:rFonts w:eastAsia="Times New Roman"/>
          <w:lang w:val="en-US"/>
        </w:rPr>
        <w:t xml:space="preserve"> </w:t>
      </w:r>
      <w:proofErr w:type="spellStart"/>
      <w:r w:rsidR="008371E5" w:rsidRPr="00307739">
        <w:rPr>
          <w:rFonts w:eastAsia="Times New Roman"/>
          <w:lang w:val="en-US"/>
        </w:rPr>
        <w:t>claudication</w:t>
      </w:r>
      <w:proofErr w:type="spellEnd"/>
      <w:r w:rsidR="008371E5" w:rsidRPr="00307739">
        <w:rPr>
          <w:rFonts w:eastAsia="Times New Roman"/>
          <w:lang w:val="en-US"/>
        </w:rPr>
        <w:t xml:space="preserve"> to compliment</w:t>
      </w:r>
      <w:r w:rsidR="00BE3FE0" w:rsidRPr="00307739">
        <w:rPr>
          <w:rFonts w:eastAsia="Times New Roman"/>
          <w:lang w:val="en-US"/>
        </w:rPr>
        <w:t>/</w:t>
      </w:r>
      <w:r w:rsidR="008371E5" w:rsidRPr="00307739">
        <w:rPr>
          <w:rFonts w:eastAsia="Times New Roman"/>
          <w:lang w:val="en-US"/>
        </w:rPr>
        <w:t xml:space="preserve">substitute </w:t>
      </w:r>
      <w:r w:rsidR="00307739">
        <w:rPr>
          <w:rFonts w:eastAsia="Times New Roman"/>
          <w:lang w:val="en-US"/>
        </w:rPr>
        <w:t xml:space="preserve">the </w:t>
      </w:r>
      <w:r w:rsidR="008371E5" w:rsidRPr="00307739">
        <w:rPr>
          <w:rFonts w:eastAsia="Times New Roman"/>
          <w:lang w:val="en-US"/>
        </w:rPr>
        <w:t xml:space="preserve">sporadic funding of supervised exercise </w:t>
      </w:r>
      <w:proofErr w:type="spellStart"/>
      <w:r w:rsidR="008371E5" w:rsidRPr="00307739">
        <w:rPr>
          <w:rFonts w:eastAsia="Times New Roman"/>
          <w:lang w:val="en-US"/>
        </w:rPr>
        <w:t>program</w:t>
      </w:r>
      <w:r w:rsidR="00307739">
        <w:rPr>
          <w:rFonts w:eastAsia="Times New Roman"/>
          <w:lang w:val="en-US"/>
        </w:rPr>
        <w:t>me</w:t>
      </w:r>
      <w:r w:rsidR="008371E5" w:rsidRPr="00307739">
        <w:rPr>
          <w:rFonts w:eastAsia="Times New Roman"/>
          <w:lang w:val="en-US"/>
        </w:rPr>
        <w:t>s</w:t>
      </w:r>
      <w:proofErr w:type="spellEnd"/>
      <w:r w:rsidR="00205CCC">
        <w:rPr>
          <w:rFonts w:eastAsia="Times New Roman"/>
          <w:lang w:val="en-US"/>
        </w:rPr>
        <w:t xml:space="preserve"> [16]</w:t>
      </w:r>
      <w:r w:rsidR="008371E5" w:rsidRPr="00307739">
        <w:rPr>
          <w:rFonts w:eastAsia="Times New Roman"/>
          <w:lang w:val="en-US"/>
        </w:rPr>
        <w:t>.</w:t>
      </w:r>
      <w:r w:rsidR="00FC7E70" w:rsidRPr="00307739">
        <w:rPr>
          <w:rFonts w:eastAsia="Times New Roman"/>
          <w:lang w:val="en-US"/>
        </w:rPr>
        <w:t xml:space="preserve"> </w:t>
      </w:r>
      <w:r w:rsidR="0009700A">
        <w:rPr>
          <w:rFonts w:eastAsia="Times New Roman"/>
          <w:lang w:val="en-US"/>
        </w:rPr>
        <w:t>Further preliminary studies are</w:t>
      </w:r>
      <w:r w:rsidR="00F5390D" w:rsidRPr="00307739">
        <w:rPr>
          <w:rFonts w:eastAsia="Times New Roman"/>
          <w:lang w:val="en-US"/>
        </w:rPr>
        <w:t xml:space="preserve"> needed</w:t>
      </w:r>
      <w:r w:rsidR="00307739">
        <w:rPr>
          <w:rFonts w:eastAsia="Times New Roman"/>
          <w:lang w:val="en-US"/>
        </w:rPr>
        <w:t xml:space="preserve"> to </w:t>
      </w:r>
      <w:proofErr w:type="spellStart"/>
      <w:r w:rsidR="00307739">
        <w:rPr>
          <w:rFonts w:eastAsia="Times New Roman"/>
          <w:lang w:val="en-US"/>
        </w:rPr>
        <w:t>optimise</w:t>
      </w:r>
      <w:proofErr w:type="spellEnd"/>
      <w:r w:rsidR="00307739">
        <w:rPr>
          <w:rFonts w:eastAsia="Times New Roman"/>
          <w:lang w:val="en-US"/>
        </w:rPr>
        <w:t xml:space="preserve"> shoe design and confirm</w:t>
      </w:r>
      <w:r w:rsidR="00F5390D" w:rsidRPr="00307739">
        <w:rPr>
          <w:rFonts w:eastAsia="Times New Roman"/>
          <w:lang w:val="en-US"/>
        </w:rPr>
        <w:t xml:space="preserve"> clinical efficacy </w:t>
      </w:r>
      <w:r w:rsidR="00907FF6">
        <w:rPr>
          <w:rFonts w:eastAsia="Times New Roman"/>
          <w:lang w:val="en-US"/>
        </w:rPr>
        <w:t>before long-term</w:t>
      </w:r>
      <w:r w:rsidR="0009700A">
        <w:rPr>
          <w:rFonts w:eastAsia="Times New Roman"/>
          <w:lang w:val="en-US"/>
        </w:rPr>
        <w:t xml:space="preserve"> effectiveness studies are</w:t>
      </w:r>
      <w:r w:rsidR="00907FF6">
        <w:rPr>
          <w:rFonts w:eastAsia="Times New Roman"/>
          <w:lang w:val="en-US"/>
        </w:rPr>
        <w:t xml:space="preserve"> pursued; however, we believe that t</w:t>
      </w:r>
      <w:r w:rsidR="00F5390D" w:rsidRPr="00307739">
        <w:rPr>
          <w:rFonts w:eastAsia="Times New Roman"/>
          <w:lang w:val="en-US"/>
        </w:rPr>
        <w:t xml:space="preserve">he </w:t>
      </w:r>
      <w:r w:rsidR="0009700A">
        <w:rPr>
          <w:rFonts w:eastAsia="Times New Roman"/>
          <w:lang w:val="en-US"/>
        </w:rPr>
        <w:t>feasib</w:t>
      </w:r>
      <w:r w:rsidR="00F5390D" w:rsidRPr="00307739">
        <w:rPr>
          <w:rFonts w:eastAsia="Times New Roman"/>
          <w:lang w:val="en-US"/>
        </w:rPr>
        <w:t xml:space="preserve">ility </w:t>
      </w:r>
      <w:r w:rsidR="00907FF6">
        <w:rPr>
          <w:rFonts w:eastAsia="Times New Roman"/>
          <w:lang w:val="en-US"/>
        </w:rPr>
        <w:t>of a longer-</w:t>
      </w:r>
      <w:r w:rsidR="0009700A">
        <w:rPr>
          <w:rFonts w:eastAsia="Times New Roman"/>
          <w:lang w:val="en-US"/>
        </w:rPr>
        <w:t>term study is supported by our findings</w:t>
      </w:r>
      <w:r w:rsidR="00937A8B">
        <w:rPr>
          <w:rFonts w:eastAsia="Times New Roman"/>
          <w:lang w:val="en-US"/>
        </w:rPr>
        <w:t>.</w:t>
      </w:r>
      <w:r w:rsidR="00A50711" w:rsidRPr="00A50711">
        <w:t xml:space="preserve"> </w:t>
      </w:r>
    </w:p>
    <w:p w:rsidR="001F4474" w:rsidRPr="003E4AD7" w:rsidRDefault="001F4474" w:rsidP="003E4AD7">
      <w:pPr>
        <w:spacing w:line="480" w:lineRule="auto"/>
        <w:rPr>
          <w:b/>
        </w:rPr>
      </w:pPr>
    </w:p>
    <w:p w:rsidR="001A2826" w:rsidRDefault="001A2826" w:rsidP="003E4AD7">
      <w:pPr>
        <w:spacing w:line="480" w:lineRule="auto"/>
        <w:rPr>
          <w:b/>
        </w:rPr>
      </w:pPr>
      <w:r>
        <w:rPr>
          <w:b/>
        </w:rPr>
        <w:t>Abbreviations</w:t>
      </w:r>
    </w:p>
    <w:p w:rsidR="001A2826" w:rsidRPr="001A2826" w:rsidRDefault="006A42E6" w:rsidP="003E4AD7">
      <w:pPr>
        <w:spacing w:line="480" w:lineRule="auto"/>
      </w:pPr>
      <w:r w:rsidRPr="006A42E6">
        <w:t>6MWD</w:t>
      </w:r>
      <w:r>
        <w:t>:</w:t>
      </w:r>
      <w:r w:rsidRPr="006A42E6">
        <w:t xml:space="preserve"> </w:t>
      </w:r>
      <w:r>
        <w:t>6-minute walk distance;</w:t>
      </w:r>
      <w:r w:rsidRPr="006A42E6">
        <w:t xml:space="preserve"> </w:t>
      </w:r>
      <w:r w:rsidR="00205CCC" w:rsidRPr="00205CCC">
        <w:t>PAD</w:t>
      </w:r>
      <w:r w:rsidR="00205CCC">
        <w:t>:</w:t>
      </w:r>
      <w:r w:rsidR="00205CCC" w:rsidRPr="00205CCC">
        <w:t xml:space="preserve"> peripheral ar</w:t>
      </w:r>
      <w:r w:rsidR="00205CCC">
        <w:t xml:space="preserve">terial disease; </w:t>
      </w:r>
      <w:r>
        <w:t xml:space="preserve">SD: standard deviation; </w:t>
      </w:r>
      <w:r w:rsidR="00205CCC">
        <w:t xml:space="preserve">YORVIC: </w:t>
      </w:r>
      <w:r w:rsidR="00205CCC" w:rsidRPr="00205CCC">
        <w:t xml:space="preserve">York study of unloading shoes for vascular intermittent </w:t>
      </w:r>
      <w:proofErr w:type="spellStart"/>
      <w:r w:rsidR="00205CCC" w:rsidRPr="00205CCC">
        <w:t>claudication</w:t>
      </w:r>
      <w:proofErr w:type="spellEnd"/>
    </w:p>
    <w:p w:rsidR="001A2826" w:rsidRDefault="001A2826" w:rsidP="003E4AD7">
      <w:pPr>
        <w:spacing w:line="480" w:lineRule="auto"/>
        <w:rPr>
          <w:b/>
        </w:rPr>
      </w:pPr>
    </w:p>
    <w:p w:rsidR="003E4AD7" w:rsidRDefault="003E4AD7" w:rsidP="003E4AD7">
      <w:pPr>
        <w:spacing w:line="480" w:lineRule="auto"/>
        <w:rPr>
          <w:b/>
        </w:rPr>
      </w:pPr>
      <w:r w:rsidRPr="003E4AD7">
        <w:rPr>
          <w:b/>
        </w:rPr>
        <w:t>Acknowledgements</w:t>
      </w:r>
    </w:p>
    <w:p w:rsidR="006A42E6" w:rsidRPr="006A42E6" w:rsidRDefault="006A42E6" w:rsidP="006A42E6">
      <w:pPr>
        <w:spacing w:line="480" w:lineRule="auto"/>
      </w:pPr>
      <w:r w:rsidRPr="006A42E6">
        <w:t>The authors would like to acknowledge the study participants for supporting this research.</w:t>
      </w:r>
    </w:p>
    <w:p w:rsidR="006A42E6" w:rsidRDefault="006A42E6" w:rsidP="003E4AD7">
      <w:pPr>
        <w:spacing w:line="480" w:lineRule="auto"/>
        <w:rPr>
          <w:b/>
        </w:rPr>
      </w:pPr>
    </w:p>
    <w:p w:rsidR="006A42E6" w:rsidRPr="003E4AD7" w:rsidRDefault="006A42E6" w:rsidP="003E4AD7">
      <w:pPr>
        <w:spacing w:line="480" w:lineRule="auto"/>
        <w:rPr>
          <w:b/>
        </w:rPr>
      </w:pPr>
      <w:r>
        <w:rPr>
          <w:b/>
        </w:rPr>
        <w:t>Funding</w:t>
      </w:r>
    </w:p>
    <w:p w:rsidR="003E4AD7" w:rsidRDefault="003E4AD7" w:rsidP="003E4AD7">
      <w:pPr>
        <w:spacing w:line="480" w:lineRule="auto"/>
      </w:pPr>
      <w:r>
        <w:t xml:space="preserve">This study was supported by grants from the Yorkshire Vascular and Surgical Research Fund, York Teaching Hospital Charity, and the University of York. The </w:t>
      </w:r>
      <w:r w:rsidR="009B5AD4">
        <w:t>S</w:t>
      </w:r>
      <w:r>
        <w:t>ponsor was York Teaching Hospital NHS Foundation Trust.</w:t>
      </w:r>
    </w:p>
    <w:p w:rsidR="006A42E6" w:rsidRDefault="006A42E6" w:rsidP="003E4AD7">
      <w:pPr>
        <w:spacing w:line="480" w:lineRule="auto"/>
      </w:pPr>
    </w:p>
    <w:p w:rsidR="006A42E6" w:rsidRPr="006A42E6" w:rsidRDefault="006A42E6" w:rsidP="003E4AD7">
      <w:pPr>
        <w:spacing w:line="480" w:lineRule="auto"/>
        <w:rPr>
          <w:b/>
        </w:rPr>
      </w:pPr>
      <w:r w:rsidRPr="006A42E6">
        <w:rPr>
          <w:b/>
        </w:rPr>
        <w:t>Availability of data and materials</w:t>
      </w:r>
    </w:p>
    <w:p w:rsidR="006A42E6" w:rsidRDefault="006A42E6" w:rsidP="003E4AD7">
      <w:pPr>
        <w:spacing w:line="480" w:lineRule="auto"/>
      </w:pPr>
      <w:r>
        <w:t>The dataset for the</w:t>
      </w:r>
      <w:r w:rsidRPr="006A42E6">
        <w:t xml:space="preserve"> current study</w:t>
      </w:r>
      <w:r>
        <w:t xml:space="preserve"> is</w:t>
      </w:r>
      <w:r w:rsidRPr="006A42E6">
        <w:t xml:space="preserve"> available from the corresponding author on reasonable request.</w:t>
      </w:r>
    </w:p>
    <w:p w:rsidR="006A42E6" w:rsidRDefault="006A42E6" w:rsidP="003E4AD7">
      <w:pPr>
        <w:spacing w:line="480" w:lineRule="auto"/>
      </w:pPr>
    </w:p>
    <w:p w:rsidR="006A42E6" w:rsidRPr="006A42E6" w:rsidRDefault="006A42E6" w:rsidP="003E4AD7">
      <w:pPr>
        <w:spacing w:line="480" w:lineRule="auto"/>
        <w:rPr>
          <w:b/>
        </w:rPr>
      </w:pPr>
      <w:r w:rsidRPr="006A42E6">
        <w:rPr>
          <w:b/>
        </w:rPr>
        <w:t>Authors’ contributions</w:t>
      </w:r>
    </w:p>
    <w:p w:rsidR="006A42E6" w:rsidRDefault="006A42E6" w:rsidP="006A42E6">
      <w:pPr>
        <w:spacing w:line="480" w:lineRule="auto"/>
      </w:pPr>
      <w:r>
        <w:t>Design, conception and conduction of the study: GAT, CH, SWH, AT; coordination of the study and data collection: GAT, AS, ARJ, LC, AT; statistical analysis and data interpretation: CF, ESC, GAT, LC, ARJ, AT; manuscript writing: GAT</w:t>
      </w:r>
      <w:r w:rsidR="006213D1">
        <w:t>, AT</w:t>
      </w:r>
      <w:r>
        <w:t>. All authors read and approved the final manuscript.</w:t>
      </w:r>
    </w:p>
    <w:p w:rsidR="006A42E6" w:rsidRDefault="006A42E6" w:rsidP="003E4AD7">
      <w:pPr>
        <w:spacing w:line="480" w:lineRule="auto"/>
      </w:pPr>
    </w:p>
    <w:p w:rsidR="006A42E6" w:rsidRPr="006A42E6" w:rsidRDefault="006A42E6" w:rsidP="003E4AD7">
      <w:pPr>
        <w:spacing w:line="480" w:lineRule="auto"/>
        <w:rPr>
          <w:b/>
        </w:rPr>
      </w:pPr>
      <w:r w:rsidRPr="006A42E6">
        <w:rPr>
          <w:b/>
        </w:rPr>
        <w:t>Competing interest</w:t>
      </w:r>
    </w:p>
    <w:p w:rsidR="006A42E6" w:rsidRDefault="006A42E6" w:rsidP="003E4AD7">
      <w:pPr>
        <w:spacing w:line="480" w:lineRule="auto"/>
      </w:pPr>
      <w:r w:rsidRPr="006A42E6">
        <w:t>The authors declare that they have no competing interests.</w:t>
      </w:r>
    </w:p>
    <w:p w:rsidR="006A42E6" w:rsidRDefault="006A42E6" w:rsidP="003E4AD7">
      <w:pPr>
        <w:spacing w:line="480" w:lineRule="auto"/>
      </w:pPr>
    </w:p>
    <w:p w:rsidR="006A42E6" w:rsidRPr="006A42E6" w:rsidRDefault="006A42E6" w:rsidP="003E4AD7">
      <w:pPr>
        <w:spacing w:line="480" w:lineRule="auto"/>
        <w:rPr>
          <w:b/>
        </w:rPr>
      </w:pPr>
      <w:r w:rsidRPr="006A42E6">
        <w:rPr>
          <w:b/>
        </w:rPr>
        <w:t>Consent for publication</w:t>
      </w:r>
    </w:p>
    <w:p w:rsidR="006A42E6" w:rsidRDefault="006A42E6" w:rsidP="003E4AD7">
      <w:pPr>
        <w:spacing w:line="480" w:lineRule="auto"/>
      </w:pPr>
      <w:r>
        <w:t>Not applicable.</w:t>
      </w:r>
    </w:p>
    <w:p w:rsidR="006A42E6" w:rsidRDefault="006A42E6" w:rsidP="003E4AD7">
      <w:pPr>
        <w:spacing w:line="480" w:lineRule="auto"/>
      </w:pPr>
    </w:p>
    <w:p w:rsidR="006A42E6" w:rsidRPr="006A42E6" w:rsidRDefault="006A42E6" w:rsidP="003E4AD7">
      <w:pPr>
        <w:spacing w:line="480" w:lineRule="auto"/>
        <w:rPr>
          <w:b/>
        </w:rPr>
      </w:pPr>
      <w:r w:rsidRPr="006A42E6">
        <w:rPr>
          <w:b/>
        </w:rPr>
        <w:t>Ethics approval and consent to participate</w:t>
      </w:r>
    </w:p>
    <w:p w:rsidR="003E4AD7" w:rsidRPr="006A42E6" w:rsidRDefault="006A42E6" w:rsidP="006A42E6">
      <w:pPr>
        <w:spacing w:line="480" w:lineRule="auto"/>
      </w:pPr>
      <w:r w:rsidRPr="006A42E6">
        <w:t>The study was approved by the NRES Committee for Yorkshire &amp; The Humber - Leeds West (Ref: 15/YH/0107), and prospectively registered (ClinicalTrials.gov: NCT02505503). Written informed consent was obtained from participants prior to enrolment.</w:t>
      </w:r>
    </w:p>
    <w:p w:rsidR="006A42E6" w:rsidRPr="003E4AD7" w:rsidRDefault="006A42E6" w:rsidP="003E4AD7">
      <w:pPr>
        <w:spacing w:line="480" w:lineRule="auto"/>
        <w:rPr>
          <w:b/>
        </w:rPr>
      </w:pPr>
    </w:p>
    <w:p w:rsidR="00ED546A" w:rsidRPr="009F57D4" w:rsidRDefault="003E4AD7" w:rsidP="00ED546A">
      <w:pPr>
        <w:spacing w:line="480" w:lineRule="auto"/>
        <w:rPr>
          <w:b/>
          <w:sz w:val="28"/>
        </w:rPr>
      </w:pPr>
      <w:r w:rsidRPr="009F57D4">
        <w:rPr>
          <w:b/>
          <w:sz w:val="28"/>
        </w:rPr>
        <w:t>References</w:t>
      </w:r>
    </w:p>
    <w:p w:rsidR="001C76FA" w:rsidRPr="001C76FA" w:rsidRDefault="00187F3E" w:rsidP="000B0E6A">
      <w:pPr>
        <w:pStyle w:val="EndNoteBibliography"/>
        <w:spacing w:line="480" w:lineRule="auto"/>
      </w:pPr>
      <w:r w:rsidRPr="00187F3E">
        <w:fldChar w:fldCharType="begin"/>
      </w:r>
      <w:r w:rsidR="00ED546A">
        <w:instrText xml:space="preserve"> ADDIN EN.REFLIST </w:instrText>
      </w:r>
      <w:r w:rsidRPr="00187F3E">
        <w:fldChar w:fldCharType="separate"/>
      </w:r>
      <w:r w:rsidR="001C76FA" w:rsidRPr="001C76FA">
        <w:t>1.</w:t>
      </w:r>
      <w:r w:rsidR="001C76FA" w:rsidRPr="001C76FA">
        <w:tab/>
        <w:t>Nehler MR, McDermott MM, Treat-Jacobson D, Chetter I, Regensteiner JG. Functional outcomes and quality of life in peripheral arterial di</w:t>
      </w:r>
      <w:r w:rsidR="00F15716">
        <w:t>sease: current status. Vasc Med</w:t>
      </w:r>
      <w:r w:rsidR="00205CCC">
        <w:t>.</w:t>
      </w:r>
      <w:r w:rsidR="001C76FA" w:rsidRPr="001C76FA">
        <w:t xml:space="preserve"> 2003;8(2):115-26.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2.</w:t>
      </w:r>
      <w:r w:rsidRPr="001C76FA">
        <w:tab/>
        <w:t>Gorely T, Crank H, Humphreys L, Nawaz S, Tew GA. "Standing still in the street": experiences, knowledge and beliefs of patients with intermittent claudication--a</w:t>
      </w:r>
      <w:r w:rsidR="00F15716">
        <w:t xml:space="preserve"> qualitative study. J Vasc Nurs</w:t>
      </w:r>
      <w:r w:rsidR="00205CCC">
        <w:t>.</w:t>
      </w:r>
      <w:r w:rsidRPr="001C76FA">
        <w:t xml:space="preserve"> 2015;33(1):4-9.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3.</w:t>
      </w:r>
      <w:r w:rsidRPr="001C76FA">
        <w:tab/>
        <w:t>Hutchins SW, Lawrence G, Blair S, Aksenov A, Jones R. Use of a three-curved rocker sole shoe modification to improve intermittent claudication calf p</w:t>
      </w:r>
      <w:r w:rsidR="00F15716">
        <w:t>ain--a pilot study. J Vasc Nurs</w:t>
      </w:r>
      <w:r w:rsidR="00205CCC">
        <w:t>.</w:t>
      </w:r>
      <w:r w:rsidRPr="001C76FA">
        <w:t xml:space="preserve"> 2012;30(1):11-20.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4.</w:t>
      </w:r>
      <w:r w:rsidRPr="001C76FA">
        <w:tab/>
        <w:t>Chavatzas D, Jamieson CW. The doubtful place of the raised heel in patients with intermittent cla</w:t>
      </w:r>
      <w:r w:rsidR="00F15716">
        <w:t>udication of the leg. Br J Surg</w:t>
      </w:r>
      <w:r w:rsidR="00205CCC">
        <w:t>.</w:t>
      </w:r>
      <w:r w:rsidRPr="001C76FA">
        <w:t xml:space="preserve"> 1974;61(4):299-300.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5.</w:t>
      </w:r>
      <w:r w:rsidRPr="001C76FA">
        <w:tab/>
        <w:t>Richardson JK. Rocker-soled shoes and walking distance in patients with calf clau</w:t>
      </w:r>
      <w:r w:rsidR="00F15716">
        <w:t>dication. Arch Phys Med Rehabil</w:t>
      </w:r>
      <w:r w:rsidR="00205CCC">
        <w:t>.</w:t>
      </w:r>
      <w:r w:rsidRPr="001C76FA">
        <w:t xml:space="preserve"> 1991;72(8):554-8.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lastRenderedPageBreak/>
        <w:t>6.</w:t>
      </w:r>
      <w:r w:rsidRPr="001C76FA">
        <w:tab/>
        <w:t>Hutchins S. The effects of rocker sole profiles on gait: i</w:t>
      </w:r>
      <w:r w:rsidR="00F15716">
        <w:t>mplications  for claudicants. PhD Thesis. University of Salford</w:t>
      </w:r>
      <w:r w:rsidRPr="001C76FA">
        <w:t xml:space="preserve"> 2007.</w:t>
      </w:r>
    </w:p>
    <w:p w:rsidR="001C76FA" w:rsidRPr="001C76FA" w:rsidRDefault="00F15716" w:rsidP="000B0E6A">
      <w:pPr>
        <w:pStyle w:val="EndNoteBibliography"/>
        <w:spacing w:line="480" w:lineRule="auto"/>
      </w:pPr>
      <w:r>
        <w:t>7.</w:t>
      </w:r>
      <w:r>
        <w:tab/>
        <w:t>American College of Sports Medicine</w:t>
      </w:r>
      <w:r w:rsidR="001C76FA" w:rsidRPr="001C76FA">
        <w:t>. ACSM's guidelines for exercise testing and prescription. Eighth ed. Philadelphia:</w:t>
      </w:r>
      <w:r>
        <w:t xml:space="preserve"> Lippincott Williams &amp; Wilkins</w:t>
      </w:r>
      <w:r w:rsidR="001C76FA" w:rsidRPr="001C76FA">
        <w:t xml:space="preserve"> 2009.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8.</w:t>
      </w:r>
      <w:r w:rsidRPr="001C76FA">
        <w:tab/>
        <w:t>Montgomery PS, Gardner AW. The clinical utility of a six-minute walk test in peripheral arterial occlusive dis</w:t>
      </w:r>
      <w:r w:rsidR="00F15716">
        <w:t>ease patients. J Am Geriatr Soc</w:t>
      </w:r>
      <w:r w:rsidR="00205CCC">
        <w:t>.</w:t>
      </w:r>
      <w:r w:rsidRPr="001C76FA">
        <w:t xml:space="preserve"> 1998;46(6):706-11.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9.</w:t>
      </w:r>
      <w:r w:rsidRPr="001C76FA">
        <w:tab/>
        <w:t>Mockford KA, Vanicek N, Jordan A, Chetter IC, Coughlin PA. Kinematic adaptations to ischemic pain in claudicants during c</w:t>
      </w:r>
      <w:r w:rsidR="00F15716">
        <w:t>ontinuous walking. Gait Posture</w:t>
      </w:r>
      <w:r w:rsidR="00205CCC">
        <w:t>.</w:t>
      </w:r>
      <w:r w:rsidRPr="001C76FA">
        <w:t xml:space="preserve"> 2010;32(3):395-9.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10.</w:t>
      </w:r>
      <w:r w:rsidRPr="001C76FA">
        <w:tab/>
        <w:t>Borg GA. Psychophysical bases of perceived</w:t>
      </w:r>
      <w:r w:rsidR="00F15716">
        <w:t xml:space="preserve"> exertion. Med Sci Sports Exerc</w:t>
      </w:r>
      <w:r w:rsidR="00205CCC">
        <w:t>.</w:t>
      </w:r>
      <w:r w:rsidRPr="001C76FA">
        <w:t xml:space="preserve"> 1982;14(5):377-81.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11.</w:t>
      </w:r>
      <w:r w:rsidRPr="001C76FA">
        <w:tab/>
      </w:r>
      <w:r w:rsidR="00624801" w:rsidRPr="00624801">
        <w:t xml:space="preserve">ATS Committee on Proficiency Standards for Clinical </w:t>
      </w:r>
      <w:r w:rsidR="00624801">
        <w:t>Pulmonary Function Laboratories</w:t>
      </w:r>
      <w:r w:rsidRPr="001C76FA">
        <w:t xml:space="preserve">. ATS statement: guidelines for the six-minute walk </w:t>
      </w:r>
      <w:r w:rsidR="00F15716">
        <w:t>test. Am J Respir Crit Care Med</w:t>
      </w:r>
      <w:r w:rsidR="00205CCC">
        <w:t>.</w:t>
      </w:r>
      <w:r w:rsidRPr="001C76FA">
        <w:t xml:space="preserve"> 2002;166(1):111-7.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12.</w:t>
      </w:r>
      <w:r w:rsidRPr="001C76FA">
        <w:tab/>
        <w:t xml:space="preserve">Hinman RS, Wrigley TV, Metcalf BR, Hunter DJ, Campbell P, Paterson K, et al. Unloading shoes for osteoarthritis of the knee: protocol for the SHARK randomised controlled </w:t>
      </w:r>
      <w:r w:rsidR="00F15716">
        <w:t>trial. BMC Musculoskelet Disord</w:t>
      </w:r>
      <w:r w:rsidR="00205CCC">
        <w:t>.</w:t>
      </w:r>
      <w:r w:rsidRPr="001C76FA">
        <w:t xml:space="preserve"> 2014;15:48.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13.</w:t>
      </w:r>
      <w:r w:rsidRPr="001C76FA">
        <w:tab/>
        <w:t>Tew GA, Humphreys L, Crank H, Hewitt C, Nawaz S, Al-Jundi W, et al. The development and pilot randomised controlled trial of a group education programme for promoting walking in people with inte</w:t>
      </w:r>
      <w:r w:rsidR="00F15716">
        <w:t>rmittent claudication. Vasc Med</w:t>
      </w:r>
      <w:r w:rsidR="00205CCC">
        <w:t>.</w:t>
      </w:r>
      <w:r w:rsidRPr="001C76FA">
        <w:t xml:space="preserve"> 2015;20(4):348-57.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14.</w:t>
      </w:r>
      <w:r w:rsidRPr="001C76FA">
        <w:tab/>
        <w:t xml:space="preserve">McDermott MM, Liu K, Guralnik JM, Criqui MH, Spring B, Tian L, et al. Home-based walking exercise intervention in peripheral artery disease: a </w:t>
      </w:r>
      <w:r w:rsidR="00F15716">
        <w:t>randomized clinical trial. JAMA</w:t>
      </w:r>
      <w:r w:rsidR="00205CCC">
        <w:t>.</w:t>
      </w:r>
      <w:r w:rsidRPr="001C76FA">
        <w:t xml:space="preserve"> 2013;310(1):57-65.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15.</w:t>
      </w:r>
      <w:r w:rsidRPr="001C76FA">
        <w:tab/>
        <w:t>Koutakis P, Johanning JM, Haynatzki GR, Myers SA, Stergiou N, Longo GM, et al. Abnormal joint powers before and after the onset of cla</w:t>
      </w:r>
      <w:r w:rsidR="00F15716">
        <w:t>udication symptoms. J Vasc Surg</w:t>
      </w:r>
      <w:r w:rsidR="00205CCC">
        <w:t>.</w:t>
      </w:r>
      <w:r w:rsidRPr="001C76FA">
        <w:t xml:space="preserve"> 2010;52(2):340-7.</w:t>
      </w:r>
    </w:p>
    <w:p w:rsidR="001C76FA" w:rsidRPr="001C76FA" w:rsidRDefault="001C76FA" w:rsidP="000B0E6A">
      <w:pPr>
        <w:pStyle w:val="EndNoteBibliography"/>
        <w:spacing w:line="480" w:lineRule="auto"/>
      </w:pPr>
      <w:r w:rsidRPr="001C76FA">
        <w:t>16.</w:t>
      </w:r>
      <w:r w:rsidRPr="001C76FA">
        <w:tab/>
        <w:t>Popplewell MA, Bradbury AW. Why do health systems not fund supervised exercise programmes for intermittent claudic</w:t>
      </w:r>
      <w:r w:rsidR="00F15716">
        <w:t>ation? Eur J Vasc Endovasc Surg</w:t>
      </w:r>
      <w:r w:rsidR="00205CCC">
        <w:t>.</w:t>
      </w:r>
      <w:r w:rsidRPr="001C76FA">
        <w:t xml:space="preserve"> 2014;48(6):608-10.</w:t>
      </w:r>
    </w:p>
    <w:p w:rsidR="00CA1F16" w:rsidRDefault="00187F3E" w:rsidP="000B0E6A">
      <w:pPr>
        <w:spacing w:line="480" w:lineRule="auto"/>
        <w:sectPr w:rsidR="00CA1F16" w:rsidSect="00936710">
          <w:footerReference w:type="default" r:id="rId19"/>
          <w:pgSz w:w="11906" w:h="16838"/>
          <w:pgMar w:top="1440" w:right="1440" w:bottom="1440" w:left="1440" w:header="708" w:footer="708" w:gutter="0"/>
          <w:lnNumType w:countBy="1"/>
          <w:cols w:space="708"/>
          <w:docGrid w:linePitch="360"/>
        </w:sectPr>
      </w:pPr>
      <w:r>
        <w:fldChar w:fldCharType="end"/>
      </w:r>
    </w:p>
    <w:p w:rsidR="006E0DCD" w:rsidRPr="006E0DCD" w:rsidRDefault="00205CCC" w:rsidP="009517BF">
      <w:pPr>
        <w:spacing w:line="276" w:lineRule="auto"/>
      </w:pPr>
      <w:r>
        <w:rPr>
          <w:b/>
        </w:rPr>
        <w:lastRenderedPageBreak/>
        <w:t>Table 1</w:t>
      </w:r>
      <w:r w:rsidR="006E0DCD" w:rsidRPr="006E0DCD">
        <w:t xml:space="preserve"> Baseline characteristics of the participants</w:t>
      </w:r>
      <w:r w:rsidR="009746BC">
        <w:t xml:space="preserve"> as randomised, and as included in the primary analysis</w:t>
      </w:r>
      <w:r w:rsidR="00D536C0">
        <w:t>.</w:t>
      </w:r>
    </w:p>
    <w:tbl>
      <w:tblPr>
        <w:tblStyle w:val="TableGrid"/>
        <w:tblW w:w="5000" w:type="pct"/>
        <w:tblLayout w:type="fixed"/>
        <w:tblLook w:val="04A0"/>
      </w:tblPr>
      <w:tblGrid>
        <w:gridCol w:w="4219"/>
        <w:gridCol w:w="1420"/>
        <w:gridCol w:w="1701"/>
        <w:gridCol w:w="1562"/>
        <w:gridCol w:w="422"/>
        <w:gridCol w:w="1556"/>
        <w:gridCol w:w="1704"/>
        <w:gridCol w:w="1590"/>
      </w:tblGrid>
      <w:tr w:rsidR="0006279D" w:rsidRPr="00A15D24" w:rsidTr="0006279D">
        <w:tc>
          <w:tcPr>
            <w:tcW w:w="148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06279D" w:rsidRPr="00A15D24" w:rsidRDefault="0006279D" w:rsidP="00AB5D9C">
            <w:pPr>
              <w:rPr>
                <w:b/>
              </w:rPr>
            </w:pPr>
            <w:r w:rsidRPr="00A15D24">
              <w:rPr>
                <w:b/>
              </w:rPr>
              <w:t>Characteristic</w:t>
            </w:r>
          </w:p>
        </w:tc>
        <w:tc>
          <w:tcPr>
            <w:tcW w:w="1652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6279D" w:rsidRPr="00A15D24" w:rsidRDefault="0006279D" w:rsidP="00AB5D9C">
            <w:pPr>
              <w:jc w:val="center"/>
              <w:rPr>
                <w:b/>
              </w:rPr>
            </w:pPr>
            <w:r>
              <w:rPr>
                <w:b/>
              </w:rPr>
              <w:t>As randomised</w:t>
            </w:r>
          </w:p>
        </w:tc>
        <w:tc>
          <w:tcPr>
            <w:tcW w:w="149" w:type="pct"/>
            <w:tcBorders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  <w:rPr>
                <w:b/>
              </w:rPr>
            </w:pPr>
          </w:p>
        </w:tc>
        <w:tc>
          <w:tcPr>
            <w:tcW w:w="1711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6279D" w:rsidRPr="00A15D24" w:rsidRDefault="0006279D" w:rsidP="00AB5D9C">
            <w:pPr>
              <w:jc w:val="center"/>
              <w:rPr>
                <w:b/>
              </w:rPr>
            </w:pPr>
            <w:r>
              <w:rPr>
                <w:b/>
              </w:rPr>
              <w:t>As analysed</w:t>
            </w:r>
          </w:p>
        </w:tc>
      </w:tr>
      <w:tr w:rsidR="0006279D" w:rsidRPr="00A15D24" w:rsidTr="0006279D">
        <w:tc>
          <w:tcPr>
            <w:tcW w:w="148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79D" w:rsidRPr="00A15D24" w:rsidRDefault="0006279D" w:rsidP="00AB5D9C">
            <w:pPr>
              <w:rPr>
                <w:b/>
              </w:rPr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</w:tcPr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AB</w:t>
            </w:r>
          </w:p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(n=18)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  <w:right w:val="nil"/>
            </w:tcBorders>
          </w:tcPr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BA</w:t>
            </w:r>
          </w:p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(n=19)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79D" w:rsidRPr="00A15D24" w:rsidRDefault="0006279D" w:rsidP="00AB5D9C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(n=37)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79D" w:rsidRPr="00A15D24" w:rsidRDefault="0006279D" w:rsidP="00AB5D9C">
            <w:pPr>
              <w:jc w:val="center"/>
              <w:rPr>
                <w:b/>
              </w:rPr>
            </w:pPr>
          </w:p>
        </w:tc>
        <w:tc>
          <w:tcPr>
            <w:tcW w:w="549" w:type="pct"/>
            <w:tcBorders>
              <w:left w:val="nil"/>
              <w:bottom w:val="single" w:sz="4" w:space="0" w:color="auto"/>
              <w:right w:val="nil"/>
            </w:tcBorders>
          </w:tcPr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AB</w:t>
            </w:r>
          </w:p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(n=15)</w:t>
            </w:r>
          </w:p>
        </w:tc>
        <w:tc>
          <w:tcPr>
            <w:tcW w:w="601" w:type="pct"/>
            <w:tcBorders>
              <w:left w:val="nil"/>
              <w:bottom w:val="single" w:sz="4" w:space="0" w:color="auto"/>
              <w:right w:val="nil"/>
            </w:tcBorders>
          </w:tcPr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BA</w:t>
            </w:r>
          </w:p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(n=19)</w:t>
            </w:r>
          </w:p>
        </w:tc>
        <w:tc>
          <w:tcPr>
            <w:tcW w:w="5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279D" w:rsidRPr="00A15D24" w:rsidRDefault="0006279D" w:rsidP="00AB5D9C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06279D" w:rsidRPr="00A15D24" w:rsidRDefault="0006279D" w:rsidP="00AB5D9C">
            <w:pPr>
              <w:jc w:val="center"/>
              <w:rPr>
                <w:b/>
              </w:rPr>
            </w:pPr>
            <w:r w:rsidRPr="00A15D24">
              <w:rPr>
                <w:b/>
              </w:rPr>
              <w:t>(n=34)</w:t>
            </w:r>
          </w:p>
        </w:tc>
      </w:tr>
      <w:tr w:rsidR="0006279D" w:rsidRPr="00A15D24" w:rsidTr="0006279D">
        <w:tc>
          <w:tcPr>
            <w:tcW w:w="1488" w:type="pct"/>
            <w:tcBorders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Age, years, mean </w:t>
            </w: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SD)</w:t>
            </w:r>
          </w:p>
        </w:tc>
        <w:tc>
          <w:tcPr>
            <w:tcW w:w="501" w:type="pct"/>
            <w:tcBorders>
              <w:left w:val="nil"/>
              <w:bottom w:val="nil"/>
              <w:right w:val="nil"/>
            </w:tcBorders>
          </w:tcPr>
          <w:p w:rsidR="0006279D" w:rsidRPr="00A15D24" w:rsidRDefault="0006279D" w:rsidP="00313639">
            <w:pPr>
              <w:jc w:val="center"/>
            </w:pPr>
            <w:r>
              <w:t>67.3 (</w:t>
            </w:r>
            <w:r w:rsidRPr="00A15D24">
              <w:t>14.</w:t>
            </w:r>
            <w:r>
              <w:t>9)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66.5 (10.2)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66.9 (12.5)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70.6 (8.8)</w:t>
            </w:r>
          </w:p>
        </w:tc>
        <w:tc>
          <w:tcPr>
            <w:tcW w:w="601" w:type="pct"/>
            <w:tcBorders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66.5 (10.2)</w:t>
            </w:r>
          </w:p>
        </w:tc>
        <w:tc>
          <w:tcPr>
            <w:tcW w:w="561" w:type="pct"/>
            <w:tcBorders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68.3 (9.7)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Gender, male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12 (6</w:t>
            </w:r>
            <w:r w:rsidRPr="00A15D24">
              <w:t>7)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15 (79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27 (73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12 (80</w:t>
            </w:r>
            <w:r w:rsidRPr="00A15D24"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15 (79</w:t>
            </w:r>
            <w:r w:rsidRPr="00A15D24"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27 (79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Ethnic origin, White British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18 (100)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19 (100)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37 (100)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15 (100)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19 (100)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34 (100)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Ankle-brachial index, mean </w:t>
            </w: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SD)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6704B4">
            <w:pPr>
              <w:jc w:val="center"/>
            </w:pPr>
            <w:r>
              <w:t>0.52 (0.13)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0.54 (0.16)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0.53 (0.14)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0.53 (0.13)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0.54 (0.16)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0.54 (0.14)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Duration of </w:t>
            </w:r>
            <w:proofErr w:type="spellStart"/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claudication</w:t>
            </w:r>
            <w:proofErr w:type="spellEnd"/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 symptoms, months, median (range)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15 (6, 125</w:t>
            </w:r>
            <w:r w:rsidRPr="00A15D24"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30 (4, 249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16 (4, 249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15 (6, 125</w:t>
            </w:r>
            <w:r w:rsidRPr="00A15D24"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30 (4, 249)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18</w:t>
            </w:r>
            <w:r w:rsidRPr="00A15D24">
              <w:t xml:space="preserve"> (4</w:t>
            </w:r>
            <w:r>
              <w:t xml:space="preserve">, </w:t>
            </w:r>
            <w:r w:rsidRPr="00A15D24">
              <w:t>249)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Body mass index, kg/m</w:t>
            </w: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, mean </w:t>
            </w: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SD)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6704B4">
            <w:pPr>
              <w:jc w:val="center"/>
            </w:pPr>
            <w:r>
              <w:t>27.8 (4.2)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28.4 (4.8)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28.1 (</w:t>
            </w:r>
            <w:r w:rsidRPr="00A15D24">
              <w:t>4.</w:t>
            </w:r>
            <w:r>
              <w:t>5)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28.8 (</w:t>
            </w:r>
            <w:r w:rsidRPr="00B6131D">
              <w:t>3.8</w:t>
            </w:r>
            <w:r>
              <w:t>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B6131D">
              <w:t>28.</w:t>
            </w:r>
            <w:r>
              <w:t>4 (</w:t>
            </w:r>
            <w:r w:rsidRPr="00B6131D">
              <w:t>4.8</w:t>
            </w:r>
            <w:r>
              <w:t>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28.5 (4.4)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Heart rate, beats/min, mean </w:t>
            </w: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SD)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6704B4">
            <w:pPr>
              <w:jc w:val="center"/>
            </w:pPr>
            <w:r>
              <w:t>73 (12)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6704B4">
            <w:pPr>
              <w:jc w:val="center"/>
            </w:pPr>
            <w:r>
              <w:t>72 (11)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72 (11)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75 (12)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72 (11)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73 (11)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Systo</w:t>
            </w: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lic blood pressure, mmHg, mean </w:t>
            </w: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SD)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158 (21)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143 (25)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150 (24)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156</w:t>
            </w:r>
            <w:r w:rsidRPr="000504EE">
              <w:t xml:space="preserve"> </w:t>
            </w:r>
            <w:r>
              <w:t>(22)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143 (25)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149 (24)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Diasto</w:t>
            </w: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lic blood pressure, mmHg, mean </w:t>
            </w:r>
            <w:r>
              <w:rPr>
                <w:rFonts w:ascii="Calibri" w:hAnsi="Calibri" w:cs="Arial"/>
                <w:color w:val="000000" w:themeColor="dark1"/>
                <w:kern w:val="24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SD)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83 (12)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81 (10)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82 (11)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84 (13)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81 (10)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82 (</w:t>
            </w:r>
            <w:r w:rsidRPr="00A15D24">
              <w:t>1</w:t>
            </w:r>
            <w:r>
              <w:t>1)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Current smoker</w:t>
            </w:r>
          </w:p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Previous smoker</w:t>
            </w:r>
          </w:p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Never smoked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4 (22)</w:t>
            </w:r>
          </w:p>
          <w:p w:rsidR="0006279D" w:rsidRPr="00A15D24" w:rsidRDefault="0006279D" w:rsidP="00AB5D9C">
            <w:pPr>
              <w:jc w:val="center"/>
            </w:pPr>
            <w:r>
              <w:t>12 (6</w:t>
            </w:r>
            <w:r w:rsidRPr="00A15D24">
              <w:t>7)</w:t>
            </w:r>
          </w:p>
          <w:p w:rsidR="0006279D" w:rsidRPr="00A15D24" w:rsidRDefault="0006279D" w:rsidP="00AB5D9C">
            <w:pPr>
              <w:jc w:val="center"/>
            </w:pPr>
            <w:r>
              <w:t>2 (11</w:t>
            </w:r>
            <w:r w:rsidRPr="00A15D24"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(10</w:t>
            </w:r>
            <w:r w:rsidRPr="00A15D24">
              <w:t>)</w:t>
            </w:r>
          </w:p>
          <w:p w:rsidR="0006279D" w:rsidRPr="00A15D24" w:rsidRDefault="0006279D" w:rsidP="00AB5D9C">
            <w:pPr>
              <w:jc w:val="center"/>
            </w:pPr>
            <w:r>
              <w:t>14 (74</w:t>
            </w:r>
            <w:r w:rsidRPr="00A15D24">
              <w:t>)</w:t>
            </w:r>
          </w:p>
          <w:p w:rsidR="0006279D" w:rsidRPr="00A15D24" w:rsidRDefault="0006279D" w:rsidP="00AB5D9C">
            <w:pPr>
              <w:jc w:val="center"/>
            </w:pPr>
            <w:r>
              <w:t>3 (16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 (16</w:t>
            </w:r>
            <w:r w:rsidRPr="00A15D24">
              <w:t>)</w:t>
            </w:r>
          </w:p>
          <w:p w:rsidR="0006279D" w:rsidRPr="00A15D24" w:rsidRDefault="0006279D" w:rsidP="00AB5D9C">
            <w:pPr>
              <w:jc w:val="center"/>
            </w:pPr>
            <w:r>
              <w:t>26 (70</w:t>
            </w:r>
            <w:r w:rsidRPr="00A15D24">
              <w:t>)</w:t>
            </w:r>
          </w:p>
          <w:p w:rsidR="0006279D" w:rsidRPr="00A15D24" w:rsidRDefault="0006279D" w:rsidP="00AB5D9C">
            <w:pPr>
              <w:jc w:val="center"/>
            </w:pPr>
            <w:r>
              <w:t>5 (14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  <w:r>
              <w:t>4 (2</w:t>
            </w:r>
            <w:r w:rsidRPr="000504EE">
              <w:t>7</w:t>
            </w:r>
            <w:r>
              <w:t>)</w:t>
            </w:r>
          </w:p>
          <w:p w:rsidR="0006279D" w:rsidRDefault="0006279D" w:rsidP="00AB5D9C">
            <w:pPr>
              <w:jc w:val="center"/>
            </w:pPr>
            <w:r>
              <w:t>11 (73)</w:t>
            </w:r>
          </w:p>
          <w:p w:rsidR="0006279D" w:rsidRPr="00A15D24" w:rsidRDefault="0006279D" w:rsidP="00AB5D9C">
            <w:pPr>
              <w:jc w:val="center"/>
            </w:pPr>
            <w:r>
              <w:t>0 (0)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  <w:r>
              <w:t>2 (10)</w:t>
            </w:r>
          </w:p>
          <w:p w:rsidR="0006279D" w:rsidRDefault="0006279D" w:rsidP="00AB5D9C">
            <w:pPr>
              <w:jc w:val="center"/>
            </w:pPr>
            <w:r>
              <w:t>14 (74)</w:t>
            </w:r>
          </w:p>
          <w:p w:rsidR="0006279D" w:rsidRPr="00A15D24" w:rsidRDefault="0006279D" w:rsidP="00AB5D9C">
            <w:pPr>
              <w:jc w:val="center"/>
            </w:pPr>
            <w:r>
              <w:t>3 (16)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  <w:r>
              <w:t>6 (18)</w:t>
            </w:r>
          </w:p>
          <w:p w:rsidR="0006279D" w:rsidRDefault="0006279D" w:rsidP="00AB5D9C">
            <w:pPr>
              <w:jc w:val="center"/>
            </w:pPr>
            <w:r>
              <w:t>25 (73)</w:t>
            </w:r>
          </w:p>
          <w:p w:rsidR="0006279D" w:rsidRPr="00A15D24" w:rsidRDefault="0006279D" w:rsidP="00AB5D9C">
            <w:pPr>
              <w:jc w:val="center"/>
            </w:pPr>
            <w:r>
              <w:t>3 (9)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Diabetes mellitus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4 (22</w:t>
            </w:r>
            <w:r w:rsidRPr="00A15D24"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5 (26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9 (24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4 (27)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5 (26)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9 (27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Hypertension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 (7</w:t>
            </w:r>
            <w:r w:rsidRPr="00A15D24">
              <w:t>8)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13 (68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27 (73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12 (80)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13 (68)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25 (</w:t>
            </w:r>
            <w:r>
              <w:t>74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Hyperlipidaemia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 (7</w:t>
            </w:r>
            <w:r w:rsidRPr="00A15D24">
              <w:t>8)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 (74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28 (76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13 (87)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 (74)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27 (</w:t>
            </w:r>
            <w:r>
              <w:t>79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Chronic obstructive pulmonary disease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 (</w:t>
            </w:r>
            <w:r w:rsidRPr="00A15D24">
              <w:t>6)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(11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3 (8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0 (0)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2 (</w:t>
            </w:r>
            <w:r>
              <w:t>6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Arthritis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(11</w:t>
            </w:r>
            <w:r w:rsidRPr="00A15D24"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(11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4 (11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 (7)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3 (9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History of angina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(11</w:t>
            </w:r>
            <w:r w:rsidRPr="00A15D24"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 (32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8 (22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(13)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 (32)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8 (</w:t>
            </w:r>
            <w:r>
              <w:t>24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History of myocardial infarction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0 (0)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 (32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 (16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0 (0)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 (32)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6 (18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History of stroke/transient </w:t>
            </w:r>
            <w:proofErr w:type="spellStart"/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ischaemic</w:t>
            </w:r>
            <w:proofErr w:type="spellEnd"/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 xml:space="preserve"> attack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3 (1</w:t>
            </w:r>
            <w:r w:rsidRPr="00A15D24">
              <w:t>7)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(11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5 (14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3 (20)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 (11)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5 (1</w:t>
            </w:r>
            <w:r>
              <w:t>5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Anti-platelet/Anti-coagulant medication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13 (72</w:t>
            </w:r>
            <w:r w:rsidRPr="00A15D24"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 (74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27 (73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12 (80)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 (74)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26 (</w:t>
            </w:r>
            <w:r>
              <w:t>77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Lipid-lowering medication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 (7</w:t>
            </w:r>
            <w:r w:rsidRPr="00A15D24">
              <w:t>8)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13 (68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27 (73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13 (87)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13 (68)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26 (</w:t>
            </w:r>
            <w:r>
              <w:t>77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Anti-diabetic medication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3 (1</w:t>
            </w:r>
            <w:r w:rsidRPr="00A15D24">
              <w:t>7)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4 (21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7 (1</w:t>
            </w:r>
            <w:r w:rsidRPr="00A15D24">
              <w:t>9)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3 (20)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4 (21)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7 (2</w:t>
            </w:r>
            <w:r>
              <w:t>1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Beta-blockers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3 (1</w:t>
            </w:r>
            <w:r w:rsidRPr="00A15D24">
              <w:t>7)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4 (21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7 (1</w:t>
            </w:r>
            <w:r w:rsidRPr="00A15D24">
              <w:t>9)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 (7)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4 (21)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 w:rsidRPr="00A15D24">
              <w:t>5 (1</w:t>
            </w:r>
            <w:r>
              <w:t>5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A15D24"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  <w:t>Other anti-hypertensive medication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13 (7</w:t>
            </w:r>
            <w:r w:rsidRPr="00A15D24">
              <w:t>2)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 (74</w:t>
            </w:r>
            <w:r w:rsidRPr="00A15D24"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27 (73</w:t>
            </w:r>
            <w:r w:rsidRPr="00A15D24"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11 (73)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14 (74)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:rsidR="0006279D" w:rsidRPr="00A15D24" w:rsidRDefault="0006279D" w:rsidP="00AB5D9C">
            <w:pPr>
              <w:jc w:val="center"/>
            </w:pPr>
            <w:r>
              <w:t>25 (74</w:t>
            </w:r>
            <w:r w:rsidRPr="00A15D24">
              <w:t>)</w:t>
            </w:r>
          </w:p>
        </w:tc>
      </w:tr>
      <w:tr w:rsidR="0006279D" w:rsidRPr="00A15D24" w:rsidTr="0006279D">
        <w:tc>
          <w:tcPr>
            <w:tcW w:w="1488" w:type="pct"/>
            <w:tcBorders>
              <w:top w:val="nil"/>
              <w:left w:val="nil"/>
              <w:right w:val="nil"/>
            </w:tcBorders>
          </w:tcPr>
          <w:p w:rsidR="0006279D" w:rsidRPr="007F1E92" w:rsidRDefault="0006279D" w:rsidP="00AB5D9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 w:themeColor="dark1"/>
                <w:kern w:val="24"/>
                <w:sz w:val="22"/>
                <w:szCs w:val="22"/>
              </w:rPr>
            </w:pPr>
            <w:r w:rsidRPr="007F1E92">
              <w:rPr>
                <w:rFonts w:asciiTheme="minorHAnsi" w:hAnsiTheme="minorHAnsi"/>
                <w:sz w:val="22"/>
                <w:szCs w:val="22"/>
              </w:rPr>
              <w:t>6-minute walk dista</w:t>
            </w:r>
            <w:r>
              <w:rPr>
                <w:rFonts w:asciiTheme="minorHAnsi" w:hAnsiTheme="minorHAnsi"/>
                <w:sz w:val="22"/>
                <w:szCs w:val="22"/>
              </w:rPr>
              <w:t>nce, met</w:t>
            </w:r>
            <w:r w:rsidRPr="007F1E92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7F1E92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mean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SD)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:rsidR="0006279D" w:rsidRPr="00A15D24" w:rsidRDefault="0006279D" w:rsidP="006704B4">
            <w:pPr>
              <w:jc w:val="center"/>
            </w:pPr>
            <w:r>
              <w:t>372</w:t>
            </w:r>
            <w:r w:rsidRPr="00EE4D43">
              <w:t xml:space="preserve"> </w:t>
            </w:r>
            <w:r>
              <w:t>(92)</w:t>
            </w:r>
          </w:p>
        </w:tc>
        <w:tc>
          <w:tcPr>
            <w:tcW w:w="600" w:type="pct"/>
            <w:tcBorders>
              <w:top w:val="nil"/>
              <w:left w:val="nil"/>
              <w:right w:val="nil"/>
            </w:tcBorders>
          </w:tcPr>
          <w:p w:rsidR="0006279D" w:rsidRPr="00A15D24" w:rsidRDefault="0006279D" w:rsidP="00EE4D43">
            <w:pPr>
              <w:jc w:val="center"/>
            </w:pPr>
            <w:r>
              <w:t>36</w:t>
            </w:r>
            <w:r w:rsidRPr="00EE4D43">
              <w:t xml:space="preserve">7 </w:t>
            </w:r>
            <w:r>
              <w:t>(106)</w:t>
            </w: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</w:tcPr>
          <w:p w:rsidR="0006279D" w:rsidRPr="00A15D24" w:rsidRDefault="0006279D" w:rsidP="00EE4D43">
            <w:pPr>
              <w:jc w:val="center"/>
            </w:pPr>
            <w:r>
              <w:t>369</w:t>
            </w:r>
            <w:r w:rsidRPr="00EE4D43">
              <w:t xml:space="preserve"> </w:t>
            </w:r>
            <w:r>
              <w:t>(</w:t>
            </w:r>
            <w:r w:rsidRPr="00EE4D43">
              <w:t>9</w:t>
            </w:r>
            <w:r>
              <w:t>8)</w:t>
            </w:r>
          </w:p>
        </w:tc>
        <w:tc>
          <w:tcPr>
            <w:tcW w:w="149" w:type="pct"/>
            <w:tcBorders>
              <w:top w:val="nil"/>
              <w:left w:val="nil"/>
              <w:right w:val="nil"/>
            </w:tcBorders>
          </w:tcPr>
          <w:p w:rsidR="0006279D" w:rsidRDefault="0006279D" w:rsidP="00AB5D9C">
            <w:pPr>
              <w:jc w:val="center"/>
            </w:pPr>
          </w:p>
        </w:tc>
        <w:tc>
          <w:tcPr>
            <w:tcW w:w="549" w:type="pct"/>
            <w:tcBorders>
              <w:top w:val="nil"/>
              <w:left w:val="nil"/>
              <w:right w:val="nil"/>
            </w:tcBorders>
          </w:tcPr>
          <w:p w:rsidR="0006279D" w:rsidRDefault="0006279D" w:rsidP="00AB5D9C">
            <w:pPr>
              <w:jc w:val="center"/>
            </w:pPr>
            <w:r>
              <w:t>382 (95)</w:t>
            </w:r>
          </w:p>
        </w:tc>
        <w:tc>
          <w:tcPr>
            <w:tcW w:w="601" w:type="pct"/>
            <w:tcBorders>
              <w:top w:val="nil"/>
              <w:left w:val="nil"/>
              <w:right w:val="nil"/>
            </w:tcBorders>
          </w:tcPr>
          <w:p w:rsidR="0006279D" w:rsidRDefault="0006279D" w:rsidP="001541D1">
            <w:pPr>
              <w:jc w:val="center"/>
            </w:pPr>
            <w:r>
              <w:t>367 (106)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</w:tcPr>
          <w:p w:rsidR="0006279D" w:rsidRDefault="0006279D" w:rsidP="00A2611B">
            <w:pPr>
              <w:jc w:val="center"/>
            </w:pPr>
            <w:r>
              <w:t>373 (100)</w:t>
            </w:r>
          </w:p>
        </w:tc>
      </w:tr>
    </w:tbl>
    <w:p w:rsidR="001C4275" w:rsidRDefault="00C8601B" w:rsidP="001C4275">
      <w:pPr>
        <w:sectPr w:rsidR="001C4275" w:rsidSect="00C8601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>Data are num</w:t>
      </w:r>
      <w:r w:rsidR="001C4275">
        <w:t xml:space="preserve">ber (%) unless otherwise stated. </w:t>
      </w:r>
      <w:r w:rsidR="001C4275" w:rsidRPr="001C4275">
        <w:t>AB, control then unloading; BA, unloading then control</w:t>
      </w:r>
      <w:r w:rsidR="001C4275">
        <w:t>.</w:t>
      </w:r>
    </w:p>
    <w:p w:rsidR="006E0DCD" w:rsidRPr="006E0DCD" w:rsidRDefault="006E0DCD" w:rsidP="006E0DCD">
      <w:r w:rsidRPr="006E0DCD">
        <w:rPr>
          <w:b/>
        </w:rPr>
        <w:lastRenderedPageBreak/>
        <w:t>Table</w:t>
      </w:r>
      <w:r w:rsidR="00D536C0">
        <w:t xml:space="preserve"> </w:t>
      </w:r>
      <w:r w:rsidR="00205CCC">
        <w:rPr>
          <w:b/>
        </w:rPr>
        <w:t>2</w:t>
      </w:r>
      <w:r w:rsidRPr="006E0DCD">
        <w:t xml:space="preserve"> Walking distance</w:t>
      </w:r>
      <w:r w:rsidR="006A1DFB">
        <w:t xml:space="preserve"> result</w:t>
      </w:r>
      <w:r w:rsidRPr="006E0DCD">
        <w:t>s</w:t>
      </w:r>
      <w:r w:rsidR="006A1DFB">
        <w:t>.</w:t>
      </w:r>
    </w:p>
    <w:tbl>
      <w:tblPr>
        <w:tblStyle w:val="TableGrid"/>
        <w:tblW w:w="4905" w:type="pct"/>
        <w:tblLook w:val="04A0"/>
      </w:tblPr>
      <w:tblGrid>
        <w:gridCol w:w="2291"/>
        <w:gridCol w:w="2052"/>
        <w:gridCol w:w="2723"/>
        <w:gridCol w:w="2887"/>
        <w:gridCol w:w="3952"/>
      </w:tblGrid>
      <w:tr w:rsidR="00DC395C" w:rsidRPr="007F1E92" w:rsidTr="00DC395C">
        <w:trPr>
          <w:trHeight w:val="246"/>
        </w:trPr>
        <w:tc>
          <w:tcPr>
            <w:tcW w:w="824" w:type="pct"/>
            <w:vMerge w:val="restart"/>
            <w:tcBorders>
              <w:left w:val="nil"/>
              <w:right w:val="nil"/>
            </w:tcBorders>
          </w:tcPr>
          <w:p w:rsidR="00DC395C" w:rsidRPr="007F1E92" w:rsidRDefault="00DC395C" w:rsidP="006E0DCD">
            <w:pPr>
              <w:rPr>
                <w:b/>
              </w:rPr>
            </w:pPr>
            <w:r w:rsidRPr="007F1E92">
              <w:rPr>
                <w:b/>
              </w:rPr>
              <w:t>Outcome measure</w:t>
            </w:r>
          </w:p>
        </w:tc>
        <w:tc>
          <w:tcPr>
            <w:tcW w:w="738" w:type="pct"/>
            <w:vMerge w:val="restart"/>
            <w:tcBorders>
              <w:left w:val="nil"/>
              <w:right w:val="nil"/>
            </w:tcBorders>
          </w:tcPr>
          <w:p w:rsidR="00DC395C" w:rsidRPr="007F1E92" w:rsidRDefault="00DC395C" w:rsidP="006E0DCD">
            <w:pPr>
              <w:jc w:val="center"/>
              <w:rPr>
                <w:b/>
              </w:rPr>
            </w:pPr>
            <w:r w:rsidRPr="007F1E92">
              <w:rPr>
                <w:b/>
              </w:rPr>
              <w:t>Treatment sequence</w:t>
            </w:r>
          </w:p>
        </w:tc>
        <w:tc>
          <w:tcPr>
            <w:tcW w:w="2017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C395C" w:rsidRPr="007F1E92" w:rsidRDefault="00DC395C" w:rsidP="006E0DCD">
            <w:pPr>
              <w:jc w:val="center"/>
              <w:rPr>
                <w:b/>
              </w:rPr>
            </w:pPr>
            <w:r w:rsidRPr="007F1E92">
              <w:rPr>
                <w:b/>
              </w:rPr>
              <w:t>Treatment period</w:t>
            </w:r>
          </w:p>
        </w:tc>
        <w:tc>
          <w:tcPr>
            <w:tcW w:w="1421" w:type="pct"/>
            <w:vMerge w:val="restart"/>
            <w:tcBorders>
              <w:left w:val="nil"/>
              <w:right w:val="nil"/>
            </w:tcBorders>
          </w:tcPr>
          <w:p w:rsidR="00DC395C" w:rsidRPr="007F1E92" w:rsidRDefault="00DC395C" w:rsidP="006E0DCD">
            <w:pPr>
              <w:jc w:val="center"/>
              <w:rPr>
                <w:b/>
              </w:rPr>
            </w:pPr>
            <w:r w:rsidRPr="007F1E92">
              <w:rPr>
                <w:b/>
              </w:rPr>
              <w:t xml:space="preserve">Within-individual difference: </w:t>
            </w:r>
          </w:p>
          <w:p w:rsidR="00DC395C" w:rsidRPr="007F1E92" w:rsidRDefault="00252454" w:rsidP="00B63A8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Control minus </w:t>
            </w:r>
            <w:r w:rsidR="00B63A83">
              <w:rPr>
                <w:b/>
              </w:rPr>
              <w:t>u</w:t>
            </w:r>
            <w:r>
              <w:rPr>
                <w:b/>
              </w:rPr>
              <w:t>nloading</w:t>
            </w:r>
          </w:p>
        </w:tc>
      </w:tr>
      <w:tr w:rsidR="00DC395C" w:rsidRPr="007F1E92" w:rsidTr="00DC395C">
        <w:trPr>
          <w:trHeight w:val="139"/>
        </w:trPr>
        <w:tc>
          <w:tcPr>
            <w:tcW w:w="82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95C" w:rsidRPr="007F1E92" w:rsidRDefault="00DC395C" w:rsidP="006E0DCD"/>
        </w:tc>
        <w:tc>
          <w:tcPr>
            <w:tcW w:w="7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95C" w:rsidRPr="007F1E92" w:rsidRDefault="00DC395C" w:rsidP="006E0DCD">
            <w:pPr>
              <w:jc w:val="center"/>
            </w:pPr>
          </w:p>
        </w:tc>
        <w:tc>
          <w:tcPr>
            <w:tcW w:w="979" w:type="pct"/>
            <w:tcBorders>
              <w:left w:val="nil"/>
              <w:bottom w:val="single" w:sz="4" w:space="0" w:color="auto"/>
              <w:right w:val="nil"/>
            </w:tcBorders>
          </w:tcPr>
          <w:p w:rsidR="00DC395C" w:rsidRPr="007F1E92" w:rsidRDefault="00DC395C" w:rsidP="006E0DCD">
            <w:pPr>
              <w:jc w:val="center"/>
              <w:rPr>
                <w:b/>
              </w:rPr>
            </w:pPr>
            <w:r w:rsidRPr="007F1E92">
              <w:rPr>
                <w:b/>
              </w:rPr>
              <w:t>1</w:t>
            </w:r>
          </w:p>
        </w:tc>
        <w:tc>
          <w:tcPr>
            <w:tcW w:w="1038" w:type="pct"/>
            <w:tcBorders>
              <w:left w:val="nil"/>
              <w:bottom w:val="single" w:sz="4" w:space="0" w:color="auto"/>
              <w:right w:val="nil"/>
            </w:tcBorders>
          </w:tcPr>
          <w:p w:rsidR="00DC395C" w:rsidRPr="007F1E92" w:rsidRDefault="00DC395C" w:rsidP="006E0DCD">
            <w:pPr>
              <w:jc w:val="center"/>
              <w:rPr>
                <w:b/>
              </w:rPr>
            </w:pPr>
            <w:r w:rsidRPr="007F1E92">
              <w:rPr>
                <w:b/>
              </w:rPr>
              <w:t>2</w:t>
            </w:r>
          </w:p>
        </w:tc>
        <w:tc>
          <w:tcPr>
            <w:tcW w:w="142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DC395C" w:rsidRPr="007F1E92" w:rsidRDefault="00DC395C" w:rsidP="006E0DCD">
            <w:pPr>
              <w:jc w:val="center"/>
            </w:pPr>
          </w:p>
        </w:tc>
      </w:tr>
      <w:tr w:rsidR="00DC395C" w:rsidRPr="007F1E92" w:rsidTr="00DC395C">
        <w:trPr>
          <w:trHeight w:val="260"/>
        </w:trPr>
        <w:tc>
          <w:tcPr>
            <w:tcW w:w="824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DC395C" w:rsidRPr="007F1E92" w:rsidRDefault="00252454" w:rsidP="006E0DCD">
            <w:pPr>
              <w:rPr>
                <w:b/>
              </w:rPr>
            </w:pPr>
            <w:r>
              <w:rPr>
                <w:b/>
              </w:rPr>
              <w:t>6-minute walk distance, metre</w:t>
            </w:r>
            <w:r w:rsidR="00DC395C" w:rsidRPr="007F1E92">
              <w:rPr>
                <w:b/>
              </w:rPr>
              <w:t>s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95C" w:rsidRPr="007F1E92" w:rsidRDefault="00DC395C" w:rsidP="00FA31AB">
            <w:pPr>
              <w:jc w:val="center"/>
              <w:rPr>
                <w:b/>
              </w:rPr>
            </w:pPr>
            <w:r w:rsidRPr="007F1E92">
              <w:rPr>
                <w:b/>
              </w:rPr>
              <w:t>AB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</w:p>
        </w:tc>
      </w:tr>
      <w:tr w:rsidR="00DC395C" w:rsidRPr="007F1E92" w:rsidTr="00DC395C">
        <w:trPr>
          <w:trHeight w:val="139"/>
        </w:trPr>
        <w:tc>
          <w:tcPr>
            <w:tcW w:w="824" w:type="pct"/>
            <w:vMerge/>
            <w:tcBorders>
              <w:left w:val="nil"/>
              <w:bottom w:val="nil"/>
              <w:right w:val="nil"/>
            </w:tcBorders>
          </w:tcPr>
          <w:p w:rsidR="00DC395C" w:rsidRPr="007F1E92" w:rsidRDefault="00DC395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CA286E">
            <w:pPr>
              <w:jc w:val="center"/>
            </w:pPr>
            <w:r w:rsidRPr="007F1E92">
              <w:t xml:space="preserve">Sample size 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CA286E">
            <w:pPr>
              <w:jc w:val="center"/>
            </w:pPr>
            <w:r w:rsidRPr="007F1E92">
              <w:t>16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CA286E">
            <w:pPr>
              <w:jc w:val="center"/>
            </w:pPr>
            <w:r w:rsidRPr="007F1E92">
              <w:t>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  <w:r w:rsidRPr="007F1E92">
              <w:t>15</w:t>
            </w:r>
          </w:p>
        </w:tc>
      </w:tr>
      <w:tr w:rsidR="00DC395C" w:rsidRPr="007F1E92" w:rsidTr="00DC395C">
        <w:trPr>
          <w:trHeight w:val="26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6704B4" w:rsidP="006E0DCD">
            <w:pPr>
              <w:jc w:val="center"/>
            </w:pPr>
            <w:r>
              <w:t>Mean (</w:t>
            </w:r>
            <w:r w:rsidR="00083C07">
              <w:t>SD</w:t>
            </w:r>
            <w:r>
              <w:t>)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083C07" w:rsidP="006704B4">
            <w:pPr>
              <w:jc w:val="center"/>
            </w:pPr>
            <w:r>
              <w:t xml:space="preserve">386 </w:t>
            </w:r>
            <w:r w:rsidR="006704B4">
              <w:t>(</w:t>
            </w:r>
            <w:r w:rsidR="00252454">
              <w:t>92</w:t>
            </w:r>
            <w:r w:rsidR="006704B4">
              <w:t>)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083C07" w:rsidP="006704B4">
            <w:pPr>
              <w:jc w:val="center"/>
            </w:pPr>
            <w:r>
              <w:t xml:space="preserve">374 </w:t>
            </w:r>
            <w:r w:rsidR="006704B4">
              <w:t>(</w:t>
            </w:r>
            <w:r w:rsidR="00252454">
              <w:t>93</w:t>
            </w:r>
            <w:r w:rsidR="006704B4">
              <w:t>)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  <w:r w:rsidRPr="007F1E92">
              <w:t>16</w:t>
            </w:r>
            <w:r w:rsidR="00336197">
              <w:t xml:space="preserve"> (</w:t>
            </w:r>
            <w:r w:rsidR="008C3110">
              <w:t>45</w:t>
            </w:r>
            <w:r w:rsidR="00336197">
              <w:t>)</w:t>
            </w:r>
          </w:p>
        </w:tc>
      </w:tr>
      <w:tr w:rsidR="00DC395C" w:rsidRPr="007F1E92" w:rsidTr="00DC395C">
        <w:trPr>
          <w:trHeight w:val="26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FA31AB" w:rsidP="00FA31A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DC395C" w:rsidRPr="007F1E92">
              <w:rPr>
                <w:b/>
              </w:rPr>
              <w:t>A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</w:p>
        </w:tc>
      </w:tr>
      <w:tr w:rsidR="00DC395C" w:rsidRPr="007F1E92" w:rsidTr="00DC395C">
        <w:trPr>
          <w:trHeight w:val="26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  <w:r w:rsidRPr="007F1E92">
              <w:t>Sample size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B2CF6">
            <w:pPr>
              <w:jc w:val="center"/>
            </w:pPr>
            <w:r w:rsidRPr="007F1E92">
              <w:t>19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>
            <w:pPr>
              <w:jc w:val="center"/>
            </w:pPr>
            <w:r w:rsidRPr="007F1E92">
              <w:t>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513EA0">
            <w:pPr>
              <w:jc w:val="center"/>
            </w:pPr>
            <w:r w:rsidRPr="007F1E92">
              <w:t>19</w:t>
            </w:r>
          </w:p>
        </w:tc>
      </w:tr>
      <w:tr w:rsidR="00DC395C" w:rsidRPr="007F1E92" w:rsidTr="007376D3">
        <w:trPr>
          <w:trHeight w:val="26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DC395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6704B4" w:rsidP="006E0DCD">
            <w:pPr>
              <w:jc w:val="center"/>
            </w:pPr>
            <w:r>
              <w:t>Mean (</w:t>
            </w:r>
            <w:r w:rsidR="00083C07">
              <w:t>SD</w:t>
            </w:r>
            <w:r>
              <w:t>)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6704B4" w:rsidP="006E0DCD">
            <w:pPr>
              <w:jc w:val="center"/>
            </w:pPr>
            <w:r>
              <w:t>371 (</w:t>
            </w:r>
            <w:r w:rsidR="00252454">
              <w:t>97</w:t>
            </w:r>
            <w:r>
              <w:t>)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6704B4" w:rsidP="006E0DCD">
            <w:pPr>
              <w:jc w:val="center"/>
            </w:pPr>
            <w:r>
              <w:t>376 (</w:t>
            </w:r>
            <w:r w:rsidR="00252454">
              <w:t>107</w:t>
            </w:r>
            <w:r>
              <w:t>)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DC395C" w:rsidRPr="007F1E92" w:rsidRDefault="00336197" w:rsidP="006E0DCD">
            <w:pPr>
              <w:jc w:val="center"/>
            </w:pPr>
            <w:r>
              <w:t>5 (</w:t>
            </w:r>
            <w:r w:rsidR="001C4275">
              <w:t>45</w:t>
            </w:r>
            <w:r>
              <w:t>)</w:t>
            </w:r>
          </w:p>
        </w:tc>
      </w:tr>
      <w:tr w:rsidR="007376D3" w:rsidRPr="007F1E92" w:rsidTr="007376D3">
        <w:trPr>
          <w:trHeight w:val="26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7376D3" w:rsidRPr="007F1E92" w:rsidRDefault="007376D3" w:rsidP="006E0DCD">
            <w:pPr>
              <w:rPr>
                <w:b/>
              </w:rPr>
            </w:pPr>
          </w:p>
        </w:tc>
        <w:tc>
          <w:tcPr>
            <w:tcW w:w="73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Default="007376D3" w:rsidP="00FA31AB">
            <w:pPr>
              <w:jc w:val="center"/>
              <w:rPr>
                <w:b/>
              </w:rPr>
            </w:pPr>
            <w:r>
              <w:rPr>
                <w:b/>
              </w:rPr>
              <w:t>Treatment effect</w:t>
            </w:r>
            <w:r w:rsidR="00336197">
              <w:rPr>
                <w:b/>
              </w:rPr>
              <w:t>*</w:t>
            </w:r>
          </w:p>
          <w:p w:rsidR="007376D3" w:rsidRDefault="007376D3" w:rsidP="00FA31AB">
            <w:pPr>
              <w:jc w:val="center"/>
              <w:rPr>
                <w:b/>
              </w:rPr>
            </w:pPr>
            <w:r w:rsidRPr="007F1E92">
              <w:t>Sample size</w:t>
            </w:r>
          </w:p>
          <w:p w:rsidR="007376D3" w:rsidRDefault="007376D3" w:rsidP="007376D3">
            <w:pPr>
              <w:jc w:val="center"/>
            </w:pPr>
            <w:r w:rsidRPr="007F1E92">
              <w:t>Mean (</w:t>
            </w:r>
            <w:r>
              <w:t>95% CI</w:t>
            </w:r>
            <w:r w:rsidRPr="007F1E92">
              <w:t>)</w:t>
            </w:r>
          </w:p>
          <w:p w:rsidR="007376D3" w:rsidRDefault="007376D3" w:rsidP="007376D3">
            <w:pPr>
              <w:jc w:val="center"/>
              <w:rPr>
                <w:b/>
              </w:rPr>
            </w:pPr>
            <w:r>
              <w:t>p-value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Default="007376D3" w:rsidP="006E0DCD">
            <w:pPr>
              <w:jc w:val="center"/>
            </w:pPr>
          </w:p>
          <w:p w:rsidR="007376D3" w:rsidRPr="007F1E92" w:rsidRDefault="007376D3" w:rsidP="006E0DCD">
            <w:pPr>
              <w:jc w:val="center"/>
            </w:pPr>
            <w:r>
              <w:t>-</w:t>
            </w:r>
          </w:p>
          <w:p w:rsidR="007376D3" w:rsidRDefault="007376D3" w:rsidP="006E0DCD">
            <w:pPr>
              <w:jc w:val="center"/>
            </w:pPr>
            <w:r>
              <w:t>-</w:t>
            </w:r>
          </w:p>
          <w:p w:rsidR="007376D3" w:rsidRPr="007F1E92" w:rsidRDefault="007376D3" w:rsidP="006E0DCD">
            <w:pPr>
              <w:jc w:val="center"/>
            </w:pPr>
            <w:r>
              <w:t>-</w:t>
            </w:r>
          </w:p>
        </w:tc>
        <w:tc>
          <w:tcPr>
            <w:tcW w:w="103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Default="007376D3" w:rsidP="006E0DCD">
            <w:pPr>
              <w:jc w:val="center"/>
            </w:pPr>
          </w:p>
          <w:p w:rsidR="007376D3" w:rsidRPr="007F1E92" w:rsidRDefault="007376D3" w:rsidP="006E0DCD">
            <w:pPr>
              <w:jc w:val="center"/>
            </w:pPr>
            <w:r>
              <w:t>-</w:t>
            </w:r>
          </w:p>
          <w:p w:rsidR="007376D3" w:rsidRDefault="007376D3" w:rsidP="006E0DCD">
            <w:pPr>
              <w:jc w:val="center"/>
            </w:pPr>
            <w:r>
              <w:t>-</w:t>
            </w:r>
          </w:p>
          <w:p w:rsidR="007376D3" w:rsidRPr="007F1E92" w:rsidRDefault="007376D3" w:rsidP="006E0DCD">
            <w:pPr>
              <w:jc w:val="center"/>
            </w:pPr>
            <w:r>
              <w:t>-</w:t>
            </w:r>
          </w:p>
        </w:tc>
        <w:tc>
          <w:tcPr>
            <w:tcW w:w="142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Default="007376D3" w:rsidP="007376D3">
            <w:pPr>
              <w:jc w:val="center"/>
            </w:pPr>
          </w:p>
          <w:p w:rsidR="007376D3" w:rsidRDefault="007376D3" w:rsidP="007376D3">
            <w:pPr>
              <w:jc w:val="center"/>
            </w:pPr>
            <w:r>
              <w:t>34</w:t>
            </w:r>
          </w:p>
          <w:p w:rsidR="007376D3" w:rsidRDefault="007376D3" w:rsidP="007376D3">
            <w:pPr>
              <w:jc w:val="center"/>
            </w:pPr>
            <w:r>
              <w:t>11 (-5</w:t>
            </w:r>
            <w:r w:rsidR="001F4474">
              <w:t xml:space="preserve"> to </w:t>
            </w:r>
            <w:r>
              <w:t>26)</w:t>
            </w:r>
          </w:p>
          <w:p w:rsidR="007376D3" w:rsidRPr="007F1E92" w:rsidRDefault="007376D3" w:rsidP="006E0DCD">
            <w:pPr>
              <w:jc w:val="center"/>
            </w:pPr>
            <w:r>
              <w:t>0.18</w:t>
            </w:r>
          </w:p>
        </w:tc>
      </w:tr>
      <w:tr w:rsidR="007376D3" w:rsidRPr="007F1E92" w:rsidTr="007376D3">
        <w:trPr>
          <w:trHeight w:val="26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7376D3" w:rsidRPr="007F1E92" w:rsidRDefault="007376D3" w:rsidP="006E0DCD">
            <w:pPr>
              <w:rPr>
                <w:b/>
              </w:rPr>
            </w:pPr>
          </w:p>
        </w:tc>
        <w:tc>
          <w:tcPr>
            <w:tcW w:w="7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Default="007376D3" w:rsidP="007376D3">
            <w:pPr>
              <w:jc w:val="center"/>
              <w:rPr>
                <w:b/>
              </w:rPr>
            </w:pPr>
          </w:p>
        </w:tc>
        <w:tc>
          <w:tcPr>
            <w:tcW w:w="9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10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142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</w:tr>
      <w:tr w:rsidR="007376D3" w:rsidRPr="007F1E92" w:rsidTr="007376D3">
        <w:trPr>
          <w:trHeight w:val="260"/>
        </w:trPr>
        <w:tc>
          <w:tcPr>
            <w:tcW w:w="824" w:type="pct"/>
            <w:tcBorders>
              <w:top w:val="nil"/>
              <w:left w:val="nil"/>
              <w:right w:val="nil"/>
            </w:tcBorders>
          </w:tcPr>
          <w:p w:rsidR="007376D3" w:rsidRPr="007F1E92" w:rsidRDefault="007376D3" w:rsidP="006E0DCD">
            <w:pPr>
              <w:rPr>
                <w:b/>
              </w:rPr>
            </w:pPr>
          </w:p>
        </w:tc>
        <w:tc>
          <w:tcPr>
            <w:tcW w:w="7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Default="007376D3" w:rsidP="007376D3">
            <w:pPr>
              <w:jc w:val="center"/>
              <w:rPr>
                <w:b/>
              </w:rPr>
            </w:pPr>
          </w:p>
        </w:tc>
        <w:tc>
          <w:tcPr>
            <w:tcW w:w="9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10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142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</w:tr>
      <w:tr w:rsidR="00921BDC" w:rsidRPr="007F1E92" w:rsidTr="007376D3">
        <w:trPr>
          <w:trHeight w:val="260"/>
        </w:trPr>
        <w:tc>
          <w:tcPr>
            <w:tcW w:w="824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21BDC" w:rsidRPr="007F1E92" w:rsidRDefault="00921BDC" w:rsidP="006E0DCD">
            <w:pPr>
              <w:rPr>
                <w:b/>
              </w:rPr>
            </w:pPr>
            <w:r w:rsidRPr="007F1E92">
              <w:rPr>
                <w:b/>
              </w:rPr>
              <w:t xml:space="preserve">Pain-free walking distance </w:t>
            </w:r>
            <w:r>
              <w:rPr>
                <w:b/>
              </w:rPr>
              <w:t>during usual-pace walking, metre</w:t>
            </w:r>
            <w:r w:rsidRPr="007F1E92">
              <w:rPr>
                <w:b/>
              </w:rPr>
              <w:t>s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BDC" w:rsidRPr="007F1E92" w:rsidRDefault="00921BDC" w:rsidP="00FA31A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7F1E92">
              <w:rPr>
                <w:b/>
              </w:rPr>
              <w:t>B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</w:p>
        </w:tc>
      </w:tr>
      <w:tr w:rsidR="00921BDC" w:rsidRPr="007F1E92" w:rsidTr="00DC395C">
        <w:trPr>
          <w:trHeight w:val="139"/>
        </w:trPr>
        <w:tc>
          <w:tcPr>
            <w:tcW w:w="824" w:type="pct"/>
            <w:vMerge/>
            <w:tcBorders>
              <w:left w:val="nil"/>
              <w:right w:val="nil"/>
            </w:tcBorders>
          </w:tcPr>
          <w:p w:rsidR="00921BDC" w:rsidRPr="007F1E92" w:rsidRDefault="00921BD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  <w:r w:rsidRPr="007F1E92">
              <w:t xml:space="preserve">Sample size 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  <w:r w:rsidRPr="007F1E92">
              <w:t>16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  <w:r w:rsidRPr="007F1E92">
              <w:t>15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  <w:r w:rsidRPr="007F1E92">
              <w:t>15</w:t>
            </w:r>
          </w:p>
        </w:tc>
      </w:tr>
      <w:tr w:rsidR="00921BDC" w:rsidRPr="007F1E92" w:rsidTr="00DC395C">
        <w:trPr>
          <w:trHeight w:val="139"/>
        </w:trPr>
        <w:tc>
          <w:tcPr>
            <w:tcW w:w="824" w:type="pct"/>
            <w:vMerge/>
            <w:tcBorders>
              <w:left w:val="nil"/>
              <w:right w:val="nil"/>
            </w:tcBorders>
          </w:tcPr>
          <w:p w:rsidR="00921BDC" w:rsidRPr="007F1E92" w:rsidRDefault="00921BD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6704B4" w:rsidP="006E0DCD">
            <w:pPr>
              <w:jc w:val="center"/>
            </w:pPr>
            <w:r>
              <w:t>Mean (</w:t>
            </w:r>
            <w:r w:rsidR="001F4474">
              <w:t>SD</w:t>
            </w:r>
            <w:r>
              <w:t>)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6704B4" w:rsidP="001432EE">
            <w:pPr>
              <w:jc w:val="center"/>
            </w:pPr>
            <w:r>
              <w:t>161 (</w:t>
            </w:r>
            <w:r w:rsidR="00921BDC">
              <w:t>106</w:t>
            </w:r>
            <w:r>
              <w:t>)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6704B4" w:rsidP="0057727E">
            <w:pPr>
              <w:jc w:val="center"/>
            </w:pPr>
            <w:r>
              <w:t>217 (</w:t>
            </w:r>
            <w:r w:rsidR="00921BDC">
              <w:t>178</w:t>
            </w:r>
            <w:r>
              <w:t>)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336197" w:rsidP="007C665C">
            <w:pPr>
              <w:jc w:val="center"/>
            </w:pPr>
            <w:r>
              <w:t>-53 (</w:t>
            </w:r>
            <w:r w:rsidR="00921BDC">
              <w:t>81</w:t>
            </w:r>
            <w:r>
              <w:t>)</w:t>
            </w:r>
          </w:p>
        </w:tc>
      </w:tr>
      <w:tr w:rsidR="00921BDC" w:rsidRPr="007F1E92" w:rsidTr="00DC395C">
        <w:trPr>
          <w:trHeight w:val="139"/>
        </w:trPr>
        <w:tc>
          <w:tcPr>
            <w:tcW w:w="824" w:type="pct"/>
            <w:vMerge/>
            <w:tcBorders>
              <w:left w:val="nil"/>
              <w:bottom w:val="nil"/>
              <w:right w:val="nil"/>
            </w:tcBorders>
          </w:tcPr>
          <w:p w:rsidR="00921BDC" w:rsidRPr="007F1E92" w:rsidRDefault="00921BD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FA31A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7F1E92">
              <w:rPr>
                <w:b/>
              </w:rPr>
              <w:t>A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</w:p>
        </w:tc>
      </w:tr>
      <w:tr w:rsidR="00921BDC" w:rsidRPr="007F1E92" w:rsidTr="00DC395C">
        <w:trPr>
          <w:trHeight w:val="26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  <w:r w:rsidRPr="007F1E92">
              <w:t>Sample size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  <w:r w:rsidRPr="007F1E92">
              <w:t>19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  <w:r w:rsidRPr="007F1E92">
              <w:t>19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  <w:r w:rsidRPr="007F1E92">
              <w:t>19</w:t>
            </w:r>
          </w:p>
        </w:tc>
      </w:tr>
      <w:tr w:rsidR="00921BDC" w:rsidRPr="007F1E92" w:rsidTr="007376D3">
        <w:trPr>
          <w:trHeight w:val="26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/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6704B4" w:rsidP="006E0DCD">
            <w:pPr>
              <w:jc w:val="center"/>
            </w:pPr>
            <w:r>
              <w:t>Mean (</w:t>
            </w:r>
            <w:r w:rsidR="001F4474">
              <w:t>SD</w:t>
            </w:r>
            <w:r>
              <w:t>)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921BDC" w:rsidP="006E0DCD">
            <w:pPr>
              <w:jc w:val="center"/>
            </w:pPr>
            <w:r>
              <w:t>121</w:t>
            </w:r>
            <w:r w:rsidR="006704B4">
              <w:t xml:space="preserve"> (</w:t>
            </w:r>
            <w:r w:rsidRPr="007F1E92">
              <w:t>5</w:t>
            </w:r>
            <w:r>
              <w:t>5</w:t>
            </w:r>
            <w:r w:rsidR="006704B4">
              <w:t>)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6704B4" w:rsidP="0057727E">
            <w:pPr>
              <w:jc w:val="center"/>
            </w:pPr>
            <w:r>
              <w:t>159 (</w:t>
            </w:r>
            <w:r w:rsidR="00921BDC">
              <w:t>72</w:t>
            </w:r>
            <w:r>
              <w:t>)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</w:tcPr>
          <w:p w:rsidR="00921BDC" w:rsidRPr="007F1E92" w:rsidRDefault="00336197" w:rsidP="007C665C">
            <w:pPr>
              <w:jc w:val="center"/>
            </w:pPr>
            <w:r>
              <w:t>38 (</w:t>
            </w:r>
            <w:r w:rsidR="00921BDC">
              <w:t>60</w:t>
            </w:r>
            <w:r>
              <w:t>)</w:t>
            </w:r>
          </w:p>
        </w:tc>
      </w:tr>
      <w:tr w:rsidR="007376D3" w:rsidRPr="007F1E92" w:rsidTr="007376D3">
        <w:trPr>
          <w:trHeight w:val="7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7376D3" w:rsidRPr="007F1E92" w:rsidRDefault="007376D3" w:rsidP="006E0DCD"/>
        </w:tc>
        <w:tc>
          <w:tcPr>
            <w:tcW w:w="738" w:type="pct"/>
            <w:vMerge w:val="restart"/>
            <w:tcBorders>
              <w:top w:val="nil"/>
              <w:left w:val="nil"/>
              <w:right w:val="nil"/>
            </w:tcBorders>
          </w:tcPr>
          <w:p w:rsidR="007376D3" w:rsidRDefault="007376D3" w:rsidP="007376D3">
            <w:pPr>
              <w:jc w:val="center"/>
              <w:rPr>
                <w:b/>
              </w:rPr>
            </w:pPr>
            <w:r>
              <w:rPr>
                <w:b/>
              </w:rPr>
              <w:t>Treatment effect</w:t>
            </w:r>
            <w:r w:rsidR="00336197">
              <w:rPr>
                <w:b/>
              </w:rPr>
              <w:t>*</w:t>
            </w:r>
          </w:p>
          <w:p w:rsidR="007376D3" w:rsidRDefault="007376D3" w:rsidP="007376D3">
            <w:pPr>
              <w:jc w:val="center"/>
              <w:rPr>
                <w:b/>
              </w:rPr>
            </w:pPr>
            <w:r w:rsidRPr="007F1E92">
              <w:t>Sample size</w:t>
            </w:r>
          </w:p>
          <w:p w:rsidR="007376D3" w:rsidRDefault="007376D3" w:rsidP="007376D3">
            <w:pPr>
              <w:jc w:val="center"/>
            </w:pPr>
            <w:r w:rsidRPr="007F1E92">
              <w:t>Mean (</w:t>
            </w:r>
            <w:r>
              <w:t>95% CI</w:t>
            </w:r>
            <w:r w:rsidRPr="007F1E92">
              <w:t>)</w:t>
            </w:r>
          </w:p>
          <w:p w:rsidR="007376D3" w:rsidRPr="007F1E92" w:rsidRDefault="007376D3" w:rsidP="007376D3">
            <w:pPr>
              <w:jc w:val="center"/>
              <w:rPr>
                <w:b/>
              </w:rPr>
            </w:pPr>
            <w:r>
              <w:t>p-value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nil"/>
            </w:tcBorders>
          </w:tcPr>
          <w:p w:rsidR="007376D3" w:rsidRDefault="007376D3" w:rsidP="006E0DCD">
            <w:pPr>
              <w:jc w:val="center"/>
              <w:rPr>
                <w:b/>
              </w:rPr>
            </w:pPr>
          </w:p>
          <w:p w:rsidR="007376D3" w:rsidRDefault="007376D3" w:rsidP="006E0DCD">
            <w:pPr>
              <w:jc w:val="center"/>
            </w:pPr>
            <w:r>
              <w:t>-</w:t>
            </w:r>
          </w:p>
          <w:p w:rsidR="007376D3" w:rsidRDefault="007376D3" w:rsidP="006E0DCD">
            <w:pPr>
              <w:jc w:val="center"/>
            </w:pPr>
            <w:r>
              <w:t>-</w:t>
            </w:r>
          </w:p>
          <w:p w:rsidR="007376D3" w:rsidRPr="007376D3" w:rsidRDefault="007376D3" w:rsidP="006E0DCD">
            <w:pPr>
              <w:jc w:val="center"/>
            </w:pPr>
            <w:r>
              <w:t>-</w:t>
            </w:r>
          </w:p>
        </w:tc>
        <w:tc>
          <w:tcPr>
            <w:tcW w:w="1038" w:type="pct"/>
            <w:vMerge w:val="restart"/>
            <w:tcBorders>
              <w:top w:val="nil"/>
              <w:left w:val="nil"/>
              <w:right w:val="nil"/>
            </w:tcBorders>
          </w:tcPr>
          <w:p w:rsidR="007376D3" w:rsidRDefault="007376D3" w:rsidP="006E0DCD">
            <w:pPr>
              <w:jc w:val="center"/>
              <w:rPr>
                <w:b/>
              </w:rPr>
            </w:pPr>
          </w:p>
          <w:p w:rsidR="007376D3" w:rsidRDefault="007376D3" w:rsidP="006E0DCD">
            <w:pPr>
              <w:jc w:val="center"/>
            </w:pPr>
            <w:r>
              <w:t>-</w:t>
            </w:r>
          </w:p>
          <w:p w:rsidR="007376D3" w:rsidRDefault="007376D3" w:rsidP="006E0DCD">
            <w:pPr>
              <w:jc w:val="center"/>
            </w:pPr>
            <w:r>
              <w:t>-</w:t>
            </w:r>
          </w:p>
          <w:p w:rsidR="007376D3" w:rsidRPr="007376D3" w:rsidRDefault="007376D3" w:rsidP="006E0DCD">
            <w:pPr>
              <w:jc w:val="center"/>
            </w:pPr>
            <w:r>
              <w:t>-</w:t>
            </w:r>
          </w:p>
        </w:tc>
        <w:tc>
          <w:tcPr>
            <w:tcW w:w="1421" w:type="pct"/>
            <w:vMerge w:val="restart"/>
            <w:tcBorders>
              <w:top w:val="nil"/>
              <w:left w:val="nil"/>
              <w:right w:val="nil"/>
            </w:tcBorders>
          </w:tcPr>
          <w:p w:rsidR="007376D3" w:rsidRDefault="007376D3" w:rsidP="007376D3">
            <w:pPr>
              <w:jc w:val="center"/>
            </w:pPr>
          </w:p>
          <w:p w:rsidR="007376D3" w:rsidRPr="007376D3" w:rsidRDefault="007376D3" w:rsidP="007376D3">
            <w:pPr>
              <w:jc w:val="center"/>
            </w:pPr>
            <w:r>
              <w:t>34</w:t>
            </w:r>
          </w:p>
          <w:p w:rsidR="007376D3" w:rsidRPr="007F1E92" w:rsidRDefault="001F4474" w:rsidP="007376D3">
            <w:pPr>
              <w:jc w:val="center"/>
            </w:pPr>
            <w:r>
              <w:t>-7 (-32 to</w:t>
            </w:r>
            <w:r w:rsidR="007376D3">
              <w:t xml:space="preserve"> 17</w:t>
            </w:r>
            <w:r w:rsidR="007376D3" w:rsidRPr="007F1E92">
              <w:t>)</w:t>
            </w:r>
          </w:p>
          <w:p w:rsidR="007376D3" w:rsidRPr="007F1E92" w:rsidRDefault="007376D3" w:rsidP="007376D3">
            <w:pPr>
              <w:jc w:val="center"/>
            </w:pPr>
            <w:r w:rsidRPr="007F1E92">
              <w:t>0.55</w:t>
            </w:r>
          </w:p>
        </w:tc>
      </w:tr>
      <w:tr w:rsidR="007376D3" w:rsidRPr="007F1E92" w:rsidTr="007376D3">
        <w:trPr>
          <w:trHeight w:val="260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:rsidR="007376D3" w:rsidRPr="007F1E92" w:rsidRDefault="007376D3" w:rsidP="006E0DCD"/>
        </w:tc>
        <w:tc>
          <w:tcPr>
            <w:tcW w:w="738" w:type="pct"/>
            <w:vMerge/>
            <w:tcBorders>
              <w:top w:val="nil"/>
              <w:left w:val="nil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979" w:type="pct"/>
            <w:vMerge/>
            <w:tcBorders>
              <w:top w:val="nil"/>
              <w:left w:val="nil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1038" w:type="pct"/>
            <w:vMerge/>
            <w:tcBorders>
              <w:top w:val="nil"/>
              <w:left w:val="nil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1421" w:type="pct"/>
            <w:vMerge/>
            <w:tcBorders>
              <w:top w:val="nil"/>
              <w:left w:val="nil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</w:tr>
      <w:tr w:rsidR="007376D3" w:rsidRPr="007F1E92" w:rsidTr="007376D3">
        <w:trPr>
          <w:trHeight w:val="275"/>
        </w:trPr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/>
        </w:tc>
        <w:tc>
          <w:tcPr>
            <w:tcW w:w="7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97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103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  <w:tc>
          <w:tcPr>
            <w:tcW w:w="142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6D3" w:rsidRPr="007F1E92" w:rsidRDefault="007376D3" w:rsidP="006E0DCD">
            <w:pPr>
              <w:jc w:val="center"/>
            </w:pPr>
          </w:p>
        </w:tc>
      </w:tr>
    </w:tbl>
    <w:p w:rsidR="00336197" w:rsidRDefault="00336197" w:rsidP="003921E3">
      <w:r>
        <w:t>*E</w:t>
      </w:r>
      <w:r w:rsidRPr="00336197">
        <w:t xml:space="preserve">stimate of the difference between the control and the unloading shoes, accounting for a possible period effect.  </w:t>
      </w:r>
    </w:p>
    <w:p w:rsidR="008D3A51" w:rsidRDefault="00252454" w:rsidP="003921E3">
      <w:r>
        <w:t>AB, control then unloading; BA, unloading then control</w:t>
      </w:r>
      <w:r w:rsidR="001F4474">
        <w:t>.</w:t>
      </w:r>
    </w:p>
    <w:p w:rsidR="007376D3" w:rsidRDefault="007376D3" w:rsidP="003921E3">
      <w:r>
        <w:t>CI, confidence interval; SD, standard deviation</w:t>
      </w:r>
    </w:p>
    <w:p w:rsidR="007376D3" w:rsidRPr="00826376" w:rsidRDefault="007376D3" w:rsidP="003921E3">
      <w:pPr>
        <w:sectPr w:rsidR="007376D3" w:rsidRPr="00826376" w:rsidSect="00FE75E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921E3" w:rsidRDefault="003921E3" w:rsidP="003921E3">
      <w:r w:rsidRPr="003921E3">
        <w:rPr>
          <w:b/>
        </w:rPr>
        <w:lastRenderedPageBreak/>
        <w:t>Table</w:t>
      </w:r>
      <w:r>
        <w:rPr>
          <w:b/>
        </w:rPr>
        <w:t xml:space="preserve"> </w:t>
      </w:r>
      <w:r w:rsidR="00FE75E0">
        <w:rPr>
          <w:b/>
        </w:rPr>
        <w:t>3</w:t>
      </w:r>
      <w:r>
        <w:t xml:space="preserve"> </w:t>
      </w:r>
      <w:r w:rsidR="008609AB">
        <w:t>G</w:t>
      </w:r>
      <w:r w:rsidR="00FE75E0">
        <w:t>ait variables</w:t>
      </w:r>
      <w:r w:rsidR="008609AB">
        <w:t xml:space="preserve"> during pain-free walking</w:t>
      </w:r>
      <w:r w:rsidR="00FE75E0">
        <w:t>.</w:t>
      </w:r>
    </w:p>
    <w:tbl>
      <w:tblPr>
        <w:tblStyle w:val="TableGrid"/>
        <w:tblW w:w="5000" w:type="pct"/>
        <w:tblLook w:val="04A0"/>
      </w:tblPr>
      <w:tblGrid>
        <w:gridCol w:w="3583"/>
        <w:gridCol w:w="1752"/>
        <w:gridCol w:w="1774"/>
        <w:gridCol w:w="2133"/>
      </w:tblGrid>
      <w:tr w:rsidR="00B63A83" w:rsidTr="000B0E6A">
        <w:tc>
          <w:tcPr>
            <w:tcW w:w="1938" w:type="pct"/>
            <w:tcBorders>
              <w:left w:val="nil"/>
              <w:bottom w:val="single" w:sz="4" w:space="0" w:color="auto"/>
              <w:right w:val="nil"/>
            </w:tcBorders>
          </w:tcPr>
          <w:p w:rsidR="00B63A83" w:rsidRDefault="00B63A83" w:rsidP="008609AB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948" w:type="pct"/>
            <w:tcBorders>
              <w:left w:val="nil"/>
              <w:bottom w:val="single" w:sz="4" w:space="0" w:color="auto"/>
              <w:right w:val="nil"/>
            </w:tcBorders>
          </w:tcPr>
          <w:p w:rsidR="00B63A83" w:rsidRDefault="00B63A83" w:rsidP="008609AB">
            <w:pPr>
              <w:jc w:val="center"/>
              <w:rPr>
                <w:b/>
              </w:rPr>
            </w:pPr>
            <w:r>
              <w:rPr>
                <w:b/>
              </w:rPr>
              <w:t>Control Shoes</w:t>
            </w:r>
          </w:p>
          <w:p w:rsidR="00B63A83" w:rsidRDefault="00B63A83" w:rsidP="008609A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60" w:type="pct"/>
            <w:tcBorders>
              <w:left w:val="nil"/>
              <w:bottom w:val="single" w:sz="4" w:space="0" w:color="auto"/>
              <w:right w:val="nil"/>
            </w:tcBorders>
          </w:tcPr>
          <w:p w:rsidR="00B63A83" w:rsidRDefault="00B63A83" w:rsidP="00083C07">
            <w:pPr>
              <w:jc w:val="center"/>
              <w:rPr>
                <w:b/>
              </w:rPr>
            </w:pPr>
            <w:r>
              <w:rPr>
                <w:b/>
              </w:rPr>
              <w:t>Unloading shoes</w:t>
            </w:r>
          </w:p>
          <w:p w:rsidR="00B63A83" w:rsidRDefault="00B63A83" w:rsidP="008609A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54" w:type="pct"/>
            <w:tcBorders>
              <w:left w:val="nil"/>
              <w:bottom w:val="single" w:sz="4" w:space="0" w:color="auto"/>
              <w:right w:val="nil"/>
            </w:tcBorders>
          </w:tcPr>
          <w:p w:rsidR="00B63A83" w:rsidRDefault="00B63A83" w:rsidP="008609AB">
            <w:pPr>
              <w:jc w:val="center"/>
              <w:rPr>
                <w:b/>
              </w:rPr>
            </w:pPr>
            <w:r>
              <w:rPr>
                <w:b/>
              </w:rPr>
              <w:t>Mean difference* (95% CI)</w:t>
            </w:r>
          </w:p>
        </w:tc>
      </w:tr>
      <w:tr w:rsidR="00B63A83" w:rsidTr="000B0E6A">
        <w:tc>
          <w:tcPr>
            <w:tcW w:w="1938" w:type="pct"/>
            <w:tcBorders>
              <w:left w:val="nil"/>
              <w:bottom w:val="nil"/>
              <w:right w:val="nil"/>
            </w:tcBorders>
          </w:tcPr>
          <w:p w:rsidR="00B63A83" w:rsidRPr="00E17D85" w:rsidRDefault="00B63A83" w:rsidP="004B11B8">
            <w:r w:rsidRPr="00E17D85">
              <w:t>Walking speed (m/s)</w:t>
            </w:r>
          </w:p>
        </w:tc>
        <w:tc>
          <w:tcPr>
            <w:tcW w:w="948" w:type="pct"/>
            <w:tcBorders>
              <w:left w:val="nil"/>
              <w:bottom w:val="nil"/>
              <w:right w:val="nil"/>
            </w:tcBorders>
          </w:tcPr>
          <w:p w:rsidR="00B63A83" w:rsidRPr="007264D8" w:rsidRDefault="001F4474" w:rsidP="006704B4">
            <w:pPr>
              <w:jc w:val="center"/>
            </w:pPr>
            <w:r>
              <w:t xml:space="preserve">1.16 </w:t>
            </w:r>
            <w:r w:rsidR="006704B4">
              <w:t>(</w:t>
            </w:r>
            <w:r>
              <w:t>0.26</w:t>
            </w:r>
            <w:r w:rsidR="006704B4">
              <w:t>)</w:t>
            </w:r>
          </w:p>
        </w:tc>
        <w:tc>
          <w:tcPr>
            <w:tcW w:w="960" w:type="pct"/>
            <w:tcBorders>
              <w:left w:val="nil"/>
              <w:bottom w:val="nil"/>
              <w:right w:val="nil"/>
            </w:tcBorders>
          </w:tcPr>
          <w:p w:rsidR="00B63A83" w:rsidRPr="007264D8" w:rsidRDefault="001F4474" w:rsidP="006704B4">
            <w:pPr>
              <w:jc w:val="center"/>
            </w:pPr>
            <w:r>
              <w:t xml:space="preserve">1.17 </w:t>
            </w:r>
            <w:r w:rsidR="006704B4">
              <w:t>(</w:t>
            </w:r>
            <w:r>
              <w:t>0.26</w:t>
            </w:r>
            <w:r w:rsidR="006704B4">
              <w:t>)</w:t>
            </w:r>
          </w:p>
        </w:tc>
        <w:tc>
          <w:tcPr>
            <w:tcW w:w="1154" w:type="pct"/>
            <w:tcBorders>
              <w:left w:val="nil"/>
              <w:bottom w:val="nil"/>
              <w:right w:val="nil"/>
            </w:tcBorders>
          </w:tcPr>
          <w:p w:rsidR="00B63A83" w:rsidRPr="007264D8" w:rsidRDefault="00B63A83" w:rsidP="008609AB">
            <w:pPr>
              <w:jc w:val="center"/>
            </w:pPr>
            <w:r w:rsidRPr="007264D8">
              <w:t>-0.0</w:t>
            </w:r>
            <w:r>
              <w:t>1</w:t>
            </w:r>
            <w:r w:rsidRPr="007264D8">
              <w:t xml:space="preserve"> (-0.0</w:t>
            </w:r>
            <w:r>
              <w:t>3</w:t>
            </w:r>
            <w:r w:rsidR="001F4474">
              <w:t xml:space="preserve"> to</w:t>
            </w:r>
            <w:r w:rsidRPr="007264D8">
              <w:t xml:space="preserve"> 0.0</w:t>
            </w:r>
            <w:r>
              <w:t>1</w:t>
            </w:r>
            <w:r w:rsidRPr="007264D8">
              <w:t>)</w:t>
            </w:r>
          </w:p>
        </w:tc>
      </w:tr>
      <w:tr w:rsidR="00B63A83" w:rsidTr="000B0E6A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E17D85" w:rsidRDefault="00B63A83" w:rsidP="004B11B8">
            <w:r w:rsidRPr="00E17D85">
              <w:t>Step length (m)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6704B4">
            <w:pPr>
              <w:jc w:val="center"/>
            </w:pPr>
            <w:r>
              <w:t>0</w:t>
            </w:r>
            <w:r w:rsidRPr="007264D8">
              <w:t>.6</w:t>
            </w:r>
            <w:r w:rsidR="001F4474">
              <w:t xml:space="preserve">3 </w:t>
            </w:r>
            <w:r w:rsidR="006704B4">
              <w:t>(</w:t>
            </w:r>
            <w:r>
              <w:t>0</w:t>
            </w:r>
            <w:r w:rsidRPr="007264D8">
              <w:t>.1</w:t>
            </w:r>
            <w:r w:rsidR="001F4474">
              <w:t>1</w:t>
            </w:r>
            <w:r w:rsidR="006704B4"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8609AB">
            <w:pPr>
              <w:jc w:val="center"/>
            </w:pPr>
            <w:r>
              <w:t>0</w:t>
            </w:r>
            <w:r w:rsidRPr="007264D8">
              <w:t>.63</w:t>
            </w:r>
            <w:r w:rsidR="006704B4">
              <w:t xml:space="preserve"> (</w:t>
            </w:r>
            <w:r>
              <w:t>0</w:t>
            </w:r>
            <w:r w:rsidRPr="007264D8">
              <w:t>.11</w:t>
            </w:r>
            <w:r w:rsidR="006704B4">
              <w:t>)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8609AB">
            <w:pPr>
              <w:jc w:val="center"/>
            </w:pPr>
            <w:r w:rsidRPr="007264D8">
              <w:t>-</w:t>
            </w:r>
            <w:r>
              <w:t>0</w:t>
            </w:r>
            <w:r w:rsidRPr="007264D8">
              <w:t>.0</w:t>
            </w:r>
            <w:r>
              <w:t>1</w:t>
            </w:r>
            <w:r w:rsidRPr="007264D8">
              <w:t xml:space="preserve"> (-</w:t>
            </w:r>
            <w:r>
              <w:t>0</w:t>
            </w:r>
            <w:r w:rsidRPr="007264D8">
              <w:t>.0</w:t>
            </w:r>
            <w:r w:rsidR="001F4474">
              <w:t>2 to</w:t>
            </w:r>
            <w:r>
              <w:t xml:space="preserve"> 0</w:t>
            </w:r>
            <w:r w:rsidRPr="007264D8">
              <w:t>.0</w:t>
            </w:r>
            <w:r>
              <w:t>1)</w:t>
            </w:r>
          </w:p>
        </w:tc>
      </w:tr>
      <w:tr w:rsidR="00B63A83" w:rsidTr="000B0E6A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E17D85" w:rsidRDefault="00B63A83" w:rsidP="004B11B8">
            <w:r w:rsidRPr="00E17D85">
              <w:t>Step cadence (steps/min)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1F4474" w:rsidP="006704B4">
            <w:pPr>
              <w:jc w:val="center"/>
            </w:pPr>
            <w:r>
              <w:t xml:space="preserve">110.0 </w:t>
            </w:r>
            <w:r w:rsidR="006704B4">
              <w:t>(</w:t>
            </w:r>
            <w:r w:rsidR="00B63A83" w:rsidRPr="007264D8">
              <w:t>11.5</w:t>
            </w:r>
            <w:r w:rsidR="006704B4"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</w:tcPr>
          <w:p w:rsidR="00B63A83" w:rsidRDefault="00B63A83" w:rsidP="008609AB">
            <w:pPr>
              <w:jc w:val="center"/>
            </w:pPr>
            <w:r w:rsidRPr="007264D8">
              <w:t>109.</w:t>
            </w:r>
            <w:r>
              <w:t>7</w:t>
            </w:r>
            <w:r w:rsidRPr="007264D8">
              <w:t xml:space="preserve"> </w:t>
            </w:r>
            <w:r w:rsidR="006704B4">
              <w:t>(</w:t>
            </w:r>
            <w:r w:rsidRPr="007264D8">
              <w:t>12.</w:t>
            </w:r>
            <w:r w:rsidR="001F4474">
              <w:t>1</w:t>
            </w:r>
            <w:r w:rsidR="006704B4">
              <w:t>)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8609AB">
            <w:pPr>
              <w:jc w:val="center"/>
            </w:pPr>
            <w:r>
              <w:t>0.4</w:t>
            </w:r>
            <w:r w:rsidRPr="007264D8">
              <w:t xml:space="preserve"> (-</w:t>
            </w:r>
            <w:r w:rsidR="001F4474">
              <w:t>0.9 to</w:t>
            </w:r>
            <w:r>
              <w:t xml:space="preserve"> 1.6</w:t>
            </w:r>
            <w:r w:rsidRPr="007264D8">
              <w:t>)</w:t>
            </w:r>
          </w:p>
        </w:tc>
      </w:tr>
      <w:tr w:rsidR="00B63A83" w:rsidTr="000B0E6A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E17D85" w:rsidRDefault="00B63A83" w:rsidP="004B11B8">
            <w:r w:rsidRPr="00E17D85">
              <w:t>Stance phase (%)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6704B4">
            <w:pPr>
              <w:jc w:val="center"/>
            </w:pPr>
            <w:r w:rsidRPr="007264D8">
              <w:t>64.2</w:t>
            </w:r>
            <w:r w:rsidR="001F4474">
              <w:t xml:space="preserve"> </w:t>
            </w:r>
            <w:r w:rsidR="006704B4">
              <w:t>(</w:t>
            </w:r>
            <w:r w:rsidRPr="007264D8">
              <w:t>2.</w:t>
            </w:r>
            <w:r w:rsidR="001F4474">
              <w:t>3</w:t>
            </w:r>
            <w:r w:rsidR="006704B4"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</w:tcPr>
          <w:p w:rsidR="00B63A83" w:rsidRDefault="00B63A83" w:rsidP="008609AB">
            <w:pPr>
              <w:jc w:val="center"/>
            </w:pPr>
            <w:r w:rsidRPr="007264D8">
              <w:t xml:space="preserve">63.9 </w:t>
            </w:r>
            <w:r w:rsidR="006704B4">
              <w:t>(</w:t>
            </w:r>
            <w:r w:rsidRPr="007264D8">
              <w:t>2.3</w:t>
            </w:r>
            <w:r w:rsidR="006704B4">
              <w:t>)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8609AB">
            <w:pPr>
              <w:jc w:val="center"/>
            </w:pPr>
            <w:r>
              <w:t>0</w:t>
            </w:r>
            <w:r w:rsidRPr="007264D8">
              <w:t>.</w:t>
            </w:r>
            <w:r>
              <w:t>3</w:t>
            </w:r>
            <w:r w:rsidRPr="007264D8">
              <w:t xml:space="preserve"> (-</w:t>
            </w:r>
            <w:r>
              <w:t>0</w:t>
            </w:r>
            <w:r w:rsidRPr="007264D8">
              <w:t>.</w:t>
            </w:r>
            <w:r w:rsidR="001F4474">
              <w:t>1 to</w:t>
            </w:r>
            <w:r>
              <w:t xml:space="preserve"> 0.7)</w:t>
            </w:r>
          </w:p>
        </w:tc>
      </w:tr>
      <w:tr w:rsidR="00B63A83" w:rsidTr="000B0E6A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E17D85" w:rsidRDefault="00B63A83" w:rsidP="004B11B8">
            <w:r w:rsidRPr="00E17D85">
              <w:t>Swing phase (%)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6704B4">
            <w:pPr>
              <w:jc w:val="center"/>
            </w:pPr>
            <w:r w:rsidRPr="007264D8">
              <w:t xml:space="preserve">35.7 </w:t>
            </w:r>
            <w:r w:rsidR="006704B4">
              <w:t>(</w:t>
            </w:r>
            <w:r w:rsidRPr="007264D8">
              <w:t>2.</w:t>
            </w:r>
            <w:r w:rsidR="001F4474">
              <w:t>4</w:t>
            </w:r>
            <w:r w:rsidR="006704B4"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8609AB">
            <w:pPr>
              <w:jc w:val="center"/>
            </w:pPr>
            <w:r w:rsidRPr="007264D8">
              <w:t xml:space="preserve">36.0 </w:t>
            </w:r>
            <w:r w:rsidR="006704B4">
              <w:t>(</w:t>
            </w:r>
            <w:r w:rsidRPr="007264D8">
              <w:t>2.</w:t>
            </w:r>
            <w:r w:rsidR="001F4474">
              <w:t>5</w:t>
            </w:r>
            <w:r w:rsidR="006704B4">
              <w:t>)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8609AB">
            <w:pPr>
              <w:jc w:val="center"/>
            </w:pPr>
            <w:r w:rsidRPr="007264D8">
              <w:t>-</w:t>
            </w:r>
            <w:r>
              <w:t>0.3 (</w:t>
            </w:r>
            <w:r w:rsidRPr="007264D8">
              <w:t>-</w:t>
            </w:r>
            <w:r w:rsidR="001F4474">
              <w:t>0.8 to</w:t>
            </w:r>
            <w:r>
              <w:t xml:space="preserve"> 0</w:t>
            </w:r>
            <w:r w:rsidRPr="007264D8">
              <w:t>.</w:t>
            </w:r>
            <w:r>
              <w:t>2</w:t>
            </w:r>
            <w:r w:rsidRPr="007264D8">
              <w:t>)</w:t>
            </w:r>
          </w:p>
        </w:tc>
      </w:tr>
      <w:tr w:rsidR="00B63A83" w:rsidTr="000B0E6A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E17D85" w:rsidRDefault="00B63A83" w:rsidP="004B11B8">
            <w:r w:rsidRPr="00E17D85">
              <w:t>Double support (%)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6704B4">
            <w:pPr>
              <w:jc w:val="center"/>
            </w:pPr>
            <w:r w:rsidRPr="007264D8">
              <w:t>28.</w:t>
            </w:r>
            <w:r w:rsidR="001F4474">
              <w:t xml:space="preserve">5 </w:t>
            </w:r>
            <w:r w:rsidR="006704B4">
              <w:t>(</w:t>
            </w:r>
            <w:r w:rsidRPr="007264D8">
              <w:t>4.</w:t>
            </w:r>
            <w:r w:rsidR="001F4474">
              <w:t>5</w:t>
            </w:r>
            <w:r w:rsidR="006704B4"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</w:tcPr>
          <w:p w:rsidR="00B63A83" w:rsidRDefault="00B63A83" w:rsidP="008609AB">
            <w:pPr>
              <w:jc w:val="center"/>
            </w:pPr>
            <w:r w:rsidRPr="007264D8">
              <w:t>28.1</w:t>
            </w:r>
            <w:r w:rsidR="006704B4">
              <w:t xml:space="preserve"> (</w:t>
            </w:r>
            <w:r w:rsidR="001F4474">
              <w:t>4.0</w:t>
            </w:r>
            <w:r w:rsidR="006704B4">
              <w:t>)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B63A83" w:rsidP="008609AB">
            <w:pPr>
              <w:jc w:val="center"/>
            </w:pPr>
            <w:r>
              <w:t>0</w:t>
            </w:r>
            <w:r w:rsidRPr="007264D8">
              <w:t>.</w:t>
            </w:r>
            <w:r>
              <w:t>3</w:t>
            </w:r>
            <w:r w:rsidRPr="007264D8">
              <w:t xml:space="preserve"> (-</w:t>
            </w:r>
            <w:r w:rsidR="001F4474">
              <w:t>0.3 to</w:t>
            </w:r>
            <w:r>
              <w:t xml:space="preserve"> 1.0</w:t>
            </w:r>
            <w:r w:rsidRPr="007264D8">
              <w:t>)</w:t>
            </w:r>
          </w:p>
        </w:tc>
      </w:tr>
      <w:tr w:rsidR="00B63A83" w:rsidTr="000B0E6A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E17D85" w:rsidRDefault="00B63A83" w:rsidP="004B11B8">
            <w:r>
              <w:t>Ankle range of motion (°)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1F4474" w:rsidP="006704B4">
            <w:pPr>
              <w:jc w:val="center"/>
            </w:pPr>
            <w:r>
              <w:t xml:space="preserve">24.4 </w:t>
            </w:r>
            <w:r w:rsidR="006704B4">
              <w:t>(</w:t>
            </w:r>
            <w:r>
              <w:t>3.6</w:t>
            </w:r>
            <w:r w:rsidR="006704B4"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</w:tcPr>
          <w:p w:rsidR="00B63A83" w:rsidRDefault="00B63A83" w:rsidP="008609AB">
            <w:pPr>
              <w:jc w:val="center"/>
            </w:pPr>
            <w:r w:rsidRPr="00746046">
              <w:t>23.</w:t>
            </w:r>
            <w:r w:rsidR="006704B4">
              <w:t>6 (</w:t>
            </w:r>
            <w:r w:rsidRPr="00746046">
              <w:t>3.4</w:t>
            </w:r>
            <w:r w:rsidR="006704B4">
              <w:t>)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264D8" w:rsidRDefault="001F4474" w:rsidP="008609AB">
            <w:pPr>
              <w:jc w:val="center"/>
            </w:pPr>
            <w:r>
              <w:t>0.8 (-0.5 to</w:t>
            </w:r>
            <w:r w:rsidR="00B63A83">
              <w:t xml:space="preserve"> 2.2)</w:t>
            </w:r>
          </w:p>
        </w:tc>
      </w:tr>
      <w:tr w:rsidR="00A22EE5" w:rsidTr="000B0E6A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A22EE5" w:rsidRDefault="00A22EE5" w:rsidP="004B11B8">
            <w:r>
              <w:t xml:space="preserve">Peak </w:t>
            </w:r>
            <w:proofErr w:type="spellStart"/>
            <w:r>
              <w:t>plantarflexion</w:t>
            </w:r>
            <w:proofErr w:type="spellEnd"/>
            <w:r>
              <w:t xml:space="preserve"> angle (°)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A22EE5" w:rsidRPr="00287D02" w:rsidRDefault="00A22EE5" w:rsidP="006704B4">
            <w:pPr>
              <w:jc w:val="center"/>
            </w:pPr>
            <w:r>
              <w:t>1</w:t>
            </w:r>
            <w:r w:rsidR="00ED546A">
              <w:t>4.8 (3.2)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</w:tcPr>
          <w:p w:rsidR="00A22EE5" w:rsidRPr="00287D02" w:rsidRDefault="00ED546A" w:rsidP="008609AB">
            <w:pPr>
              <w:jc w:val="center"/>
            </w:pPr>
            <w:r>
              <w:t>12.3 (2.9)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A22EE5" w:rsidRDefault="00ED546A" w:rsidP="008609AB">
            <w:pPr>
              <w:jc w:val="center"/>
            </w:pPr>
            <w:r>
              <w:t>2.5 (1.3 to 3.7)</w:t>
            </w:r>
          </w:p>
        </w:tc>
      </w:tr>
      <w:tr w:rsidR="00B63A83" w:rsidTr="00E25200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</w:tcPr>
          <w:p w:rsidR="00B63A83" w:rsidRDefault="00B63A83" w:rsidP="004B11B8">
            <w:r>
              <w:t xml:space="preserve">Peak </w:t>
            </w:r>
            <w:proofErr w:type="spellStart"/>
            <w:r>
              <w:t>plantarflexion</w:t>
            </w:r>
            <w:proofErr w:type="spellEnd"/>
            <w:r>
              <w:t xml:space="preserve"> moment (Nm/kg)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</w:tcPr>
          <w:p w:rsidR="00B63A83" w:rsidRPr="00746046" w:rsidRDefault="00B63A83" w:rsidP="006704B4">
            <w:pPr>
              <w:jc w:val="center"/>
            </w:pPr>
            <w:r w:rsidRPr="00287D02">
              <w:t>1.4</w:t>
            </w:r>
            <w:r w:rsidR="001F4474">
              <w:t xml:space="preserve"> </w:t>
            </w:r>
            <w:r w:rsidR="006704B4">
              <w:t>(</w:t>
            </w:r>
            <w:r>
              <w:t>0</w:t>
            </w:r>
            <w:r w:rsidRPr="00287D02">
              <w:t>.2</w:t>
            </w:r>
            <w:r w:rsidR="006704B4">
              <w:t>)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</w:tcPr>
          <w:p w:rsidR="00B63A83" w:rsidRDefault="00B63A83" w:rsidP="008609AB">
            <w:pPr>
              <w:jc w:val="center"/>
            </w:pPr>
            <w:r w:rsidRPr="00287D02">
              <w:t>1.2</w:t>
            </w:r>
            <w:r w:rsidR="006704B4">
              <w:t xml:space="preserve"> (</w:t>
            </w:r>
            <w:r w:rsidR="001F4474">
              <w:t>0.4</w:t>
            </w:r>
            <w:r w:rsidR="006704B4">
              <w:t>)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B63A83" w:rsidRDefault="001F4474" w:rsidP="008609AB">
            <w:pPr>
              <w:jc w:val="center"/>
            </w:pPr>
            <w:r>
              <w:t>0.2 (0.0 to</w:t>
            </w:r>
            <w:r w:rsidR="00B63A83">
              <w:t xml:space="preserve"> 0.3)</w:t>
            </w:r>
          </w:p>
        </w:tc>
      </w:tr>
      <w:tr w:rsidR="002D7CA8" w:rsidTr="00E25200"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CA8" w:rsidRDefault="002D7CA8" w:rsidP="004B11B8">
            <w:r>
              <w:t>Peak ankle power generation (W/kg)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CA8" w:rsidRDefault="002D7CA8" w:rsidP="006704B4">
            <w:pPr>
              <w:jc w:val="center"/>
            </w:pPr>
            <w:r>
              <w:t>2.3 (0.8)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CA8" w:rsidRDefault="002D7CA8" w:rsidP="008609AB">
            <w:pPr>
              <w:jc w:val="center"/>
            </w:pPr>
            <w:r>
              <w:t>1.7 (0.8)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CA8" w:rsidRDefault="002D7CA8" w:rsidP="008609AB">
            <w:pPr>
              <w:jc w:val="center"/>
            </w:pPr>
            <w:r>
              <w:t>0.6 (0.2 to 1.0)</w:t>
            </w:r>
          </w:p>
        </w:tc>
      </w:tr>
    </w:tbl>
    <w:p w:rsidR="008827A8" w:rsidRDefault="008827A8">
      <w:r>
        <w:t>*A</w:t>
      </w:r>
      <w:r w:rsidRPr="008827A8">
        <w:t>djus</w:t>
      </w:r>
      <w:r>
        <w:t xml:space="preserve">ted estimate of difference for </w:t>
      </w:r>
      <w:r w:rsidRPr="008827A8">
        <w:t>control minus unloading using covariance pattern mixed model approach</w:t>
      </w:r>
      <w:r>
        <w:t>.</w:t>
      </w:r>
    </w:p>
    <w:p w:rsidR="001F4474" w:rsidRDefault="006704B4">
      <w:r>
        <w:t>Data are mean (</w:t>
      </w:r>
      <w:r w:rsidR="001F4474">
        <w:t>SD</w:t>
      </w:r>
      <w:r>
        <w:t>)</w:t>
      </w:r>
      <w:r w:rsidR="001F4474">
        <w:t xml:space="preserve"> unless otherwise stated.</w:t>
      </w:r>
      <w:r w:rsidR="00ED546A">
        <w:t xml:space="preserve"> Kinetic and kinematic data are for the most affected limb.</w:t>
      </w:r>
    </w:p>
    <w:p w:rsidR="00B63A83" w:rsidRPr="001C4275" w:rsidRDefault="004D4902">
      <w:r>
        <w:t>CI, confidence interval</w:t>
      </w:r>
    </w:p>
    <w:p w:rsidR="001C4275" w:rsidRDefault="00187F3E">
      <w:pPr>
        <w:rPr>
          <w:b/>
        </w:rPr>
      </w:pPr>
      <w:r w:rsidRPr="00187F3E">
        <w:rPr>
          <w:b/>
          <w:noProof/>
          <w:sz w:val="28"/>
          <w:szCs w:val="28"/>
          <w:lang w:eastAsia="en-GB"/>
        </w:rPr>
        <w:pict>
          <v:rect id="Rectangle 7" o:spid="_x0000_s1026" style="position:absolute;margin-left:249.65pt;margin-top:712.25pt;width:256.6pt;height:128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">
            <v:textbox inset=",7.2pt,,7.2pt">
              <w:txbxContent>
                <w:p w:rsidR="00082AAE" w:rsidRPr="00172316" w:rsidRDefault="00082AAE" w:rsidP="00D536C0">
                  <w:pP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Excluded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(n=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5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082AAE" w:rsidRDefault="00082AAE" w:rsidP="00D536C0">
                  <w:pPr>
                    <w:ind w:left="360" w:hanging="360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172316"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 w:rsidRPr="00172316">
                    <w:rPr>
                      <w:sz w:val="16"/>
                      <w:szCs w:val="16"/>
                    </w:rPr>
                    <w:t> </w:t>
                  </w:r>
                  <w:r w:rsidRPr="00172316">
                    <w:rPr>
                      <w:rFonts w:cs="Calibri"/>
                      <w:sz w:val="16"/>
                      <w:szCs w:val="16"/>
                      <w:lang w:val="en-CA"/>
                    </w:rPr>
                    <w:t xml:space="preserve">  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Not meeting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eligibility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 xml:space="preserve"> criteria (n=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4</w:t>
                  </w:r>
                  <w:r w:rsidRPr="00172316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</w:t>
                  </w:r>
                </w:p>
                <w:p w:rsidR="00082AAE" w:rsidRPr="00682377" w:rsidRDefault="00082AAE" w:rsidP="00322A67">
                  <w:pPr>
                    <w:pStyle w:val="ListParagraph"/>
                    <w:numPr>
                      <w:ilvl w:val="0"/>
                      <w:numId w:val="3"/>
                    </w:numPr>
                    <w:ind w:left="426" w:hanging="284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6MWT not primarily limited by calf </w:t>
                  </w:r>
                  <w:proofErr w:type="spellStart"/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claudication</w:t>
                  </w:r>
                  <w:proofErr w:type="spellEnd"/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(n=3)</w:t>
                  </w:r>
                </w:p>
                <w:p w:rsidR="00082AAE" w:rsidRPr="00682377" w:rsidRDefault="00082AAE" w:rsidP="00322A67">
                  <w:pPr>
                    <w:pStyle w:val="ListParagraph"/>
                    <w:numPr>
                      <w:ilvl w:val="0"/>
                      <w:numId w:val="3"/>
                    </w:numPr>
                    <w:ind w:left="426" w:hanging="284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Walking limited by </w:t>
                  </w:r>
                  <w:proofErr w:type="spellStart"/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claudication</w:t>
                  </w:r>
                  <w:proofErr w:type="spellEnd"/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 in regions other than calf (n=1)</w:t>
                  </w:r>
                </w:p>
                <w:p w:rsidR="00082AAE" w:rsidRPr="00682377" w:rsidRDefault="00082AAE" w:rsidP="00322A67">
                  <w:pPr>
                    <w:pStyle w:val="ListParagraph"/>
                    <w:numPr>
                      <w:ilvl w:val="0"/>
                      <w:numId w:val="3"/>
                    </w:numPr>
                    <w:ind w:left="426" w:hanging="284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Pain free 6MWT distance ≥250m (n=1)</w:t>
                  </w:r>
                </w:p>
                <w:p w:rsidR="00082AAE" w:rsidRPr="00682377" w:rsidRDefault="00082AAE" w:rsidP="00322A67">
                  <w:pPr>
                    <w:pStyle w:val="ListParagraph"/>
                    <w:numPr>
                      <w:ilvl w:val="0"/>
                      <w:numId w:val="3"/>
                    </w:numPr>
                    <w:ind w:left="426" w:hanging="284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Pain not related to vascular pathology (n=1)</w:t>
                  </w:r>
                </w:p>
                <w:p w:rsidR="00082AAE" w:rsidRPr="00682377" w:rsidRDefault="00082AAE" w:rsidP="00322A67">
                  <w:pPr>
                    <w:pStyle w:val="ListParagraph"/>
                    <w:numPr>
                      <w:ilvl w:val="0"/>
                      <w:numId w:val="3"/>
                    </w:numPr>
                    <w:ind w:left="426" w:hanging="284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Resting AB</w:t>
                  </w:r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I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≥</w:t>
                  </w:r>
                  <w:r w:rsidRPr="00682377"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 xml:space="preserve">0.9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  <w:t>(n=1)</w:t>
                  </w:r>
                </w:p>
                <w:p w:rsidR="00082AAE" w:rsidRPr="008A29D7" w:rsidRDefault="00082AAE" w:rsidP="008A29D7">
                  <w:pP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172316">
                    <w:rPr>
                      <w:rFonts w:ascii="Symbol" w:hAnsi="Symbol"/>
                      <w:sz w:val="16"/>
                      <w:szCs w:val="16"/>
                    </w:rPr>
                    <w:t></w:t>
                  </w:r>
                  <w:r w:rsidRPr="00172316">
                    <w:rPr>
                      <w:sz w:val="16"/>
                      <w:szCs w:val="16"/>
                    </w:rPr>
                    <w:t> </w:t>
                  </w:r>
                  <w:r w:rsidRPr="00172316">
                    <w:rPr>
                      <w:rFonts w:cs="Calibri"/>
                      <w:sz w:val="16"/>
                      <w:szCs w:val="16"/>
                      <w:lang w:val="en-CA"/>
                    </w:rPr>
                    <w:t xml:space="preserve">  </w:t>
                  </w:r>
                  <w:r w:rsidRPr="008A29D7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Withdrew prior to randomisation (n=1)</w:t>
                  </w:r>
                </w:p>
                <w:p w:rsidR="00082AAE" w:rsidRPr="00172316" w:rsidRDefault="00082AAE" w:rsidP="00D536C0">
                  <w:pPr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1C4275">
        <w:rPr>
          <w:b/>
        </w:rPr>
        <w:br w:type="page"/>
      </w:r>
    </w:p>
    <w:p w:rsidR="00ED546A" w:rsidRDefault="00ED546A">
      <w:pPr>
        <w:rPr>
          <w:b/>
        </w:rPr>
        <w:sectPr w:rsidR="00ED546A" w:rsidSect="00FE75E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E4AD7" w:rsidRDefault="003E4AD7" w:rsidP="003E4AD7">
      <w:pPr>
        <w:spacing w:line="480" w:lineRule="auto"/>
        <w:rPr>
          <w:b/>
        </w:rPr>
      </w:pPr>
      <w:r w:rsidRPr="003E4AD7">
        <w:rPr>
          <w:b/>
        </w:rPr>
        <w:lastRenderedPageBreak/>
        <w:t>Figure Legends</w:t>
      </w:r>
    </w:p>
    <w:p w:rsidR="009B40F5" w:rsidRPr="009B40F5" w:rsidRDefault="009F57D4" w:rsidP="003E4AD7">
      <w:pPr>
        <w:spacing w:line="480" w:lineRule="auto"/>
      </w:pPr>
      <w:r>
        <w:rPr>
          <w:b/>
        </w:rPr>
        <w:t>Fig.</w:t>
      </w:r>
      <w:r w:rsidR="009B40F5">
        <w:rPr>
          <w:b/>
        </w:rPr>
        <w:t xml:space="preserve"> 1. </w:t>
      </w:r>
      <w:r w:rsidR="009B40F5">
        <w:t>Unloading shoes (top) and control shoes (bottom).</w:t>
      </w:r>
    </w:p>
    <w:p w:rsidR="00D536C0" w:rsidRDefault="009F57D4" w:rsidP="00E25200">
      <w:r>
        <w:rPr>
          <w:b/>
        </w:rPr>
        <w:t>Fig.</w:t>
      </w:r>
      <w:r w:rsidR="00032CBE" w:rsidRPr="009B40F5">
        <w:rPr>
          <w:b/>
        </w:rPr>
        <w:t xml:space="preserve"> 2.</w:t>
      </w:r>
      <w:r w:rsidR="00032CBE">
        <w:t xml:space="preserve"> Flow of participants through the trial</w:t>
      </w:r>
    </w:p>
    <w:p w:rsidR="008C1008" w:rsidRDefault="008C1008" w:rsidP="00E25200"/>
    <w:p w:rsidR="008C1008" w:rsidRDefault="008C1008" w:rsidP="00E25200"/>
    <w:p w:rsidR="008C1008" w:rsidRPr="008C1008" w:rsidRDefault="00187F3E" w:rsidP="00E25200">
      <w:pPr>
        <w:rPr>
          <w:b/>
        </w:rPr>
      </w:pPr>
      <w:r w:rsidRPr="00187F3E">
        <w:rPr>
          <w:b/>
        </w:rPr>
        <w:t>Additional Files</w:t>
      </w:r>
    </w:p>
    <w:p w:rsidR="008C1008" w:rsidRPr="008C1008" w:rsidRDefault="008C1008" w:rsidP="00E25200">
      <w:pPr>
        <w:rPr>
          <w:b/>
        </w:rPr>
      </w:pPr>
    </w:p>
    <w:p w:rsidR="008C1008" w:rsidRPr="00E25200" w:rsidRDefault="00187F3E" w:rsidP="00E25200">
      <w:pPr>
        <w:rPr>
          <w:b/>
        </w:rPr>
      </w:pPr>
      <w:r w:rsidRPr="00187F3E">
        <w:rPr>
          <w:b/>
        </w:rPr>
        <w:t>Additional File 1.</w:t>
      </w:r>
      <w:r w:rsidR="008C1008">
        <w:t xml:space="preserve"> Trial interview data.</w:t>
      </w:r>
    </w:p>
    <w:sectPr w:rsidR="008C1008" w:rsidRPr="00E25200" w:rsidSect="002D1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F1" w:rsidRDefault="007913F1" w:rsidP="00734C02">
      <w:r>
        <w:separator/>
      </w:r>
    </w:p>
  </w:endnote>
  <w:endnote w:type="continuationSeparator" w:id="0">
    <w:p w:rsidR="007913F1" w:rsidRDefault="007913F1" w:rsidP="007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683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AAE" w:rsidRDefault="00187F3E">
        <w:pPr>
          <w:pStyle w:val="Footer"/>
          <w:jc w:val="right"/>
        </w:pPr>
        <w:fldSimple w:instr=" PAGE   \* MERGEFORMAT ">
          <w:r w:rsidR="00AC1BEF">
            <w:rPr>
              <w:noProof/>
            </w:rPr>
            <w:t>1</w:t>
          </w:r>
        </w:fldSimple>
      </w:p>
    </w:sdtContent>
  </w:sdt>
  <w:p w:rsidR="00082AAE" w:rsidRDefault="00082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F1" w:rsidRDefault="007913F1" w:rsidP="00734C02">
      <w:r>
        <w:separator/>
      </w:r>
    </w:p>
  </w:footnote>
  <w:footnote w:type="continuationSeparator" w:id="0">
    <w:p w:rsidR="007913F1" w:rsidRDefault="007913F1" w:rsidP="007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B97"/>
    <w:multiLevelType w:val="hybridMultilevel"/>
    <w:tmpl w:val="EE0A7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34CE"/>
    <w:multiLevelType w:val="hybridMultilevel"/>
    <w:tmpl w:val="E69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67752"/>
    <w:multiLevelType w:val="hybridMultilevel"/>
    <w:tmpl w:val="C134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ry Tew">
    <w15:presenceInfo w15:providerId="AD" w15:userId="S-1-5-21-1532628060-2107599528-1136263860-5722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734C02"/>
    <w:rsid w:val="000060C5"/>
    <w:rsid w:val="0001038D"/>
    <w:rsid w:val="00016B33"/>
    <w:rsid w:val="000207DD"/>
    <w:rsid w:val="00022562"/>
    <w:rsid w:val="00024FD7"/>
    <w:rsid w:val="00026650"/>
    <w:rsid w:val="00032CBE"/>
    <w:rsid w:val="00036C6D"/>
    <w:rsid w:val="00043B1F"/>
    <w:rsid w:val="00052383"/>
    <w:rsid w:val="000535E9"/>
    <w:rsid w:val="0005593D"/>
    <w:rsid w:val="00061BDE"/>
    <w:rsid w:val="0006279D"/>
    <w:rsid w:val="00066952"/>
    <w:rsid w:val="00075775"/>
    <w:rsid w:val="000757C9"/>
    <w:rsid w:val="00075F6A"/>
    <w:rsid w:val="0008281F"/>
    <w:rsid w:val="00082AAE"/>
    <w:rsid w:val="00082BEC"/>
    <w:rsid w:val="00083C07"/>
    <w:rsid w:val="00084FD8"/>
    <w:rsid w:val="00086F71"/>
    <w:rsid w:val="00092CFE"/>
    <w:rsid w:val="0009565B"/>
    <w:rsid w:val="0009700A"/>
    <w:rsid w:val="000A08BA"/>
    <w:rsid w:val="000B0E6A"/>
    <w:rsid w:val="000D1152"/>
    <w:rsid w:val="000F4EC0"/>
    <w:rsid w:val="00105024"/>
    <w:rsid w:val="00105B71"/>
    <w:rsid w:val="001109F2"/>
    <w:rsid w:val="0011209E"/>
    <w:rsid w:val="0011246B"/>
    <w:rsid w:val="001232F3"/>
    <w:rsid w:val="0013381E"/>
    <w:rsid w:val="001418C6"/>
    <w:rsid w:val="001432EE"/>
    <w:rsid w:val="00143478"/>
    <w:rsid w:val="0014501C"/>
    <w:rsid w:val="00146E82"/>
    <w:rsid w:val="001476A1"/>
    <w:rsid w:val="001541D1"/>
    <w:rsid w:val="00157BBA"/>
    <w:rsid w:val="00167C5D"/>
    <w:rsid w:val="0018425A"/>
    <w:rsid w:val="0018606D"/>
    <w:rsid w:val="00187F3E"/>
    <w:rsid w:val="00191B76"/>
    <w:rsid w:val="0019579A"/>
    <w:rsid w:val="001A281C"/>
    <w:rsid w:val="001A2826"/>
    <w:rsid w:val="001A347F"/>
    <w:rsid w:val="001A3B39"/>
    <w:rsid w:val="001B098F"/>
    <w:rsid w:val="001B1BAA"/>
    <w:rsid w:val="001B4191"/>
    <w:rsid w:val="001B6794"/>
    <w:rsid w:val="001C2206"/>
    <w:rsid w:val="001C2839"/>
    <w:rsid w:val="001C4275"/>
    <w:rsid w:val="001C76FA"/>
    <w:rsid w:val="001D36C4"/>
    <w:rsid w:val="001D4071"/>
    <w:rsid w:val="001D4A98"/>
    <w:rsid w:val="001D5314"/>
    <w:rsid w:val="001D5B8B"/>
    <w:rsid w:val="001D79F4"/>
    <w:rsid w:val="001E1996"/>
    <w:rsid w:val="001E6AED"/>
    <w:rsid w:val="001E7535"/>
    <w:rsid w:val="001F0B27"/>
    <w:rsid w:val="001F4474"/>
    <w:rsid w:val="001F5C54"/>
    <w:rsid w:val="001F7533"/>
    <w:rsid w:val="0020367C"/>
    <w:rsid w:val="00204399"/>
    <w:rsid w:val="00205CCC"/>
    <w:rsid w:val="00210BA8"/>
    <w:rsid w:val="0022204F"/>
    <w:rsid w:val="002226CD"/>
    <w:rsid w:val="002304C8"/>
    <w:rsid w:val="00233F02"/>
    <w:rsid w:val="0024476B"/>
    <w:rsid w:val="00252454"/>
    <w:rsid w:val="00253E83"/>
    <w:rsid w:val="00261FBB"/>
    <w:rsid w:val="00280958"/>
    <w:rsid w:val="00280ECE"/>
    <w:rsid w:val="0028677E"/>
    <w:rsid w:val="00287D02"/>
    <w:rsid w:val="002941B4"/>
    <w:rsid w:val="0029449A"/>
    <w:rsid w:val="00296834"/>
    <w:rsid w:val="002A0EBA"/>
    <w:rsid w:val="002A20BC"/>
    <w:rsid w:val="002A2BD4"/>
    <w:rsid w:val="002B3318"/>
    <w:rsid w:val="002C2216"/>
    <w:rsid w:val="002C7D38"/>
    <w:rsid w:val="002D1785"/>
    <w:rsid w:val="002D7CA8"/>
    <w:rsid w:val="002F54E9"/>
    <w:rsid w:val="00300E62"/>
    <w:rsid w:val="0030119A"/>
    <w:rsid w:val="00307739"/>
    <w:rsid w:val="00313639"/>
    <w:rsid w:val="00322A67"/>
    <w:rsid w:val="00330511"/>
    <w:rsid w:val="00333948"/>
    <w:rsid w:val="00336197"/>
    <w:rsid w:val="0033647B"/>
    <w:rsid w:val="00342A9A"/>
    <w:rsid w:val="00342E3C"/>
    <w:rsid w:val="00343B3F"/>
    <w:rsid w:val="00345BD3"/>
    <w:rsid w:val="00352BE0"/>
    <w:rsid w:val="00366E8A"/>
    <w:rsid w:val="003772A8"/>
    <w:rsid w:val="00380086"/>
    <w:rsid w:val="003801DA"/>
    <w:rsid w:val="0038255B"/>
    <w:rsid w:val="00382B88"/>
    <w:rsid w:val="00390DB6"/>
    <w:rsid w:val="003918E4"/>
    <w:rsid w:val="003921E3"/>
    <w:rsid w:val="00393AA8"/>
    <w:rsid w:val="003A1311"/>
    <w:rsid w:val="003A342A"/>
    <w:rsid w:val="003A39C6"/>
    <w:rsid w:val="003A7D88"/>
    <w:rsid w:val="003B4ABD"/>
    <w:rsid w:val="003B5748"/>
    <w:rsid w:val="003B76CC"/>
    <w:rsid w:val="003B7762"/>
    <w:rsid w:val="003C5A1C"/>
    <w:rsid w:val="003D18B3"/>
    <w:rsid w:val="003D5CB5"/>
    <w:rsid w:val="003D6F5B"/>
    <w:rsid w:val="003E32A7"/>
    <w:rsid w:val="003E4AD7"/>
    <w:rsid w:val="003F04CE"/>
    <w:rsid w:val="003F4133"/>
    <w:rsid w:val="0040546F"/>
    <w:rsid w:val="004203E8"/>
    <w:rsid w:val="004301D8"/>
    <w:rsid w:val="00436AF5"/>
    <w:rsid w:val="00437F0A"/>
    <w:rsid w:val="00454963"/>
    <w:rsid w:val="00456F91"/>
    <w:rsid w:val="00463DD1"/>
    <w:rsid w:val="00471D65"/>
    <w:rsid w:val="004915B9"/>
    <w:rsid w:val="00492572"/>
    <w:rsid w:val="00494BFD"/>
    <w:rsid w:val="0049687F"/>
    <w:rsid w:val="004A0EBD"/>
    <w:rsid w:val="004A1EBD"/>
    <w:rsid w:val="004A6F7A"/>
    <w:rsid w:val="004B1040"/>
    <w:rsid w:val="004B11B8"/>
    <w:rsid w:val="004B3CEE"/>
    <w:rsid w:val="004C0584"/>
    <w:rsid w:val="004C3C6C"/>
    <w:rsid w:val="004D20D2"/>
    <w:rsid w:val="004D4902"/>
    <w:rsid w:val="004D4DC8"/>
    <w:rsid w:val="004F5E7E"/>
    <w:rsid w:val="004F65CC"/>
    <w:rsid w:val="005061C8"/>
    <w:rsid w:val="005111D8"/>
    <w:rsid w:val="00513EA0"/>
    <w:rsid w:val="00530FD9"/>
    <w:rsid w:val="005315A2"/>
    <w:rsid w:val="00533E18"/>
    <w:rsid w:val="005369A8"/>
    <w:rsid w:val="005430E2"/>
    <w:rsid w:val="0055450A"/>
    <w:rsid w:val="00575B6D"/>
    <w:rsid w:val="005761DD"/>
    <w:rsid w:val="0057727E"/>
    <w:rsid w:val="0057745B"/>
    <w:rsid w:val="00591F0F"/>
    <w:rsid w:val="00592F9B"/>
    <w:rsid w:val="0059576E"/>
    <w:rsid w:val="005A18C4"/>
    <w:rsid w:val="005B0E71"/>
    <w:rsid w:val="005B46BD"/>
    <w:rsid w:val="005D037E"/>
    <w:rsid w:val="005D1D3B"/>
    <w:rsid w:val="005D2193"/>
    <w:rsid w:val="005D4905"/>
    <w:rsid w:val="005D7343"/>
    <w:rsid w:val="005E2CD9"/>
    <w:rsid w:val="005E5546"/>
    <w:rsid w:val="006060F7"/>
    <w:rsid w:val="006146C8"/>
    <w:rsid w:val="0061519F"/>
    <w:rsid w:val="006213D1"/>
    <w:rsid w:val="00621DA2"/>
    <w:rsid w:val="00622216"/>
    <w:rsid w:val="00624801"/>
    <w:rsid w:val="00624FCC"/>
    <w:rsid w:val="00634752"/>
    <w:rsid w:val="00634870"/>
    <w:rsid w:val="0064464A"/>
    <w:rsid w:val="006447E4"/>
    <w:rsid w:val="00656D1D"/>
    <w:rsid w:val="006704B4"/>
    <w:rsid w:val="0068101B"/>
    <w:rsid w:val="00681CE5"/>
    <w:rsid w:val="00682377"/>
    <w:rsid w:val="00690D31"/>
    <w:rsid w:val="006959A1"/>
    <w:rsid w:val="006969DF"/>
    <w:rsid w:val="006A1DFB"/>
    <w:rsid w:val="006A40E3"/>
    <w:rsid w:val="006A42E6"/>
    <w:rsid w:val="006A7B23"/>
    <w:rsid w:val="006B2CF6"/>
    <w:rsid w:val="006B74D7"/>
    <w:rsid w:val="006E0124"/>
    <w:rsid w:val="006E0DCD"/>
    <w:rsid w:val="006E23D7"/>
    <w:rsid w:val="006E4E0D"/>
    <w:rsid w:val="006F45C0"/>
    <w:rsid w:val="007058F2"/>
    <w:rsid w:val="00722A9C"/>
    <w:rsid w:val="007264D8"/>
    <w:rsid w:val="00726DC0"/>
    <w:rsid w:val="00731DE7"/>
    <w:rsid w:val="00733A1B"/>
    <w:rsid w:val="00734C02"/>
    <w:rsid w:val="007376D3"/>
    <w:rsid w:val="0074502D"/>
    <w:rsid w:val="00745D8C"/>
    <w:rsid w:val="00746046"/>
    <w:rsid w:val="0074683F"/>
    <w:rsid w:val="007508D5"/>
    <w:rsid w:val="00752F37"/>
    <w:rsid w:val="007560E5"/>
    <w:rsid w:val="0076432F"/>
    <w:rsid w:val="0076603E"/>
    <w:rsid w:val="00766B86"/>
    <w:rsid w:val="007701FC"/>
    <w:rsid w:val="00771797"/>
    <w:rsid w:val="00772855"/>
    <w:rsid w:val="007772F2"/>
    <w:rsid w:val="007779E8"/>
    <w:rsid w:val="00782DAE"/>
    <w:rsid w:val="007913F1"/>
    <w:rsid w:val="00797797"/>
    <w:rsid w:val="007A1AC0"/>
    <w:rsid w:val="007A7C4C"/>
    <w:rsid w:val="007B2583"/>
    <w:rsid w:val="007C1122"/>
    <w:rsid w:val="007C51C1"/>
    <w:rsid w:val="007C665C"/>
    <w:rsid w:val="007D0773"/>
    <w:rsid w:val="007D37FB"/>
    <w:rsid w:val="007E0884"/>
    <w:rsid w:val="007E2145"/>
    <w:rsid w:val="007E2EED"/>
    <w:rsid w:val="007E3BA6"/>
    <w:rsid w:val="007F1E92"/>
    <w:rsid w:val="007F63D4"/>
    <w:rsid w:val="0080547B"/>
    <w:rsid w:val="00823205"/>
    <w:rsid w:val="008253B7"/>
    <w:rsid w:val="00825748"/>
    <w:rsid w:val="00826376"/>
    <w:rsid w:val="0083508E"/>
    <w:rsid w:val="00836A1B"/>
    <w:rsid w:val="00837004"/>
    <w:rsid w:val="008371E5"/>
    <w:rsid w:val="008406CF"/>
    <w:rsid w:val="0085102D"/>
    <w:rsid w:val="00852CCF"/>
    <w:rsid w:val="00854843"/>
    <w:rsid w:val="008609AB"/>
    <w:rsid w:val="0086146F"/>
    <w:rsid w:val="0086152A"/>
    <w:rsid w:val="008718B1"/>
    <w:rsid w:val="008827A8"/>
    <w:rsid w:val="008854E8"/>
    <w:rsid w:val="00886F08"/>
    <w:rsid w:val="00895802"/>
    <w:rsid w:val="008A1AEF"/>
    <w:rsid w:val="008A29D7"/>
    <w:rsid w:val="008B0787"/>
    <w:rsid w:val="008B407A"/>
    <w:rsid w:val="008B4234"/>
    <w:rsid w:val="008C1008"/>
    <w:rsid w:val="008C3110"/>
    <w:rsid w:val="008C4282"/>
    <w:rsid w:val="008C7A30"/>
    <w:rsid w:val="008D3A51"/>
    <w:rsid w:val="008D65AE"/>
    <w:rsid w:val="008D685E"/>
    <w:rsid w:val="008D7564"/>
    <w:rsid w:val="008E6974"/>
    <w:rsid w:val="008F35E2"/>
    <w:rsid w:val="008F48EB"/>
    <w:rsid w:val="00902EBF"/>
    <w:rsid w:val="009049EE"/>
    <w:rsid w:val="00907FF6"/>
    <w:rsid w:val="00911A33"/>
    <w:rsid w:val="00913233"/>
    <w:rsid w:val="00914A4E"/>
    <w:rsid w:val="009200E6"/>
    <w:rsid w:val="00921BDC"/>
    <w:rsid w:val="009303F8"/>
    <w:rsid w:val="0093103D"/>
    <w:rsid w:val="00932928"/>
    <w:rsid w:val="0093398B"/>
    <w:rsid w:val="009349A7"/>
    <w:rsid w:val="009362ED"/>
    <w:rsid w:val="00936710"/>
    <w:rsid w:val="00937A8B"/>
    <w:rsid w:val="009432E9"/>
    <w:rsid w:val="009517BF"/>
    <w:rsid w:val="00957530"/>
    <w:rsid w:val="0096363E"/>
    <w:rsid w:val="00966424"/>
    <w:rsid w:val="00972F66"/>
    <w:rsid w:val="009746BC"/>
    <w:rsid w:val="00977CC0"/>
    <w:rsid w:val="00985D46"/>
    <w:rsid w:val="009863A4"/>
    <w:rsid w:val="0098746F"/>
    <w:rsid w:val="00991E5C"/>
    <w:rsid w:val="009A407F"/>
    <w:rsid w:val="009B40F5"/>
    <w:rsid w:val="009B48AA"/>
    <w:rsid w:val="009B5823"/>
    <w:rsid w:val="009B5AD4"/>
    <w:rsid w:val="009C5CDF"/>
    <w:rsid w:val="009C6F82"/>
    <w:rsid w:val="009C73D6"/>
    <w:rsid w:val="009E0117"/>
    <w:rsid w:val="009E7477"/>
    <w:rsid w:val="009E74BC"/>
    <w:rsid w:val="009F57D4"/>
    <w:rsid w:val="00A02D55"/>
    <w:rsid w:val="00A049B2"/>
    <w:rsid w:val="00A04ED9"/>
    <w:rsid w:val="00A14E2D"/>
    <w:rsid w:val="00A22EE5"/>
    <w:rsid w:val="00A240F7"/>
    <w:rsid w:val="00A2611B"/>
    <w:rsid w:val="00A266E7"/>
    <w:rsid w:val="00A50711"/>
    <w:rsid w:val="00A5623A"/>
    <w:rsid w:val="00A56388"/>
    <w:rsid w:val="00A575F4"/>
    <w:rsid w:val="00A645F5"/>
    <w:rsid w:val="00A65ADD"/>
    <w:rsid w:val="00A878C8"/>
    <w:rsid w:val="00A920CD"/>
    <w:rsid w:val="00AA4F5B"/>
    <w:rsid w:val="00AB4AC8"/>
    <w:rsid w:val="00AB54B8"/>
    <w:rsid w:val="00AB5BA7"/>
    <w:rsid w:val="00AB5D9C"/>
    <w:rsid w:val="00AC1BEF"/>
    <w:rsid w:val="00AD0C7F"/>
    <w:rsid w:val="00AE00A0"/>
    <w:rsid w:val="00AE0DCF"/>
    <w:rsid w:val="00AF324F"/>
    <w:rsid w:val="00B00581"/>
    <w:rsid w:val="00B020C1"/>
    <w:rsid w:val="00B16BAC"/>
    <w:rsid w:val="00B17C5A"/>
    <w:rsid w:val="00B403AA"/>
    <w:rsid w:val="00B55334"/>
    <w:rsid w:val="00B568A2"/>
    <w:rsid w:val="00B630B4"/>
    <w:rsid w:val="00B63A83"/>
    <w:rsid w:val="00B66A65"/>
    <w:rsid w:val="00B72B7C"/>
    <w:rsid w:val="00B81026"/>
    <w:rsid w:val="00B82D79"/>
    <w:rsid w:val="00BA0371"/>
    <w:rsid w:val="00BA06EE"/>
    <w:rsid w:val="00BA2971"/>
    <w:rsid w:val="00BA2CC2"/>
    <w:rsid w:val="00BA7975"/>
    <w:rsid w:val="00BB0BFD"/>
    <w:rsid w:val="00BB0F4B"/>
    <w:rsid w:val="00BB299E"/>
    <w:rsid w:val="00BB3935"/>
    <w:rsid w:val="00BB516B"/>
    <w:rsid w:val="00BC33CD"/>
    <w:rsid w:val="00BC4A4B"/>
    <w:rsid w:val="00BD7345"/>
    <w:rsid w:val="00BE3FE0"/>
    <w:rsid w:val="00BF3DA7"/>
    <w:rsid w:val="00BF6732"/>
    <w:rsid w:val="00BF6A9E"/>
    <w:rsid w:val="00BF7A89"/>
    <w:rsid w:val="00C20600"/>
    <w:rsid w:val="00C25CBE"/>
    <w:rsid w:val="00C46527"/>
    <w:rsid w:val="00C54FF1"/>
    <w:rsid w:val="00C5783E"/>
    <w:rsid w:val="00C736B5"/>
    <w:rsid w:val="00C758FF"/>
    <w:rsid w:val="00C8601B"/>
    <w:rsid w:val="00C92D8C"/>
    <w:rsid w:val="00C96BE6"/>
    <w:rsid w:val="00CA1F16"/>
    <w:rsid w:val="00CA286E"/>
    <w:rsid w:val="00CA2E67"/>
    <w:rsid w:val="00CA3BD0"/>
    <w:rsid w:val="00CB5D52"/>
    <w:rsid w:val="00CD43AF"/>
    <w:rsid w:val="00CE2DE0"/>
    <w:rsid w:val="00CF2E00"/>
    <w:rsid w:val="00CF33E0"/>
    <w:rsid w:val="00CF3E13"/>
    <w:rsid w:val="00CF4F94"/>
    <w:rsid w:val="00D00776"/>
    <w:rsid w:val="00D03CBC"/>
    <w:rsid w:val="00D05BA4"/>
    <w:rsid w:val="00D070CE"/>
    <w:rsid w:val="00D10AD3"/>
    <w:rsid w:val="00D111E4"/>
    <w:rsid w:val="00D15080"/>
    <w:rsid w:val="00D240B3"/>
    <w:rsid w:val="00D25F3B"/>
    <w:rsid w:val="00D536C0"/>
    <w:rsid w:val="00D54799"/>
    <w:rsid w:val="00D75918"/>
    <w:rsid w:val="00D813E5"/>
    <w:rsid w:val="00D85A9F"/>
    <w:rsid w:val="00D85CA9"/>
    <w:rsid w:val="00D92BA0"/>
    <w:rsid w:val="00D96B4F"/>
    <w:rsid w:val="00DA211C"/>
    <w:rsid w:val="00DA3D98"/>
    <w:rsid w:val="00DA4B66"/>
    <w:rsid w:val="00DA4FD8"/>
    <w:rsid w:val="00DB1320"/>
    <w:rsid w:val="00DC395C"/>
    <w:rsid w:val="00DD1D37"/>
    <w:rsid w:val="00DD2E74"/>
    <w:rsid w:val="00DD447A"/>
    <w:rsid w:val="00DD4B3C"/>
    <w:rsid w:val="00DD5DB4"/>
    <w:rsid w:val="00DE5802"/>
    <w:rsid w:val="00DE6143"/>
    <w:rsid w:val="00DE664D"/>
    <w:rsid w:val="00DF2FE8"/>
    <w:rsid w:val="00DF602E"/>
    <w:rsid w:val="00DF6653"/>
    <w:rsid w:val="00E0065A"/>
    <w:rsid w:val="00E04C45"/>
    <w:rsid w:val="00E04D4B"/>
    <w:rsid w:val="00E13665"/>
    <w:rsid w:val="00E156D0"/>
    <w:rsid w:val="00E16ABB"/>
    <w:rsid w:val="00E17D85"/>
    <w:rsid w:val="00E22F0D"/>
    <w:rsid w:val="00E25200"/>
    <w:rsid w:val="00E25C2C"/>
    <w:rsid w:val="00E30799"/>
    <w:rsid w:val="00E407D8"/>
    <w:rsid w:val="00E40EDD"/>
    <w:rsid w:val="00E44386"/>
    <w:rsid w:val="00E458B9"/>
    <w:rsid w:val="00E547DD"/>
    <w:rsid w:val="00E72B7E"/>
    <w:rsid w:val="00E75B3C"/>
    <w:rsid w:val="00E808F3"/>
    <w:rsid w:val="00E84703"/>
    <w:rsid w:val="00E8501D"/>
    <w:rsid w:val="00E929E7"/>
    <w:rsid w:val="00E9793C"/>
    <w:rsid w:val="00EA38CA"/>
    <w:rsid w:val="00EB0A81"/>
    <w:rsid w:val="00EB0E60"/>
    <w:rsid w:val="00EB5016"/>
    <w:rsid w:val="00EB5F41"/>
    <w:rsid w:val="00EC77CF"/>
    <w:rsid w:val="00EC77DC"/>
    <w:rsid w:val="00ED358A"/>
    <w:rsid w:val="00ED546A"/>
    <w:rsid w:val="00EE4D43"/>
    <w:rsid w:val="00EF1566"/>
    <w:rsid w:val="00EF467A"/>
    <w:rsid w:val="00EF5F99"/>
    <w:rsid w:val="00EF6530"/>
    <w:rsid w:val="00EF6DDF"/>
    <w:rsid w:val="00F03F7B"/>
    <w:rsid w:val="00F07302"/>
    <w:rsid w:val="00F15716"/>
    <w:rsid w:val="00F25618"/>
    <w:rsid w:val="00F3120D"/>
    <w:rsid w:val="00F412C1"/>
    <w:rsid w:val="00F507C7"/>
    <w:rsid w:val="00F5262E"/>
    <w:rsid w:val="00F5390D"/>
    <w:rsid w:val="00F636F0"/>
    <w:rsid w:val="00F70D44"/>
    <w:rsid w:val="00F85EC5"/>
    <w:rsid w:val="00FA31AB"/>
    <w:rsid w:val="00FA3284"/>
    <w:rsid w:val="00FB68B3"/>
    <w:rsid w:val="00FC1CA4"/>
    <w:rsid w:val="00FC7E70"/>
    <w:rsid w:val="00FE706F"/>
    <w:rsid w:val="00FE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3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6C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4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C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C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C02"/>
  </w:style>
  <w:style w:type="paragraph" w:styleId="Footer">
    <w:name w:val="footer"/>
    <w:basedOn w:val="Normal"/>
    <w:link w:val="FooterChar"/>
    <w:uiPriority w:val="99"/>
    <w:unhideWhenUsed/>
    <w:rsid w:val="00734C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C02"/>
  </w:style>
  <w:style w:type="character" w:styleId="Hyperlink">
    <w:name w:val="Hyperlink"/>
    <w:basedOn w:val="DefaultParagraphFont"/>
    <w:uiPriority w:val="99"/>
    <w:unhideWhenUsed/>
    <w:rsid w:val="00DE66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0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36C0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921E3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60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-7232196651263834216gmail-apple-tab-span">
    <w:name w:val="m_-7232196651263834216gmail-apple-tab-span"/>
    <w:basedOn w:val="DefaultParagraphFont"/>
    <w:rsid w:val="00772855"/>
  </w:style>
  <w:style w:type="character" w:customStyle="1" w:styleId="apple-converted-space">
    <w:name w:val="apple-converted-space"/>
    <w:basedOn w:val="DefaultParagraphFont"/>
    <w:rsid w:val="00FA3284"/>
  </w:style>
  <w:style w:type="paragraph" w:customStyle="1" w:styleId="EndNoteBibliographyTitle">
    <w:name w:val="EndNote Bibliography Title"/>
    <w:basedOn w:val="Normal"/>
    <w:link w:val="EndNoteBibliographyTitleChar"/>
    <w:rsid w:val="00330511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0511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30511"/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30511"/>
    <w:rPr>
      <w:rFonts w:ascii="Calibri" w:hAnsi="Calibri"/>
      <w:noProof/>
      <w:lang w:val="en-US"/>
    </w:rPr>
  </w:style>
  <w:style w:type="character" w:customStyle="1" w:styleId="personname2">
    <w:name w:val="person_name2"/>
    <w:basedOn w:val="DefaultParagraphFont"/>
    <w:rsid w:val="008371E5"/>
  </w:style>
  <w:style w:type="character" w:styleId="LineNumber">
    <w:name w:val="line number"/>
    <w:basedOn w:val="DefaultParagraphFont"/>
    <w:uiPriority w:val="99"/>
    <w:semiHidden/>
    <w:unhideWhenUsed/>
    <w:rsid w:val="00936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y.tew@northumbria.ac.uk" TargetMode="External"/><Relationship Id="rId13" Type="http://schemas.openxmlformats.org/officeDocument/2006/relationships/hyperlink" Target="mailto:izzy.coleman@york.ac.uk" TargetMode="External"/><Relationship Id="rId18" Type="http://schemas.openxmlformats.org/officeDocument/2006/relationships/hyperlink" Target="http://www.chaneco.co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aroline.fairhurst@york.ac.uk" TargetMode="External"/><Relationship Id="rId17" Type="http://schemas.openxmlformats.org/officeDocument/2006/relationships/hyperlink" Target="mailto:garry.tew@northumbria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w.Thompson@york.nhs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z.cook@york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ephen.hutchins@hioa.no" TargetMode="External"/><Relationship Id="rId10" Type="http://schemas.openxmlformats.org/officeDocument/2006/relationships/hyperlink" Target="mailto:a.jordan1@yorksj.ac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hmed.Shalan@york.nhs.uk" TargetMode="External"/><Relationship Id="rId14" Type="http://schemas.openxmlformats.org/officeDocument/2006/relationships/hyperlink" Target="mailto:Catherine.hewitt@york.ac.uk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8CFD-15AC-49AB-AE6C-7965FD36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6309</Words>
  <Characters>35962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42187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Tew</dc:creator>
  <cp:lastModifiedBy>alastair jordan</cp:lastModifiedBy>
  <cp:revision>3</cp:revision>
  <dcterms:created xsi:type="dcterms:W3CDTF">2017-11-16T13:08:00Z</dcterms:created>
  <dcterms:modified xsi:type="dcterms:W3CDTF">2017-11-20T17:10:00Z</dcterms:modified>
</cp:coreProperties>
</file>