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18AA3" w14:textId="77777777" w:rsidR="00812E80" w:rsidRPr="004B645E" w:rsidRDefault="002378BE" w:rsidP="000A2186">
      <w:pPr>
        <w:spacing w:before="120" w:afterLines="30" w:after="72" w:line="360" w:lineRule="auto"/>
        <w:jc w:val="left"/>
        <w:rPr>
          <w:rFonts w:ascii="Times New Roman" w:hAnsi="Times New Roman" w:cs="Times New Roman"/>
          <w:b/>
          <w:caps/>
          <w:sz w:val="28"/>
          <w:szCs w:val="28"/>
        </w:rPr>
      </w:pPr>
      <w:r w:rsidRPr="004B645E">
        <w:rPr>
          <w:rFonts w:ascii="Times New Roman" w:hAnsi="Times New Roman" w:cs="Times New Roman"/>
          <w:b/>
          <w:caps/>
          <w:sz w:val="28"/>
          <w:szCs w:val="28"/>
        </w:rPr>
        <w:t>Rob Toulson and Russ Hepworth-Sawyer</w:t>
      </w:r>
    </w:p>
    <w:p w14:paraId="071045EB" w14:textId="77777777" w:rsidR="00521B36" w:rsidRPr="004B645E" w:rsidRDefault="00521B36"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University of Westminster / York St John University</w:t>
      </w:r>
    </w:p>
    <w:p w14:paraId="1656EC6A" w14:textId="77777777" w:rsidR="00812E80" w:rsidRPr="004B645E" w:rsidRDefault="00812E80" w:rsidP="000A2186">
      <w:pPr>
        <w:spacing w:before="120" w:afterLines="30" w:after="72" w:line="360" w:lineRule="auto"/>
        <w:jc w:val="left"/>
        <w:rPr>
          <w:rFonts w:ascii="Times New Roman" w:hAnsi="Times New Roman" w:cs="Times New Roman"/>
          <w:sz w:val="36"/>
          <w:szCs w:val="28"/>
        </w:rPr>
      </w:pPr>
    </w:p>
    <w:p w14:paraId="1FB86026" w14:textId="77777777" w:rsidR="00521B36" w:rsidRPr="004B645E" w:rsidRDefault="00521B36" w:rsidP="00521B36">
      <w:pPr>
        <w:spacing w:before="120" w:afterLines="30" w:after="72" w:line="360" w:lineRule="auto"/>
        <w:jc w:val="left"/>
        <w:rPr>
          <w:rFonts w:ascii="Times New Roman" w:hAnsi="Times New Roman" w:cs="Times New Roman"/>
          <w:b/>
          <w:sz w:val="40"/>
          <w:szCs w:val="32"/>
        </w:rPr>
      </w:pPr>
      <w:r w:rsidRPr="004B645E">
        <w:rPr>
          <w:rFonts w:ascii="Times New Roman" w:hAnsi="Times New Roman" w:cs="Times New Roman"/>
          <w:b/>
          <w:sz w:val="40"/>
          <w:szCs w:val="32"/>
        </w:rPr>
        <w:t xml:space="preserve">Connected Learning Journeys in Music Production Education </w:t>
      </w:r>
    </w:p>
    <w:p w14:paraId="7F4D49C6" w14:textId="77777777" w:rsidR="00521B36" w:rsidRPr="004B645E" w:rsidRDefault="00521B36" w:rsidP="00521B36">
      <w:pPr>
        <w:spacing w:before="120" w:afterLines="30" w:after="72" w:line="360" w:lineRule="auto"/>
        <w:jc w:val="left"/>
        <w:rPr>
          <w:rFonts w:ascii="Times New Roman" w:hAnsi="Times New Roman" w:cs="Times New Roman"/>
          <w:b/>
          <w:sz w:val="28"/>
          <w:szCs w:val="28"/>
        </w:rPr>
      </w:pPr>
    </w:p>
    <w:p w14:paraId="53142511" w14:textId="77777777" w:rsidR="00521B36" w:rsidRPr="004B645E" w:rsidRDefault="00521B36" w:rsidP="00053713">
      <w:pPr>
        <w:pStyle w:val="Heading2"/>
      </w:pPr>
      <w:r w:rsidRPr="004B645E">
        <w:t>Keywords:</w:t>
      </w:r>
    </w:p>
    <w:p w14:paraId="46DEEBFF" w14:textId="77777777" w:rsidR="00521B36" w:rsidRPr="004B645E" w:rsidRDefault="00521B36" w:rsidP="00521B36">
      <w:pPr>
        <w:rPr>
          <w:rFonts w:ascii="Times New Roman" w:hAnsi="Times New Roman" w:cs="Times New Roman"/>
        </w:rPr>
      </w:pPr>
      <w:r w:rsidRPr="004B645E">
        <w:rPr>
          <w:rFonts w:ascii="Times New Roman" w:hAnsi="Times New Roman" w:cs="Times New Roman"/>
        </w:rPr>
        <w:t>Music production pedagogy</w:t>
      </w:r>
    </w:p>
    <w:p w14:paraId="711061E9" w14:textId="77777777" w:rsidR="00521B36" w:rsidRPr="004B645E" w:rsidRDefault="00521B36" w:rsidP="00521B36">
      <w:pPr>
        <w:rPr>
          <w:rFonts w:ascii="Times New Roman" w:hAnsi="Times New Roman" w:cs="Times New Roman"/>
        </w:rPr>
      </w:pPr>
      <w:r w:rsidRPr="004B645E">
        <w:rPr>
          <w:rFonts w:ascii="Times New Roman" w:hAnsi="Times New Roman" w:cs="Times New Roman"/>
        </w:rPr>
        <w:t>Blooms Taxonomy</w:t>
      </w:r>
    </w:p>
    <w:p w14:paraId="1C892467" w14:textId="77777777" w:rsidR="00521B36" w:rsidRPr="004B645E" w:rsidRDefault="00521B36" w:rsidP="00521B36">
      <w:pPr>
        <w:rPr>
          <w:rFonts w:ascii="Times New Roman" w:hAnsi="Times New Roman" w:cs="Times New Roman"/>
        </w:rPr>
      </w:pPr>
      <w:r w:rsidRPr="004B645E">
        <w:rPr>
          <w:rFonts w:ascii="Times New Roman" w:hAnsi="Times New Roman" w:cs="Times New Roman"/>
        </w:rPr>
        <w:t>Learning journeys</w:t>
      </w:r>
    </w:p>
    <w:p w14:paraId="54464787" w14:textId="77777777" w:rsidR="00521B36" w:rsidRPr="004B645E" w:rsidRDefault="00521B36" w:rsidP="00521B36">
      <w:pPr>
        <w:rPr>
          <w:rFonts w:ascii="Times New Roman" w:hAnsi="Times New Roman" w:cs="Times New Roman"/>
        </w:rPr>
      </w:pPr>
      <w:r w:rsidRPr="004B645E">
        <w:rPr>
          <w:rFonts w:ascii="Times New Roman" w:hAnsi="Times New Roman" w:cs="Times New Roman"/>
        </w:rPr>
        <w:t>Kolb Learning Cycle</w:t>
      </w:r>
    </w:p>
    <w:p w14:paraId="2732E428" w14:textId="77777777" w:rsidR="00521B36" w:rsidRPr="004B645E" w:rsidRDefault="00521B36" w:rsidP="00521B36">
      <w:pPr>
        <w:rPr>
          <w:rFonts w:ascii="Times New Roman" w:hAnsi="Times New Roman" w:cs="Times New Roman"/>
        </w:rPr>
      </w:pPr>
      <w:r w:rsidRPr="004B645E">
        <w:rPr>
          <w:rFonts w:ascii="Times New Roman" w:hAnsi="Times New Roman" w:cs="Times New Roman"/>
        </w:rPr>
        <w:t>Role of the Facilitator</w:t>
      </w:r>
    </w:p>
    <w:p w14:paraId="66678B66" w14:textId="77777777" w:rsidR="00521B36" w:rsidRPr="004B645E" w:rsidRDefault="00521B36" w:rsidP="000A2186">
      <w:pPr>
        <w:spacing w:before="120" w:afterLines="30" w:after="72" w:line="360" w:lineRule="auto"/>
        <w:jc w:val="left"/>
        <w:rPr>
          <w:rFonts w:ascii="Times New Roman" w:hAnsi="Times New Roman" w:cs="Times New Roman"/>
          <w:sz w:val="28"/>
          <w:szCs w:val="28"/>
        </w:rPr>
      </w:pPr>
    </w:p>
    <w:p w14:paraId="2D5BC317" w14:textId="77777777" w:rsidR="0098699E" w:rsidRPr="004B645E" w:rsidRDefault="002378BE" w:rsidP="00053713">
      <w:pPr>
        <w:pStyle w:val="Heading2"/>
      </w:pPr>
      <w:bookmarkStart w:id="0" w:name="_Toc511118188"/>
      <w:r w:rsidRPr="004B645E">
        <w:t>Abstract</w:t>
      </w:r>
      <w:bookmarkEnd w:id="0"/>
    </w:p>
    <w:p w14:paraId="34580693" w14:textId="77777777" w:rsidR="003648D9" w:rsidRPr="004B645E" w:rsidRDefault="0098699E" w:rsidP="000A2186">
      <w:pPr>
        <w:widowControl w:val="0"/>
        <w:spacing w:before="120" w:afterLines="30" w:after="72" w:line="360" w:lineRule="auto"/>
        <w:jc w:val="left"/>
        <w:rPr>
          <w:rFonts w:ascii="Times New Roman" w:hAnsi="Times New Roman" w:cs="Times New Roman"/>
          <w:i/>
          <w:sz w:val="28"/>
          <w:szCs w:val="28"/>
        </w:rPr>
      </w:pPr>
      <w:r w:rsidRPr="004B645E">
        <w:rPr>
          <w:rFonts w:ascii="Times New Roman" w:hAnsi="Times New Roman" w:cs="Times New Roman"/>
          <w:i/>
          <w:sz w:val="28"/>
          <w:szCs w:val="28"/>
        </w:rPr>
        <w:t>The field of music production education is a challenging one, exploring multiple creative, technical and entrepreneurial disciplines, including music composition, performance electronics, acoustics, musicology, project management and psychology</w:t>
      </w:r>
      <w:r w:rsidR="003648D9" w:rsidRPr="004B645E">
        <w:rPr>
          <w:rFonts w:ascii="Times New Roman" w:hAnsi="Times New Roman" w:cs="Times New Roman"/>
          <w:i/>
          <w:sz w:val="28"/>
          <w:szCs w:val="28"/>
        </w:rPr>
        <w:t>. As a result</w:t>
      </w:r>
      <w:r w:rsidRPr="004B645E">
        <w:rPr>
          <w:rFonts w:ascii="Times New Roman" w:hAnsi="Times New Roman" w:cs="Times New Roman"/>
          <w:i/>
          <w:sz w:val="28"/>
          <w:szCs w:val="28"/>
        </w:rPr>
        <w:t xml:space="preserve">, students take multiple ‘learning journeys’ on their pathway towards </w:t>
      </w:r>
      <w:r w:rsidR="003648D9" w:rsidRPr="004B645E">
        <w:rPr>
          <w:rFonts w:ascii="Times New Roman" w:hAnsi="Times New Roman" w:cs="Times New Roman"/>
          <w:i/>
          <w:sz w:val="28"/>
          <w:szCs w:val="28"/>
        </w:rPr>
        <w:t>becoming</w:t>
      </w:r>
      <w:r w:rsidRPr="004B645E">
        <w:rPr>
          <w:rFonts w:ascii="Times New Roman" w:hAnsi="Times New Roman" w:cs="Times New Roman"/>
          <w:i/>
          <w:sz w:val="28"/>
          <w:szCs w:val="28"/>
        </w:rPr>
        <w:t xml:space="preserve"> autonomous learners. </w:t>
      </w:r>
      <w:r w:rsidR="003648D9" w:rsidRPr="004B645E">
        <w:rPr>
          <w:rFonts w:ascii="Times New Roman" w:hAnsi="Times New Roman" w:cs="Times New Roman"/>
          <w:i/>
          <w:sz w:val="28"/>
          <w:szCs w:val="28"/>
        </w:rPr>
        <w:t xml:space="preserve">This paper uniquely evaluates the journey of climbing Bloom’s cognitive domain in the field of music </w:t>
      </w:r>
      <w:r w:rsidR="00241B83" w:rsidRPr="004B645E">
        <w:rPr>
          <w:rFonts w:ascii="Times New Roman" w:hAnsi="Times New Roman" w:cs="Times New Roman"/>
          <w:i/>
          <w:sz w:val="28"/>
          <w:szCs w:val="28"/>
        </w:rPr>
        <w:t>production and</w:t>
      </w:r>
      <w:r w:rsidR="003648D9" w:rsidRPr="004B645E">
        <w:rPr>
          <w:rFonts w:ascii="Times New Roman" w:hAnsi="Times New Roman" w:cs="Times New Roman"/>
          <w:i/>
          <w:sz w:val="28"/>
          <w:szCs w:val="28"/>
        </w:rPr>
        <w:t xml:space="preserve"> gives specific examples that validate teaching music production in higher education through multiple, connected ascents of the framework. Owing to the practical nature of music production, Kolb’s Experiential Learning Model is also considered as a recurring function that is necessary for climbing Bloom’s domain, in order to ensure that learners are equipped for employability and entrepreneurship on graduation. The authors’ own experiences of higher education course delivery, design and development </w:t>
      </w:r>
      <w:r w:rsidR="003648D9" w:rsidRPr="004B645E">
        <w:rPr>
          <w:rFonts w:ascii="Times New Roman" w:hAnsi="Times New Roman" w:cs="Times New Roman"/>
          <w:i/>
          <w:sz w:val="28"/>
          <w:szCs w:val="28"/>
        </w:rPr>
        <w:lastRenderedPageBreak/>
        <w:t xml:space="preserve">are also reflected upon with reference to Music Production pathways at both the University of Westminster (London, UK) and York St John University (York, UK). </w:t>
      </w:r>
    </w:p>
    <w:p w14:paraId="3000F83D" w14:textId="77777777" w:rsidR="00812E80" w:rsidRPr="004B645E" w:rsidRDefault="00812E80" w:rsidP="000A2186">
      <w:pPr>
        <w:widowControl w:val="0"/>
        <w:spacing w:before="120" w:afterLines="30" w:after="72" w:line="360" w:lineRule="auto"/>
        <w:jc w:val="left"/>
        <w:rPr>
          <w:rFonts w:ascii="Times New Roman" w:hAnsi="Times New Roman" w:cs="Times New Roman"/>
          <w:sz w:val="28"/>
          <w:szCs w:val="28"/>
        </w:rPr>
      </w:pPr>
    </w:p>
    <w:p w14:paraId="304016E6" w14:textId="77777777" w:rsidR="00812E80" w:rsidRPr="004B645E" w:rsidRDefault="002378BE" w:rsidP="00053713">
      <w:pPr>
        <w:pStyle w:val="Heading2"/>
      </w:pPr>
      <w:bookmarkStart w:id="1" w:name="_Toc511118189"/>
      <w:r w:rsidRPr="004B645E">
        <w:t>Introduction</w:t>
      </w:r>
      <w:bookmarkEnd w:id="1"/>
    </w:p>
    <w:p w14:paraId="25BB4E1F"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As educators, we are the navigators and guides of our students’ journeys through academia. We start with the exchange of knowledge and move forwards through applications of theory, experimentation</w:t>
      </w:r>
      <w:r w:rsidR="00354BBE" w:rsidRPr="004B645E">
        <w:rPr>
          <w:rFonts w:ascii="Times New Roman" w:hAnsi="Times New Roman" w:cs="Times New Roman"/>
          <w:sz w:val="28"/>
          <w:szCs w:val="28"/>
        </w:rPr>
        <w:t>,</w:t>
      </w:r>
      <w:r w:rsidRPr="004B645E">
        <w:rPr>
          <w:rFonts w:ascii="Times New Roman" w:hAnsi="Times New Roman" w:cs="Times New Roman"/>
          <w:sz w:val="28"/>
          <w:szCs w:val="28"/>
        </w:rPr>
        <w:t xml:space="preserve"> critical analysis</w:t>
      </w:r>
      <w:r w:rsidR="00354BBE" w:rsidRPr="004B645E">
        <w:rPr>
          <w:rFonts w:ascii="Times New Roman" w:hAnsi="Times New Roman" w:cs="Times New Roman"/>
          <w:sz w:val="28"/>
          <w:szCs w:val="28"/>
        </w:rPr>
        <w:t xml:space="preserve"> and synthesis</w:t>
      </w:r>
      <w:r w:rsidR="00396236" w:rsidRPr="004B645E">
        <w:rPr>
          <w:rFonts w:ascii="Times New Roman" w:hAnsi="Times New Roman" w:cs="Times New Roman"/>
          <w:sz w:val="28"/>
          <w:szCs w:val="28"/>
        </w:rPr>
        <w:t>, as described fundamentally by Bloom et al</w:t>
      </w:r>
      <w:r w:rsidR="00354BBE" w:rsidRPr="004B645E">
        <w:rPr>
          <w:rFonts w:ascii="Times New Roman" w:hAnsi="Times New Roman" w:cs="Times New Roman"/>
          <w:sz w:val="28"/>
          <w:szCs w:val="28"/>
        </w:rPr>
        <w:t>.</w:t>
      </w:r>
      <w:r w:rsidR="00396236" w:rsidRPr="004B645E">
        <w:rPr>
          <w:rFonts w:ascii="Times New Roman" w:hAnsi="Times New Roman" w:cs="Times New Roman"/>
          <w:sz w:val="28"/>
          <w:szCs w:val="28"/>
        </w:rPr>
        <w:t xml:space="preserve"> (1956)</w:t>
      </w:r>
      <w:r w:rsidRPr="004B645E">
        <w:rPr>
          <w:rFonts w:ascii="Times New Roman" w:hAnsi="Times New Roman" w:cs="Times New Roman"/>
          <w:sz w:val="28"/>
          <w:szCs w:val="28"/>
        </w:rPr>
        <w:t xml:space="preserve">. First </w:t>
      </w:r>
      <w:r w:rsidR="00396236" w:rsidRPr="004B645E">
        <w:rPr>
          <w:rFonts w:ascii="Times New Roman" w:hAnsi="Times New Roman" w:cs="Times New Roman"/>
          <w:sz w:val="28"/>
          <w:szCs w:val="28"/>
        </w:rPr>
        <w:t xml:space="preserve">by </w:t>
      </w:r>
      <w:proofErr w:type="gramStart"/>
      <w:r w:rsidRPr="004B645E">
        <w:rPr>
          <w:rFonts w:ascii="Times New Roman" w:hAnsi="Times New Roman" w:cs="Times New Roman"/>
          <w:sz w:val="28"/>
          <w:szCs w:val="28"/>
        </w:rPr>
        <w:t>hand-holding</w:t>
      </w:r>
      <w:proofErr w:type="gramEnd"/>
      <w:r w:rsidRPr="004B645E">
        <w:rPr>
          <w:rFonts w:ascii="Times New Roman" w:hAnsi="Times New Roman" w:cs="Times New Roman"/>
          <w:sz w:val="28"/>
          <w:szCs w:val="28"/>
        </w:rPr>
        <w:t xml:space="preserve"> and then letting go, </w:t>
      </w:r>
      <w:r w:rsidR="00396236" w:rsidRPr="004B645E">
        <w:rPr>
          <w:rFonts w:ascii="Times New Roman" w:hAnsi="Times New Roman" w:cs="Times New Roman"/>
          <w:sz w:val="28"/>
          <w:szCs w:val="28"/>
        </w:rPr>
        <w:t xml:space="preserve">we </w:t>
      </w:r>
      <w:r w:rsidRPr="004B645E">
        <w:rPr>
          <w:rFonts w:ascii="Times New Roman" w:hAnsi="Times New Roman" w:cs="Times New Roman"/>
          <w:sz w:val="28"/>
          <w:szCs w:val="28"/>
        </w:rPr>
        <w:t>encourag</w:t>
      </w:r>
      <w:r w:rsidR="00396236" w:rsidRPr="004B645E">
        <w:rPr>
          <w:rFonts w:ascii="Times New Roman" w:hAnsi="Times New Roman" w:cs="Times New Roman"/>
          <w:sz w:val="28"/>
          <w:szCs w:val="28"/>
        </w:rPr>
        <w:t>e</w:t>
      </w:r>
      <w:r w:rsidRPr="004B645E">
        <w:rPr>
          <w:rFonts w:ascii="Times New Roman" w:hAnsi="Times New Roman" w:cs="Times New Roman"/>
          <w:sz w:val="28"/>
          <w:szCs w:val="28"/>
        </w:rPr>
        <w:t xml:space="preserve"> students to develop their own learning autonomy. But as educators we follow journeys ourselves, alongside students on a complete course pathway, </w:t>
      </w:r>
      <w:proofErr w:type="gramStart"/>
      <w:r w:rsidRPr="004B645E">
        <w:rPr>
          <w:rFonts w:ascii="Times New Roman" w:hAnsi="Times New Roman" w:cs="Times New Roman"/>
          <w:sz w:val="28"/>
          <w:szCs w:val="28"/>
        </w:rPr>
        <w:t>and also</w:t>
      </w:r>
      <w:proofErr w:type="gramEnd"/>
      <w:r w:rsidRPr="004B645E">
        <w:rPr>
          <w:rFonts w:ascii="Times New Roman" w:hAnsi="Times New Roman" w:cs="Times New Roman"/>
          <w:sz w:val="28"/>
          <w:szCs w:val="28"/>
        </w:rPr>
        <w:t xml:space="preserve"> within discrete modules and topics. The journey incorporates </w:t>
      </w:r>
      <w:r w:rsidR="00396236" w:rsidRPr="004B645E">
        <w:rPr>
          <w:rFonts w:ascii="Times New Roman" w:hAnsi="Times New Roman" w:cs="Times New Roman"/>
          <w:sz w:val="28"/>
          <w:szCs w:val="28"/>
        </w:rPr>
        <w:t xml:space="preserve">connected (parallel and sequential) journeys in </w:t>
      </w:r>
      <w:r w:rsidRPr="004B645E">
        <w:rPr>
          <w:rFonts w:ascii="Times New Roman" w:hAnsi="Times New Roman" w:cs="Times New Roman"/>
          <w:sz w:val="28"/>
          <w:szCs w:val="28"/>
        </w:rPr>
        <w:t>leading, inspiring and challenging students</w:t>
      </w:r>
      <w:r w:rsidR="00396236" w:rsidRPr="004B645E">
        <w:rPr>
          <w:rFonts w:ascii="Times New Roman" w:hAnsi="Times New Roman" w:cs="Times New Roman"/>
          <w:sz w:val="28"/>
          <w:szCs w:val="28"/>
        </w:rPr>
        <w:t>,</w:t>
      </w:r>
      <w:r w:rsidRPr="004B645E">
        <w:rPr>
          <w:rFonts w:ascii="Times New Roman" w:hAnsi="Times New Roman" w:cs="Times New Roman"/>
          <w:sz w:val="28"/>
          <w:szCs w:val="28"/>
        </w:rPr>
        <w:t xml:space="preserve"> to ensure their learning is deep and embedded.</w:t>
      </w:r>
    </w:p>
    <w:p w14:paraId="1DB0C990" w14:textId="77777777" w:rsidR="00534C31" w:rsidRPr="004B645E" w:rsidRDefault="00534C31" w:rsidP="000A2186">
      <w:pPr>
        <w:spacing w:before="120" w:afterLines="30" w:after="72" w:line="360" w:lineRule="auto"/>
        <w:jc w:val="left"/>
        <w:rPr>
          <w:rFonts w:ascii="Times New Roman" w:hAnsi="Times New Roman" w:cs="Times New Roman"/>
          <w:sz w:val="28"/>
          <w:szCs w:val="28"/>
        </w:rPr>
      </w:pPr>
    </w:p>
    <w:p w14:paraId="22316C09"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The field of music production education is a challenging one, taking in multiple theoretical frameworks of scientific and creative disciplines. Equally, its diversity of application both in a creative and practical context makes it difficult to give all students exactly what they are looking for. Furthermore, as higher education</w:t>
      </w:r>
      <w:r w:rsidR="00864667" w:rsidRPr="004B645E">
        <w:rPr>
          <w:rFonts w:ascii="Times New Roman" w:hAnsi="Times New Roman" w:cs="Times New Roman"/>
          <w:sz w:val="28"/>
          <w:szCs w:val="28"/>
        </w:rPr>
        <w:t xml:space="preserve"> (HE)</w:t>
      </w:r>
      <w:r w:rsidRPr="004B645E">
        <w:rPr>
          <w:rFonts w:ascii="Times New Roman" w:hAnsi="Times New Roman" w:cs="Times New Roman"/>
          <w:sz w:val="28"/>
          <w:szCs w:val="28"/>
        </w:rPr>
        <w:t xml:space="preserve"> </w:t>
      </w:r>
      <w:r w:rsidR="00396236" w:rsidRPr="004B645E">
        <w:rPr>
          <w:rFonts w:ascii="Times New Roman" w:hAnsi="Times New Roman" w:cs="Times New Roman"/>
          <w:sz w:val="28"/>
          <w:szCs w:val="28"/>
        </w:rPr>
        <w:t>evolves</w:t>
      </w:r>
      <w:r w:rsidRPr="004B645E">
        <w:rPr>
          <w:rFonts w:ascii="Times New Roman" w:hAnsi="Times New Roman" w:cs="Times New Roman"/>
          <w:sz w:val="28"/>
          <w:szCs w:val="28"/>
        </w:rPr>
        <w:t xml:space="preserve"> some new and sometimes unexpected challenges are placed on course development (Davis, 2016). In </w:t>
      </w:r>
      <w:r w:rsidR="00396236" w:rsidRPr="004B645E">
        <w:rPr>
          <w:rFonts w:ascii="Times New Roman" w:hAnsi="Times New Roman" w:cs="Times New Roman"/>
          <w:sz w:val="28"/>
          <w:szCs w:val="28"/>
        </w:rPr>
        <w:t>contemporary</w:t>
      </w:r>
      <w:r w:rsidRPr="004B645E">
        <w:rPr>
          <w:rFonts w:ascii="Times New Roman" w:hAnsi="Times New Roman" w:cs="Times New Roman"/>
          <w:sz w:val="28"/>
          <w:szCs w:val="28"/>
        </w:rPr>
        <w:t xml:space="preserve"> programmes</w:t>
      </w:r>
      <w:r w:rsidR="00396236" w:rsidRPr="004B645E">
        <w:rPr>
          <w:rFonts w:ascii="Times New Roman" w:hAnsi="Times New Roman" w:cs="Times New Roman"/>
          <w:sz w:val="28"/>
          <w:szCs w:val="28"/>
        </w:rPr>
        <w:t>,</w:t>
      </w:r>
      <w:r w:rsidRPr="004B645E">
        <w:rPr>
          <w:rFonts w:ascii="Times New Roman" w:hAnsi="Times New Roman" w:cs="Times New Roman"/>
          <w:sz w:val="28"/>
          <w:szCs w:val="28"/>
        </w:rPr>
        <w:t xml:space="preserve"> students are encouraged to </w:t>
      </w:r>
      <w:r w:rsidR="00396236" w:rsidRPr="004B645E">
        <w:rPr>
          <w:rFonts w:ascii="Times New Roman" w:hAnsi="Times New Roman" w:cs="Times New Roman"/>
          <w:sz w:val="28"/>
          <w:szCs w:val="28"/>
        </w:rPr>
        <w:t xml:space="preserve">develop additional </w:t>
      </w:r>
      <w:r w:rsidRPr="004B645E">
        <w:rPr>
          <w:rFonts w:ascii="Times New Roman" w:hAnsi="Times New Roman" w:cs="Times New Roman"/>
          <w:sz w:val="28"/>
          <w:szCs w:val="28"/>
        </w:rPr>
        <w:t xml:space="preserve">knowledge and experience in a wide set of related areas of business, entrepreneurship and enterprise. The journeys our students take, and those we ourselves experience as educators, therefore need to be fluid and with multiple permutations in order to be </w:t>
      </w:r>
      <w:r w:rsidRPr="004B645E">
        <w:rPr>
          <w:rFonts w:ascii="Times New Roman" w:hAnsi="Times New Roman" w:cs="Times New Roman"/>
          <w:sz w:val="28"/>
          <w:szCs w:val="28"/>
        </w:rPr>
        <w:lastRenderedPageBreak/>
        <w:t xml:space="preserve">successful for all. These journeys need to be covered both in the theoretical or cognitive realm, as well as the practical and professional. </w:t>
      </w:r>
    </w:p>
    <w:p w14:paraId="5D0A5D20"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In this paper, a range of necessary, independent, and interdependent, learning journeys are explored that can be encountered in music production education. Additionally, multiple, concurrent methods and strategies for educating students with expertise, desire, autonomy and employability are considered and discussed.</w:t>
      </w:r>
      <w:r w:rsidR="00396236" w:rsidRPr="004B645E">
        <w:rPr>
          <w:rFonts w:ascii="Times New Roman" w:hAnsi="Times New Roman" w:cs="Times New Roman"/>
          <w:sz w:val="28"/>
          <w:szCs w:val="28"/>
        </w:rPr>
        <w:t xml:space="preserve"> The authors’ own experiences of higher education course delivery, design and development are also reflected upon with reference to Music Production pathways at both the University of Westminster (London, UK) and York St John University (York, UK). </w:t>
      </w:r>
    </w:p>
    <w:p w14:paraId="71A375E1" w14:textId="77777777" w:rsidR="00534C31" w:rsidRPr="004B645E" w:rsidRDefault="00534C31" w:rsidP="00053713">
      <w:pPr>
        <w:pStyle w:val="Heading2"/>
      </w:pPr>
      <w:bookmarkStart w:id="2" w:name="_Toc511118190"/>
    </w:p>
    <w:p w14:paraId="26EE301A" w14:textId="77777777" w:rsidR="00534C31" w:rsidRPr="004B645E" w:rsidRDefault="00534C31" w:rsidP="00053713">
      <w:pPr>
        <w:pStyle w:val="Heading2"/>
      </w:pPr>
    </w:p>
    <w:p w14:paraId="1AB81690" w14:textId="77777777" w:rsidR="00812E80" w:rsidRPr="004B645E" w:rsidRDefault="008D770A" w:rsidP="00053713">
      <w:pPr>
        <w:pStyle w:val="Heading2"/>
      </w:pPr>
      <w:r w:rsidRPr="004B645E">
        <w:t>T</w:t>
      </w:r>
      <w:r w:rsidR="002378BE" w:rsidRPr="004B645E">
        <w:t xml:space="preserve">he Application </w:t>
      </w:r>
      <w:r w:rsidR="001714C0" w:rsidRPr="004B645E">
        <w:t xml:space="preserve">of </w:t>
      </w:r>
      <w:r w:rsidR="002378BE" w:rsidRPr="004B645E">
        <w:t>Bloom’s Taxonomy in Music Production Education</w:t>
      </w:r>
      <w:bookmarkEnd w:id="2"/>
    </w:p>
    <w:p w14:paraId="23463FDF" w14:textId="77777777" w:rsidR="002460F3" w:rsidRPr="004B645E" w:rsidRDefault="002460F3" w:rsidP="000A2186">
      <w:pPr>
        <w:pStyle w:val="Heading3"/>
        <w:spacing w:afterLines="30" w:after="72" w:line="360" w:lineRule="auto"/>
        <w:jc w:val="left"/>
        <w:rPr>
          <w:rFonts w:ascii="Times New Roman" w:hAnsi="Times New Roman" w:cs="Times New Roman"/>
          <w:sz w:val="28"/>
          <w:szCs w:val="28"/>
        </w:rPr>
      </w:pPr>
    </w:p>
    <w:p w14:paraId="590D1245" w14:textId="77777777" w:rsidR="00AA5ACD" w:rsidRDefault="008D770A" w:rsidP="000A2186">
      <w:pPr>
        <w:pStyle w:val="Heading3"/>
        <w:rPr>
          <w:rFonts w:ascii="Times New Roman" w:hAnsi="Times New Roman" w:cs="Times New Roman"/>
          <w:sz w:val="28"/>
          <w:szCs w:val="28"/>
        </w:rPr>
      </w:pPr>
      <w:r w:rsidRPr="004B645E">
        <w:rPr>
          <w:rFonts w:ascii="Times New Roman" w:hAnsi="Times New Roman" w:cs="Times New Roman"/>
          <w:sz w:val="28"/>
          <w:szCs w:val="28"/>
        </w:rPr>
        <w:t>B</w:t>
      </w:r>
      <w:r w:rsidR="00AA5ACD" w:rsidRPr="004B645E">
        <w:rPr>
          <w:rFonts w:ascii="Times New Roman" w:hAnsi="Times New Roman" w:cs="Times New Roman"/>
          <w:sz w:val="28"/>
          <w:szCs w:val="28"/>
        </w:rPr>
        <w:t xml:space="preserve">loom’s </w:t>
      </w:r>
      <w:r w:rsidR="001714C0" w:rsidRPr="004B645E">
        <w:rPr>
          <w:rFonts w:ascii="Times New Roman" w:hAnsi="Times New Roman" w:cs="Times New Roman"/>
          <w:sz w:val="28"/>
          <w:szCs w:val="28"/>
        </w:rPr>
        <w:t xml:space="preserve">Cognitive </w:t>
      </w:r>
      <w:r w:rsidR="00AA5ACD" w:rsidRPr="004B645E">
        <w:rPr>
          <w:rFonts w:ascii="Times New Roman" w:hAnsi="Times New Roman" w:cs="Times New Roman"/>
          <w:sz w:val="28"/>
          <w:szCs w:val="28"/>
        </w:rPr>
        <w:t>Domain Applied to Music Production</w:t>
      </w:r>
    </w:p>
    <w:p w14:paraId="6582CD1C" w14:textId="77777777" w:rsidR="004B645E" w:rsidRPr="004B645E" w:rsidRDefault="004B645E" w:rsidP="004B645E"/>
    <w:p w14:paraId="6603A886" w14:textId="77777777" w:rsidR="00812E80" w:rsidRPr="004B645E" w:rsidRDefault="002378BE" w:rsidP="000A2186">
      <w:pPr>
        <w:widowControl w:val="0"/>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Bloom et al</w:t>
      </w:r>
      <w:r w:rsidR="00396236" w:rsidRPr="004B645E">
        <w:rPr>
          <w:rFonts w:ascii="Times New Roman" w:hAnsi="Times New Roman" w:cs="Times New Roman"/>
          <w:sz w:val="28"/>
          <w:szCs w:val="28"/>
        </w:rPr>
        <w:t>.</w:t>
      </w:r>
      <w:r w:rsidRPr="004B645E">
        <w:rPr>
          <w:rFonts w:ascii="Times New Roman" w:hAnsi="Times New Roman" w:cs="Times New Roman"/>
          <w:sz w:val="28"/>
          <w:szCs w:val="28"/>
        </w:rPr>
        <w:t xml:space="preserve"> </w:t>
      </w:r>
      <w:r w:rsidR="00396236" w:rsidRPr="004B645E">
        <w:rPr>
          <w:rFonts w:ascii="Times New Roman" w:hAnsi="Times New Roman" w:cs="Times New Roman"/>
          <w:sz w:val="28"/>
          <w:szCs w:val="28"/>
        </w:rPr>
        <w:t xml:space="preserve">(1956) </w:t>
      </w:r>
      <w:r w:rsidRPr="004B645E">
        <w:rPr>
          <w:rFonts w:ascii="Times New Roman" w:hAnsi="Times New Roman" w:cs="Times New Roman"/>
          <w:sz w:val="28"/>
          <w:szCs w:val="28"/>
        </w:rPr>
        <w:t xml:space="preserve">initially identified three domains of educational objectives: cognitive; affective and psychomotor. The Cognitive </w:t>
      </w:r>
      <w:r w:rsidR="00396236" w:rsidRPr="004B645E">
        <w:rPr>
          <w:rFonts w:ascii="Times New Roman" w:hAnsi="Times New Roman" w:cs="Times New Roman"/>
          <w:sz w:val="28"/>
          <w:szCs w:val="28"/>
        </w:rPr>
        <w:t>D</w:t>
      </w:r>
      <w:r w:rsidRPr="004B645E">
        <w:rPr>
          <w:rFonts w:ascii="Times New Roman" w:hAnsi="Times New Roman" w:cs="Times New Roman"/>
          <w:sz w:val="28"/>
          <w:szCs w:val="28"/>
        </w:rPr>
        <w:t xml:space="preserve">omain deals with the mental capacity of the learner, in terms of knowledge. The Affective </w:t>
      </w:r>
      <w:r w:rsidR="00396236" w:rsidRPr="004B645E">
        <w:rPr>
          <w:rFonts w:ascii="Times New Roman" w:hAnsi="Times New Roman" w:cs="Times New Roman"/>
          <w:sz w:val="28"/>
          <w:szCs w:val="28"/>
        </w:rPr>
        <w:t>D</w:t>
      </w:r>
      <w:r w:rsidRPr="004B645E">
        <w:rPr>
          <w:rFonts w:ascii="Times New Roman" w:hAnsi="Times New Roman" w:cs="Times New Roman"/>
          <w:sz w:val="28"/>
          <w:szCs w:val="28"/>
        </w:rPr>
        <w:t xml:space="preserve">omain deals with the self-growth and development of feelings, emotions or attitude. The Psychomotor </w:t>
      </w:r>
      <w:r w:rsidR="00396236" w:rsidRPr="004B645E">
        <w:rPr>
          <w:rFonts w:ascii="Times New Roman" w:hAnsi="Times New Roman" w:cs="Times New Roman"/>
          <w:sz w:val="28"/>
          <w:szCs w:val="28"/>
        </w:rPr>
        <w:t xml:space="preserve">Domain </w:t>
      </w:r>
      <w:r w:rsidRPr="004B645E">
        <w:rPr>
          <w:rFonts w:ascii="Times New Roman" w:hAnsi="Times New Roman" w:cs="Times New Roman"/>
          <w:sz w:val="28"/>
          <w:szCs w:val="28"/>
        </w:rPr>
        <w:t xml:space="preserve">explores the manual skills and therefore application (Knowles et al. 2011). Bloom et al. released the key handbook for the Cognitive Domain in 1956 and shortly afterwards, the Affective Domain. As Hanna (2007) and Gershon (2015) both </w:t>
      </w:r>
      <w:proofErr w:type="gramStart"/>
      <w:r w:rsidRPr="004B645E">
        <w:rPr>
          <w:rFonts w:ascii="Times New Roman" w:hAnsi="Times New Roman" w:cs="Times New Roman"/>
          <w:sz w:val="28"/>
          <w:szCs w:val="28"/>
        </w:rPr>
        <w:t>report</w:t>
      </w:r>
      <w:proofErr w:type="gramEnd"/>
      <w:r w:rsidRPr="004B645E">
        <w:rPr>
          <w:rFonts w:ascii="Times New Roman" w:hAnsi="Times New Roman" w:cs="Times New Roman"/>
          <w:sz w:val="28"/>
          <w:szCs w:val="28"/>
        </w:rPr>
        <w:t xml:space="preserve">, the original committee members, including Bloom himself, decided not to write a third handbook on the </w:t>
      </w:r>
      <w:r w:rsidR="00396236" w:rsidRPr="004B645E">
        <w:rPr>
          <w:rFonts w:ascii="Times New Roman" w:hAnsi="Times New Roman" w:cs="Times New Roman"/>
          <w:sz w:val="28"/>
          <w:szCs w:val="28"/>
        </w:rPr>
        <w:t>P</w:t>
      </w:r>
      <w:r w:rsidRPr="004B645E">
        <w:rPr>
          <w:rFonts w:ascii="Times New Roman" w:hAnsi="Times New Roman" w:cs="Times New Roman"/>
          <w:sz w:val="28"/>
          <w:szCs w:val="28"/>
        </w:rPr>
        <w:t xml:space="preserve">sychomotor </w:t>
      </w:r>
      <w:r w:rsidR="00396236" w:rsidRPr="004B645E">
        <w:rPr>
          <w:rFonts w:ascii="Times New Roman" w:hAnsi="Times New Roman" w:cs="Times New Roman"/>
          <w:sz w:val="28"/>
          <w:szCs w:val="28"/>
        </w:rPr>
        <w:t>D</w:t>
      </w:r>
      <w:r w:rsidRPr="004B645E">
        <w:rPr>
          <w:rFonts w:ascii="Times New Roman" w:hAnsi="Times New Roman" w:cs="Times New Roman"/>
          <w:sz w:val="28"/>
          <w:szCs w:val="28"/>
        </w:rPr>
        <w:t xml:space="preserve">omain ‘although several have [since] been written by other </w:t>
      </w:r>
      <w:r w:rsidRPr="004B645E">
        <w:rPr>
          <w:rFonts w:ascii="Times New Roman" w:hAnsi="Times New Roman" w:cs="Times New Roman"/>
          <w:sz w:val="28"/>
          <w:szCs w:val="28"/>
        </w:rPr>
        <w:lastRenderedPageBreak/>
        <w:t xml:space="preserve">authors’. ‘Later scholars expanded on the psychomotor domain to include all the human senses and their dimensions’ Knowles et al. (2011). Hanna (2007) continues to note that those other ‘handbooks’ on the psychomotor domain fail to address music as an educational application, or the taxonomy in its entirety for music production as a discipline. </w:t>
      </w:r>
    </w:p>
    <w:p w14:paraId="35651876"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Whilst Bloom</w:t>
      </w:r>
      <w:r w:rsidR="009A292A" w:rsidRPr="004B645E">
        <w:rPr>
          <w:rFonts w:ascii="Times New Roman" w:hAnsi="Times New Roman" w:cs="Times New Roman"/>
          <w:sz w:val="28"/>
          <w:szCs w:val="28"/>
        </w:rPr>
        <w:t>’</w:t>
      </w:r>
      <w:r w:rsidRPr="004B645E">
        <w:rPr>
          <w:rFonts w:ascii="Times New Roman" w:hAnsi="Times New Roman" w:cs="Times New Roman"/>
          <w:sz w:val="28"/>
          <w:szCs w:val="28"/>
        </w:rPr>
        <w:t xml:space="preserve">s Taxonomy, especially in the </w:t>
      </w:r>
      <w:r w:rsidR="00354BBE" w:rsidRPr="004B645E">
        <w:rPr>
          <w:rFonts w:ascii="Times New Roman" w:hAnsi="Times New Roman" w:cs="Times New Roman"/>
          <w:sz w:val="28"/>
          <w:szCs w:val="28"/>
        </w:rPr>
        <w:t>C</w:t>
      </w:r>
      <w:r w:rsidRPr="004B645E">
        <w:rPr>
          <w:rFonts w:ascii="Times New Roman" w:hAnsi="Times New Roman" w:cs="Times New Roman"/>
          <w:sz w:val="28"/>
          <w:szCs w:val="28"/>
        </w:rPr>
        <w:t xml:space="preserve">ognitive </w:t>
      </w:r>
      <w:r w:rsidR="00354BBE" w:rsidRPr="004B645E">
        <w:rPr>
          <w:rFonts w:ascii="Times New Roman" w:hAnsi="Times New Roman" w:cs="Times New Roman"/>
          <w:sz w:val="28"/>
          <w:szCs w:val="28"/>
        </w:rPr>
        <w:t>D</w:t>
      </w:r>
      <w:r w:rsidRPr="004B645E">
        <w:rPr>
          <w:rFonts w:ascii="Times New Roman" w:hAnsi="Times New Roman" w:cs="Times New Roman"/>
          <w:sz w:val="28"/>
          <w:szCs w:val="28"/>
        </w:rPr>
        <w:t xml:space="preserve">omain, has ‘become a cornerstone of teaching and learning’ and is ‘one of the most important foundations on which much of contemporary education is based’ (Gershon 2015), its assessment as a methodology to teach music production has not been vastly explored. We </w:t>
      </w:r>
      <w:r w:rsidR="00354BBE" w:rsidRPr="004B645E">
        <w:rPr>
          <w:rFonts w:ascii="Times New Roman" w:hAnsi="Times New Roman" w:cs="Times New Roman"/>
          <w:sz w:val="28"/>
          <w:szCs w:val="28"/>
        </w:rPr>
        <w:t xml:space="preserve">therefore </w:t>
      </w:r>
      <w:r w:rsidRPr="004B645E">
        <w:rPr>
          <w:rFonts w:ascii="Times New Roman" w:hAnsi="Times New Roman" w:cs="Times New Roman"/>
          <w:sz w:val="28"/>
          <w:szCs w:val="28"/>
        </w:rPr>
        <w:t xml:space="preserve">begin to </w:t>
      </w:r>
      <w:r w:rsidR="00354BBE" w:rsidRPr="004B645E">
        <w:rPr>
          <w:rFonts w:ascii="Times New Roman" w:hAnsi="Times New Roman" w:cs="Times New Roman"/>
          <w:sz w:val="28"/>
          <w:szCs w:val="28"/>
        </w:rPr>
        <w:t>explore</w:t>
      </w:r>
      <w:r w:rsidRPr="004B645E">
        <w:rPr>
          <w:rFonts w:ascii="Times New Roman" w:hAnsi="Times New Roman" w:cs="Times New Roman"/>
          <w:sz w:val="28"/>
          <w:szCs w:val="28"/>
        </w:rPr>
        <w:t xml:space="preserve"> here how the Cognitive Domain can be broadly applied as a ‘journey’ in contemporary music production education. </w:t>
      </w:r>
    </w:p>
    <w:p w14:paraId="02684368" w14:textId="77777777" w:rsidR="00C60485"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Despite the sixty years after its introduction, Bloom</w:t>
      </w:r>
      <w:r w:rsidR="009A292A" w:rsidRPr="004B645E">
        <w:rPr>
          <w:rFonts w:ascii="Times New Roman" w:hAnsi="Times New Roman" w:cs="Times New Roman"/>
          <w:sz w:val="28"/>
          <w:szCs w:val="28"/>
        </w:rPr>
        <w:t>’</w:t>
      </w:r>
      <w:r w:rsidRPr="004B645E">
        <w:rPr>
          <w:rFonts w:ascii="Times New Roman" w:hAnsi="Times New Roman" w:cs="Times New Roman"/>
          <w:sz w:val="28"/>
          <w:szCs w:val="28"/>
        </w:rPr>
        <w:t xml:space="preserve">s Taxonomy </w:t>
      </w:r>
      <w:proofErr w:type="gramStart"/>
      <w:r w:rsidRPr="004B645E">
        <w:rPr>
          <w:rFonts w:ascii="Times New Roman" w:hAnsi="Times New Roman" w:cs="Times New Roman"/>
          <w:sz w:val="28"/>
          <w:szCs w:val="28"/>
        </w:rPr>
        <w:t>still persists</w:t>
      </w:r>
      <w:proofErr w:type="gramEnd"/>
      <w:r w:rsidRPr="004B645E">
        <w:rPr>
          <w:rFonts w:ascii="Times New Roman" w:hAnsi="Times New Roman" w:cs="Times New Roman"/>
          <w:sz w:val="28"/>
          <w:szCs w:val="28"/>
        </w:rPr>
        <w:t xml:space="preserve"> as a solid teaching methodology across many subject areas</w:t>
      </w:r>
      <w:r w:rsidR="00C60485" w:rsidRPr="004B645E">
        <w:rPr>
          <w:rFonts w:ascii="Times New Roman" w:hAnsi="Times New Roman" w:cs="Times New Roman"/>
          <w:sz w:val="28"/>
          <w:szCs w:val="28"/>
        </w:rPr>
        <w:t>, though many scholars</w:t>
      </w:r>
      <w:r w:rsidRPr="004B645E">
        <w:rPr>
          <w:rFonts w:ascii="Times New Roman" w:hAnsi="Times New Roman" w:cs="Times New Roman"/>
          <w:sz w:val="28"/>
          <w:szCs w:val="28"/>
        </w:rPr>
        <w:t xml:space="preserve"> have reinterpreted the taxonomy for </w:t>
      </w:r>
      <w:r w:rsidR="00C60485" w:rsidRPr="004B645E">
        <w:rPr>
          <w:rFonts w:ascii="Times New Roman" w:hAnsi="Times New Roman" w:cs="Times New Roman"/>
          <w:sz w:val="28"/>
          <w:szCs w:val="28"/>
        </w:rPr>
        <w:t>contemporary</w:t>
      </w:r>
      <w:r w:rsidRPr="004B645E">
        <w:rPr>
          <w:rFonts w:ascii="Times New Roman" w:hAnsi="Times New Roman" w:cs="Times New Roman"/>
          <w:sz w:val="28"/>
          <w:szCs w:val="28"/>
        </w:rPr>
        <w:t xml:space="preserve"> applications. Hanna (2007) applied Anderson &amp; </w:t>
      </w:r>
      <w:proofErr w:type="spellStart"/>
      <w:r w:rsidRPr="004B645E">
        <w:rPr>
          <w:rFonts w:ascii="Times New Roman" w:hAnsi="Times New Roman" w:cs="Times New Roman"/>
          <w:sz w:val="28"/>
          <w:szCs w:val="28"/>
        </w:rPr>
        <w:t>Krafhwohl’s</w:t>
      </w:r>
      <w:proofErr w:type="spellEnd"/>
      <w:r w:rsidRPr="004B645E">
        <w:rPr>
          <w:rFonts w:ascii="Times New Roman" w:hAnsi="Times New Roman" w:cs="Times New Roman"/>
          <w:sz w:val="28"/>
          <w:szCs w:val="28"/>
        </w:rPr>
        <w:t xml:space="preserve"> (2001) new interpretation of Bloom’s Taxonomy towards music education and found that </w:t>
      </w:r>
    </w:p>
    <w:p w14:paraId="74EEACC4" w14:textId="77777777" w:rsidR="00C60485" w:rsidRPr="004B645E" w:rsidRDefault="00115DC5" w:rsidP="000A2186">
      <w:pPr>
        <w:spacing w:before="120" w:afterLines="30" w:after="72" w:line="360" w:lineRule="auto"/>
        <w:ind w:left="567"/>
        <w:jc w:val="left"/>
        <w:rPr>
          <w:rFonts w:ascii="Times New Roman" w:hAnsi="Times New Roman" w:cs="Times New Roman"/>
          <w:sz w:val="28"/>
          <w:szCs w:val="28"/>
        </w:rPr>
      </w:pPr>
      <w:r w:rsidRPr="004B645E">
        <w:rPr>
          <w:rFonts w:ascii="Times New Roman" w:hAnsi="Times New Roman" w:cs="Times New Roman"/>
          <w:sz w:val="28"/>
          <w:szCs w:val="28"/>
        </w:rPr>
        <w:t>O</w:t>
      </w:r>
      <w:r w:rsidR="002378BE" w:rsidRPr="004B645E">
        <w:rPr>
          <w:rFonts w:ascii="Times New Roman" w:hAnsi="Times New Roman" w:cs="Times New Roman"/>
          <w:sz w:val="28"/>
          <w:szCs w:val="28"/>
        </w:rPr>
        <w:t>bjective assessment of music [courses are] particularly difficult because music-learning outcomes are often judged and interpreted in a language involving subject assessment, aesthetic and psychomotor learning, and performance. In contrast, reading, writing, math, science, language, and social studies are not in this position because they are taught and assessed as objective, cognitive domain activities.</w:t>
      </w:r>
      <w:r w:rsidR="009A292A" w:rsidRPr="004B645E" w:rsidDel="009A292A">
        <w:rPr>
          <w:rFonts w:ascii="Times New Roman" w:hAnsi="Times New Roman" w:cs="Times New Roman"/>
          <w:sz w:val="28"/>
          <w:szCs w:val="28"/>
        </w:rPr>
        <w:t xml:space="preserve"> </w:t>
      </w:r>
    </w:p>
    <w:p w14:paraId="0366E00F" w14:textId="77777777" w:rsidR="00276E8A"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 xml:space="preserve">Hanna alludes to </w:t>
      </w:r>
      <w:r w:rsidR="00521B36" w:rsidRPr="004B645E">
        <w:rPr>
          <w:rFonts w:ascii="Times New Roman" w:hAnsi="Times New Roman" w:cs="Times New Roman"/>
          <w:sz w:val="28"/>
          <w:szCs w:val="28"/>
        </w:rPr>
        <w:t>a crucial point</w:t>
      </w:r>
      <w:r w:rsidRPr="004B645E">
        <w:rPr>
          <w:rFonts w:ascii="Times New Roman" w:hAnsi="Times New Roman" w:cs="Times New Roman"/>
          <w:sz w:val="28"/>
          <w:szCs w:val="28"/>
        </w:rPr>
        <w:t xml:space="preserve"> in that subjects that lean towards creative</w:t>
      </w:r>
      <w:r w:rsidR="00C60485" w:rsidRPr="004B645E">
        <w:rPr>
          <w:rFonts w:ascii="Times New Roman" w:hAnsi="Times New Roman" w:cs="Times New Roman"/>
          <w:sz w:val="28"/>
          <w:szCs w:val="28"/>
        </w:rPr>
        <w:t xml:space="preserve"> disciplines</w:t>
      </w:r>
      <w:r w:rsidRPr="004B645E">
        <w:rPr>
          <w:rFonts w:ascii="Times New Roman" w:hAnsi="Times New Roman" w:cs="Times New Roman"/>
          <w:sz w:val="28"/>
          <w:szCs w:val="28"/>
        </w:rPr>
        <w:t xml:space="preserve"> are often difficult to assess and, it could be argued, provide more useful life skills than simple knowledge as provided by the STEM</w:t>
      </w:r>
      <w:r w:rsidR="00C60485" w:rsidRPr="004B645E">
        <w:rPr>
          <w:rFonts w:ascii="Times New Roman" w:hAnsi="Times New Roman" w:cs="Times New Roman"/>
          <w:sz w:val="28"/>
          <w:szCs w:val="28"/>
        </w:rPr>
        <w:t xml:space="preserve"> (science, technology, engineering and maths)</w:t>
      </w:r>
      <w:r w:rsidRPr="004B645E">
        <w:rPr>
          <w:rFonts w:ascii="Times New Roman" w:hAnsi="Times New Roman" w:cs="Times New Roman"/>
          <w:sz w:val="28"/>
          <w:szCs w:val="28"/>
        </w:rPr>
        <w:t xml:space="preserve"> subjects listed. Gershon (2015) notes that</w:t>
      </w:r>
      <w:r w:rsidR="00276E8A" w:rsidRPr="004B645E">
        <w:rPr>
          <w:rFonts w:ascii="Times New Roman" w:hAnsi="Times New Roman" w:cs="Times New Roman"/>
          <w:sz w:val="28"/>
          <w:szCs w:val="28"/>
        </w:rPr>
        <w:t xml:space="preserve"> it </w:t>
      </w:r>
      <w:r w:rsidR="00276E8A" w:rsidRPr="004B645E">
        <w:rPr>
          <w:rFonts w:ascii="Times New Roman" w:hAnsi="Times New Roman" w:cs="Times New Roman"/>
          <w:sz w:val="28"/>
          <w:szCs w:val="28"/>
        </w:rPr>
        <w:lastRenderedPageBreak/>
        <w:t>‘is hard to deny’ that the</w:t>
      </w:r>
      <w:r w:rsidRPr="004B645E">
        <w:rPr>
          <w:rFonts w:ascii="Times New Roman" w:hAnsi="Times New Roman" w:cs="Times New Roman"/>
          <w:sz w:val="28"/>
          <w:szCs w:val="28"/>
        </w:rPr>
        <w:t xml:space="preserve"> ‘cognitive domain takes precedence in </w:t>
      </w:r>
      <w:proofErr w:type="gramStart"/>
      <w:r w:rsidRPr="004B645E">
        <w:rPr>
          <w:rFonts w:ascii="Times New Roman" w:hAnsi="Times New Roman" w:cs="Times New Roman"/>
          <w:sz w:val="28"/>
          <w:szCs w:val="28"/>
        </w:rPr>
        <w:t>the majority of</w:t>
      </w:r>
      <w:proofErr w:type="gramEnd"/>
      <w:r w:rsidRPr="004B645E">
        <w:rPr>
          <w:rFonts w:ascii="Times New Roman" w:hAnsi="Times New Roman" w:cs="Times New Roman"/>
          <w:sz w:val="28"/>
          <w:szCs w:val="28"/>
        </w:rPr>
        <w:t xml:space="preserve"> formal schooling</w:t>
      </w:r>
      <w:r w:rsidR="00276E8A" w:rsidRPr="004B645E">
        <w:rPr>
          <w:rFonts w:ascii="Times New Roman" w:hAnsi="Times New Roman" w:cs="Times New Roman"/>
          <w:sz w:val="28"/>
          <w:szCs w:val="28"/>
        </w:rPr>
        <w:t>’</w:t>
      </w:r>
      <w:r w:rsidRPr="004B645E">
        <w:rPr>
          <w:rFonts w:ascii="Times New Roman" w:hAnsi="Times New Roman" w:cs="Times New Roman"/>
          <w:sz w:val="28"/>
          <w:szCs w:val="28"/>
        </w:rPr>
        <w:t>.</w:t>
      </w:r>
    </w:p>
    <w:p w14:paraId="1CAE4571" w14:textId="77777777" w:rsidR="00812E80" w:rsidRPr="004B645E" w:rsidRDefault="00276E8A"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T</w:t>
      </w:r>
      <w:r w:rsidR="002378BE" w:rsidRPr="004B645E">
        <w:rPr>
          <w:rFonts w:ascii="Times New Roman" w:hAnsi="Times New Roman" w:cs="Times New Roman"/>
          <w:sz w:val="28"/>
          <w:szCs w:val="28"/>
        </w:rPr>
        <w:t xml:space="preserve">his paper </w:t>
      </w:r>
      <w:r w:rsidRPr="004B645E">
        <w:rPr>
          <w:rFonts w:ascii="Times New Roman" w:hAnsi="Times New Roman" w:cs="Times New Roman"/>
          <w:sz w:val="28"/>
          <w:szCs w:val="28"/>
        </w:rPr>
        <w:t>explores</w:t>
      </w:r>
      <w:r w:rsidR="002378BE" w:rsidRPr="004B645E">
        <w:rPr>
          <w:rFonts w:ascii="Times New Roman" w:hAnsi="Times New Roman" w:cs="Times New Roman"/>
          <w:sz w:val="28"/>
          <w:szCs w:val="28"/>
        </w:rPr>
        <w:t xml:space="preserve"> how Bloom’s Cognitive Domain, specifically, and the language Bloom’s Taxonomy used in 1956, can be applied </w:t>
      </w:r>
      <w:r w:rsidRPr="004B645E">
        <w:rPr>
          <w:rFonts w:ascii="Times New Roman" w:hAnsi="Times New Roman" w:cs="Times New Roman"/>
          <w:sz w:val="28"/>
          <w:szCs w:val="28"/>
        </w:rPr>
        <w:t xml:space="preserve">effectively </w:t>
      </w:r>
      <w:r w:rsidR="002378BE" w:rsidRPr="004B645E">
        <w:rPr>
          <w:rFonts w:ascii="Times New Roman" w:hAnsi="Times New Roman" w:cs="Times New Roman"/>
          <w:sz w:val="28"/>
          <w:szCs w:val="28"/>
        </w:rPr>
        <w:t xml:space="preserve">to music production education, both in the cognitive, but also within the practical application (and thus practice) of the music producer. Thus, how </w:t>
      </w:r>
      <w:r w:rsidR="009A292A" w:rsidRPr="004B645E">
        <w:rPr>
          <w:rFonts w:ascii="Times New Roman" w:hAnsi="Times New Roman" w:cs="Times New Roman"/>
          <w:sz w:val="28"/>
          <w:szCs w:val="28"/>
        </w:rPr>
        <w:t>P</w:t>
      </w:r>
      <w:r w:rsidR="002378BE" w:rsidRPr="004B645E">
        <w:rPr>
          <w:rFonts w:ascii="Times New Roman" w:hAnsi="Times New Roman" w:cs="Times New Roman"/>
          <w:sz w:val="28"/>
          <w:szCs w:val="28"/>
        </w:rPr>
        <w:t xml:space="preserve">sychomotor and </w:t>
      </w:r>
      <w:r w:rsidR="00F03E2F" w:rsidRPr="004B645E">
        <w:rPr>
          <w:rFonts w:ascii="Times New Roman" w:hAnsi="Times New Roman" w:cs="Times New Roman"/>
          <w:sz w:val="28"/>
          <w:szCs w:val="28"/>
        </w:rPr>
        <w:t>A</w:t>
      </w:r>
      <w:r w:rsidR="002378BE" w:rsidRPr="004B645E">
        <w:rPr>
          <w:rFonts w:ascii="Times New Roman" w:hAnsi="Times New Roman" w:cs="Times New Roman"/>
          <w:sz w:val="28"/>
          <w:szCs w:val="28"/>
        </w:rPr>
        <w:t xml:space="preserve">ffective </w:t>
      </w:r>
      <w:r w:rsidR="00F03E2F" w:rsidRPr="004B645E">
        <w:rPr>
          <w:rFonts w:ascii="Times New Roman" w:hAnsi="Times New Roman" w:cs="Times New Roman"/>
          <w:sz w:val="28"/>
          <w:szCs w:val="28"/>
        </w:rPr>
        <w:t>D</w:t>
      </w:r>
      <w:r w:rsidR="002378BE" w:rsidRPr="004B645E">
        <w:rPr>
          <w:rFonts w:ascii="Times New Roman" w:hAnsi="Times New Roman" w:cs="Times New Roman"/>
          <w:sz w:val="28"/>
          <w:szCs w:val="28"/>
        </w:rPr>
        <w:t xml:space="preserve">omains can be conceived as bundled within an adaptation, or interpretation, of the </w:t>
      </w:r>
      <w:r w:rsidR="00F03E2F" w:rsidRPr="004B645E">
        <w:rPr>
          <w:rFonts w:ascii="Times New Roman" w:hAnsi="Times New Roman" w:cs="Times New Roman"/>
          <w:sz w:val="28"/>
          <w:szCs w:val="28"/>
        </w:rPr>
        <w:t>C</w:t>
      </w:r>
      <w:r w:rsidR="002378BE" w:rsidRPr="004B645E">
        <w:rPr>
          <w:rFonts w:ascii="Times New Roman" w:hAnsi="Times New Roman" w:cs="Times New Roman"/>
          <w:sz w:val="28"/>
          <w:szCs w:val="28"/>
        </w:rPr>
        <w:t xml:space="preserve">ognitive </w:t>
      </w:r>
      <w:r w:rsidR="00F03E2F" w:rsidRPr="004B645E">
        <w:rPr>
          <w:rFonts w:ascii="Times New Roman" w:hAnsi="Times New Roman" w:cs="Times New Roman"/>
          <w:sz w:val="28"/>
          <w:szCs w:val="28"/>
        </w:rPr>
        <w:t>D</w:t>
      </w:r>
      <w:r w:rsidR="002378BE" w:rsidRPr="004B645E">
        <w:rPr>
          <w:rFonts w:ascii="Times New Roman" w:hAnsi="Times New Roman" w:cs="Times New Roman"/>
          <w:sz w:val="28"/>
          <w:szCs w:val="28"/>
        </w:rPr>
        <w:t>omain. In this manner</w:t>
      </w:r>
      <w:r w:rsidRPr="004B645E">
        <w:rPr>
          <w:rFonts w:ascii="Times New Roman" w:hAnsi="Times New Roman" w:cs="Times New Roman"/>
          <w:sz w:val="28"/>
          <w:szCs w:val="28"/>
        </w:rPr>
        <w:t>,</w:t>
      </w:r>
      <w:r w:rsidR="002378BE" w:rsidRPr="004B645E">
        <w:rPr>
          <w:rFonts w:ascii="Times New Roman" w:hAnsi="Times New Roman" w:cs="Times New Roman"/>
          <w:sz w:val="28"/>
          <w:szCs w:val="28"/>
        </w:rPr>
        <w:t xml:space="preserve"> all of Bloom’s three domains of educational activities can be applied directly, or be related, to many common taught topics</w:t>
      </w:r>
      <w:r w:rsidRPr="004B645E">
        <w:rPr>
          <w:rFonts w:ascii="Times New Roman" w:hAnsi="Times New Roman" w:cs="Times New Roman"/>
          <w:sz w:val="28"/>
          <w:szCs w:val="28"/>
        </w:rPr>
        <w:t xml:space="preserve"> related to music production and music technology</w:t>
      </w:r>
      <w:r w:rsidR="002378BE" w:rsidRPr="004B645E">
        <w:rPr>
          <w:rFonts w:ascii="Times New Roman" w:hAnsi="Times New Roman" w:cs="Times New Roman"/>
          <w:sz w:val="28"/>
          <w:szCs w:val="28"/>
        </w:rPr>
        <w:t>.</w:t>
      </w:r>
      <w:r w:rsidR="002378BE" w:rsidRPr="004B645E">
        <w:rPr>
          <w:rFonts w:ascii="Times New Roman" w:hAnsi="Times New Roman" w:cs="Times New Roman"/>
          <w:b/>
          <w:sz w:val="28"/>
          <w:szCs w:val="28"/>
        </w:rPr>
        <w:t xml:space="preserve"> </w:t>
      </w:r>
    </w:p>
    <w:p w14:paraId="64AAB70C" w14:textId="77777777" w:rsidR="00812E80" w:rsidRPr="004B645E" w:rsidRDefault="002378BE" w:rsidP="000A2186">
      <w:pPr>
        <w:widowControl w:val="0"/>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 xml:space="preserve">The journeys </w:t>
      </w:r>
      <w:r w:rsidR="00276E8A" w:rsidRPr="004B645E">
        <w:rPr>
          <w:rFonts w:ascii="Times New Roman" w:hAnsi="Times New Roman" w:cs="Times New Roman"/>
          <w:sz w:val="28"/>
          <w:szCs w:val="28"/>
        </w:rPr>
        <w:t xml:space="preserve">taken </w:t>
      </w:r>
      <w:r w:rsidRPr="004B645E">
        <w:rPr>
          <w:rFonts w:ascii="Times New Roman" w:hAnsi="Times New Roman" w:cs="Times New Roman"/>
          <w:sz w:val="28"/>
          <w:szCs w:val="28"/>
        </w:rPr>
        <w:t xml:space="preserve">by a student in order to develop experience and skills in the field of music production align especially well with Bloom’s Cognitive domain, as initially demonstrated in Figure 1 below (Bloom et. al, 1956). Bloom et. al described that the </w:t>
      </w:r>
      <w:r w:rsidR="00276E8A" w:rsidRPr="004B645E">
        <w:rPr>
          <w:rFonts w:ascii="Times New Roman" w:hAnsi="Times New Roman" w:cs="Times New Roman"/>
          <w:sz w:val="28"/>
          <w:szCs w:val="28"/>
        </w:rPr>
        <w:t xml:space="preserve">reception </w:t>
      </w:r>
      <w:r w:rsidRPr="004B645E">
        <w:rPr>
          <w:rFonts w:ascii="Times New Roman" w:hAnsi="Times New Roman" w:cs="Times New Roman"/>
          <w:sz w:val="28"/>
          <w:szCs w:val="28"/>
        </w:rPr>
        <w:t xml:space="preserve">of knowledge alone only leads to shallow learning, and that deep learning is only developed by moving up through the </w:t>
      </w:r>
      <w:r w:rsidR="00F03E2F" w:rsidRPr="004B645E">
        <w:rPr>
          <w:rFonts w:ascii="Times New Roman" w:hAnsi="Times New Roman" w:cs="Times New Roman"/>
          <w:sz w:val="28"/>
          <w:szCs w:val="28"/>
        </w:rPr>
        <w:t>C</w:t>
      </w:r>
      <w:r w:rsidRPr="004B645E">
        <w:rPr>
          <w:rFonts w:ascii="Times New Roman" w:hAnsi="Times New Roman" w:cs="Times New Roman"/>
          <w:sz w:val="28"/>
          <w:szCs w:val="28"/>
        </w:rPr>
        <w:t xml:space="preserve">ognitive </w:t>
      </w:r>
      <w:r w:rsidR="00F03E2F" w:rsidRPr="004B645E">
        <w:rPr>
          <w:rFonts w:ascii="Times New Roman" w:hAnsi="Times New Roman" w:cs="Times New Roman"/>
          <w:sz w:val="28"/>
          <w:szCs w:val="28"/>
        </w:rPr>
        <w:t>D</w:t>
      </w:r>
      <w:r w:rsidRPr="004B645E">
        <w:rPr>
          <w:rFonts w:ascii="Times New Roman" w:hAnsi="Times New Roman" w:cs="Times New Roman"/>
          <w:sz w:val="28"/>
          <w:szCs w:val="28"/>
        </w:rPr>
        <w:t>omain</w:t>
      </w:r>
      <w:r w:rsidR="00276E8A" w:rsidRPr="004B645E">
        <w:rPr>
          <w:rFonts w:ascii="Times New Roman" w:hAnsi="Times New Roman" w:cs="Times New Roman"/>
          <w:sz w:val="28"/>
          <w:szCs w:val="28"/>
        </w:rPr>
        <w:t>,</w:t>
      </w:r>
      <w:r w:rsidRPr="004B645E">
        <w:rPr>
          <w:rFonts w:ascii="Times New Roman" w:hAnsi="Times New Roman" w:cs="Times New Roman"/>
          <w:sz w:val="28"/>
          <w:szCs w:val="28"/>
        </w:rPr>
        <w:t xml:space="preserve"> through comprehension and the effective application of knowledge. Equally, engaging in reflective analysis is essential for practitioners to learn from the application of their knowledge.</w:t>
      </w:r>
    </w:p>
    <w:p w14:paraId="043D2DA4" w14:textId="77777777" w:rsidR="00812E80" w:rsidRPr="004B645E" w:rsidRDefault="00812E80" w:rsidP="000A2186">
      <w:pPr>
        <w:widowControl w:val="0"/>
        <w:spacing w:before="120" w:afterLines="30" w:after="72" w:line="360" w:lineRule="auto"/>
        <w:jc w:val="left"/>
        <w:rPr>
          <w:rFonts w:ascii="Times New Roman" w:hAnsi="Times New Roman" w:cs="Times New Roman"/>
          <w:sz w:val="28"/>
          <w:szCs w:val="28"/>
        </w:rPr>
      </w:pPr>
    </w:p>
    <w:p w14:paraId="3A0C9DBB" w14:textId="77777777" w:rsidR="00812E80" w:rsidRPr="004B645E" w:rsidRDefault="003062F9" w:rsidP="000A2186">
      <w:pPr>
        <w:widowControl w:val="0"/>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noProof/>
          <w:sz w:val="28"/>
          <w:szCs w:val="28"/>
          <w:lang w:val="en-US"/>
        </w:rPr>
        <w:t>//Figure_1.png//</w:t>
      </w:r>
    </w:p>
    <w:p w14:paraId="110BEEC5" w14:textId="77777777" w:rsidR="00812E80" w:rsidRPr="004B645E" w:rsidRDefault="002378BE" w:rsidP="000A2186">
      <w:pPr>
        <w:widowControl w:val="0"/>
        <w:spacing w:before="120" w:afterLines="30" w:after="72" w:line="360" w:lineRule="auto"/>
        <w:jc w:val="left"/>
        <w:rPr>
          <w:rFonts w:ascii="Times New Roman" w:hAnsi="Times New Roman" w:cs="Times New Roman"/>
          <w:b/>
          <w:sz w:val="28"/>
          <w:szCs w:val="28"/>
        </w:rPr>
      </w:pPr>
      <w:r w:rsidRPr="004B645E">
        <w:rPr>
          <w:rFonts w:ascii="Times New Roman" w:hAnsi="Times New Roman" w:cs="Times New Roman"/>
          <w:b/>
          <w:sz w:val="28"/>
          <w:szCs w:val="28"/>
        </w:rPr>
        <w:t>Figure 1. The six levels within the Cognitive Domain of Bloom’s Taxonomy.</w:t>
      </w:r>
    </w:p>
    <w:p w14:paraId="11D3BB42" w14:textId="77777777" w:rsidR="00812E80" w:rsidRPr="004B645E" w:rsidRDefault="00812E80" w:rsidP="000A2186">
      <w:pPr>
        <w:widowControl w:val="0"/>
        <w:spacing w:before="120" w:afterLines="30" w:after="72" w:line="360" w:lineRule="auto"/>
        <w:jc w:val="left"/>
        <w:rPr>
          <w:rFonts w:ascii="Times New Roman" w:hAnsi="Times New Roman" w:cs="Times New Roman"/>
          <w:sz w:val="28"/>
          <w:szCs w:val="28"/>
        </w:rPr>
      </w:pPr>
    </w:p>
    <w:p w14:paraId="02C39598"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bookmarkStart w:id="3" w:name="_gjdgxs" w:colFirst="0" w:colLast="0"/>
      <w:bookmarkEnd w:id="3"/>
      <w:r w:rsidRPr="004B645E">
        <w:rPr>
          <w:rFonts w:ascii="Times New Roman" w:hAnsi="Times New Roman" w:cs="Times New Roman"/>
          <w:sz w:val="28"/>
          <w:szCs w:val="28"/>
        </w:rPr>
        <w:t xml:space="preserve">In the context of music production education, it is possible to articulate Bloom’s Cognitive Domain with respect to specific examples, as shown in </w:t>
      </w:r>
      <w:r w:rsidR="00B57BF1" w:rsidRPr="004B645E">
        <w:rPr>
          <w:rFonts w:ascii="Times New Roman" w:hAnsi="Times New Roman" w:cs="Times New Roman"/>
          <w:sz w:val="28"/>
          <w:szCs w:val="28"/>
        </w:rPr>
        <w:t>figure 2</w:t>
      </w:r>
      <w:r w:rsidRPr="004B645E">
        <w:rPr>
          <w:rFonts w:ascii="Times New Roman" w:hAnsi="Times New Roman" w:cs="Times New Roman"/>
          <w:sz w:val="28"/>
          <w:szCs w:val="28"/>
        </w:rPr>
        <w:t xml:space="preserve">. </w:t>
      </w:r>
      <w:proofErr w:type="gramStart"/>
      <w:r w:rsidRPr="004B645E">
        <w:rPr>
          <w:rFonts w:ascii="Times New Roman" w:hAnsi="Times New Roman" w:cs="Times New Roman"/>
          <w:sz w:val="28"/>
          <w:szCs w:val="28"/>
        </w:rPr>
        <w:t>It is clear that knowledge</w:t>
      </w:r>
      <w:proofErr w:type="gramEnd"/>
      <w:r w:rsidRPr="004B645E">
        <w:rPr>
          <w:rFonts w:ascii="Times New Roman" w:hAnsi="Times New Roman" w:cs="Times New Roman"/>
          <w:sz w:val="28"/>
          <w:szCs w:val="28"/>
        </w:rPr>
        <w:t xml:space="preserve">, nowadays, is easily accessed through publications and online resources. For the example of microphone recording techniques given in </w:t>
      </w:r>
      <w:r w:rsidR="00B57BF1" w:rsidRPr="004B645E">
        <w:rPr>
          <w:rFonts w:ascii="Times New Roman" w:hAnsi="Times New Roman" w:cs="Times New Roman"/>
          <w:sz w:val="28"/>
          <w:szCs w:val="28"/>
        </w:rPr>
        <w:t>figure 2</w:t>
      </w:r>
      <w:r w:rsidRPr="004B645E">
        <w:rPr>
          <w:rFonts w:ascii="Times New Roman" w:hAnsi="Times New Roman" w:cs="Times New Roman"/>
          <w:sz w:val="28"/>
          <w:szCs w:val="28"/>
        </w:rPr>
        <w:t xml:space="preserve">, this type of knowledge can easily be accessed from well-known </w:t>
      </w:r>
      <w:r w:rsidRPr="004B645E">
        <w:rPr>
          <w:rFonts w:ascii="Times New Roman" w:hAnsi="Times New Roman" w:cs="Times New Roman"/>
          <w:sz w:val="28"/>
          <w:szCs w:val="28"/>
        </w:rPr>
        <w:lastRenderedPageBreak/>
        <w:t xml:space="preserve">textbooks, periodicals and online networks. Comprehension can </w:t>
      </w:r>
      <w:proofErr w:type="gramStart"/>
      <w:r w:rsidRPr="004B645E">
        <w:rPr>
          <w:rFonts w:ascii="Times New Roman" w:hAnsi="Times New Roman" w:cs="Times New Roman"/>
          <w:sz w:val="28"/>
          <w:szCs w:val="28"/>
        </w:rPr>
        <w:t>be considered to be</w:t>
      </w:r>
      <w:proofErr w:type="gramEnd"/>
      <w:r w:rsidRPr="004B645E">
        <w:rPr>
          <w:rFonts w:ascii="Times New Roman" w:hAnsi="Times New Roman" w:cs="Times New Roman"/>
          <w:sz w:val="28"/>
          <w:szCs w:val="28"/>
        </w:rPr>
        <w:t xml:space="preserve"> incorporating specific context with knowledge, which is also often accessible through articles and opinions of expert and experienced practitioners. The application of such knowledge and comprehension is a critical point for knowledge holders to become actual practitioners, and in general is best done through assistance</w:t>
      </w:r>
      <w:r w:rsidR="00276E8A" w:rsidRPr="004B645E">
        <w:rPr>
          <w:rFonts w:ascii="Times New Roman" w:hAnsi="Times New Roman" w:cs="Times New Roman"/>
          <w:sz w:val="28"/>
          <w:szCs w:val="28"/>
        </w:rPr>
        <w:t xml:space="preserve"> and with feedback</w:t>
      </w:r>
      <w:r w:rsidRPr="004B645E">
        <w:rPr>
          <w:rFonts w:ascii="Times New Roman" w:hAnsi="Times New Roman" w:cs="Times New Roman"/>
          <w:sz w:val="28"/>
          <w:szCs w:val="28"/>
        </w:rPr>
        <w:t xml:space="preserve"> </w:t>
      </w:r>
      <w:r w:rsidR="00276E8A" w:rsidRPr="004B645E">
        <w:rPr>
          <w:rFonts w:ascii="Times New Roman" w:hAnsi="Times New Roman" w:cs="Times New Roman"/>
          <w:sz w:val="28"/>
          <w:szCs w:val="28"/>
        </w:rPr>
        <w:t xml:space="preserve">from </w:t>
      </w:r>
      <w:r w:rsidRPr="004B645E">
        <w:rPr>
          <w:rFonts w:ascii="Times New Roman" w:hAnsi="Times New Roman" w:cs="Times New Roman"/>
          <w:sz w:val="28"/>
          <w:szCs w:val="28"/>
        </w:rPr>
        <w:t>an experienced practitioner or educator, possibly best referred to as a facilitator in many circumstances.</w:t>
      </w:r>
    </w:p>
    <w:p w14:paraId="244E87B1" w14:textId="77777777" w:rsidR="00812E80" w:rsidRPr="004B645E" w:rsidRDefault="002378BE" w:rsidP="000A2186">
      <w:pPr>
        <w:widowControl w:val="0"/>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 xml:space="preserve">The analysis of practical application is the first critical and reflective stage of Bloom’s Cognitive </w:t>
      </w:r>
      <w:proofErr w:type="gramStart"/>
      <w:r w:rsidRPr="004B645E">
        <w:rPr>
          <w:rFonts w:ascii="Times New Roman" w:hAnsi="Times New Roman" w:cs="Times New Roman"/>
          <w:sz w:val="28"/>
          <w:szCs w:val="28"/>
        </w:rPr>
        <w:t>Domain, and</w:t>
      </w:r>
      <w:proofErr w:type="gramEnd"/>
      <w:r w:rsidRPr="004B645E">
        <w:rPr>
          <w:rFonts w:ascii="Times New Roman" w:hAnsi="Times New Roman" w:cs="Times New Roman"/>
          <w:sz w:val="28"/>
          <w:szCs w:val="28"/>
        </w:rPr>
        <w:t xml:space="preserve"> can be applied through a number of methods. Objective analysis can be quite scientific, for example analysing amplitude and frequency spectra of different microphone recordings. Subjective analysis in this context could incorporate listening to the recordings and making a personal </w:t>
      </w:r>
      <w:r w:rsidR="00F03E2F" w:rsidRPr="004B645E">
        <w:rPr>
          <w:rFonts w:ascii="Times New Roman" w:hAnsi="Times New Roman" w:cs="Times New Roman"/>
          <w:sz w:val="28"/>
          <w:szCs w:val="28"/>
        </w:rPr>
        <w:t>judgement or</w:t>
      </w:r>
      <w:r w:rsidRPr="004B645E">
        <w:rPr>
          <w:rFonts w:ascii="Times New Roman" w:hAnsi="Times New Roman" w:cs="Times New Roman"/>
          <w:sz w:val="28"/>
          <w:szCs w:val="28"/>
        </w:rPr>
        <w:t xml:space="preserve"> considering the variance of opinions amongst a cohort of listeners. Critical analysis with respect to published literature and expert opinion is also a valuable method, for example comparing a microphone recording to the expected results discussed in the body of knowledge.</w:t>
      </w:r>
    </w:p>
    <w:p w14:paraId="73B84FDE" w14:textId="77777777" w:rsidR="00812E80" w:rsidRPr="004B645E" w:rsidRDefault="00812E80" w:rsidP="000A2186">
      <w:pPr>
        <w:spacing w:before="120" w:afterLines="30" w:after="72" w:line="360" w:lineRule="auto"/>
        <w:jc w:val="left"/>
        <w:rPr>
          <w:rFonts w:ascii="Times New Roman" w:hAnsi="Times New Roman" w:cs="Times New Roman"/>
          <w:sz w:val="28"/>
          <w:szCs w:val="28"/>
        </w:rPr>
      </w:pP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6293"/>
      </w:tblGrid>
      <w:tr w:rsidR="00AA5ACD" w:rsidRPr="004B645E" w14:paraId="391945CD" w14:textId="77777777" w:rsidTr="00E203E1">
        <w:trPr>
          <w:trHeight w:val="860"/>
          <w:jc w:val="center"/>
        </w:trPr>
        <w:tc>
          <w:tcPr>
            <w:tcW w:w="2723" w:type="dxa"/>
            <w:shd w:val="clear" w:color="auto" w:fill="FFFFFF"/>
            <w:vAlign w:val="center"/>
          </w:tcPr>
          <w:p w14:paraId="00DCDBD5" w14:textId="77777777" w:rsidR="00812E80" w:rsidRPr="004B645E" w:rsidRDefault="002378BE" w:rsidP="000A2186">
            <w:pPr>
              <w:spacing w:before="120" w:afterLines="30" w:after="72" w:line="360" w:lineRule="auto"/>
              <w:jc w:val="left"/>
              <w:rPr>
                <w:rFonts w:ascii="Times New Roman" w:hAnsi="Times New Roman" w:cs="Times New Roman"/>
                <w:b/>
                <w:sz w:val="28"/>
                <w:szCs w:val="28"/>
              </w:rPr>
            </w:pPr>
            <w:r w:rsidRPr="004B645E">
              <w:rPr>
                <w:rFonts w:ascii="Times New Roman" w:hAnsi="Times New Roman" w:cs="Times New Roman"/>
                <w:b/>
                <w:sz w:val="28"/>
                <w:szCs w:val="28"/>
              </w:rPr>
              <w:t>Stage of Bloom’s Cognitive Domain</w:t>
            </w:r>
          </w:p>
        </w:tc>
        <w:tc>
          <w:tcPr>
            <w:tcW w:w="6293" w:type="dxa"/>
            <w:shd w:val="clear" w:color="auto" w:fill="FFFFFF"/>
            <w:vAlign w:val="center"/>
          </w:tcPr>
          <w:p w14:paraId="33EA2850" w14:textId="77777777" w:rsidR="00812E80" w:rsidRPr="004B645E" w:rsidRDefault="002378BE" w:rsidP="000A2186">
            <w:pPr>
              <w:spacing w:before="120" w:afterLines="30" w:after="72" w:line="360" w:lineRule="auto"/>
              <w:jc w:val="left"/>
              <w:rPr>
                <w:rFonts w:ascii="Times New Roman" w:hAnsi="Times New Roman" w:cs="Times New Roman"/>
                <w:b/>
                <w:sz w:val="28"/>
                <w:szCs w:val="28"/>
              </w:rPr>
            </w:pPr>
            <w:r w:rsidRPr="004B645E">
              <w:rPr>
                <w:rFonts w:ascii="Times New Roman" w:hAnsi="Times New Roman" w:cs="Times New Roman"/>
                <w:b/>
                <w:sz w:val="28"/>
                <w:szCs w:val="28"/>
              </w:rPr>
              <w:t>Music Production Education Example</w:t>
            </w:r>
          </w:p>
        </w:tc>
      </w:tr>
      <w:tr w:rsidR="00AA5ACD" w:rsidRPr="004B645E" w14:paraId="20928857" w14:textId="77777777" w:rsidTr="00E203E1">
        <w:trPr>
          <w:trHeight w:val="380"/>
          <w:jc w:val="center"/>
        </w:trPr>
        <w:tc>
          <w:tcPr>
            <w:tcW w:w="2723" w:type="dxa"/>
            <w:shd w:val="clear" w:color="auto" w:fill="auto"/>
            <w:vAlign w:val="center"/>
          </w:tcPr>
          <w:p w14:paraId="1997AC6B"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KNOWLEDGE</w:t>
            </w:r>
          </w:p>
        </w:tc>
        <w:tc>
          <w:tcPr>
            <w:tcW w:w="6293" w:type="dxa"/>
            <w:shd w:val="clear" w:color="auto" w:fill="auto"/>
          </w:tcPr>
          <w:p w14:paraId="6ABE460E"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Knowledge of microphone types and microphone placement techniques, as gathered from books and online videos.</w:t>
            </w:r>
          </w:p>
        </w:tc>
      </w:tr>
      <w:tr w:rsidR="00AA5ACD" w:rsidRPr="004B645E" w14:paraId="1AE612E3" w14:textId="77777777" w:rsidTr="00E203E1">
        <w:trPr>
          <w:jc w:val="center"/>
        </w:trPr>
        <w:tc>
          <w:tcPr>
            <w:tcW w:w="2723" w:type="dxa"/>
            <w:shd w:val="clear" w:color="auto" w:fill="auto"/>
            <w:vAlign w:val="center"/>
          </w:tcPr>
          <w:p w14:paraId="308531BF"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COMPREHENSION</w:t>
            </w:r>
          </w:p>
        </w:tc>
        <w:tc>
          <w:tcPr>
            <w:tcW w:w="6293" w:type="dxa"/>
            <w:shd w:val="clear" w:color="auto" w:fill="auto"/>
          </w:tcPr>
          <w:p w14:paraId="00D23273"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 xml:space="preserve">Understanding of microphones and microphone techniques in context with </w:t>
            </w:r>
            <w:proofErr w:type="gramStart"/>
            <w:r w:rsidRPr="004B645E">
              <w:rPr>
                <w:rFonts w:ascii="Times New Roman" w:hAnsi="Times New Roman" w:cs="Times New Roman"/>
                <w:sz w:val="28"/>
                <w:szCs w:val="28"/>
              </w:rPr>
              <w:t>particular musical</w:t>
            </w:r>
            <w:proofErr w:type="gramEnd"/>
            <w:r w:rsidRPr="004B645E">
              <w:rPr>
                <w:rFonts w:ascii="Times New Roman" w:hAnsi="Times New Roman" w:cs="Times New Roman"/>
                <w:sz w:val="28"/>
                <w:szCs w:val="28"/>
              </w:rPr>
              <w:t xml:space="preserve"> instruments, genres and styles.</w:t>
            </w:r>
          </w:p>
        </w:tc>
      </w:tr>
      <w:tr w:rsidR="00AA5ACD" w:rsidRPr="004B645E" w14:paraId="665C1CC8" w14:textId="77777777" w:rsidTr="00E203E1">
        <w:trPr>
          <w:jc w:val="center"/>
        </w:trPr>
        <w:tc>
          <w:tcPr>
            <w:tcW w:w="2723" w:type="dxa"/>
            <w:shd w:val="clear" w:color="auto" w:fill="auto"/>
            <w:vAlign w:val="center"/>
          </w:tcPr>
          <w:p w14:paraId="076F4F48"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lastRenderedPageBreak/>
              <w:t>APPLICATION</w:t>
            </w:r>
          </w:p>
        </w:tc>
        <w:tc>
          <w:tcPr>
            <w:tcW w:w="6293" w:type="dxa"/>
            <w:shd w:val="clear" w:color="auto" w:fill="auto"/>
          </w:tcPr>
          <w:p w14:paraId="544140B4"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Practical recording of different instruments for different music genres with different microphones and placement techniques.</w:t>
            </w:r>
          </w:p>
        </w:tc>
      </w:tr>
      <w:tr w:rsidR="00AA5ACD" w:rsidRPr="004B645E" w14:paraId="7E45DA9F" w14:textId="77777777" w:rsidTr="00E203E1">
        <w:trPr>
          <w:jc w:val="center"/>
        </w:trPr>
        <w:tc>
          <w:tcPr>
            <w:tcW w:w="2723" w:type="dxa"/>
            <w:shd w:val="clear" w:color="auto" w:fill="auto"/>
            <w:vAlign w:val="center"/>
          </w:tcPr>
          <w:p w14:paraId="76C90FA7"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ANALYSIS</w:t>
            </w:r>
          </w:p>
        </w:tc>
        <w:tc>
          <w:tcPr>
            <w:tcW w:w="6293" w:type="dxa"/>
            <w:shd w:val="clear" w:color="auto" w:fill="auto"/>
          </w:tcPr>
          <w:p w14:paraId="1A6A6232"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Comparing different microphone recordings with each other either objectively (e.g. frequency response) or subjectively (e.g. through listening), or critically with reference to published literature and expert opinion from acclaimed music producers.</w:t>
            </w:r>
          </w:p>
        </w:tc>
      </w:tr>
      <w:tr w:rsidR="00AA5ACD" w:rsidRPr="004B645E" w14:paraId="7072BE18" w14:textId="77777777" w:rsidTr="00E203E1">
        <w:trPr>
          <w:trHeight w:val="360"/>
          <w:jc w:val="center"/>
        </w:trPr>
        <w:tc>
          <w:tcPr>
            <w:tcW w:w="2723" w:type="dxa"/>
            <w:shd w:val="clear" w:color="auto" w:fill="auto"/>
            <w:vAlign w:val="center"/>
          </w:tcPr>
          <w:p w14:paraId="58E10A62"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SYNTHESIS</w:t>
            </w:r>
          </w:p>
        </w:tc>
        <w:tc>
          <w:tcPr>
            <w:tcW w:w="6293" w:type="dxa"/>
            <w:shd w:val="clear" w:color="auto" w:fill="auto"/>
          </w:tcPr>
          <w:p w14:paraId="4C583EEC"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 xml:space="preserve">Conceptualising and implementing original microphone recording </w:t>
            </w:r>
            <w:proofErr w:type="gramStart"/>
            <w:r w:rsidRPr="004B645E">
              <w:rPr>
                <w:rFonts w:ascii="Times New Roman" w:hAnsi="Times New Roman" w:cs="Times New Roman"/>
                <w:sz w:val="28"/>
                <w:szCs w:val="28"/>
              </w:rPr>
              <w:t>methods, and</w:t>
            </w:r>
            <w:proofErr w:type="gramEnd"/>
            <w:r w:rsidRPr="004B645E">
              <w:rPr>
                <w:rFonts w:ascii="Times New Roman" w:hAnsi="Times New Roman" w:cs="Times New Roman"/>
                <w:sz w:val="28"/>
                <w:szCs w:val="28"/>
              </w:rPr>
              <w:t xml:space="preserve"> implementing known techniques in new or unique scenarios.</w:t>
            </w:r>
          </w:p>
        </w:tc>
      </w:tr>
      <w:tr w:rsidR="00AA5ACD" w:rsidRPr="004B645E" w14:paraId="67C7D8D6" w14:textId="77777777" w:rsidTr="00E203E1">
        <w:trPr>
          <w:jc w:val="center"/>
        </w:trPr>
        <w:tc>
          <w:tcPr>
            <w:tcW w:w="2723" w:type="dxa"/>
            <w:shd w:val="clear" w:color="auto" w:fill="auto"/>
            <w:vAlign w:val="center"/>
          </w:tcPr>
          <w:p w14:paraId="7CF3A12A"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EVALUATION</w:t>
            </w:r>
          </w:p>
        </w:tc>
        <w:tc>
          <w:tcPr>
            <w:tcW w:w="6293" w:type="dxa"/>
            <w:shd w:val="clear" w:color="auto" w:fill="auto"/>
          </w:tcPr>
          <w:p w14:paraId="297AD19A"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Critical analysis of synthesized microphone recording techniques with reflection on the study’s results, limitations and opportunities for further development.</w:t>
            </w:r>
          </w:p>
        </w:tc>
      </w:tr>
    </w:tbl>
    <w:p w14:paraId="78D6660D" w14:textId="77777777" w:rsidR="00812E80" w:rsidRPr="004B645E" w:rsidRDefault="00B57BF1" w:rsidP="000A2186">
      <w:pPr>
        <w:spacing w:before="120" w:afterLines="30" w:after="72" w:line="360" w:lineRule="auto"/>
        <w:jc w:val="left"/>
        <w:rPr>
          <w:rFonts w:ascii="Times New Roman" w:hAnsi="Times New Roman" w:cs="Times New Roman"/>
          <w:b/>
          <w:sz w:val="28"/>
          <w:szCs w:val="28"/>
        </w:rPr>
      </w:pPr>
      <w:r w:rsidRPr="004B645E">
        <w:rPr>
          <w:rFonts w:ascii="Times New Roman" w:hAnsi="Times New Roman" w:cs="Times New Roman"/>
          <w:b/>
          <w:sz w:val="28"/>
          <w:szCs w:val="28"/>
        </w:rPr>
        <w:t>Figure 2</w:t>
      </w:r>
      <w:r w:rsidR="002378BE" w:rsidRPr="004B645E">
        <w:rPr>
          <w:rFonts w:ascii="Times New Roman" w:hAnsi="Times New Roman" w:cs="Times New Roman"/>
          <w:b/>
          <w:sz w:val="28"/>
          <w:szCs w:val="28"/>
        </w:rPr>
        <w:t>. Music production examples for stages of Bloom’s Cognitive Domain.</w:t>
      </w:r>
    </w:p>
    <w:p w14:paraId="5415F888" w14:textId="77777777" w:rsidR="00812E80" w:rsidRPr="004B645E" w:rsidRDefault="00812E80" w:rsidP="000A2186">
      <w:pPr>
        <w:spacing w:before="120" w:afterLines="30" w:after="72" w:line="360" w:lineRule="auto"/>
        <w:jc w:val="left"/>
        <w:rPr>
          <w:rFonts w:ascii="Times New Roman" w:hAnsi="Times New Roman" w:cs="Times New Roman"/>
          <w:sz w:val="28"/>
          <w:szCs w:val="28"/>
        </w:rPr>
      </w:pPr>
    </w:p>
    <w:p w14:paraId="69EC6454" w14:textId="77777777" w:rsidR="00AA5ACD"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 xml:space="preserve">Synthesis describes the conceptualisation and implementation of original </w:t>
      </w:r>
      <w:proofErr w:type="gramStart"/>
      <w:r w:rsidRPr="004B645E">
        <w:rPr>
          <w:rFonts w:ascii="Times New Roman" w:hAnsi="Times New Roman" w:cs="Times New Roman"/>
          <w:sz w:val="28"/>
          <w:szCs w:val="28"/>
        </w:rPr>
        <w:t>methods, and</w:t>
      </w:r>
      <w:proofErr w:type="gramEnd"/>
      <w:r w:rsidRPr="004B645E">
        <w:rPr>
          <w:rFonts w:ascii="Times New Roman" w:hAnsi="Times New Roman" w:cs="Times New Roman"/>
          <w:sz w:val="28"/>
          <w:szCs w:val="28"/>
        </w:rPr>
        <w:t xml:space="preserve"> implementing known techniques in new or unique scenarios. In music production and the application of microphone techniques, this can be considered to include experimentation such as development of the Glyn Johns drum recording technique, the use of a ‘kick drum tunnel’ as innovated by Butch </w:t>
      </w:r>
      <w:proofErr w:type="spellStart"/>
      <w:r w:rsidRPr="004B645E">
        <w:rPr>
          <w:rFonts w:ascii="Times New Roman" w:hAnsi="Times New Roman" w:cs="Times New Roman"/>
          <w:sz w:val="28"/>
          <w:szCs w:val="28"/>
        </w:rPr>
        <w:t>Vig</w:t>
      </w:r>
      <w:proofErr w:type="spellEnd"/>
      <w:r w:rsidRPr="004B645E">
        <w:rPr>
          <w:rFonts w:ascii="Times New Roman" w:hAnsi="Times New Roman" w:cs="Times New Roman"/>
          <w:sz w:val="28"/>
          <w:szCs w:val="28"/>
        </w:rPr>
        <w:t xml:space="preserve">, or utilising pressure zone microphones (PZM) attached the walls of a recording studio’s live room – all as discussed by Senior (2008). In this context, evaluation can </w:t>
      </w:r>
      <w:proofErr w:type="gramStart"/>
      <w:r w:rsidRPr="004B645E">
        <w:rPr>
          <w:rFonts w:ascii="Times New Roman" w:hAnsi="Times New Roman" w:cs="Times New Roman"/>
          <w:sz w:val="28"/>
          <w:szCs w:val="28"/>
        </w:rPr>
        <w:t>be considered to be</w:t>
      </w:r>
      <w:proofErr w:type="gramEnd"/>
      <w:r w:rsidRPr="004B645E">
        <w:rPr>
          <w:rFonts w:ascii="Times New Roman" w:hAnsi="Times New Roman" w:cs="Times New Roman"/>
          <w:sz w:val="28"/>
          <w:szCs w:val="28"/>
        </w:rPr>
        <w:t xml:space="preserve"> critically analysing a synthesised investigation and articulating the findings with personal reflection of the results </w:t>
      </w:r>
      <w:r w:rsidRPr="004B645E">
        <w:rPr>
          <w:rFonts w:ascii="Times New Roman" w:hAnsi="Times New Roman" w:cs="Times New Roman"/>
          <w:sz w:val="28"/>
          <w:szCs w:val="28"/>
        </w:rPr>
        <w:lastRenderedPageBreak/>
        <w:t>and against the current body of knowledge, understanding the experiment’s limitations and giving recommendations for further synthesis.</w:t>
      </w:r>
    </w:p>
    <w:p w14:paraId="2CD1CC13" w14:textId="77777777" w:rsidR="00AA5ACD" w:rsidRPr="004B645E" w:rsidRDefault="008B6179" w:rsidP="000A2186">
      <w:pPr>
        <w:widowControl w:val="0"/>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 xml:space="preserve">Conversely, if considering Bloom’s Cognitive Domain from a purely </w:t>
      </w:r>
      <w:r w:rsidR="00763D04" w:rsidRPr="004B645E">
        <w:rPr>
          <w:rFonts w:ascii="Times New Roman" w:hAnsi="Times New Roman" w:cs="Times New Roman"/>
          <w:sz w:val="28"/>
          <w:szCs w:val="28"/>
        </w:rPr>
        <w:t xml:space="preserve">revenue driven </w:t>
      </w:r>
      <w:r w:rsidRPr="004B645E">
        <w:rPr>
          <w:rFonts w:ascii="Times New Roman" w:hAnsi="Times New Roman" w:cs="Times New Roman"/>
          <w:sz w:val="28"/>
          <w:szCs w:val="28"/>
        </w:rPr>
        <w:t>perspective</w:t>
      </w:r>
      <w:r w:rsidR="00763D04" w:rsidRPr="004B645E">
        <w:rPr>
          <w:rFonts w:ascii="Times New Roman" w:hAnsi="Times New Roman" w:cs="Times New Roman"/>
          <w:sz w:val="28"/>
          <w:szCs w:val="28"/>
        </w:rPr>
        <w:t xml:space="preserve"> (as opposed to the perspective of a reflective practitioner),</w:t>
      </w:r>
      <w:r w:rsidRPr="004B645E">
        <w:rPr>
          <w:rFonts w:ascii="Times New Roman" w:hAnsi="Times New Roman" w:cs="Times New Roman"/>
          <w:sz w:val="28"/>
          <w:szCs w:val="28"/>
        </w:rPr>
        <w:t xml:space="preserve"> it is quite possible to disembark at the application stage and enjoy a hugely successful career as a music producer, recording, mixing or mastering engineer. However, it is argued that to become lifelong learners who are at the forefront of future trends and methods, practitioners should continue to complete the journey and disembark at the top level - ‘evaluation’, with advanced wisdom and agility.</w:t>
      </w:r>
    </w:p>
    <w:p w14:paraId="078EBB6A" w14:textId="77777777" w:rsidR="00812E80" w:rsidRPr="004B645E" w:rsidRDefault="001714C0" w:rsidP="000A2186">
      <w:pPr>
        <w:pStyle w:val="Heading3"/>
        <w:rPr>
          <w:rFonts w:ascii="Times New Roman" w:hAnsi="Times New Roman" w:cs="Times New Roman"/>
          <w:sz w:val="28"/>
          <w:szCs w:val="28"/>
        </w:rPr>
      </w:pPr>
      <w:r w:rsidRPr="004B645E">
        <w:rPr>
          <w:rFonts w:ascii="Times New Roman" w:hAnsi="Times New Roman" w:cs="Times New Roman"/>
          <w:sz w:val="28"/>
          <w:szCs w:val="28"/>
        </w:rPr>
        <w:t>Connected Journeys of</w:t>
      </w:r>
      <w:r w:rsidR="00AA5ACD" w:rsidRPr="004B645E">
        <w:rPr>
          <w:rFonts w:ascii="Times New Roman" w:hAnsi="Times New Roman" w:cs="Times New Roman"/>
          <w:sz w:val="28"/>
          <w:szCs w:val="28"/>
        </w:rPr>
        <w:t xml:space="preserve"> Blooms Cognitive Domain in Music Production</w:t>
      </w:r>
    </w:p>
    <w:p w14:paraId="09B88211" w14:textId="77777777" w:rsidR="004B645E" w:rsidRPr="004B645E" w:rsidRDefault="004B645E" w:rsidP="004B645E"/>
    <w:p w14:paraId="06626E44" w14:textId="77777777" w:rsidR="00812E80" w:rsidRPr="004B645E" w:rsidRDefault="002378BE" w:rsidP="000A2186">
      <w:pPr>
        <w:widowControl w:val="0"/>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Given the diverse number of fields that make up music production, incorporating technology, creativity, business and communication fields, it may therefore be necessary to take students on multiple journeys up Bloom’s Cognitive Domain, with different areas of focus each time</w:t>
      </w:r>
      <w:r w:rsidR="00AA5ACD" w:rsidRPr="004B645E">
        <w:rPr>
          <w:rFonts w:ascii="Times New Roman" w:hAnsi="Times New Roman" w:cs="Times New Roman"/>
          <w:sz w:val="28"/>
          <w:szCs w:val="28"/>
        </w:rPr>
        <w:t xml:space="preserve"> (see Figure </w:t>
      </w:r>
      <w:r w:rsidR="00B57BF1" w:rsidRPr="004B645E">
        <w:rPr>
          <w:rFonts w:ascii="Times New Roman" w:hAnsi="Times New Roman" w:cs="Times New Roman"/>
          <w:sz w:val="28"/>
          <w:szCs w:val="28"/>
        </w:rPr>
        <w:t>3</w:t>
      </w:r>
      <w:r w:rsidR="00AA5ACD" w:rsidRPr="004B645E">
        <w:rPr>
          <w:rFonts w:ascii="Times New Roman" w:hAnsi="Times New Roman" w:cs="Times New Roman"/>
          <w:sz w:val="28"/>
          <w:szCs w:val="28"/>
        </w:rPr>
        <w:t>)</w:t>
      </w:r>
      <w:r w:rsidRPr="004B645E">
        <w:rPr>
          <w:rFonts w:ascii="Times New Roman" w:hAnsi="Times New Roman" w:cs="Times New Roman"/>
          <w:sz w:val="28"/>
          <w:szCs w:val="28"/>
        </w:rPr>
        <w:t xml:space="preserve">. As an educator, the importance of assisting learners in climbing Bloom’s Cognitive Domain is in the quest for developing practitioners who are knowledge gatherers, critical thinkers and autonomous learners with an investigative mindset and the capability to transfer skills and be articulate and reflective from a personal and contextual perspective. Indeed, these values describe the key assets of a university graduate that are embedded in quality curriculum and which justify a student embracing higher education provision rather than, for example, embarking on </w:t>
      </w:r>
      <w:proofErr w:type="gramStart"/>
      <w:r w:rsidRPr="004B645E">
        <w:rPr>
          <w:rFonts w:ascii="Times New Roman" w:hAnsi="Times New Roman" w:cs="Times New Roman"/>
          <w:sz w:val="28"/>
          <w:szCs w:val="28"/>
        </w:rPr>
        <w:t>a number of</w:t>
      </w:r>
      <w:proofErr w:type="gramEnd"/>
      <w:r w:rsidRPr="004B645E">
        <w:rPr>
          <w:rFonts w:ascii="Times New Roman" w:hAnsi="Times New Roman" w:cs="Times New Roman"/>
          <w:sz w:val="28"/>
          <w:szCs w:val="28"/>
        </w:rPr>
        <w:t xml:space="preserve"> specific professional training courses. </w:t>
      </w:r>
    </w:p>
    <w:p w14:paraId="092CE100" w14:textId="77777777" w:rsidR="0062759E" w:rsidRPr="004B645E" w:rsidRDefault="00AA5ACD" w:rsidP="000A2186">
      <w:pPr>
        <w:tabs>
          <w:tab w:val="clear" w:pos="4536"/>
          <w:tab w:val="center" w:pos="4513"/>
        </w:tabs>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The connected journeys highlight the implicit synoptic nature of the music production field</w:t>
      </w:r>
      <w:r w:rsidR="001714C0" w:rsidRPr="004B645E">
        <w:rPr>
          <w:rFonts w:ascii="Times New Roman" w:hAnsi="Times New Roman" w:cs="Times New Roman"/>
          <w:sz w:val="28"/>
          <w:szCs w:val="28"/>
        </w:rPr>
        <w:t>,</w:t>
      </w:r>
      <w:r w:rsidR="0062759E" w:rsidRPr="004B645E">
        <w:rPr>
          <w:rFonts w:ascii="Times New Roman" w:hAnsi="Times New Roman" w:cs="Times New Roman"/>
          <w:sz w:val="28"/>
          <w:szCs w:val="28"/>
        </w:rPr>
        <w:t xml:space="preserve"> meaning that </w:t>
      </w:r>
      <w:r w:rsidR="002D0F1B" w:rsidRPr="004B645E">
        <w:rPr>
          <w:rFonts w:ascii="Times New Roman" w:hAnsi="Times New Roman" w:cs="Times New Roman"/>
          <w:sz w:val="28"/>
          <w:szCs w:val="28"/>
        </w:rPr>
        <w:t xml:space="preserve">the </w:t>
      </w:r>
      <w:r w:rsidR="0062759E" w:rsidRPr="004B645E">
        <w:rPr>
          <w:rFonts w:ascii="Times New Roman" w:hAnsi="Times New Roman" w:cs="Times New Roman"/>
          <w:sz w:val="28"/>
          <w:szCs w:val="28"/>
        </w:rPr>
        <w:t xml:space="preserve">learning and creative artefacts developed in one journey, might be valuable and necessary for further development and </w:t>
      </w:r>
      <w:r w:rsidR="0062759E" w:rsidRPr="004B645E">
        <w:rPr>
          <w:rFonts w:ascii="Times New Roman" w:hAnsi="Times New Roman" w:cs="Times New Roman"/>
          <w:sz w:val="28"/>
          <w:szCs w:val="28"/>
        </w:rPr>
        <w:lastRenderedPageBreak/>
        <w:t>evaluation in parallel or future journeys. For example, a single artefact of recorded music can be appraised and utilised in many course journeys to</w:t>
      </w:r>
    </w:p>
    <w:p w14:paraId="19C07C9E" w14:textId="77777777" w:rsidR="001714C0" w:rsidRPr="004B645E" w:rsidRDefault="001714C0" w:rsidP="000A2186">
      <w:pPr>
        <w:pStyle w:val="MediumGrid1-Accent21"/>
        <w:numPr>
          <w:ilvl w:val="0"/>
          <w:numId w:val="6"/>
        </w:numPr>
        <w:tabs>
          <w:tab w:val="center" w:pos="709"/>
          <w:tab w:val="center" w:pos="851"/>
        </w:tabs>
        <w:spacing w:before="120" w:afterLines="30" w:after="72" w:line="360" w:lineRule="auto"/>
        <w:rPr>
          <w:rFonts w:ascii="Times New Roman" w:hAnsi="Times New Roman" w:cs="Times New Roman"/>
          <w:sz w:val="28"/>
          <w:szCs w:val="28"/>
        </w:rPr>
      </w:pPr>
      <w:r w:rsidRPr="004B645E">
        <w:rPr>
          <w:rFonts w:ascii="Times New Roman" w:hAnsi="Times New Roman" w:cs="Times New Roman"/>
          <w:sz w:val="28"/>
          <w:szCs w:val="28"/>
        </w:rPr>
        <w:t>evaluate the technical and creative qualities of the music production</w:t>
      </w:r>
    </w:p>
    <w:p w14:paraId="0879750C" w14:textId="77777777" w:rsidR="0062759E" w:rsidRPr="004B645E" w:rsidRDefault="0062759E" w:rsidP="000A2186">
      <w:pPr>
        <w:pStyle w:val="MediumGrid1-Accent21"/>
        <w:numPr>
          <w:ilvl w:val="0"/>
          <w:numId w:val="6"/>
        </w:numPr>
        <w:tabs>
          <w:tab w:val="center" w:pos="709"/>
          <w:tab w:val="center" w:pos="851"/>
        </w:tabs>
        <w:spacing w:before="120" w:afterLines="30" w:after="72" w:line="360" w:lineRule="auto"/>
        <w:rPr>
          <w:rFonts w:ascii="Times New Roman" w:hAnsi="Times New Roman" w:cs="Times New Roman"/>
          <w:sz w:val="28"/>
          <w:szCs w:val="28"/>
        </w:rPr>
      </w:pPr>
      <w:r w:rsidRPr="004B645E">
        <w:rPr>
          <w:rFonts w:ascii="Times New Roman" w:hAnsi="Times New Roman" w:cs="Times New Roman"/>
          <w:sz w:val="28"/>
          <w:szCs w:val="28"/>
        </w:rPr>
        <w:t>evaluate the quality of composition and songwriting</w:t>
      </w:r>
    </w:p>
    <w:p w14:paraId="368BF0F4" w14:textId="77777777" w:rsidR="0062759E" w:rsidRPr="004B645E" w:rsidRDefault="0062759E" w:rsidP="000A2186">
      <w:pPr>
        <w:pStyle w:val="MediumGrid1-Accent21"/>
        <w:numPr>
          <w:ilvl w:val="0"/>
          <w:numId w:val="6"/>
        </w:numPr>
        <w:tabs>
          <w:tab w:val="center" w:pos="709"/>
          <w:tab w:val="center" w:pos="851"/>
        </w:tabs>
        <w:spacing w:before="120" w:afterLines="30" w:after="72" w:line="360" w:lineRule="auto"/>
        <w:rPr>
          <w:rFonts w:ascii="Times New Roman" w:hAnsi="Times New Roman" w:cs="Times New Roman"/>
          <w:sz w:val="28"/>
          <w:szCs w:val="28"/>
        </w:rPr>
      </w:pPr>
      <w:r w:rsidRPr="004B645E">
        <w:rPr>
          <w:rFonts w:ascii="Times New Roman" w:hAnsi="Times New Roman" w:cs="Times New Roman"/>
          <w:sz w:val="28"/>
          <w:szCs w:val="28"/>
        </w:rPr>
        <w:t>evaluate the quality of musical performance</w:t>
      </w:r>
    </w:p>
    <w:p w14:paraId="31A77ED5" w14:textId="77777777" w:rsidR="001714C0" w:rsidRPr="004B645E" w:rsidRDefault="001714C0" w:rsidP="000A2186">
      <w:pPr>
        <w:pStyle w:val="MediumGrid1-Accent21"/>
        <w:numPr>
          <w:ilvl w:val="0"/>
          <w:numId w:val="6"/>
        </w:numPr>
        <w:tabs>
          <w:tab w:val="center" w:pos="709"/>
          <w:tab w:val="center" w:pos="851"/>
        </w:tabs>
        <w:spacing w:before="120" w:afterLines="30" w:after="72" w:line="360" w:lineRule="auto"/>
        <w:rPr>
          <w:rFonts w:ascii="Times New Roman" w:hAnsi="Times New Roman" w:cs="Times New Roman"/>
          <w:sz w:val="28"/>
          <w:szCs w:val="28"/>
        </w:rPr>
      </w:pPr>
      <w:r w:rsidRPr="004B645E">
        <w:rPr>
          <w:rFonts w:ascii="Times New Roman" w:hAnsi="Times New Roman" w:cs="Times New Roman"/>
          <w:sz w:val="28"/>
          <w:szCs w:val="28"/>
        </w:rPr>
        <w:t>provide the creative materials for a genre specific remix</w:t>
      </w:r>
    </w:p>
    <w:p w14:paraId="01B98215" w14:textId="77777777" w:rsidR="0062759E" w:rsidRPr="004B645E" w:rsidRDefault="0062759E" w:rsidP="000A2186">
      <w:pPr>
        <w:pStyle w:val="MediumGrid1-Accent21"/>
        <w:numPr>
          <w:ilvl w:val="0"/>
          <w:numId w:val="6"/>
        </w:numPr>
        <w:tabs>
          <w:tab w:val="center" w:pos="709"/>
          <w:tab w:val="center" w:pos="851"/>
        </w:tabs>
        <w:spacing w:before="120" w:afterLines="30" w:after="72" w:line="360" w:lineRule="auto"/>
        <w:rPr>
          <w:rFonts w:ascii="Times New Roman" w:hAnsi="Times New Roman" w:cs="Times New Roman"/>
          <w:sz w:val="28"/>
          <w:szCs w:val="28"/>
        </w:rPr>
      </w:pPr>
      <w:r w:rsidRPr="004B645E">
        <w:rPr>
          <w:rFonts w:ascii="Times New Roman" w:hAnsi="Times New Roman" w:cs="Times New Roman"/>
          <w:sz w:val="28"/>
          <w:szCs w:val="28"/>
        </w:rPr>
        <w:t>provide a case study for experimenting with marketing and distribution platforms</w:t>
      </w:r>
    </w:p>
    <w:p w14:paraId="44C004CB" w14:textId="77777777" w:rsidR="0062759E" w:rsidRPr="004B645E" w:rsidRDefault="0062759E" w:rsidP="000A2186">
      <w:pPr>
        <w:pStyle w:val="MediumGrid1-Accent21"/>
        <w:numPr>
          <w:ilvl w:val="0"/>
          <w:numId w:val="6"/>
        </w:numPr>
        <w:tabs>
          <w:tab w:val="center" w:pos="709"/>
          <w:tab w:val="center" w:pos="851"/>
        </w:tabs>
        <w:spacing w:before="120" w:afterLines="30" w:after="72" w:line="360" w:lineRule="auto"/>
        <w:rPr>
          <w:rFonts w:ascii="Times New Roman" w:hAnsi="Times New Roman" w:cs="Times New Roman"/>
          <w:sz w:val="28"/>
          <w:szCs w:val="28"/>
        </w:rPr>
      </w:pPr>
      <w:r w:rsidRPr="004B645E">
        <w:rPr>
          <w:rFonts w:ascii="Times New Roman" w:hAnsi="Times New Roman" w:cs="Times New Roman"/>
          <w:sz w:val="28"/>
          <w:szCs w:val="28"/>
        </w:rPr>
        <w:t xml:space="preserve">explore the cultural placement and audience response to </w:t>
      </w:r>
      <w:r w:rsidR="002378BE" w:rsidRPr="004B645E">
        <w:rPr>
          <w:rFonts w:ascii="Times New Roman" w:hAnsi="Times New Roman" w:cs="Times New Roman"/>
          <w:sz w:val="28"/>
          <w:szCs w:val="28"/>
        </w:rPr>
        <w:t>the</w:t>
      </w:r>
      <w:r w:rsidRPr="004B645E">
        <w:rPr>
          <w:rFonts w:ascii="Times New Roman" w:hAnsi="Times New Roman" w:cs="Times New Roman"/>
          <w:sz w:val="28"/>
          <w:szCs w:val="28"/>
        </w:rPr>
        <w:t xml:space="preserve"> original music</w:t>
      </w:r>
    </w:p>
    <w:p w14:paraId="1584BD30" w14:textId="77777777" w:rsidR="0062759E" w:rsidRPr="004B645E" w:rsidRDefault="0062759E" w:rsidP="000A2186">
      <w:pPr>
        <w:pStyle w:val="MediumGrid1-Accent21"/>
        <w:numPr>
          <w:ilvl w:val="0"/>
          <w:numId w:val="6"/>
        </w:numPr>
        <w:tabs>
          <w:tab w:val="center" w:pos="709"/>
          <w:tab w:val="center" w:pos="851"/>
        </w:tabs>
        <w:spacing w:before="120" w:afterLines="30" w:after="72" w:line="360" w:lineRule="auto"/>
        <w:rPr>
          <w:rFonts w:ascii="Times New Roman" w:hAnsi="Times New Roman" w:cs="Times New Roman"/>
          <w:sz w:val="28"/>
          <w:szCs w:val="28"/>
        </w:rPr>
      </w:pPr>
      <w:r w:rsidRPr="004B645E">
        <w:rPr>
          <w:rFonts w:ascii="Times New Roman" w:hAnsi="Times New Roman" w:cs="Times New Roman"/>
          <w:sz w:val="28"/>
          <w:szCs w:val="28"/>
        </w:rPr>
        <w:t>provide original digital audio artifacts which enable a unique live performance</w:t>
      </w:r>
    </w:p>
    <w:p w14:paraId="205A91F6" w14:textId="77777777" w:rsidR="00812E80" w:rsidRPr="004B645E" w:rsidRDefault="0062759E" w:rsidP="000A2186">
      <w:pPr>
        <w:pStyle w:val="MediumGrid1-Accent21"/>
        <w:numPr>
          <w:ilvl w:val="0"/>
          <w:numId w:val="6"/>
        </w:numPr>
        <w:tabs>
          <w:tab w:val="center" w:pos="709"/>
          <w:tab w:val="center" w:pos="851"/>
        </w:tabs>
        <w:spacing w:before="120" w:afterLines="30" w:after="72" w:line="360" w:lineRule="auto"/>
        <w:rPr>
          <w:rFonts w:ascii="Times New Roman" w:hAnsi="Times New Roman" w:cs="Times New Roman"/>
          <w:sz w:val="28"/>
          <w:szCs w:val="28"/>
        </w:rPr>
      </w:pPr>
      <w:r w:rsidRPr="004B645E">
        <w:rPr>
          <w:rFonts w:ascii="Times New Roman" w:hAnsi="Times New Roman" w:cs="Times New Roman"/>
          <w:sz w:val="28"/>
          <w:szCs w:val="28"/>
        </w:rPr>
        <w:t>identify and evaluate legal and contractual issues of the recorded artefact</w:t>
      </w:r>
    </w:p>
    <w:p w14:paraId="4D9E54B2" w14:textId="77777777" w:rsidR="00AA5ACD" w:rsidRPr="004B645E" w:rsidRDefault="00AA5ACD" w:rsidP="000A2186">
      <w:pPr>
        <w:widowControl w:val="0"/>
        <w:spacing w:before="120" w:afterLines="30" w:after="72" w:line="360" w:lineRule="auto"/>
        <w:jc w:val="left"/>
        <w:rPr>
          <w:rFonts w:ascii="Times New Roman" w:hAnsi="Times New Roman" w:cs="Times New Roman"/>
          <w:sz w:val="28"/>
          <w:szCs w:val="28"/>
        </w:rPr>
      </w:pPr>
    </w:p>
    <w:p w14:paraId="4E2411B2" w14:textId="77777777" w:rsidR="003062F9" w:rsidRPr="004B645E" w:rsidRDefault="003062F9" w:rsidP="000A2186">
      <w:pPr>
        <w:widowControl w:val="0"/>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//Figure_3.png//</w:t>
      </w:r>
    </w:p>
    <w:p w14:paraId="58C7BC1E" w14:textId="77777777" w:rsidR="00812E80" w:rsidRPr="004B645E" w:rsidRDefault="002378BE" w:rsidP="000A2186">
      <w:pPr>
        <w:widowControl w:val="0"/>
        <w:spacing w:before="120" w:afterLines="30" w:after="72" w:line="360" w:lineRule="auto"/>
        <w:jc w:val="left"/>
        <w:rPr>
          <w:rFonts w:ascii="Times New Roman" w:hAnsi="Times New Roman" w:cs="Times New Roman"/>
          <w:b/>
          <w:sz w:val="28"/>
          <w:szCs w:val="28"/>
        </w:rPr>
      </w:pPr>
      <w:r w:rsidRPr="004B645E">
        <w:rPr>
          <w:rFonts w:ascii="Times New Roman" w:hAnsi="Times New Roman" w:cs="Times New Roman"/>
          <w:b/>
          <w:sz w:val="28"/>
          <w:szCs w:val="28"/>
        </w:rPr>
        <w:t>Figure</w:t>
      </w:r>
      <w:r w:rsidR="00AA5ACD" w:rsidRPr="004B645E">
        <w:rPr>
          <w:rFonts w:ascii="Times New Roman" w:hAnsi="Times New Roman" w:cs="Times New Roman"/>
          <w:b/>
          <w:sz w:val="28"/>
          <w:szCs w:val="28"/>
        </w:rPr>
        <w:t xml:space="preserve"> </w:t>
      </w:r>
      <w:r w:rsidR="00B57BF1" w:rsidRPr="004B645E">
        <w:rPr>
          <w:rFonts w:ascii="Times New Roman" w:hAnsi="Times New Roman" w:cs="Times New Roman"/>
          <w:b/>
          <w:sz w:val="28"/>
          <w:szCs w:val="28"/>
        </w:rPr>
        <w:t>3</w:t>
      </w:r>
      <w:r w:rsidR="00AA5ACD" w:rsidRPr="004B645E">
        <w:rPr>
          <w:rFonts w:ascii="Times New Roman" w:hAnsi="Times New Roman" w:cs="Times New Roman"/>
          <w:b/>
          <w:sz w:val="28"/>
          <w:szCs w:val="28"/>
        </w:rPr>
        <w:t>.</w:t>
      </w:r>
      <w:r w:rsidRPr="004B645E">
        <w:rPr>
          <w:rFonts w:ascii="Times New Roman" w:hAnsi="Times New Roman" w:cs="Times New Roman"/>
          <w:b/>
          <w:sz w:val="28"/>
          <w:szCs w:val="28"/>
        </w:rPr>
        <w:t xml:space="preserve"> </w:t>
      </w:r>
      <w:r w:rsidR="00AA5ACD" w:rsidRPr="004B645E">
        <w:rPr>
          <w:rFonts w:ascii="Times New Roman" w:hAnsi="Times New Roman" w:cs="Times New Roman"/>
          <w:b/>
          <w:sz w:val="28"/>
          <w:szCs w:val="28"/>
        </w:rPr>
        <w:t xml:space="preserve">Connected </w:t>
      </w:r>
      <w:r w:rsidR="00E8760F" w:rsidRPr="004B645E">
        <w:rPr>
          <w:rFonts w:ascii="Times New Roman" w:hAnsi="Times New Roman" w:cs="Times New Roman"/>
          <w:b/>
          <w:sz w:val="28"/>
          <w:szCs w:val="28"/>
        </w:rPr>
        <w:t>m</w:t>
      </w:r>
      <w:r w:rsidR="00AA5ACD" w:rsidRPr="004B645E">
        <w:rPr>
          <w:rFonts w:ascii="Times New Roman" w:hAnsi="Times New Roman" w:cs="Times New Roman"/>
          <w:b/>
          <w:sz w:val="28"/>
          <w:szCs w:val="28"/>
        </w:rPr>
        <w:t xml:space="preserve">usic </w:t>
      </w:r>
      <w:r w:rsidR="00E8760F" w:rsidRPr="004B645E">
        <w:rPr>
          <w:rFonts w:ascii="Times New Roman" w:hAnsi="Times New Roman" w:cs="Times New Roman"/>
          <w:b/>
          <w:sz w:val="28"/>
          <w:szCs w:val="28"/>
        </w:rPr>
        <w:t>p</w:t>
      </w:r>
      <w:r w:rsidR="00AA5ACD" w:rsidRPr="004B645E">
        <w:rPr>
          <w:rFonts w:ascii="Times New Roman" w:hAnsi="Times New Roman" w:cs="Times New Roman"/>
          <w:b/>
          <w:sz w:val="28"/>
          <w:szCs w:val="28"/>
        </w:rPr>
        <w:t xml:space="preserve">roduction </w:t>
      </w:r>
      <w:r w:rsidR="00E8760F" w:rsidRPr="004B645E">
        <w:rPr>
          <w:rFonts w:ascii="Times New Roman" w:hAnsi="Times New Roman" w:cs="Times New Roman"/>
          <w:b/>
          <w:sz w:val="28"/>
          <w:szCs w:val="28"/>
        </w:rPr>
        <w:t>j</w:t>
      </w:r>
      <w:r w:rsidRPr="004B645E">
        <w:rPr>
          <w:rFonts w:ascii="Times New Roman" w:hAnsi="Times New Roman" w:cs="Times New Roman"/>
          <w:b/>
          <w:sz w:val="28"/>
          <w:szCs w:val="28"/>
        </w:rPr>
        <w:t>ourneys up Bloom’s Cognitive Domain</w:t>
      </w:r>
    </w:p>
    <w:p w14:paraId="0188BEAB" w14:textId="77777777" w:rsidR="00812E80" w:rsidRPr="004B645E" w:rsidRDefault="00812E80" w:rsidP="000A2186">
      <w:pPr>
        <w:widowControl w:val="0"/>
        <w:spacing w:before="120" w:afterLines="30" w:after="72" w:line="360" w:lineRule="auto"/>
        <w:jc w:val="left"/>
        <w:rPr>
          <w:rFonts w:ascii="Times New Roman" w:hAnsi="Times New Roman" w:cs="Times New Roman"/>
          <w:sz w:val="28"/>
          <w:szCs w:val="28"/>
        </w:rPr>
      </w:pPr>
    </w:p>
    <w:p w14:paraId="76074B95" w14:textId="77777777" w:rsidR="00893749" w:rsidRPr="004B645E" w:rsidRDefault="001714C0" w:rsidP="000A2186">
      <w:pPr>
        <w:pBdr>
          <w:top w:val="none" w:sz="0" w:space="0" w:color="auto"/>
          <w:left w:val="none" w:sz="0" w:space="0" w:color="auto"/>
          <w:bottom w:val="none" w:sz="0" w:space="0" w:color="auto"/>
          <w:right w:val="none" w:sz="0" w:space="0" w:color="auto"/>
          <w:between w:val="none" w:sz="0" w:space="0" w:color="auto"/>
        </w:pBdr>
        <w:tabs>
          <w:tab w:val="clear" w:pos="851"/>
          <w:tab w:val="clear" w:pos="4536"/>
          <w:tab w:val="clear" w:pos="9072"/>
        </w:tabs>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 xml:space="preserve">Synoptic learning strategies are valuable and </w:t>
      </w:r>
      <w:r w:rsidRPr="004B645E">
        <w:rPr>
          <w:rFonts w:ascii="Times New Roman" w:eastAsia="Times New Roman" w:hAnsi="Times New Roman" w:cs="Times New Roman"/>
          <w:sz w:val="28"/>
          <w:szCs w:val="28"/>
          <w:shd w:val="clear" w:color="auto" w:fill="FFFFFF"/>
          <w:lang w:val="en-US"/>
        </w:rPr>
        <w:t xml:space="preserve">enable students to develop their ability to integrate and apply knowledge and capabilities across a professional field, rather than simply in disconnected subject areas. </w:t>
      </w:r>
      <w:r w:rsidRPr="004B645E">
        <w:rPr>
          <w:rFonts w:ascii="Times New Roman" w:hAnsi="Times New Roman" w:cs="Times New Roman"/>
          <w:sz w:val="28"/>
          <w:szCs w:val="28"/>
        </w:rPr>
        <w:t>While synoptic learning is implicit in the music production (and perhaps all music) fields, it is also important for students to continuously generate new and improved creative artefacts which reflect on prior work and implement learnings – i.e. additionally facilitating a sequential path of learning journeys.</w:t>
      </w:r>
    </w:p>
    <w:p w14:paraId="10EB8C71" w14:textId="77777777" w:rsidR="00E8760F" w:rsidRPr="004B645E" w:rsidRDefault="00893749" w:rsidP="000A2186">
      <w:pPr>
        <w:widowControl w:val="0"/>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Formal synoptic assessment strategies</w:t>
      </w:r>
      <w:r w:rsidR="00864667" w:rsidRPr="004B645E">
        <w:rPr>
          <w:rFonts w:ascii="Times New Roman" w:hAnsi="Times New Roman" w:cs="Times New Roman"/>
          <w:sz w:val="28"/>
          <w:szCs w:val="28"/>
        </w:rPr>
        <w:t xml:space="preserve"> – where a </w:t>
      </w:r>
      <w:r w:rsidR="002D0F1B" w:rsidRPr="004B645E">
        <w:rPr>
          <w:rFonts w:ascii="Times New Roman" w:hAnsi="Times New Roman" w:cs="Times New Roman"/>
          <w:sz w:val="28"/>
          <w:szCs w:val="28"/>
        </w:rPr>
        <w:t xml:space="preserve">single </w:t>
      </w:r>
      <w:r w:rsidR="00864667" w:rsidRPr="004B645E">
        <w:rPr>
          <w:rFonts w:ascii="Times New Roman" w:hAnsi="Times New Roman" w:cs="Times New Roman"/>
          <w:sz w:val="28"/>
          <w:szCs w:val="28"/>
        </w:rPr>
        <w:t xml:space="preserve">specified deliverable is assessed and evaluated for more than one summative appraisal </w:t>
      </w:r>
      <w:proofErr w:type="gramStart"/>
      <w:r w:rsidR="00864667" w:rsidRPr="004B645E">
        <w:rPr>
          <w:rFonts w:ascii="Times New Roman" w:hAnsi="Times New Roman" w:cs="Times New Roman"/>
          <w:sz w:val="28"/>
          <w:szCs w:val="28"/>
        </w:rPr>
        <w:t xml:space="preserve">- </w:t>
      </w:r>
      <w:r w:rsidRPr="004B645E">
        <w:rPr>
          <w:rFonts w:ascii="Times New Roman" w:hAnsi="Times New Roman" w:cs="Times New Roman"/>
          <w:sz w:val="28"/>
          <w:szCs w:val="28"/>
        </w:rPr>
        <w:t xml:space="preserve"> have</w:t>
      </w:r>
      <w:proofErr w:type="gramEnd"/>
      <w:r w:rsidRPr="004B645E">
        <w:rPr>
          <w:rFonts w:ascii="Times New Roman" w:hAnsi="Times New Roman" w:cs="Times New Roman"/>
          <w:sz w:val="28"/>
          <w:szCs w:val="28"/>
        </w:rPr>
        <w:t xml:space="preserve"> been </w:t>
      </w:r>
      <w:r w:rsidRPr="004B645E">
        <w:rPr>
          <w:rFonts w:ascii="Times New Roman" w:hAnsi="Times New Roman" w:cs="Times New Roman"/>
          <w:sz w:val="28"/>
          <w:szCs w:val="28"/>
        </w:rPr>
        <w:lastRenderedPageBreak/>
        <w:t xml:space="preserve">implemented </w:t>
      </w:r>
      <w:r w:rsidR="00864667" w:rsidRPr="004B645E">
        <w:rPr>
          <w:rFonts w:ascii="Times New Roman" w:hAnsi="Times New Roman" w:cs="Times New Roman"/>
          <w:sz w:val="28"/>
          <w:szCs w:val="28"/>
        </w:rPr>
        <w:t xml:space="preserve">successfully </w:t>
      </w:r>
      <w:r w:rsidRPr="004B645E">
        <w:rPr>
          <w:rFonts w:ascii="Times New Roman" w:hAnsi="Times New Roman" w:cs="Times New Roman"/>
          <w:sz w:val="28"/>
          <w:szCs w:val="28"/>
        </w:rPr>
        <w:t>in recent years</w:t>
      </w:r>
      <w:r w:rsidR="00864667" w:rsidRPr="004B645E">
        <w:rPr>
          <w:rFonts w:ascii="Times New Roman" w:hAnsi="Times New Roman" w:cs="Times New Roman"/>
          <w:sz w:val="28"/>
          <w:szCs w:val="28"/>
        </w:rPr>
        <w:t xml:space="preserve"> in HE</w:t>
      </w:r>
      <w:r w:rsidR="00B5223B" w:rsidRPr="004B645E">
        <w:rPr>
          <w:rFonts w:ascii="Times New Roman" w:hAnsi="Times New Roman" w:cs="Times New Roman"/>
          <w:sz w:val="28"/>
          <w:szCs w:val="28"/>
        </w:rPr>
        <w:t xml:space="preserve">, for example as discussed in business focused education by </w:t>
      </w:r>
      <w:r w:rsidR="00864667" w:rsidRPr="004B645E">
        <w:rPr>
          <w:rFonts w:ascii="Times New Roman" w:hAnsi="Times New Roman" w:cs="Times New Roman"/>
          <w:sz w:val="28"/>
          <w:szCs w:val="28"/>
        </w:rPr>
        <w:t xml:space="preserve">Southall and Wilson, </w:t>
      </w:r>
      <w:r w:rsidR="00B5223B" w:rsidRPr="004B645E">
        <w:rPr>
          <w:rFonts w:ascii="Times New Roman" w:hAnsi="Times New Roman" w:cs="Times New Roman"/>
          <w:sz w:val="28"/>
          <w:szCs w:val="28"/>
        </w:rPr>
        <w:t xml:space="preserve">(2106). However, there has to date been no quantified evaluation of synoptic assessment in an arts and creative practice context. </w:t>
      </w:r>
      <w:r w:rsidR="006F1BD8" w:rsidRPr="004B645E">
        <w:rPr>
          <w:rFonts w:ascii="Times New Roman" w:hAnsi="Times New Roman" w:cs="Times New Roman"/>
          <w:sz w:val="28"/>
          <w:szCs w:val="28"/>
        </w:rPr>
        <w:t xml:space="preserve">Indeed, both Herrera et al (2007) and </w:t>
      </w:r>
      <w:proofErr w:type="spellStart"/>
      <w:r w:rsidR="006F1BD8" w:rsidRPr="004B645E">
        <w:rPr>
          <w:rFonts w:ascii="Times New Roman" w:hAnsi="Times New Roman" w:cs="Times New Roman"/>
          <w:sz w:val="28"/>
          <w:szCs w:val="28"/>
        </w:rPr>
        <w:t>Mussaway</w:t>
      </w:r>
      <w:proofErr w:type="spellEnd"/>
      <w:r w:rsidR="006F1BD8" w:rsidRPr="004B645E">
        <w:rPr>
          <w:rFonts w:ascii="Times New Roman" w:hAnsi="Times New Roman" w:cs="Times New Roman"/>
          <w:sz w:val="28"/>
          <w:szCs w:val="28"/>
        </w:rPr>
        <w:t xml:space="preserve"> (2009) indicate that, for creative arts fields, flexible portfolios of student work, “unlike traditional synoptic evaluations…provide a longitudinal observation of student progress as they show incremental gains in </w:t>
      </w:r>
      <w:r w:rsidR="003648D9" w:rsidRPr="004B645E">
        <w:rPr>
          <w:rFonts w:ascii="Times New Roman" w:hAnsi="Times New Roman" w:cs="Times New Roman"/>
          <w:sz w:val="28"/>
          <w:szCs w:val="28"/>
        </w:rPr>
        <w:t>knowledge</w:t>
      </w:r>
      <w:r w:rsidR="006F1BD8" w:rsidRPr="004B645E">
        <w:rPr>
          <w:rFonts w:ascii="Times New Roman" w:hAnsi="Times New Roman" w:cs="Times New Roman"/>
          <w:sz w:val="28"/>
          <w:szCs w:val="28"/>
        </w:rPr>
        <w:t>, skills and proficiencies” (ibid). Whilst s</w:t>
      </w:r>
      <w:r w:rsidR="001714C0" w:rsidRPr="004B645E">
        <w:rPr>
          <w:rFonts w:ascii="Times New Roman" w:hAnsi="Times New Roman" w:cs="Times New Roman"/>
          <w:sz w:val="28"/>
          <w:szCs w:val="28"/>
        </w:rPr>
        <w:t xml:space="preserve">ynoptic learning is seen as implicit and essential in the music production field, the authors’ experience of implementing synoptic components as rigid assessment criteria is challenging and potentially detrimental to student and staff experiences. Both institutions of University of Westminster and York St John University, have </w:t>
      </w:r>
      <w:r w:rsidR="008B6179" w:rsidRPr="004B645E">
        <w:rPr>
          <w:rFonts w:ascii="Times New Roman" w:hAnsi="Times New Roman" w:cs="Times New Roman"/>
          <w:sz w:val="28"/>
          <w:szCs w:val="28"/>
        </w:rPr>
        <w:t xml:space="preserve">previously implemented core synoptic assessment methods in the music production field, and have experienced challenges with developing mechanisms to effectively assess </w:t>
      </w:r>
      <w:r w:rsidR="002378BE" w:rsidRPr="004B645E">
        <w:rPr>
          <w:rFonts w:ascii="Times New Roman" w:hAnsi="Times New Roman" w:cs="Times New Roman"/>
          <w:sz w:val="28"/>
          <w:szCs w:val="28"/>
        </w:rPr>
        <w:t>specific and directed</w:t>
      </w:r>
      <w:r w:rsidR="008B6179" w:rsidRPr="004B645E">
        <w:rPr>
          <w:rFonts w:ascii="Times New Roman" w:hAnsi="Times New Roman" w:cs="Times New Roman"/>
          <w:sz w:val="28"/>
          <w:szCs w:val="28"/>
        </w:rPr>
        <w:t xml:space="preserve"> assessment components for </w:t>
      </w:r>
      <w:proofErr w:type="gramStart"/>
      <w:r w:rsidR="008B6179" w:rsidRPr="004B645E">
        <w:rPr>
          <w:rFonts w:ascii="Times New Roman" w:hAnsi="Times New Roman" w:cs="Times New Roman"/>
          <w:sz w:val="28"/>
          <w:szCs w:val="28"/>
        </w:rPr>
        <w:t>a number of</w:t>
      </w:r>
      <w:proofErr w:type="gramEnd"/>
      <w:r w:rsidR="008B6179" w:rsidRPr="004B645E">
        <w:rPr>
          <w:rFonts w:ascii="Times New Roman" w:hAnsi="Times New Roman" w:cs="Times New Roman"/>
          <w:sz w:val="28"/>
          <w:szCs w:val="28"/>
        </w:rPr>
        <w:t xml:space="preserve"> purposes. Enforcing </w:t>
      </w:r>
      <w:r w:rsidR="002378BE" w:rsidRPr="004B645E">
        <w:rPr>
          <w:rFonts w:ascii="Times New Roman" w:hAnsi="Times New Roman" w:cs="Times New Roman"/>
          <w:sz w:val="28"/>
          <w:szCs w:val="28"/>
        </w:rPr>
        <w:t>specified</w:t>
      </w:r>
      <w:r w:rsidR="008B6179" w:rsidRPr="004B645E">
        <w:rPr>
          <w:rFonts w:ascii="Times New Roman" w:hAnsi="Times New Roman" w:cs="Times New Roman"/>
          <w:sz w:val="28"/>
          <w:szCs w:val="28"/>
        </w:rPr>
        <w:t xml:space="preserve"> synoptic assessment components appears to defeat the values of its flexible and organic nature. It is important to recognise that synoptic connections between learning journeys are unique and personal for each student, and hence flexibility is required in assessment criteria that links parallel course content. For this reason, while synoptic learning has been embraced and enhanced in recent course redesigns at University of Westminster and York St John University, the removal of synoptic assessment criteria from courses has received positive responses from students and teaching staff.</w:t>
      </w:r>
    </w:p>
    <w:p w14:paraId="37778D10" w14:textId="77777777" w:rsidR="004B645E" w:rsidRDefault="004B645E" w:rsidP="004B645E">
      <w:pPr>
        <w:pStyle w:val="Heading3"/>
        <w:ind w:left="0" w:firstLine="0"/>
        <w:rPr>
          <w:rFonts w:ascii="Times New Roman" w:hAnsi="Times New Roman" w:cs="Times New Roman"/>
          <w:b w:val="0"/>
          <w:sz w:val="28"/>
          <w:szCs w:val="28"/>
        </w:rPr>
      </w:pPr>
      <w:bookmarkStart w:id="4" w:name="_Toc511118191"/>
    </w:p>
    <w:p w14:paraId="006B79A1" w14:textId="77777777" w:rsidR="00812E80" w:rsidRPr="004B645E" w:rsidRDefault="002378BE" w:rsidP="004B645E">
      <w:pPr>
        <w:pStyle w:val="Heading3"/>
        <w:ind w:left="0" w:firstLine="0"/>
        <w:rPr>
          <w:rFonts w:ascii="Times New Roman" w:hAnsi="Times New Roman" w:cs="Times New Roman"/>
          <w:sz w:val="28"/>
          <w:szCs w:val="28"/>
        </w:rPr>
      </w:pPr>
      <w:r w:rsidRPr="004B645E">
        <w:rPr>
          <w:rFonts w:ascii="Times New Roman" w:hAnsi="Times New Roman" w:cs="Times New Roman"/>
          <w:sz w:val="28"/>
          <w:szCs w:val="28"/>
        </w:rPr>
        <w:t>Macro to Micro Approaches to Learning Journeys</w:t>
      </w:r>
      <w:bookmarkEnd w:id="4"/>
    </w:p>
    <w:p w14:paraId="3625CEA9" w14:textId="77777777" w:rsidR="004B645E" w:rsidRPr="004B645E" w:rsidRDefault="004B645E" w:rsidP="004B645E"/>
    <w:p w14:paraId="6375F393"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David Kolb assert</w:t>
      </w:r>
      <w:r w:rsidR="00763D04" w:rsidRPr="004B645E">
        <w:rPr>
          <w:rFonts w:ascii="Times New Roman" w:hAnsi="Times New Roman" w:cs="Times New Roman"/>
          <w:sz w:val="28"/>
          <w:szCs w:val="28"/>
        </w:rPr>
        <w:t>ed</w:t>
      </w:r>
      <w:r w:rsidRPr="004B645E">
        <w:rPr>
          <w:rFonts w:ascii="Times New Roman" w:hAnsi="Times New Roman" w:cs="Times New Roman"/>
          <w:sz w:val="28"/>
          <w:szCs w:val="28"/>
        </w:rPr>
        <w:t xml:space="preserve"> that ‘learning is a continuous process grounded in experience’</w:t>
      </w:r>
      <w:r w:rsidR="00763D04" w:rsidRPr="004B645E">
        <w:rPr>
          <w:rFonts w:ascii="Times New Roman" w:hAnsi="Times New Roman" w:cs="Times New Roman"/>
          <w:sz w:val="28"/>
          <w:szCs w:val="28"/>
        </w:rPr>
        <w:t xml:space="preserve">, emphasizing that </w:t>
      </w:r>
      <w:r w:rsidRPr="004B645E">
        <w:rPr>
          <w:rFonts w:ascii="Times New Roman" w:hAnsi="Times New Roman" w:cs="Times New Roman"/>
          <w:sz w:val="28"/>
          <w:szCs w:val="28"/>
        </w:rPr>
        <w:t>‘all learning can be seen as relearning’</w:t>
      </w:r>
      <w:r w:rsidR="00763D04" w:rsidRPr="004B645E">
        <w:rPr>
          <w:rFonts w:ascii="Times New Roman" w:hAnsi="Times New Roman" w:cs="Times New Roman"/>
          <w:sz w:val="28"/>
          <w:szCs w:val="28"/>
        </w:rPr>
        <w:t>,</w:t>
      </w:r>
      <w:r w:rsidRPr="004B645E">
        <w:rPr>
          <w:rFonts w:ascii="Times New Roman" w:hAnsi="Times New Roman" w:cs="Times New Roman"/>
          <w:sz w:val="28"/>
          <w:szCs w:val="28"/>
        </w:rPr>
        <w:t xml:space="preserve"> </w:t>
      </w:r>
      <w:proofErr w:type="gramStart"/>
      <w:r w:rsidR="00763D04" w:rsidRPr="004B645E">
        <w:rPr>
          <w:rFonts w:ascii="Times New Roman" w:hAnsi="Times New Roman" w:cs="Times New Roman"/>
          <w:sz w:val="28"/>
          <w:szCs w:val="28"/>
        </w:rPr>
        <w:t xml:space="preserve">which </w:t>
      </w:r>
      <w:r w:rsidRPr="004B645E">
        <w:rPr>
          <w:rFonts w:ascii="Times New Roman" w:hAnsi="Times New Roman" w:cs="Times New Roman"/>
          <w:sz w:val="28"/>
          <w:szCs w:val="28"/>
        </w:rPr>
        <w:t xml:space="preserve"> is</w:t>
      </w:r>
      <w:proofErr w:type="gramEnd"/>
      <w:r w:rsidRPr="004B645E">
        <w:rPr>
          <w:rFonts w:ascii="Times New Roman" w:hAnsi="Times New Roman" w:cs="Times New Roman"/>
          <w:sz w:val="28"/>
          <w:szCs w:val="28"/>
        </w:rPr>
        <w:t xml:space="preserve"> </w:t>
      </w:r>
      <w:r w:rsidR="00763D04" w:rsidRPr="004B645E">
        <w:rPr>
          <w:rFonts w:ascii="Times New Roman" w:hAnsi="Times New Roman" w:cs="Times New Roman"/>
          <w:sz w:val="28"/>
          <w:szCs w:val="28"/>
        </w:rPr>
        <w:lastRenderedPageBreak/>
        <w:t>‘</w:t>
      </w:r>
      <w:r w:rsidRPr="004B645E">
        <w:rPr>
          <w:rFonts w:ascii="Times New Roman" w:hAnsi="Times New Roman" w:cs="Times New Roman"/>
          <w:sz w:val="28"/>
          <w:szCs w:val="28"/>
        </w:rPr>
        <w:t>particularly true for adults who have such a large reservoir of experiences’ (Kolb 1984). Therefore, the key to deep understanding is in the appreciation and interpretation of learned techniques</w:t>
      </w:r>
      <w:r w:rsidR="00407C26" w:rsidRPr="004B645E">
        <w:rPr>
          <w:rFonts w:ascii="Times New Roman" w:hAnsi="Times New Roman" w:cs="Times New Roman"/>
          <w:sz w:val="28"/>
          <w:szCs w:val="28"/>
        </w:rPr>
        <w:t>,</w:t>
      </w:r>
      <w:r w:rsidRPr="004B645E">
        <w:rPr>
          <w:rFonts w:ascii="Times New Roman" w:hAnsi="Times New Roman" w:cs="Times New Roman"/>
          <w:sz w:val="28"/>
          <w:szCs w:val="28"/>
        </w:rPr>
        <w:t xml:space="preserve"> and the development and experimentation </w:t>
      </w:r>
      <w:r w:rsidR="00407C26" w:rsidRPr="004B645E">
        <w:rPr>
          <w:rFonts w:ascii="Times New Roman" w:hAnsi="Times New Roman" w:cs="Times New Roman"/>
          <w:sz w:val="28"/>
          <w:szCs w:val="28"/>
        </w:rPr>
        <w:t>with new techniques also</w:t>
      </w:r>
      <w:r w:rsidRPr="004B645E">
        <w:rPr>
          <w:rFonts w:ascii="Times New Roman" w:hAnsi="Times New Roman" w:cs="Times New Roman"/>
          <w:sz w:val="28"/>
          <w:szCs w:val="28"/>
        </w:rPr>
        <w:t xml:space="preserve">. </w:t>
      </w:r>
    </w:p>
    <w:p w14:paraId="3F0E2CF6"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Kolb’s Experiential Learning Model (shown in Figure</w:t>
      </w:r>
      <w:r w:rsidR="00B57BF1" w:rsidRPr="004B645E">
        <w:rPr>
          <w:rFonts w:ascii="Times New Roman" w:hAnsi="Times New Roman" w:cs="Times New Roman"/>
          <w:sz w:val="28"/>
          <w:szCs w:val="28"/>
        </w:rPr>
        <w:t xml:space="preserve"> 4</w:t>
      </w:r>
      <w:r w:rsidRPr="004B645E">
        <w:rPr>
          <w:rFonts w:ascii="Times New Roman" w:hAnsi="Times New Roman" w:cs="Times New Roman"/>
          <w:sz w:val="28"/>
          <w:szCs w:val="28"/>
        </w:rPr>
        <w:t xml:space="preserve">) is an important feature in both authors’ teaching and operates </w:t>
      </w:r>
      <w:proofErr w:type="gramStart"/>
      <w:r w:rsidRPr="004B645E">
        <w:rPr>
          <w:rFonts w:ascii="Times New Roman" w:hAnsi="Times New Roman" w:cs="Times New Roman"/>
          <w:sz w:val="28"/>
          <w:szCs w:val="28"/>
        </w:rPr>
        <w:t>hand-in-hand</w:t>
      </w:r>
      <w:proofErr w:type="gramEnd"/>
      <w:r w:rsidRPr="004B645E">
        <w:rPr>
          <w:rFonts w:ascii="Times New Roman" w:hAnsi="Times New Roman" w:cs="Times New Roman"/>
          <w:sz w:val="28"/>
          <w:szCs w:val="28"/>
        </w:rPr>
        <w:t xml:space="preserve"> with the interpretation of Bloom’s Cognitive Domain, at almost every stage. The key to deep understanding is in the synthesis and evaluation of new and bespoke techniques (Kolb 1984). </w:t>
      </w:r>
    </w:p>
    <w:p w14:paraId="1DDFBC0D" w14:textId="77777777" w:rsidR="00812E80" w:rsidRPr="004B645E" w:rsidRDefault="00812E80" w:rsidP="000A2186">
      <w:pPr>
        <w:spacing w:before="120" w:afterLines="30" w:after="72" w:line="360" w:lineRule="auto"/>
        <w:jc w:val="left"/>
        <w:rPr>
          <w:rFonts w:ascii="Times New Roman" w:hAnsi="Times New Roman" w:cs="Times New Roman"/>
          <w:noProof/>
          <w:sz w:val="28"/>
          <w:szCs w:val="28"/>
          <w:lang w:val="en-US"/>
        </w:rPr>
      </w:pPr>
    </w:p>
    <w:p w14:paraId="2B3DFAAB" w14:textId="77777777" w:rsidR="003062F9" w:rsidRPr="004B645E" w:rsidRDefault="003062F9"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//Figure_4.jpg//</w:t>
      </w:r>
    </w:p>
    <w:p w14:paraId="03C63197" w14:textId="77777777" w:rsidR="00812E80" w:rsidRPr="004B645E" w:rsidRDefault="002378BE" w:rsidP="000A2186">
      <w:pPr>
        <w:spacing w:before="120" w:afterLines="30" w:after="72" w:line="360" w:lineRule="auto"/>
        <w:jc w:val="left"/>
        <w:rPr>
          <w:rFonts w:ascii="Times New Roman" w:hAnsi="Times New Roman" w:cs="Times New Roman"/>
          <w:b/>
          <w:sz w:val="28"/>
          <w:szCs w:val="28"/>
        </w:rPr>
      </w:pPr>
      <w:r w:rsidRPr="004B645E">
        <w:rPr>
          <w:rFonts w:ascii="Times New Roman" w:hAnsi="Times New Roman" w:cs="Times New Roman"/>
          <w:b/>
          <w:sz w:val="28"/>
          <w:szCs w:val="28"/>
        </w:rPr>
        <w:t xml:space="preserve">Figure </w:t>
      </w:r>
      <w:r w:rsidR="00B57BF1" w:rsidRPr="004B645E">
        <w:rPr>
          <w:rFonts w:ascii="Times New Roman" w:hAnsi="Times New Roman" w:cs="Times New Roman"/>
          <w:b/>
          <w:sz w:val="28"/>
          <w:szCs w:val="28"/>
        </w:rPr>
        <w:t>4</w:t>
      </w:r>
      <w:r w:rsidRPr="004B645E">
        <w:rPr>
          <w:rFonts w:ascii="Times New Roman" w:hAnsi="Times New Roman" w:cs="Times New Roman"/>
          <w:b/>
          <w:sz w:val="28"/>
          <w:szCs w:val="28"/>
        </w:rPr>
        <w:t>. Kolb’s Experiential Learning Model - referred to here as Kolb’s Cycle.</w:t>
      </w:r>
    </w:p>
    <w:p w14:paraId="65691B8F" w14:textId="77777777" w:rsidR="00812E80" w:rsidRPr="004B645E" w:rsidRDefault="00812E80" w:rsidP="000A2186">
      <w:pPr>
        <w:spacing w:before="120" w:afterLines="30" w:after="72" w:line="360" w:lineRule="auto"/>
        <w:jc w:val="left"/>
        <w:rPr>
          <w:rFonts w:ascii="Times New Roman" w:hAnsi="Times New Roman" w:cs="Times New Roman"/>
          <w:sz w:val="28"/>
          <w:szCs w:val="28"/>
        </w:rPr>
      </w:pPr>
    </w:p>
    <w:p w14:paraId="0C533583" w14:textId="77777777" w:rsidR="002378BE"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If we were to consider the six steps within Blooms’ Cognitive Domain as though it were a macro observation of the individual, learning journey each student takes to ‘...gaining an expert’s knowledge and understanding’ (Gershon, 2015), then each elevation, or rock face attempted will require experiential learning, and independent learning</w:t>
      </w:r>
      <w:r w:rsidR="00592E36" w:rsidRPr="004B645E">
        <w:rPr>
          <w:rFonts w:ascii="Times New Roman" w:hAnsi="Times New Roman" w:cs="Times New Roman"/>
          <w:sz w:val="28"/>
          <w:szCs w:val="28"/>
        </w:rPr>
        <w:t>,</w:t>
      </w:r>
      <w:r w:rsidRPr="004B645E">
        <w:rPr>
          <w:rFonts w:ascii="Times New Roman" w:hAnsi="Times New Roman" w:cs="Times New Roman"/>
          <w:sz w:val="28"/>
          <w:szCs w:val="28"/>
        </w:rPr>
        <w:t xml:space="preserve"> referred to here as the micro-observation of little journeys within each of those macro ones (Figure </w:t>
      </w:r>
      <w:r w:rsidR="00B57BF1" w:rsidRPr="004B645E">
        <w:rPr>
          <w:rFonts w:ascii="Times New Roman" w:hAnsi="Times New Roman" w:cs="Times New Roman"/>
          <w:sz w:val="28"/>
          <w:szCs w:val="28"/>
        </w:rPr>
        <w:t>5</w:t>
      </w:r>
      <w:r w:rsidRPr="004B645E">
        <w:rPr>
          <w:rFonts w:ascii="Times New Roman" w:hAnsi="Times New Roman" w:cs="Times New Roman"/>
          <w:sz w:val="28"/>
          <w:szCs w:val="28"/>
        </w:rPr>
        <w:t>).</w:t>
      </w:r>
    </w:p>
    <w:p w14:paraId="6F38A007" w14:textId="77777777" w:rsidR="00812E80" w:rsidRPr="004B645E" w:rsidRDefault="002378BE" w:rsidP="000A2186">
      <w:pPr>
        <w:spacing w:before="120" w:afterLines="30" w:after="72" w:line="360" w:lineRule="auto"/>
        <w:jc w:val="left"/>
        <w:rPr>
          <w:rFonts w:ascii="Times New Roman" w:hAnsi="Times New Roman" w:cs="Times New Roman"/>
          <w:sz w:val="28"/>
          <w:szCs w:val="28"/>
          <w:highlight w:val="yellow"/>
        </w:rPr>
      </w:pPr>
      <w:r w:rsidRPr="004B645E">
        <w:rPr>
          <w:rFonts w:ascii="Times New Roman" w:hAnsi="Times New Roman" w:cs="Times New Roman"/>
          <w:sz w:val="28"/>
          <w:szCs w:val="28"/>
        </w:rPr>
        <w:t xml:space="preserve">Practitioners who have climbed to the top of Bloom’s Domain in music production have also incorporated an experiential method of learning through </w:t>
      </w:r>
      <w:r w:rsidR="00547DE3" w:rsidRPr="004B645E">
        <w:rPr>
          <w:rFonts w:ascii="Times New Roman" w:hAnsi="Times New Roman" w:cs="Times New Roman"/>
          <w:sz w:val="28"/>
          <w:szCs w:val="28"/>
        </w:rPr>
        <w:t xml:space="preserve">Kolb’s cycle of </w:t>
      </w:r>
      <w:r w:rsidRPr="004B645E">
        <w:rPr>
          <w:rFonts w:ascii="Times New Roman" w:hAnsi="Times New Roman" w:cs="Times New Roman"/>
          <w:sz w:val="28"/>
          <w:szCs w:val="28"/>
        </w:rPr>
        <w:t xml:space="preserve">Concrete Experience, Observation &amp; Reflection, Formation of the abstract and general concepts, then the synthesis of </w:t>
      </w:r>
      <w:r w:rsidR="00547DE3" w:rsidRPr="004B645E">
        <w:rPr>
          <w:rFonts w:ascii="Times New Roman" w:hAnsi="Times New Roman" w:cs="Times New Roman"/>
          <w:sz w:val="28"/>
          <w:szCs w:val="28"/>
        </w:rPr>
        <w:t>T</w:t>
      </w:r>
      <w:r w:rsidRPr="004B645E">
        <w:rPr>
          <w:rFonts w:ascii="Times New Roman" w:hAnsi="Times New Roman" w:cs="Times New Roman"/>
          <w:sz w:val="28"/>
          <w:szCs w:val="28"/>
        </w:rPr>
        <w:t xml:space="preserve">esting implications and concepts in new situations. Through this cycle, the learner can reflect and begin to develop and implement their own original ideas and autonomy by ultimately demonstrating true wisdom in their field. This is especially applicable to the </w:t>
      </w:r>
      <w:r w:rsidRPr="004B645E">
        <w:rPr>
          <w:rFonts w:ascii="Times New Roman" w:hAnsi="Times New Roman" w:cs="Times New Roman"/>
          <w:sz w:val="28"/>
          <w:szCs w:val="28"/>
        </w:rPr>
        <w:lastRenderedPageBreak/>
        <w:t xml:space="preserve">Application, Analysis, Synthesis and Evaluation stages of Bloom’s Cognitive Domain. </w:t>
      </w:r>
    </w:p>
    <w:p w14:paraId="6A602AA5" w14:textId="77777777" w:rsidR="00812E80" w:rsidRPr="004B645E" w:rsidRDefault="003062F9" w:rsidP="000A2186">
      <w:pPr>
        <w:widowControl w:val="0"/>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noProof/>
          <w:sz w:val="28"/>
          <w:szCs w:val="28"/>
          <w:lang w:val="en-US"/>
        </w:rPr>
        <w:t>//Figure_5.jpg//</w:t>
      </w:r>
    </w:p>
    <w:p w14:paraId="0650F0C2" w14:textId="77777777" w:rsidR="00812E80" w:rsidRPr="004B645E" w:rsidRDefault="002378BE" w:rsidP="000A2186">
      <w:pPr>
        <w:widowControl w:val="0"/>
        <w:spacing w:before="120" w:afterLines="30" w:after="72" w:line="360" w:lineRule="auto"/>
        <w:jc w:val="left"/>
        <w:rPr>
          <w:rFonts w:ascii="Times New Roman" w:hAnsi="Times New Roman" w:cs="Times New Roman"/>
          <w:b/>
          <w:sz w:val="28"/>
          <w:szCs w:val="28"/>
        </w:rPr>
      </w:pPr>
      <w:r w:rsidRPr="004B645E">
        <w:rPr>
          <w:rFonts w:ascii="Times New Roman" w:hAnsi="Times New Roman" w:cs="Times New Roman"/>
          <w:b/>
          <w:sz w:val="28"/>
          <w:szCs w:val="28"/>
        </w:rPr>
        <w:t xml:space="preserve">Figure </w:t>
      </w:r>
      <w:r w:rsidR="00B57BF1" w:rsidRPr="004B645E">
        <w:rPr>
          <w:rFonts w:ascii="Times New Roman" w:hAnsi="Times New Roman" w:cs="Times New Roman"/>
          <w:b/>
          <w:sz w:val="28"/>
          <w:szCs w:val="28"/>
        </w:rPr>
        <w:t>5</w:t>
      </w:r>
      <w:r w:rsidRPr="004B645E">
        <w:rPr>
          <w:rFonts w:ascii="Times New Roman" w:hAnsi="Times New Roman" w:cs="Times New Roman"/>
          <w:b/>
          <w:sz w:val="28"/>
          <w:szCs w:val="28"/>
        </w:rPr>
        <w:t xml:space="preserve">. How Kolb’s Experiential Learning Model is a key feature within music production’s interpretation of Bloom’s Cognitive Domain. </w:t>
      </w:r>
    </w:p>
    <w:p w14:paraId="6A30FCC5" w14:textId="77777777" w:rsidR="00812E80" w:rsidRPr="004B645E" w:rsidRDefault="00812E80" w:rsidP="000A2186">
      <w:pPr>
        <w:widowControl w:val="0"/>
        <w:spacing w:before="120" w:afterLines="30" w:after="72" w:line="360" w:lineRule="auto"/>
        <w:jc w:val="left"/>
        <w:rPr>
          <w:rFonts w:ascii="Times New Roman" w:hAnsi="Times New Roman" w:cs="Times New Roman"/>
          <w:sz w:val="28"/>
          <w:szCs w:val="28"/>
        </w:rPr>
      </w:pPr>
    </w:p>
    <w:p w14:paraId="745DF78A" w14:textId="77777777" w:rsidR="00E8760F" w:rsidRPr="004B645E" w:rsidRDefault="002378BE" w:rsidP="000A2186">
      <w:pPr>
        <w:widowControl w:val="0"/>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Both Bloom’s Taxonomy and Kolb’s Learning Cycle work hand in hand as reinforced by Gershon (2015) - ‘Exceptional application of Bloom’s Taxonomy by teachers therefore involves the creation of an environment in which students are encouraged to see their mistakes as essential steps on the path to mastery’. In order to</w:t>
      </w:r>
      <w:r w:rsidR="00547DE3" w:rsidRPr="004B645E">
        <w:rPr>
          <w:rFonts w:ascii="Times New Roman" w:hAnsi="Times New Roman" w:cs="Times New Roman"/>
          <w:sz w:val="28"/>
          <w:szCs w:val="28"/>
        </w:rPr>
        <w:t xml:space="preserve"> </w:t>
      </w:r>
      <w:r w:rsidR="00407C26" w:rsidRPr="004B645E">
        <w:rPr>
          <w:rFonts w:ascii="Times New Roman" w:hAnsi="Times New Roman" w:cs="Times New Roman"/>
          <w:sz w:val="28"/>
          <w:szCs w:val="28"/>
        </w:rPr>
        <w:t>maximise</w:t>
      </w:r>
      <w:r w:rsidRPr="004B645E">
        <w:rPr>
          <w:rFonts w:ascii="Times New Roman" w:hAnsi="Times New Roman" w:cs="Times New Roman"/>
          <w:sz w:val="28"/>
          <w:szCs w:val="28"/>
        </w:rPr>
        <w:t xml:space="preserve"> on this</w:t>
      </w:r>
      <w:r w:rsidR="00E8760F" w:rsidRPr="004B645E">
        <w:rPr>
          <w:rFonts w:ascii="Times New Roman" w:hAnsi="Times New Roman" w:cs="Times New Roman"/>
          <w:sz w:val="28"/>
          <w:szCs w:val="28"/>
        </w:rPr>
        <w:t>,</w:t>
      </w:r>
      <w:r w:rsidRPr="004B645E">
        <w:rPr>
          <w:rFonts w:ascii="Times New Roman" w:hAnsi="Times New Roman" w:cs="Times New Roman"/>
          <w:sz w:val="28"/>
          <w:szCs w:val="28"/>
        </w:rPr>
        <w:t xml:space="preserve"> further constructs, or guidance, need to be put in place. </w:t>
      </w:r>
    </w:p>
    <w:p w14:paraId="53EE7180" w14:textId="77777777" w:rsidR="00812E80" w:rsidRPr="004B645E" w:rsidRDefault="00812E80" w:rsidP="000A2186">
      <w:pPr>
        <w:widowControl w:val="0"/>
        <w:spacing w:before="120" w:afterLines="30" w:after="72" w:line="360" w:lineRule="auto"/>
        <w:jc w:val="left"/>
        <w:rPr>
          <w:rFonts w:ascii="Times New Roman" w:hAnsi="Times New Roman" w:cs="Times New Roman"/>
          <w:sz w:val="28"/>
          <w:szCs w:val="28"/>
        </w:rPr>
      </w:pPr>
    </w:p>
    <w:p w14:paraId="7D852BD0" w14:textId="77777777" w:rsidR="00812E80" w:rsidRPr="004B645E" w:rsidRDefault="002378BE" w:rsidP="00053713">
      <w:pPr>
        <w:pStyle w:val="Heading2"/>
      </w:pPr>
      <w:bookmarkStart w:id="5" w:name="_Toc511118192"/>
      <w:r w:rsidRPr="004B645E">
        <w:t>The Music Production Student’s need for a Facilitator</w:t>
      </w:r>
      <w:bookmarkEnd w:id="5"/>
    </w:p>
    <w:p w14:paraId="78EED57A"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Within the Cognitive Domain of Bloom’s Taxonomy, each stage up the ‘mountain’ is not a linear one. It is iterative and may need to be approached from many different rock faces, so to speak. Therefore</w:t>
      </w:r>
      <w:r w:rsidR="00B3320B" w:rsidRPr="004B645E">
        <w:rPr>
          <w:rFonts w:ascii="Times New Roman" w:hAnsi="Times New Roman" w:cs="Times New Roman"/>
          <w:sz w:val="28"/>
          <w:szCs w:val="28"/>
        </w:rPr>
        <w:t>,</w:t>
      </w:r>
      <w:r w:rsidRPr="004B645E">
        <w:rPr>
          <w:rFonts w:ascii="Times New Roman" w:hAnsi="Times New Roman" w:cs="Times New Roman"/>
          <w:sz w:val="28"/>
          <w:szCs w:val="28"/>
        </w:rPr>
        <w:t xml:space="preserve"> the vision of the ‘climber’ approaching each stage from different perspectives, or rock faces, is the key to success, or in this case Bloom’s ‘evaluation’, and ultimately thus expertise.  </w:t>
      </w:r>
    </w:p>
    <w:p w14:paraId="7D80A087"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 xml:space="preserve">The many rock faces to be explored in order to achieve ‘expertise’ can be attempted by the independent learner in a piecemeal </w:t>
      </w:r>
      <w:r w:rsidR="00547DE3" w:rsidRPr="004B645E">
        <w:rPr>
          <w:rFonts w:ascii="Times New Roman" w:hAnsi="Times New Roman" w:cs="Times New Roman"/>
          <w:sz w:val="28"/>
          <w:szCs w:val="28"/>
        </w:rPr>
        <w:t>manner</w:t>
      </w:r>
      <w:r w:rsidRPr="004B645E">
        <w:rPr>
          <w:rFonts w:ascii="Times New Roman" w:hAnsi="Times New Roman" w:cs="Times New Roman"/>
          <w:sz w:val="28"/>
          <w:szCs w:val="28"/>
        </w:rPr>
        <w:t xml:space="preserve">, and many innovators follow this route, as the ‘mountain’ has never been scaled before. Gershon (2015) describes this journey in Thomas Edison’s development of the electric lightbulb noting that as each step failed, his team learnt something new and ‘synthesised’ a new approach </w:t>
      </w:r>
      <w:proofErr w:type="gramStart"/>
      <w:r w:rsidRPr="004B645E">
        <w:rPr>
          <w:rFonts w:ascii="Times New Roman" w:hAnsi="Times New Roman" w:cs="Times New Roman"/>
          <w:sz w:val="28"/>
          <w:szCs w:val="28"/>
        </w:rPr>
        <w:t>‘..</w:t>
      </w:r>
      <w:proofErr w:type="gramEnd"/>
      <w:r w:rsidRPr="004B645E">
        <w:rPr>
          <w:rFonts w:ascii="Times New Roman" w:hAnsi="Times New Roman" w:cs="Times New Roman"/>
          <w:sz w:val="28"/>
          <w:szCs w:val="28"/>
        </w:rPr>
        <w:t xml:space="preserve">put in simpler terms: trial and error’. </w:t>
      </w:r>
    </w:p>
    <w:p w14:paraId="4A9B5AF2"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lastRenderedPageBreak/>
        <w:t xml:space="preserve">This method of scientific innovation through iteration is well defined, but perhaps when looking at new unexplored areas of discovery. The business of undergraduate higher education, specifically, is in the curation of those learning journeys in the form of modular study culminating in a </w:t>
      </w:r>
      <w:proofErr w:type="gramStart"/>
      <w:r w:rsidRPr="004B645E">
        <w:rPr>
          <w:rFonts w:ascii="Times New Roman" w:hAnsi="Times New Roman" w:cs="Times New Roman"/>
          <w:sz w:val="28"/>
          <w:szCs w:val="28"/>
        </w:rPr>
        <w:t>three year</w:t>
      </w:r>
      <w:proofErr w:type="gramEnd"/>
      <w:r w:rsidRPr="004B645E">
        <w:rPr>
          <w:rFonts w:ascii="Times New Roman" w:hAnsi="Times New Roman" w:cs="Times New Roman"/>
          <w:sz w:val="28"/>
          <w:szCs w:val="28"/>
        </w:rPr>
        <w:t xml:space="preserve"> journey (typically) to reach the degree</w:t>
      </w:r>
    </w:p>
    <w:p w14:paraId="44FCD227"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 xml:space="preserve">Even within this curated approach to learning journeys, the room for ‘trial and error’ is exceptionally important and is desirable for deep understanding and professional creativity especially in music production. The need for trial and error, or </w:t>
      </w:r>
      <w:r w:rsidR="00547DE3" w:rsidRPr="004B645E">
        <w:rPr>
          <w:rFonts w:ascii="Times New Roman" w:hAnsi="Times New Roman" w:cs="Times New Roman"/>
          <w:sz w:val="28"/>
          <w:szCs w:val="28"/>
        </w:rPr>
        <w:t xml:space="preserve">its </w:t>
      </w:r>
      <w:r w:rsidRPr="004B645E">
        <w:rPr>
          <w:rFonts w:ascii="Times New Roman" w:hAnsi="Times New Roman" w:cs="Times New Roman"/>
          <w:sz w:val="28"/>
          <w:szCs w:val="28"/>
        </w:rPr>
        <w:t>synthesis, within teaching, has been explored in detail by many educational psychologists who have iteratively identified with the need to reinforce learning</w:t>
      </w:r>
      <w:r w:rsidR="00547DE3" w:rsidRPr="004B645E">
        <w:rPr>
          <w:rFonts w:ascii="Times New Roman" w:hAnsi="Times New Roman" w:cs="Times New Roman"/>
          <w:sz w:val="28"/>
          <w:szCs w:val="28"/>
        </w:rPr>
        <w:t xml:space="preserve"> via </w:t>
      </w:r>
      <w:r w:rsidRPr="004B645E">
        <w:rPr>
          <w:rFonts w:ascii="Times New Roman" w:hAnsi="Times New Roman" w:cs="Times New Roman"/>
          <w:sz w:val="28"/>
          <w:szCs w:val="28"/>
        </w:rPr>
        <w:t xml:space="preserve">repetition, questioning and </w:t>
      </w:r>
      <w:proofErr w:type="spellStart"/>
      <w:r w:rsidRPr="004B645E">
        <w:rPr>
          <w:rFonts w:ascii="Times New Roman" w:hAnsi="Times New Roman" w:cs="Times New Roman"/>
          <w:sz w:val="28"/>
          <w:szCs w:val="28"/>
        </w:rPr>
        <w:t>reapproaching</w:t>
      </w:r>
      <w:proofErr w:type="spellEnd"/>
      <w:r w:rsidRPr="004B645E">
        <w:rPr>
          <w:rFonts w:ascii="Times New Roman" w:hAnsi="Times New Roman" w:cs="Times New Roman"/>
          <w:sz w:val="28"/>
          <w:szCs w:val="28"/>
        </w:rPr>
        <w:t xml:space="preserve"> a task </w:t>
      </w:r>
      <w:r w:rsidR="00547DE3" w:rsidRPr="004B645E">
        <w:rPr>
          <w:rFonts w:ascii="Times New Roman" w:hAnsi="Times New Roman" w:cs="Times New Roman"/>
          <w:sz w:val="28"/>
          <w:szCs w:val="28"/>
        </w:rPr>
        <w:t xml:space="preserve">in order to </w:t>
      </w:r>
      <w:r w:rsidRPr="004B645E">
        <w:rPr>
          <w:rFonts w:ascii="Times New Roman" w:hAnsi="Times New Roman" w:cs="Times New Roman"/>
          <w:sz w:val="28"/>
          <w:szCs w:val="28"/>
        </w:rPr>
        <w:t xml:space="preserve">bring new techniques and understanding. However, music production, for the reasons stated earlier, has many parallel rock faces, each with their own element of trial and error that need to be concurrently tackled to make ‘sense’ of the broad field. </w:t>
      </w:r>
    </w:p>
    <w:p w14:paraId="3216ECA6"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Given this, it is an observation by both authors that the aforementioned curation, through course design and the use of ‘facilitators’ (</w:t>
      </w:r>
      <w:r w:rsidR="00547DE3" w:rsidRPr="004B645E">
        <w:rPr>
          <w:rFonts w:ascii="Times New Roman" w:hAnsi="Times New Roman" w:cs="Times New Roman"/>
          <w:sz w:val="28"/>
          <w:szCs w:val="28"/>
        </w:rPr>
        <w:t xml:space="preserve">a </w:t>
      </w:r>
      <w:r w:rsidRPr="004B645E">
        <w:rPr>
          <w:rFonts w:ascii="Times New Roman" w:hAnsi="Times New Roman" w:cs="Times New Roman"/>
          <w:sz w:val="28"/>
          <w:szCs w:val="28"/>
        </w:rPr>
        <w:t xml:space="preserve">term used for the lecturer and course designer in this paper), who energise and orchestrate the multiple, and concurrent, independent learning journeys explored by our students. The key feature here is the independent learning journeys that students must undertake to achieve Bloom’s level 6 in the Cognitive Domain. </w:t>
      </w:r>
    </w:p>
    <w:p w14:paraId="348164E9"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 xml:space="preserve">The switched perception of the role of a lecturer to ‘facilitator’ is best supported by </w:t>
      </w:r>
      <w:proofErr w:type="spellStart"/>
      <w:r w:rsidRPr="004B645E">
        <w:rPr>
          <w:rFonts w:ascii="Times New Roman" w:hAnsi="Times New Roman" w:cs="Times New Roman"/>
          <w:sz w:val="28"/>
          <w:szCs w:val="28"/>
        </w:rPr>
        <w:t>Jourard</w:t>
      </w:r>
      <w:proofErr w:type="spellEnd"/>
      <w:r w:rsidRPr="004B645E">
        <w:rPr>
          <w:rFonts w:ascii="Times New Roman" w:hAnsi="Times New Roman" w:cs="Times New Roman"/>
          <w:sz w:val="28"/>
          <w:szCs w:val="28"/>
        </w:rPr>
        <w:t xml:space="preserve"> </w:t>
      </w:r>
      <w:r w:rsidR="005F72B4" w:rsidRPr="004B645E">
        <w:rPr>
          <w:rFonts w:ascii="Times New Roman" w:hAnsi="Times New Roman" w:cs="Times New Roman"/>
          <w:sz w:val="28"/>
          <w:szCs w:val="28"/>
        </w:rPr>
        <w:t xml:space="preserve">(1972, </w:t>
      </w:r>
      <w:r w:rsidRPr="004B645E">
        <w:rPr>
          <w:rFonts w:ascii="Times New Roman" w:hAnsi="Times New Roman" w:cs="Times New Roman"/>
          <w:sz w:val="28"/>
          <w:szCs w:val="28"/>
        </w:rPr>
        <w:t xml:space="preserve">quoted in Knowles 2011) who stated that ‘independent learning is problematic is most peculiar, because man always and only learns by himself… Learning is not a task or problem; it is a way to be in the world. Man learns as he pursues goals and projects that have meaning for him. He is always learning something’. Each learner not only needs to be facilitated up each mountain face, but </w:t>
      </w:r>
      <w:r w:rsidR="005F72B4" w:rsidRPr="004B645E">
        <w:rPr>
          <w:rFonts w:ascii="Times New Roman" w:hAnsi="Times New Roman" w:cs="Times New Roman"/>
          <w:sz w:val="28"/>
          <w:szCs w:val="28"/>
        </w:rPr>
        <w:t xml:space="preserve">where possible, </w:t>
      </w:r>
      <w:r w:rsidRPr="004B645E">
        <w:rPr>
          <w:rFonts w:ascii="Times New Roman" w:hAnsi="Times New Roman" w:cs="Times New Roman"/>
          <w:sz w:val="28"/>
          <w:szCs w:val="28"/>
        </w:rPr>
        <w:t xml:space="preserve">also at his or her </w:t>
      </w:r>
      <w:r w:rsidR="005F72B4" w:rsidRPr="004B645E">
        <w:rPr>
          <w:rFonts w:ascii="Times New Roman" w:hAnsi="Times New Roman" w:cs="Times New Roman"/>
          <w:sz w:val="28"/>
          <w:szCs w:val="28"/>
        </w:rPr>
        <w:t xml:space="preserve">own </w:t>
      </w:r>
      <w:r w:rsidRPr="004B645E">
        <w:rPr>
          <w:rFonts w:ascii="Times New Roman" w:hAnsi="Times New Roman" w:cs="Times New Roman"/>
          <w:sz w:val="28"/>
          <w:szCs w:val="28"/>
        </w:rPr>
        <w:t xml:space="preserve">independent pace. The </w:t>
      </w:r>
      <w:r w:rsidRPr="004B645E">
        <w:rPr>
          <w:rFonts w:ascii="Times New Roman" w:hAnsi="Times New Roman" w:cs="Times New Roman"/>
          <w:sz w:val="28"/>
          <w:szCs w:val="28"/>
        </w:rPr>
        <w:lastRenderedPageBreak/>
        <w:t xml:space="preserve">key is the experience and the reflection upon that experience. </w:t>
      </w:r>
      <w:r w:rsidR="00B3320B" w:rsidRPr="004B645E">
        <w:rPr>
          <w:rFonts w:ascii="Times New Roman" w:hAnsi="Times New Roman" w:cs="Times New Roman"/>
          <w:sz w:val="28"/>
          <w:szCs w:val="28"/>
        </w:rPr>
        <w:t xml:space="preserve">This approach to undergraduate education poses a significant challenge in contemporary universities in Britain. </w:t>
      </w:r>
    </w:p>
    <w:p w14:paraId="630918DB"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 xml:space="preserve">This </w:t>
      </w:r>
      <w:r w:rsidR="00B3320B" w:rsidRPr="004B645E">
        <w:rPr>
          <w:rFonts w:ascii="Times New Roman" w:hAnsi="Times New Roman" w:cs="Times New Roman"/>
          <w:sz w:val="28"/>
          <w:szCs w:val="28"/>
        </w:rPr>
        <w:t xml:space="preserve">independent facilitation </w:t>
      </w:r>
      <w:r w:rsidRPr="004B645E">
        <w:rPr>
          <w:rFonts w:ascii="Times New Roman" w:hAnsi="Times New Roman" w:cs="Times New Roman"/>
          <w:sz w:val="28"/>
          <w:szCs w:val="28"/>
        </w:rPr>
        <w:t xml:space="preserve">is exceptionally important within the field of music production. For example, only a student can begin to listen and hear changes the ‘facilitator’ is making to the master of a track during training to then assess the worth and value of that dynamic manipulation or equalisation edit. In order to perceive the change and thus understand it, a process of aural training is pre-required, which once again, can only be facilitated, </w:t>
      </w:r>
      <w:r w:rsidR="004F5C34" w:rsidRPr="004B645E">
        <w:rPr>
          <w:rFonts w:ascii="Times New Roman" w:hAnsi="Times New Roman" w:cs="Times New Roman"/>
          <w:sz w:val="28"/>
          <w:szCs w:val="28"/>
        </w:rPr>
        <w:t>rather than</w:t>
      </w:r>
      <w:r w:rsidRPr="004B645E">
        <w:rPr>
          <w:rFonts w:ascii="Times New Roman" w:hAnsi="Times New Roman" w:cs="Times New Roman"/>
          <w:sz w:val="28"/>
          <w:szCs w:val="28"/>
        </w:rPr>
        <w:t xml:space="preserve"> taught by rote. A student’s proficiency must be </w:t>
      </w:r>
      <w:r w:rsidR="00407C26" w:rsidRPr="004B645E">
        <w:rPr>
          <w:rFonts w:ascii="Times New Roman" w:hAnsi="Times New Roman" w:cs="Times New Roman"/>
          <w:sz w:val="28"/>
          <w:szCs w:val="28"/>
        </w:rPr>
        <w:t>individual</w:t>
      </w:r>
      <w:r w:rsidRPr="004B645E">
        <w:rPr>
          <w:rFonts w:ascii="Times New Roman" w:hAnsi="Times New Roman" w:cs="Times New Roman"/>
          <w:sz w:val="28"/>
          <w:szCs w:val="28"/>
        </w:rPr>
        <w:t xml:space="preserve">, independent and iterative. </w:t>
      </w:r>
      <w:r w:rsidR="00B3320B" w:rsidRPr="004B645E">
        <w:rPr>
          <w:rFonts w:ascii="Times New Roman" w:hAnsi="Times New Roman" w:cs="Times New Roman"/>
          <w:sz w:val="28"/>
          <w:szCs w:val="28"/>
        </w:rPr>
        <w:t>Their experience</w:t>
      </w:r>
      <w:r w:rsidRPr="004B645E">
        <w:rPr>
          <w:rFonts w:ascii="Times New Roman" w:hAnsi="Times New Roman" w:cs="Times New Roman"/>
          <w:sz w:val="28"/>
          <w:szCs w:val="28"/>
        </w:rPr>
        <w:t xml:space="preserve"> </w:t>
      </w:r>
      <w:r w:rsidR="00B3320B" w:rsidRPr="004B645E">
        <w:rPr>
          <w:rFonts w:ascii="Times New Roman" w:hAnsi="Times New Roman" w:cs="Times New Roman"/>
          <w:sz w:val="28"/>
          <w:szCs w:val="28"/>
        </w:rPr>
        <w:t xml:space="preserve">ought to </w:t>
      </w:r>
      <w:r w:rsidRPr="004B645E">
        <w:rPr>
          <w:rFonts w:ascii="Times New Roman" w:hAnsi="Times New Roman" w:cs="Times New Roman"/>
          <w:sz w:val="28"/>
          <w:szCs w:val="28"/>
        </w:rPr>
        <w:t xml:space="preserve">cover recording, perhaps first, followed by training in mixing arguably before mastering can be considered. </w:t>
      </w:r>
    </w:p>
    <w:p w14:paraId="6F0B7E12"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 xml:space="preserve">This is a simple example of two concurrent and multiple journeys in music production education. Naturally there are several other journeys that will have been climbed to reach this position, in dynamics processing, effects processing, equalisation, alongside many other aspects </w:t>
      </w:r>
      <w:r w:rsidR="00B3320B" w:rsidRPr="004B645E">
        <w:rPr>
          <w:rFonts w:ascii="Times New Roman" w:hAnsi="Times New Roman" w:cs="Times New Roman"/>
          <w:sz w:val="28"/>
          <w:szCs w:val="28"/>
        </w:rPr>
        <w:t>in order to achieve</w:t>
      </w:r>
      <w:r w:rsidRPr="004B645E">
        <w:rPr>
          <w:rFonts w:ascii="Times New Roman" w:hAnsi="Times New Roman" w:cs="Times New Roman"/>
          <w:sz w:val="28"/>
          <w:szCs w:val="28"/>
        </w:rPr>
        <w:t xml:space="preserve"> an appreciation and assessment of </w:t>
      </w:r>
      <w:r w:rsidR="00B3320B" w:rsidRPr="004B645E">
        <w:rPr>
          <w:rFonts w:ascii="Times New Roman" w:hAnsi="Times New Roman" w:cs="Times New Roman"/>
          <w:sz w:val="28"/>
          <w:szCs w:val="28"/>
        </w:rPr>
        <w:t xml:space="preserve">a musical product </w:t>
      </w:r>
      <w:r w:rsidRPr="004B645E">
        <w:rPr>
          <w:rFonts w:ascii="Times New Roman" w:hAnsi="Times New Roman" w:cs="Times New Roman"/>
          <w:sz w:val="28"/>
          <w:szCs w:val="28"/>
        </w:rPr>
        <w:t>such as</w:t>
      </w:r>
      <w:r w:rsidR="00B3320B" w:rsidRPr="004B645E">
        <w:rPr>
          <w:rFonts w:ascii="Times New Roman" w:hAnsi="Times New Roman" w:cs="Times New Roman"/>
          <w:sz w:val="28"/>
          <w:szCs w:val="28"/>
        </w:rPr>
        <w:t xml:space="preserve"> the producer’s CAP -</w:t>
      </w:r>
      <w:r w:rsidRPr="004B645E">
        <w:rPr>
          <w:rFonts w:ascii="Times New Roman" w:hAnsi="Times New Roman" w:cs="Times New Roman"/>
          <w:sz w:val="28"/>
          <w:szCs w:val="28"/>
        </w:rPr>
        <w:t xml:space="preserve"> </w:t>
      </w:r>
      <w:r w:rsidR="00B3320B" w:rsidRPr="004B645E">
        <w:rPr>
          <w:rFonts w:ascii="Times New Roman" w:hAnsi="Times New Roman" w:cs="Times New Roman"/>
          <w:sz w:val="28"/>
          <w:szCs w:val="28"/>
        </w:rPr>
        <w:t>‘</w:t>
      </w:r>
      <w:r w:rsidRPr="004B645E">
        <w:rPr>
          <w:rFonts w:ascii="Times New Roman" w:hAnsi="Times New Roman" w:cs="Times New Roman"/>
          <w:sz w:val="28"/>
          <w:szCs w:val="28"/>
        </w:rPr>
        <w:t>Capture, Arrangement and Performance</w:t>
      </w:r>
      <w:r w:rsidR="00B3320B" w:rsidRPr="004B645E">
        <w:rPr>
          <w:rFonts w:ascii="Times New Roman" w:hAnsi="Times New Roman" w:cs="Times New Roman"/>
          <w:sz w:val="28"/>
          <w:szCs w:val="28"/>
        </w:rPr>
        <w:t>’</w:t>
      </w:r>
      <w:r w:rsidRPr="004B645E">
        <w:rPr>
          <w:rFonts w:ascii="Times New Roman" w:hAnsi="Times New Roman" w:cs="Times New Roman"/>
          <w:sz w:val="28"/>
          <w:szCs w:val="28"/>
        </w:rPr>
        <w:t xml:space="preserve"> (Hepworth-Sawyer &amp; Golding, 2011).  The curation of these multiple journeys is </w:t>
      </w:r>
      <w:r w:rsidR="004F5C34" w:rsidRPr="004B645E">
        <w:rPr>
          <w:rFonts w:ascii="Times New Roman" w:hAnsi="Times New Roman" w:cs="Times New Roman"/>
          <w:sz w:val="28"/>
          <w:szCs w:val="28"/>
        </w:rPr>
        <w:t xml:space="preserve">in </w:t>
      </w:r>
      <w:r w:rsidRPr="004B645E">
        <w:rPr>
          <w:rFonts w:ascii="Times New Roman" w:hAnsi="Times New Roman" w:cs="Times New Roman"/>
          <w:sz w:val="28"/>
          <w:szCs w:val="28"/>
        </w:rPr>
        <w:t xml:space="preserve">the differing flavours that separate each music production degree offering from providers nationally and internationally. </w:t>
      </w:r>
    </w:p>
    <w:p w14:paraId="26F063B0" w14:textId="77777777" w:rsidR="002378BE" w:rsidRPr="004B645E" w:rsidRDefault="002378BE" w:rsidP="000A2186">
      <w:pPr>
        <w:spacing w:before="120" w:afterLines="30" w:after="72" w:line="360" w:lineRule="auto"/>
        <w:jc w:val="left"/>
        <w:rPr>
          <w:rFonts w:ascii="Times New Roman" w:hAnsi="Times New Roman" w:cs="Times New Roman"/>
          <w:sz w:val="28"/>
          <w:szCs w:val="28"/>
        </w:rPr>
      </w:pPr>
    </w:p>
    <w:p w14:paraId="6F2D272F" w14:textId="77777777" w:rsidR="00812E80" w:rsidRPr="004B645E" w:rsidRDefault="002378BE" w:rsidP="00053713">
      <w:pPr>
        <w:pStyle w:val="Heading2"/>
      </w:pPr>
      <w:bookmarkStart w:id="6" w:name="_Toc511118193"/>
      <w:r w:rsidRPr="004B645E">
        <w:t>The Facilitator's Journey in Music Production Education</w:t>
      </w:r>
      <w:bookmarkEnd w:id="6"/>
    </w:p>
    <w:p w14:paraId="32452485"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Educators, or ‘facilitators’, also embark on a number of learning journeys with their students. In particular, in order to assist them in climbing Bloom’s Cognitive Domain with different levels of autonomy and desire.</w:t>
      </w:r>
    </w:p>
    <w:p w14:paraId="2196D244" w14:textId="77777777" w:rsidR="00812E80" w:rsidRPr="004B645E" w:rsidRDefault="00812E80" w:rsidP="000A2186">
      <w:pPr>
        <w:spacing w:before="120" w:afterLines="30" w:after="72" w:line="360" w:lineRule="auto"/>
        <w:jc w:val="left"/>
        <w:rPr>
          <w:rFonts w:ascii="Times New Roman" w:hAnsi="Times New Roman" w:cs="Times New Roman"/>
          <w:sz w:val="28"/>
          <w:szCs w:val="28"/>
        </w:rPr>
      </w:pPr>
    </w:p>
    <w:p w14:paraId="320D4D46" w14:textId="77777777" w:rsidR="00812E80" w:rsidRPr="004B645E" w:rsidRDefault="00812E80" w:rsidP="000A2186">
      <w:pPr>
        <w:spacing w:before="120" w:afterLines="30" w:after="72" w:line="360" w:lineRule="auto"/>
        <w:jc w:val="left"/>
        <w:rPr>
          <w:rFonts w:ascii="Times New Roman" w:hAnsi="Times New Roman" w:cs="Times New Roman"/>
          <w:sz w:val="28"/>
          <w:szCs w:val="28"/>
        </w:rPr>
      </w:pPr>
    </w:p>
    <w:p w14:paraId="435A56B6" w14:textId="77777777" w:rsidR="00812E80" w:rsidRPr="004B645E" w:rsidRDefault="003062F9"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//Figure_6.png//</w:t>
      </w:r>
    </w:p>
    <w:p w14:paraId="7BBD6D9D" w14:textId="77777777" w:rsidR="00812E80" w:rsidRPr="004B645E" w:rsidRDefault="002378BE" w:rsidP="000A2186">
      <w:pPr>
        <w:spacing w:before="120" w:afterLines="30" w:after="72" w:line="360" w:lineRule="auto"/>
        <w:jc w:val="left"/>
        <w:rPr>
          <w:rFonts w:ascii="Times New Roman" w:hAnsi="Times New Roman" w:cs="Times New Roman"/>
          <w:b/>
          <w:sz w:val="28"/>
          <w:szCs w:val="28"/>
        </w:rPr>
      </w:pPr>
      <w:r w:rsidRPr="004B645E">
        <w:rPr>
          <w:rFonts w:ascii="Times New Roman" w:hAnsi="Times New Roman" w:cs="Times New Roman"/>
          <w:b/>
          <w:sz w:val="28"/>
          <w:szCs w:val="28"/>
        </w:rPr>
        <w:t xml:space="preserve">Figure </w:t>
      </w:r>
      <w:r w:rsidR="00B57BF1" w:rsidRPr="004B645E">
        <w:rPr>
          <w:rFonts w:ascii="Times New Roman" w:hAnsi="Times New Roman" w:cs="Times New Roman"/>
          <w:b/>
          <w:sz w:val="28"/>
          <w:szCs w:val="28"/>
        </w:rPr>
        <w:t>6</w:t>
      </w:r>
      <w:r w:rsidRPr="004B645E">
        <w:rPr>
          <w:rFonts w:ascii="Times New Roman" w:hAnsi="Times New Roman" w:cs="Times New Roman"/>
          <w:b/>
          <w:sz w:val="28"/>
          <w:szCs w:val="28"/>
        </w:rPr>
        <w:t xml:space="preserve">. Educator journeys when guiding students up Bloom’s </w:t>
      </w:r>
      <w:r w:rsidR="00E8760F" w:rsidRPr="004B645E">
        <w:rPr>
          <w:rFonts w:ascii="Times New Roman" w:hAnsi="Times New Roman" w:cs="Times New Roman"/>
          <w:b/>
          <w:sz w:val="28"/>
          <w:szCs w:val="28"/>
        </w:rPr>
        <w:t>T</w:t>
      </w:r>
      <w:r w:rsidRPr="004B645E">
        <w:rPr>
          <w:rFonts w:ascii="Times New Roman" w:hAnsi="Times New Roman" w:cs="Times New Roman"/>
          <w:b/>
          <w:sz w:val="28"/>
          <w:szCs w:val="28"/>
        </w:rPr>
        <w:t>axonomy.</w:t>
      </w:r>
    </w:p>
    <w:p w14:paraId="2D2316A6" w14:textId="77777777" w:rsidR="00812E80" w:rsidRPr="004B645E" w:rsidRDefault="00812E80" w:rsidP="000A2186">
      <w:pPr>
        <w:spacing w:before="120" w:afterLines="30" w:after="72" w:line="360" w:lineRule="auto"/>
        <w:jc w:val="left"/>
        <w:rPr>
          <w:rFonts w:ascii="Times New Roman" w:hAnsi="Times New Roman" w:cs="Times New Roman"/>
          <w:sz w:val="28"/>
          <w:szCs w:val="28"/>
        </w:rPr>
      </w:pPr>
    </w:p>
    <w:p w14:paraId="3628A676"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 xml:space="preserve">As illustrated in Figure </w:t>
      </w:r>
      <w:r w:rsidR="00B57BF1" w:rsidRPr="004B645E">
        <w:rPr>
          <w:rFonts w:ascii="Times New Roman" w:hAnsi="Times New Roman" w:cs="Times New Roman"/>
          <w:sz w:val="28"/>
          <w:szCs w:val="28"/>
        </w:rPr>
        <w:t>6</w:t>
      </w:r>
      <w:r w:rsidRPr="004B645E">
        <w:rPr>
          <w:rFonts w:ascii="Times New Roman" w:hAnsi="Times New Roman" w:cs="Times New Roman"/>
          <w:sz w:val="28"/>
          <w:szCs w:val="28"/>
        </w:rPr>
        <w:t>, students first need to be led and shown the way via case studies and through hand-holding, whilst being inspired to break free and take an autonomous journey. In order to develop more advanced capabilities, students need to be challenged and assessed to develop a competitive desire to become advanced and respected in their field. A number of learning and teaching strategies, as discussed previously by Toulson (2011), can be utilised in leading, inspiring and challenging students.</w:t>
      </w:r>
    </w:p>
    <w:p w14:paraId="5086D3A2" w14:textId="77777777" w:rsidR="001A7A68" w:rsidRPr="004B645E" w:rsidRDefault="001A7A68" w:rsidP="001A7A68">
      <w:pPr>
        <w:pStyle w:val="Heading3"/>
        <w:rPr>
          <w:rFonts w:ascii="Times New Roman" w:hAnsi="Times New Roman" w:cs="Times New Roman"/>
        </w:rPr>
      </w:pPr>
      <w:bookmarkStart w:id="7" w:name="_Toc511118194"/>
    </w:p>
    <w:p w14:paraId="5F71D4BA" w14:textId="77777777" w:rsidR="00812E80" w:rsidRDefault="002378BE" w:rsidP="000A2186">
      <w:pPr>
        <w:pStyle w:val="Heading3"/>
        <w:rPr>
          <w:rFonts w:ascii="Times New Roman" w:hAnsi="Times New Roman" w:cs="Times New Roman"/>
          <w:sz w:val="28"/>
          <w:szCs w:val="28"/>
        </w:rPr>
      </w:pPr>
      <w:r w:rsidRPr="004B645E">
        <w:rPr>
          <w:rFonts w:ascii="Times New Roman" w:hAnsi="Times New Roman" w:cs="Times New Roman"/>
          <w:sz w:val="28"/>
          <w:szCs w:val="28"/>
        </w:rPr>
        <w:t>Leading Students as Mentor or Role Model</w:t>
      </w:r>
      <w:bookmarkEnd w:id="7"/>
    </w:p>
    <w:p w14:paraId="2CFACC79" w14:textId="77777777" w:rsidR="004B645E" w:rsidRPr="004B645E" w:rsidRDefault="004B645E" w:rsidP="004B645E"/>
    <w:p w14:paraId="2C82FCD3" w14:textId="77777777" w:rsidR="00812E80" w:rsidRPr="004B645E" w:rsidRDefault="002378BE" w:rsidP="000A2186">
      <w:pPr>
        <w:widowControl w:val="0"/>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A successful educator is “more than a lecturer” and indeed needs to adopt a number of roles, including that as a mentor and role-model (Harden and Crosby, 2000). It is therefore good practice for Music Production educators to be professionally active also, as discussed by Rose (2004) and with reference to the following Rudyard Kipling quote:</w:t>
      </w:r>
    </w:p>
    <w:p w14:paraId="3829ED57" w14:textId="77777777" w:rsidR="00053713" w:rsidRPr="004B645E" w:rsidRDefault="00053713" w:rsidP="000A2186">
      <w:pPr>
        <w:widowControl w:val="0"/>
        <w:spacing w:before="120" w:afterLines="30" w:after="72" w:line="360" w:lineRule="auto"/>
        <w:jc w:val="left"/>
        <w:rPr>
          <w:rFonts w:ascii="Times New Roman" w:eastAsia="Times New Roman" w:hAnsi="Times New Roman" w:cs="Times New Roman"/>
          <w:sz w:val="28"/>
          <w:szCs w:val="28"/>
        </w:rPr>
      </w:pPr>
    </w:p>
    <w:p w14:paraId="3B82EF68" w14:textId="77777777" w:rsidR="00812E80" w:rsidRPr="004B645E" w:rsidRDefault="002378BE" w:rsidP="000A2186">
      <w:pPr>
        <w:spacing w:before="120" w:afterLines="30" w:after="72" w:line="360" w:lineRule="auto"/>
        <w:ind w:left="567"/>
        <w:jc w:val="left"/>
        <w:rPr>
          <w:rFonts w:ascii="Times New Roman" w:hAnsi="Times New Roman" w:cs="Times New Roman"/>
          <w:sz w:val="28"/>
          <w:szCs w:val="28"/>
        </w:rPr>
      </w:pPr>
      <w:r w:rsidRPr="004B645E">
        <w:rPr>
          <w:rFonts w:ascii="Times New Roman" w:hAnsi="Times New Roman" w:cs="Times New Roman"/>
          <w:sz w:val="28"/>
          <w:szCs w:val="28"/>
        </w:rPr>
        <w:t>“No printed word, nor spoken plea can teach young minds what they should be.</w:t>
      </w:r>
    </w:p>
    <w:p w14:paraId="29274997" w14:textId="77777777" w:rsidR="00812E80" w:rsidRPr="004B645E" w:rsidRDefault="002378BE" w:rsidP="000A2186">
      <w:pPr>
        <w:spacing w:before="120" w:afterLines="30" w:after="72" w:line="360" w:lineRule="auto"/>
        <w:ind w:left="567"/>
        <w:jc w:val="left"/>
        <w:rPr>
          <w:rFonts w:ascii="Times New Roman" w:hAnsi="Times New Roman" w:cs="Times New Roman"/>
          <w:sz w:val="28"/>
          <w:szCs w:val="28"/>
        </w:rPr>
      </w:pPr>
      <w:r w:rsidRPr="004B645E">
        <w:rPr>
          <w:rFonts w:ascii="Times New Roman" w:hAnsi="Times New Roman" w:cs="Times New Roman"/>
          <w:sz w:val="28"/>
          <w:szCs w:val="28"/>
        </w:rPr>
        <w:t>Not all the books on all the shelves – but what the teachers are themselves. “</w:t>
      </w:r>
    </w:p>
    <w:p w14:paraId="633EF368" w14:textId="77777777" w:rsidR="00812E80" w:rsidRPr="004B645E" w:rsidRDefault="00053713"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ab/>
      </w:r>
      <w:r w:rsidR="002378BE" w:rsidRPr="004B645E">
        <w:rPr>
          <w:rFonts w:ascii="Times New Roman" w:hAnsi="Times New Roman" w:cs="Times New Roman"/>
          <w:sz w:val="28"/>
          <w:szCs w:val="28"/>
        </w:rPr>
        <w:t>Rudyard Kipling, discussed by Rose (2004).</w:t>
      </w:r>
    </w:p>
    <w:p w14:paraId="010CB68D" w14:textId="77777777" w:rsidR="00053713" w:rsidRPr="004B645E" w:rsidRDefault="00053713" w:rsidP="000A2186">
      <w:pPr>
        <w:spacing w:before="120" w:afterLines="30" w:after="72" w:line="360" w:lineRule="auto"/>
        <w:jc w:val="left"/>
        <w:rPr>
          <w:rFonts w:ascii="Times New Roman" w:hAnsi="Times New Roman" w:cs="Times New Roman"/>
          <w:sz w:val="28"/>
          <w:szCs w:val="28"/>
        </w:rPr>
      </w:pPr>
    </w:p>
    <w:p w14:paraId="5FC3E390"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lastRenderedPageBreak/>
        <w:t xml:space="preserve">Students need to see that their teachers as successful in their field, not just well educated. Educators need to be practicing at the top of Bloom’s Cognitive Domain themselves if they are to help their students up to the highest level too. </w:t>
      </w:r>
    </w:p>
    <w:p w14:paraId="78FDE8D2"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Toulson (2011) explains that the connection between academia and industry should be strong, as neither can succeed without the other. It is also valuable for educators to maintain industrial links and partnerships, as these can verify to students that the staff, curriculum and teaching methods are applicable and respected by commercial organisations. Van Hoek et. al (2011) explain that insights from industry and the use of industrial guest lecturers can “light the fire in students” by exciting them to the professional field that they are preparing for. Additionally, facilitating academics to engage in industrial sabbatical projects and knowledge transfer partnerships can enhance this link and exemplify the type of formal collaboration projects that students should embrace in their studies.</w:t>
      </w:r>
    </w:p>
    <w:p w14:paraId="3FD9BFF8" w14:textId="77777777" w:rsidR="00812E80" w:rsidRPr="004B645E" w:rsidRDefault="002378BE" w:rsidP="000A2186">
      <w:pPr>
        <w:spacing w:before="120" w:afterLines="30" w:after="72" w:line="360" w:lineRule="auto"/>
        <w:jc w:val="left"/>
        <w:rPr>
          <w:rFonts w:ascii="Times New Roman" w:hAnsi="Times New Roman" w:cs="Times New Roman"/>
          <w:b/>
          <w:sz w:val="28"/>
          <w:szCs w:val="28"/>
        </w:rPr>
      </w:pPr>
      <w:r w:rsidRPr="004B645E">
        <w:rPr>
          <w:rFonts w:ascii="Times New Roman" w:hAnsi="Times New Roman" w:cs="Times New Roman"/>
          <w:sz w:val="28"/>
          <w:szCs w:val="28"/>
        </w:rPr>
        <w:t>Boehm (2007) noted that many of the courses provided in the field of music production were offered by newer institutions (post 1992) and it is the authors’ experience that direct connection with industry and knowledge transfer is unlikely in these institutions on the whole, partly due to a lack of finance, and systems to support the sabbatical. Both authors and man</w:t>
      </w:r>
      <w:r w:rsidR="00B3320B" w:rsidRPr="004B645E">
        <w:rPr>
          <w:rFonts w:ascii="Times New Roman" w:hAnsi="Times New Roman" w:cs="Times New Roman"/>
          <w:sz w:val="28"/>
          <w:szCs w:val="28"/>
        </w:rPr>
        <w:t>y</w:t>
      </w:r>
      <w:r w:rsidRPr="004B645E">
        <w:rPr>
          <w:rFonts w:ascii="Times New Roman" w:hAnsi="Times New Roman" w:cs="Times New Roman"/>
          <w:sz w:val="28"/>
          <w:szCs w:val="28"/>
        </w:rPr>
        <w:t xml:space="preserve"> of their peers use their own experiences in industry (often self-sought projects, or businesses on the </w:t>
      </w:r>
      <w:r w:rsidR="00B3320B" w:rsidRPr="004B645E">
        <w:rPr>
          <w:rFonts w:ascii="Times New Roman" w:hAnsi="Times New Roman" w:cs="Times New Roman"/>
          <w:sz w:val="28"/>
          <w:szCs w:val="28"/>
        </w:rPr>
        <w:t>side</w:t>
      </w:r>
      <w:r w:rsidRPr="004B645E">
        <w:rPr>
          <w:rFonts w:ascii="Times New Roman" w:hAnsi="Times New Roman" w:cs="Times New Roman"/>
          <w:sz w:val="28"/>
          <w:szCs w:val="28"/>
        </w:rPr>
        <w:t xml:space="preserve">) </w:t>
      </w:r>
      <w:r w:rsidR="004F5C34" w:rsidRPr="004B645E">
        <w:rPr>
          <w:rFonts w:ascii="Times New Roman" w:hAnsi="Times New Roman" w:cs="Times New Roman"/>
          <w:sz w:val="28"/>
          <w:szCs w:val="28"/>
        </w:rPr>
        <w:t xml:space="preserve">in </w:t>
      </w:r>
      <w:r w:rsidRPr="004B645E">
        <w:rPr>
          <w:rFonts w:ascii="Times New Roman" w:hAnsi="Times New Roman" w:cs="Times New Roman"/>
          <w:sz w:val="28"/>
          <w:szCs w:val="28"/>
        </w:rPr>
        <w:t xml:space="preserve">the teaching arena to encourage and demonstrate ‘ability’ to the learners. Much </w:t>
      </w:r>
      <w:r w:rsidR="004F5C34" w:rsidRPr="004B645E">
        <w:rPr>
          <w:rFonts w:ascii="Times New Roman" w:hAnsi="Times New Roman" w:cs="Times New Roman"/>
          <w:sz w:val="28"/>
          <w:szCs w:val="28"/>
        </w:rPr>
        <w:t xml:space="preserve">of the </w:t>
      </w:r>
      <w:r w:rsidRPr="004B645E">
        <w:rPr>
          <w:rFonts w:ascii="Times New Roman" w:hAnsi="Times New Roman" w:cs="Times New Roman"/>
          <w:sz w:val="28"/>
          <w:szCs w:val="28"/>
        </w:rPr>
        <w:t xml:space="preserve">work in this area by Calver, J et. al (2015) and Thorley, M., (2014) </w:t>
      </w:r>
      <w:r w:rsidR="004F5C34" w:rsidRPr="004B645E">
        <w:rPr>
          <w:rFonts w:ascii="Times New Roman" w:hAnsi="Times New Roman" w:cs="Times New Roman"/>
          <w:sz w:val="28"/>
          <w:szCs w:val="28"/>
        </w:rPr>
        <w:t>supports</w:t>
      </w:r>
      <w:r w:rsidRPr="004B645E">
        <w:rPr>
          <w:rFonts w:ascii="Times New Roman" w:hAnsi="Times New Roman" w:cs="Times New Roman"/>
          <w:sz w:val="28"/>
          <w:szCs w:val="28"/>
        </w:rPr>
        <w:t xml:space="preserve"> the benefits </w:t>
      </w:r>
      <w:r w:rsidR="004F5C34" w:rsidRPr="004B645E">
        <w:rPr>
          <w:rFonts w:ascii="Times New Roman" w:hAnsi="Times New Roman" w:cs="Times New Roman"/>
          <w:sz w:val="28"/>
          <w:szCs w:val="28"/>
        </w:rPr>
        <w:t xml:space="preserve">of this approach </w:t>
      </w:r>
      <w:r w:rsidRPr="004B645E">
        <w:rPr>
          <w:rFonts w:ascii="Times New Roman" w:hAnsi="Times New Roman" w:cs="Times New Roman"/>
          <w:sz w:val="28"/>
          <w:szCs w:val="28"/>
        </w:rPr>
        <w:t>to both the academic and the industrialist,</w:t>
      </w:r>
      <w:r w:rsidR="004F5C34" w:rsidRPr="004B645E">
        <w:rPr>
          <w:rFonts w:ascii="Times New Roman" w:hAnsi="Times New Roman" w:cs="Times New Roman"/>
          <w:sz w:val="28"/>
          <w:szCs w:val="28"/>
        </w:rPr>
        <w:t xml:space="preserve"> as well as</w:t>
      </w:r>
      <w:r w:rsidRPr="004B645E">
        <w:rPr>
          <w:rFonts w:ascii="Times New Roman" w:hAnsi="Times New Roman" w:cs="Times New Roman"/>
          <w:sz w:val="28"/>
          <w:szCs w:val="28"/>
        </w:rPr>
        <w:t xml:space="preserve"> the student, by proxy. Given current political developments within UK Higher Education, the climate is challenged by uncertainty,</w:t>
      </w:r>
      <w:r w:rsidR="00B56D04" w:rsidRPr="004B645E">
        <w:rPr>
          <w:rFonts w:ascii="Times New Roman" w:hAnsi="Times New Roman" w:cs="Times New Roman"/>
          <w:sz w:val="28"/>
          <w:szCs w:val="28"/>
        </w:rPr>
        <w:t xml:space="preserve"> </w:t>
      </w:r>
      <w:r w:rsidRPr="004B645E">
        <w:rPr>
          <w:rFonts w:ascii="Times New Roman" w:hAnsi="Times New Roman" w:cs="Times New Roman"/>
          <w:sz w:val="28"/>
          <w:szCs w:val="28"/>
        </w:rPr>
        <w:t xml:space="preserve">which reduces an institution’s desire to take risks, financial or educational. </w:t>
      </w:r>
    </w:p>
    <w:p w14:paraId="1FA6545A" w14:textId="77777777" w:rsidR="00812E80" w:rsidRDefault="002378BE" w:rsidP="000A2186">
      <w:pPr>
        <w:pStyle w:val="Heading3"/>
        <w:rPr>
          <w:rFonts w:ascii="Times New Roman" w:hAnsi="Times New Roman" w:cs="Times New Roman"/>
          <w:sz w:val="28"/>
          <w:szCs w:val="28"/>
        </w:rPr>
      </w:pPr>
      <w:bookmarkStart w:id="8" w:name="_Toc511118195"/>
      <w:r w:rsidRPr="004B645E">
        <w:rPr>
          <w:rFonts w:ascii="Times New Roman" w:hAnsi="Times New Roman" w:cs="Times New Roman"/>
          <w:sz w:val="28"/>
          <w:szCs w:val="28"/>
        </w:rPr>
        <w:lastRenderedPageBreak/>
        <w:t>Inspiring Students to become Autonomous and Inquisitive</w:t>
      </w:r>
      <w:bookmarkStart w:id="9" w:name="_Toc511118196"/>
      <w:bookmarkEnd w:id="8"/>
      <w:bookmarkEnd w:id="9"/>
    </w:p>
    <w:p w14:paraId="4AFED092" w14:textId="77777777" w:rsidR="004B645E" w:rsidRPr="004B645E" w:rsidRDefault="004B645E" w:rsidP="004B645E"/>
    <w:p w14:paraId="2C943CA5" w14:textId="77777777" w:rsidR="00812E80" w:rsidRPr="004B645E" w:rsidRDefault="002378BE" w:rsidP="000A2186">
      <w:pPr>
        <w:widowControl w:val="0"/>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Fallows and Ahmet (1999) explain that, educators “must not only transfer knowledge and introduce key debates, they must also deliver enthusiasm and influence students to learn”. A number</w:t>
      </w:r>
      <w:r w:rsidR="00B57BF1" w:rsidRPr="004B645E">
        <w:rPr>
          <w:rFonts w:ascii="Times New Roman" w:hAnsi="Times New Roman" w:cs="Times New Roman"/>
          <w:sz w:val="28"/>
          <w:szCs w:val="28"/>
        </w:rPr>
        <w:t xml:space="preserve"> </w:t>
      </w:r>
      <w:r w:rsidRPr="004B645E">
        <w:rPr>
          <w:rFonts w:ascii="Times New Roman" w:hAnsi="Times New Roman" w:cs="Times New Roman"/>
          <w:sz w:val="28"/>
          <w:szCs w:val="28"/>
        </w:rPr>
        <w:t xml:space="preserve">of diverse factors relate to student motivation, for example, students can be motivated and inspired to learn by understanding the long-term goals that can be achieved. </w:t>
      </w:r>
      <w:proofErr w:type="spellStart"/>
      <w:r w:rsidRPr="004B645E">
        <w:rPr>
          <w:rFonts w:ascii="Times New Roman" w:hAnsi="Times New Roman" w:cs="Times New Roman"/>
          <w:sz w:val="28"/>
          <w:szCs w:val="28"/>
        </w:rPr>
        <w:t>Husman</w:t>
      </w:r>
      <w:proofErr w:type="spellEnd"/>
      <w:r w:rsidRPr="004B645E">
        <w:rPr>
          <w:rFonts w:ascii="Times New Roman" w:hAnsi="Times New Roman" w:cs="Times New Roman"/>
          <w:sz w:val="28"/>
          <w:szCs w:val="28"/>
        </w:rPr>
        <w:t xml:space="preserve"> and Lens (1999), explain that motivation is enhanced if students are empowered to discover for themselves the opportunities that are presented by their engagement with education, rather than being told that specific tasks will be important in their future career. In the context of music production, this can be implemented by considering case studies of successful practitioners (i.e. professional role-models of the students) and encouraging them to identify the key skills and experiences that have facilitated their pathway to success. For example, Grammy Winning music producer George </w:t>
      </w:r>
      <w:proofErr w:type="spellStart"/>
      <w:r w:rsidRPr="004B645E">
        <w:rPr>
          <w:rFonts w:ascii="Times New Roman" w:hAnsi="Times New Roman" w:cs="Times New Roman"/>
          <w:sz w:val="28"/>
          <w:szCs w:val="28"/>
        </w:rPr>
        <w:t>Massenburg</w:t>
      </w:r>
      <w:proofErr w:type="spellEnd"/>
      <w:r w:rsidRPr="004B645E">
        <w:rPr>
          <w:rFonts w:ascii="Times New Roman" w:hAnsi="Times New Roman" w:cs="Times New Roman"/>
          <w:sz w:val="28"/>
          <w:szCs w:val="28"/>
        </w:rPr>
        <w:t xml:space="preserve"> explains that the single most important skill in music production is the development of critical listening skills (2006), which can be used as an example to inspire and motivate students to be committed to their own development in this skill area.</w:t>
      </w:r>
    </w:p>
    <w:p w14:paraId="4DE743FB" w14:textId="77777777" w:rsidR="00812E80" w:rsidRPr="004B645E" w:rsidRDefault="002378BE" w:rsidP="000A2186">
      <w:pPr>
        <w:widowControl w:val="0"/>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 xml:space="preserve">Students are also inspired and motivated by the learning methods that are presented. Chickering and </w:t>
      </w:r>
      <w:proofErr w:type="spellStart"/>
      <w:r w:rsidRPr="004B645E">
        <w:rPr>
          <w:rFonts w:ascii="Times New Roman" w:hAnsi="Times New Roman" w:cs="Times New Roman"/>
          <w:sz w:val="28"/>
          <w:szCs w:val="28"/>
        </w:rPr>
        <w:t>Gamson</w:t>
      </w:r>
      <w:proofErr w:type="spellEnd"/>
      <w:r w:rsidRPr="004B645E">
        <w:rPr>
          <w:rFonts w:ascii="Times New Roman" w:hAnsi="Times New Roman" w:cs="Times New Roman"/>
          <w:sz w:val="28"/>
          <w:szCs w:val="28"/>
        </w:rPr>
        <w:t xml:space="preserve"> (1987) explain that successful learning is an active experience:</w:t>
      </w:r>
    </w:p>
    <w:p w14:paraId="3C27DD4F" w14:textId="77777777" w:rsidR="00812E80" w:rsidRPr="004B645E" w:rsidRDefault="002378BE" w:rsidP="000A2186">
      <w:pPr>
        <w:spacing w:before="120" w:afterLines="30" w:after="72" w:line="360" w:lineRule="auto"/>
        <w:ind w:left="567"/>
        <w:jc w:val="left"/>
        <w:rPr>
          <w:rFonts w:ascii="Times New Roman" w:hAnsi="Times New Roman" w:cs="Times New Roman"/>
          <w:sz w:val="28"/>
          <w:szCs w:val="28"/>
        </w:rPr>
      </w:pPr>
      <w:r w:rsidRPr="004B645E">
        <w:rPr>
          <w:rFonts w:ascii="Times New Roman" w:hAnsi="Times New Roman" w:cs="Times New Roman"/>
          <w:sz w:val="28"/>
          <w:szCs w:val="28"/>
        </w:rPr>
        <w:t>Learning is not a spectator sport. Students do not learn much just by sitting in classes listening to teachers, memorizing pre-packaged assignments, and spitting out answers. They must talk about what they are learning, write about it, relate it to past experiences and apply it to their daily lives. They must make what they learn part of themselves.</w:t>
      </w:r>
    </w:p>
    <w:p w14:paraId="6061F378" w14:textId="77777777" w:rsidR="00812E80" w:rsidRPr="004B645E" w:rsidRDefault="002378BE" w:rsidP="000A2186">
      <w:pPr>
        <w:spacing w:before="120" w:afterLines="30" w:after="72" w:line="360" w:lineRule="auto"/>
        <w:jc w:val="left"/>
        <w:rPr>
          <w:rFonts w:ascii="Times New Roman" w:hAnsi="Times New Roman" w:cs="Times New Roman"/>
          <w:i/>
          <w:sz w:val="28"/>
          <w:szCs w:val="28"/>
        </w:rPr>
      </w:pPr>
      <w:r w:rsidRPr="004B645E">
        <w:rPr>
          <w:rFonts w:ascii="Times New Roman" w:hAnsi="Times New Roman" w:cs="Times New Roman"/>
          <w:sz w:val="28"/>
          <w:szCs w:val="28"/>
        </w:rPr>
        <w:t xml:space="preserve">(Chickering and </w:t>
      </w:r>
      <w:proofErr w:type="spellStart"/>
      <w:r w:rsidRPr="004B645E">
        <w:rPr>
          <w:rFonts w:ascii="Times New Roman" w:hAnsi="Times New Roman" w:cs="Times New Roman"/>
          <w:sz w:val="28"/>
          <w:szCs w:val="28"/>
        </w:rPr>
        <w:t>Gamson</w:t>
      </w:r>
      <w:proofErr w:type="spellEnd"/>
      <w:r w:rsidRPr="004B645E">
        <w:rPr>
          <w:rFonts w:ascii="Times New Roman" w:hAnsi="Times New Roman" w:cs="Times New Roman"/>
          <w:sz w:val="28"/>
          <w:szCs w:val="28"/>
        </w:rPr>
        <w:t xml:space="preserve">, 1987) </w:t>
      </w:r>
    </w:p>
    <w:p w14:paraId="28C61F48"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lastRenderedPageBreak/>
        <w:t>Education in Music Production requires practical engagement, perhaps more than most subjects given the unique blend of disciplines it encompasses. The practical aspects of courses should be designed to engage students in climbing Bloom’s Cognitive Domain. Raw knowledge can be taught and investigated, however students need to be encouraged to attempt self-assisted learning by practical methods, particularly with respect to music production which is both technical and subjective and highly reliant on experience and critical listening. Equally, a diversity of teaching methods can help to keep students engaged and to ensure that each student’s individual learning methods are catered for. For example, some students may engage best with practical hands-on exercises while others respond better to autonomous research tasks:</w:t>
      </w:r>
    </w:p>
    <w:p w14:paraId="53AADB15" w14:textId="77777777" w:rsidR="00812E80" w:rsidRPr="004B645E" w:rsidRDefault="002378BE" w:rsidP="000A2186">
      <w:pPr>
        <w:spacing w:before="120" w:afterLines="30" w:after="72" w:line="360" w:lineRule="auto"/>
        <w:ind w:left="567"/>
        <w:jc w:val="left"/>
        <w:rPr>
          <w:rFonts w:ascii="Times New Roman" w:hAnsi="Times New Roman" w:cs="Times New Roman"/>
          <w:sz w:val="28"/>
          <w:szCs w:val="28"/>
        </w:rPr>
      </w:pPr>
      <w:r w:rsidRPr="004B645E">
        <w:rPr>
          <w:rFonts w:ascii="Times New Roman" w:hAnsi="Times New Roman" w:cs="Times New Roman"/>
          <w:sz w:val="28"/>
          <w:szCs w:val="28"/>
        </w:rPr>
        <w:t>There are many roads to learning. People bring different talents and styles of learning to college. Brilliant students in the seminar room may be all thumbs in the lab or art studio. Students rich in hands-on experience may not do so well with theory. Students need the opportunity to show their talents and learn in ways that work for them. Then they can be pushed to learn in new ways that do not come so easily.</w:t>
      </w:r>
    </w:p>
    <w:p w14:paraId="5CA38ADF" w14:textId="77777777" w:rsidR="00812E80" w:rsidRPr="004B645E" w:rsidRDefault="00053713"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ab/>
      </w:r>
      <w:r w:rsidR="002378BE" w:rsidRPr="004B645E">
        <w:rPr>
          <w:rFonts w:ascii="Times New Roman" w:hAnsi="Times New Roman" w:cs="Times New Roman"/>
          <w:sz w:val="28"/>
          <w:szCs w:val="28"/>
        </w:rPr>
        <w:t xml:space="preserve">(Chickering and </w:t>
      </w:r>
      <w:proofErr w:type="spellStart"/>
      <w:r w:rsidR="002378BE" w:rsidRPr="004B645E">
        <w:rPr>
          <w:rFonts w:ascii="Times New Roman" w:hAnsi="Times New Roman" w:cs="Times New Roman"/>
          <w:sz w:val="28"/>
          <w:szCs w:val="28"/>
        </w:rPr>
        <w:t>Gamson</w:t>
      </w:r>
      <w:proofErr w:type="spellEnd"/>
      <w:r w:rsidR="002378BE" w:rsidRPr="004B645E">
        <w:rPr>
          <w:rFonts w:ascii="Times New Roman" w:hAnsi="Times New Roman" w:cs="Times New Roman"/>
          <w:sz w:val="28"/>
          <w:szCs w:val="28"/>
        </w:rPr>
        <w:t>, 1987)</w:t>
      </w:r>
    </w:p>
    <w:p w14:paraId="0913697A" w14:textId="77777777" w:rsidR="00812E80" w:rsidRPr="004B645E" w:rsidRDefault="00812E80" w:rsidP="000A2186">
      <w:pPr>
        <w:spacing w:before="120" w:afterLines="30" w:after="72" w:line="360" w:lineRule="auto"/>
        <w:jc w:val="left"/>
        <w:rPr>
          <w:rFonts w:ascii="Times New Roman" w:hAnsi="Times New Roman" w:cs="Times New Roman"/>
          <w:b/>
          <w:sz w:val="28"/>
          <w:szCs w:val="28"/>
        </w:rPr>
      </w:pPr>
    </w:p>
    <w:p w14:paraId="48C22657" w14:textId="77777777" w:rsidR="00812E80" w:rsidRPr="004B645E" w:rsidRDefault="002378BE" w:rsidP="000A2186">
      <w:pPr>
        <w:pStyle w:val="Heading3"/>
        <w:rPr>
          <w:rFonts w:ascii="Times New Roman" w:hAnsi="Times New Roman" w:cs="Times New Roman"/>
          <w:sz w:val="28"/>
          <w:szCs w:val="28"/>
        </w:rPr>
      </w:pPr>
      <w:bookmarkStart w:id="10" w:name="_Toc511118197"/>
      <w:r w:rsidRPr="004B645E">
        <w:rPr>
          <w:rFonts w:ascii="Times New Roman" w:hAnsi="Times New Roman" w:cs="Times New Roman"/>
          <w:sz w:val="28"/>
          <w:szCs w:val="28"/>
        </w:rPr>
        <w:t>Challenge-Based Learning</w:t>
      </w:r>
      <w:bookmarkStart w:id="11" w:name="_Toc511118198"/>
      <w:bookmarkEnd w:id="10"/>
      <w:bookmarkEnd w:id="11"/>
    </w:p>
    <w:p w14:paraId="5B45BA36" w14:textId="77777777" w:rsidR="004B645E" w:rsidRPr="004B645E" w:rsidRDefault="004B645E" w:rsidP="004B645E"/>
    <w:p w14:paraId="1D0584F5" w14:textId="77777777" w:rsidR="00812E80" w:rsidRPr="004B645E" w:rsidRDefault="002378BE" w:rsidP="000A2186">
      <w:pPr>
        <w:widowControl w:val="0"/>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 xml:space="preserve">Challenge- (or Problem-) Based Learning is particularly relevant to music production education in ensuring that students develop wide skillsets (for example, capabilities for producing multiple music genres) and critical self-appraisal skills. </w:t>
      </w:r>
      <w:proofErr w:type="spellStart"/>
      <w:r w:rsidRPr="004B645E">
        <w:rPr>
          <w:rFonts w:ascii="Times New Roman" w:hAnsi="Times New Roman" w:cs="Times New Roman"/>
          <w:sz w:val="28"/>
          <w:szCs w:val="28"/>
        </w:rPr>
        <w:t>Klegeris</w:t>
      </w:r>
      <w:proofErr w:type="spellEnd"/>
      <w:r w:rsidRPr="004B645E">
        <w:rPr>
          <w:rFonts w:ascii="Times New Roman" w:hAnsi="Times New Roman" w:cs="Times New Roman"/>
          <w:sz w:val="28"/>
          <w:szCs w:val="28"/>
        </w:rPr>
        <w:t xml:space="preserve"> and </w:t>
      </w:r>
      <w:proofErr w:type="spellStart"/>
      <w:r w:rsidRPr="004B645E">
        <w:rPr>
          <w:rFonts w:ascii="Times New Roman" w:hAnsi="Times New Roman" w:cs="Times New Roman"/>
          <w:sz w:val="28"/>
          <w:szCs w:val="28"/>
        </w:rPr>
        <w:t>Hurren</w:t>
      </w:r>
      <w:proofErr w:type="spellEnd"/>
      <w:r w:rsidRPr="004B645E">
        <w:rPr>
          <w:rFonts w:ascii="Times New Roman" w:hAnsi="Times New Roman" w:cs="Times New Roman"/>
          <w:sz w:val="28"/>
          <w:szCs w:val="28"/>
        </w:rPr>
        <w:t xml:space="preserve"> (2011) additionally show that challenge-based learning improves student motivation and satisfaction. Problem-based learning is well-recognised in fields such as medicine for challenging students to explore and solve real problems in the field, however, this teaching </w:t>
      </w:r>
      <w:r w:rsidRPr="004B645E">
        <w:rPr>
          <w:rFonts w:ascii="Times New Roman" w:hAnsi="Times New Roman" w:cs="Times New Roman"/>
          <w:sz w:val="28"/>
          <w:szCs w:val="28"/>
        </w:rPr>
        <w:lastRenderedPageBreak/>
        <w:t>methodology has also been evaluated in multidisciplinary and create arts contexts (</w:t>
      </w:r>
      <w:proofErr w:type="spellStart"/>
      <w:r w:rsidRPr="004B645E">
        <w:rPr>
          <w:rFonts w:ascii="Times New Roman" w:hAnsi="Times New Roman" w:cs="Times New Roman"/>
          <w:sz w:val="28"/>
          <w:szCs w:val="28"/>
        </w:rPr>
        <w:t>Kimmons</w:t>
      </w:r>
      <w:proofErr w:type="spellEnd"/>
      <w:r w:rsidRPr="004B645E">
        <w:rPr>
          <w:rFonts w:ascii="Times New Roman" w:hAnsi="Times New Roman" w:cs="Times New Roman"/>
          <w:sz w:val="28"/>
          <w:szCs w:val="28"/>
        </w:rPr>
        <w:t xml:space="preserve"> and </w:t>
      </w:r>
      <w:proofErr w:type="spellStart"/>
      <w:r w:rsidRPr="004B645E">
        <w:rPr>
          <w:rFonts w:ascii="Times New Roman" w:hAnsi="Times New Roman" w:cs="Times New Roman"/>
          <w:sz w:val="28"/>
          <w:szCs w:val="28"/>
        </w:rPr>
        <w:t>Spruiell</w:t>
      </w:r>
      <w:proofErr w:type="spellEnd"/>
      <w:r w:rsidRPr="004B645E">
        <w:rPr>
          <w:rFonts w:ascii="Times New Roman" w:hAnsi="Times New Roman" w:cs="Times New Roman"/>
          <w:sz w:val="28"/>
          <w:szCs w:val="28"/>
        </w:rPr>
        <w:t>, 2005). In music production education, students can embrace challenge-based learning by being set assignments to produce creative content to a professional brief, that incorporates multidisciplinary factors. An example of this includes a pop music production project that not only has to deliver recorded music to the expectations of a particular genre, but also is reflective of the creative process and marketing aspects of the pop genre.</w:t>
      </w:r>
    </w:p>
    <w:p w14:paraId="77CA6E96" w14:textId="77777777" w:rsidR="00812E80" w:rsidRPr="004B645E" w:rsidRDefault="002378BE" w:rsidP="000A2186">
      <w:pPr>
        <w:widowControl w:val="0"/>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 xml:space="preserve">Challenge-based projects are ideal for developing learning experiences that are rich in opportunities for feedback and reflective practice. Hattie (2002) states that “feedback has been shown to be the single-most contributing factor for influencing the level of students’ achievement”. Furthermore, summative assessments held in in ‘safe’ environments - as discussed by Covington (1985) - enable students to learn effectively from their mistakes. Toulson (2011) explains however that “mistakes can only be used in learning if the mistake is first identified and evaluated”, justifying the requirement for feedback to be provided and self-evaluation to be embraced in order to deliver the benefits of challenge-based learning. </w:t>
      </w:r>
    </w:p>
    <w:p w14:paraId="2C016A8D" w14:textId="77777777" w:rsidR="00812E80" w:rsidRPr="004B645E" w:rsidRDefault="00812E80" w:rsidP="000A2186">
      <w:pPr>
        <w:pStyle w:val="Heading4"/>
        <w:spacing w:afterLines="30" w:after="72" w:line="360" w:lineRule="auto"/>
        <w:jc w:val="left"/>
        <w:rPr>
          <w:rFonts w:ascii="Times New Roman" w:hAnsi="Times New Roman" w:cs="Times New Roman"/>
          <w:sz w:val="28"/>
          <w:szCs w:val="28"/>
        </w:rPr>
      </w:pPr>
    </w:p>
    <w:p w14:paraId="4D617904" w14:textId="77777777" w:rsidR="002378BE" w:rsidRPr="004B645E" w:rsidRDefault="002378BE" w:rsidP="00053713">
      <w:pPr>
        <w:pStyle w:val="Heading2"/>
      </w:pPr>
      <w:bookmarkStart w:id="12" w:name="_Toc511118199"/>
      <w:r w:rsidRPr="004B645E">
        <w:t>Multi-Disciplinary Challenges in Delivering Music Production Education</w:t>
      </w:r>
      <w:bookmarkEnd w:id="12"/>
    </w:p>
    <w:p w14:paraId="2F6C6778" w14:textId="77777777" w:rsidR="00812E80" w:rsidRPr="004B645E" w:rsidRDefault="002378BE" w:rsidP="000A2186">
      <w:pPr>
        <w:widowControl w:val="0"/>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 xml:space="preserve">The field of music production education connects multiple creative, scientific and business disciplines, that are threaded together in a successful higher education learning journey. Rather than being a subject area of its own, music production in an academic context describes a combination of academic fields that all contribute to a specific multi-disciplinary subject. </w:t>
      </w:r>
      <w:r w:rsidR="00B57BF1" w:rsidRPr="004B645E">
        <w:rPr>
          <w:rFonts w:ascii="Times New Roman" w:hAnsi="Times New Roman" w:cs="Times New Roman"/>
          <w:sz w:val="28"/>
          <w:szCs w:val="28"/>
        </w:rPr>
        <w:t>Figure 7</w:t>
      </w:r>
      <w:r w:rsidRPr="004B645E">
        <w:rPr>
          <w:rFonts w:ascii="Times New Roman" w:hAnsi="Times New Roman" w:cs="Times New Roman"/>
          <w:sz w:val="28"/>
          <w:szCs w:val="28"/>
        </w:rPr>
        <w:t xml:space="preserve"> describes the breadth of academic disciplines that are valuable in music production education, grouped together under the heading creative arts, media and communication, </w:t>
      </w:r>
      <w:r w:rsidRPr="004B645E">
        <w:rPr>
          <w:rFonts w:ascii="Times New Roman" w:hAnsi="Times New Roman" w:cs="Times New Roman"/>
          <w:sz w:val="28"/>
          <w:szCs w:val="28"/>
        </w:rPr>
        <w:lastRenderedPageBreak/>
        <w:t>engineering and business.</w:t>
      </w:r>
    </w:p>
    <w:p w14:paraId="6CCA3857" w14:textId="77777777" w:rsidR="00812E80" w:rsidRPr="004B645E" w:rsidRDefault="002378BE" w:rsidP="000A2186">
      <w:pPr>
        <w:widowControl w:val="0"/>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Academic teams for delivering music production education therefore need to be multidisciplinary, and course pathways need to be intricately designed to accommodate all learning needs.</w:t>
      </w:r>
    </w:p>
    <w:p w14:paraId="24E041F7" w14:textId="77777777" w:rsidR="00812E80" w:rsidRPr="004B645E" w:rsidRDefault="00812E80" w:rsidP="000A2186">
      <w:pPr>
        <w:widowControl w:val="0"/>
        <w:spacing w:before="120" w:afterLines="30" w:after="72" w:line="360" w:lineRule="auto"/>
        <w:jc w:val="left"/>
        <w:rPr>
          <w:rFonts w:ascii="Times New Roman" w:hAnsi="Times New Roman" w:cs="Times New Roman"/>
          <w:sz w:val="28"/>
          <w:szCs w:val="28"/>
        </w:rPr>
      </w:pPr>
    </w:p>
    <w:tbl>
      <w:tblPr>
        <w:tblW w:w="6575" w:type="dxa"/>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7"/>
        <w:gridCol w:w="3578"/>
      </w:tblGrid>
      <w:tr w:rsidR="00AA5ACD" w:rsidRPr="004B645E" w14:paraId="0F718A41" w14:textId="77777777" w:rsidTr="005E7EDE">
        <w:tc>
          <w:tcPr>
            <w:tcW w:w="2997" w:type="dxa"/>
            <w:shd w:val="clear" w:color="auto" w:fill="FFFFFF"/>
            <w:vAlign w:val="center"/>
          </w:tcPr>
          <w:p w14:paraId="4A4F6AFC" w14:textId="77777777" w:rsidR="00812E80" w:rsidRPr="004B645E" w:rsidRDefault="002378BE" w:rsidP="000A2186">
            <w:pPr>
              <w:widowControl w:val="0"/>
              <w:spacing w:before="120" w:afterLines="30" w:after="72" w:line="360" w:lineRule="auto"/>
              <w:jc w:val="left"/>
              <w:rPr>
                <w:rFonts w:ascii="Times New Roman" w:hAnsi="Times New Roman" w:cs="Times New Roman"/>
                <w:b/>
                <w:sz w:val="28"/>
                <w:szCs w:val="28"/>
              </w:rPr>
            </w:pPr>
            <w:r w:rsidRPr="004B645E">
              <w:rPr>
                <w:rFonts w:ascii="Times New Roman" w:hAnsi="Times New Roman" w:cs="Times New Roman"/>
                <w:b/>
                <w:sz w:val="28"/>
                <w:szCs w:val="28"/>
              </w:rPr>
              <w:t>Academic Field</w:t>
            </w:r>
          </w:p>
        </w:tc>
        <w:tc>
          <w:tcPr>
            <w:tcW w:w="3579" w:type="dxa"/>
            <w:shd w:val="clear" w:color="auto" w:fill="FFFFFF"/>
            <w:vAlign w:val="center"/>
          </w:tcPr>
          <w:p w14:paraId="63C81F9C" w14:textId="77777777" w:rsidR="00812E80" w:rsidRPr="004B645E" w:rsidRDefault="002378BE" w:rsidP="000A2186">
            <w:pPr>
              <w:spacing w:before="120" w:afterLines="30" w:after="72" w:line="360" w:lineRule="auto"/>
              <w:jc w:val="left"/>
              <w:rPr>
                <w:rFonts w:ascii="Times New Roman" w:hAnsi="Times New Roman" w:cs="Times New Roman"/>
                <w:b/>
                <w:sz w:val="28"/>
                <w:szCs w:val="28"/>
              </w:rPr>
            </w:pPr>
            <w:r w:rsidRPr="004B645E">
              <w:rPr>
                <w:rFonts w:ascii="Times New Roman" w:hAnsi="Times New Roman" w:cs="Times New Roman"/>
                <w:b/>
                <w:sz w:val="28"/>
                <w:szCs w:val="28"/>
              </w:rPr>
              <w:t>Subject Area</w:t>
            </w:r>
          </w:p>
        </w:tc>
      </w:tr>
      <w:tr w:rsidR="00812E80" w:rsidRPr="004B645E" w14:paraId="38E3BB15" w14:textId="77777777" w:rsidTr="00E203E1">
        <w:tc>
          <w:tcPr>
            <w:tcW w:w="2997" w:type="dxa"/>
            <w:shd w:val="clear" w:color="auto" w:fill="auto"/>
            <w:vAlign w:val="center"/>
          </w:tcPr>
          <w:p w14:paraId="11D18648" w14:textId="77777777" w:rsidR="00812E80" w:rsidRPr="004B645E" w:rsidRDefault="00812E80" w:rsidP="000A2186">
            <w:pPr>
              <w:widowControl w:val="0"/>
              <w:spacing w:before="120" w:afterLines="30" w:after="72" w:line="360" w:lineRule="auto"/>
              <w:jc w:val="left"/>
              <w:rPr>
                <w:rFonts w:ascii="Times New Roman" w:hAnsi="Times New Roman" w:cs="Times New Roman"/>
                <w:sz w:val="28"/>
                <w:szCs w:val="28"/>
              </w:rPr>
            </w:pPr>
          </w:p>
          <w:p w14:paraId="2E192125" w14:textId="77777777" w:rsidR="00812E80" w:rsidRPr="004B645E" w:rsidRDefault="002378BE" w:rsidP="000A2186">
            <w:pPr>
              <w:widowControl w:val="0"/>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Creative Arts</w:t>
            </w:r>
          </w:p>
          <w:p w14:paraId="151949A2" w14:textId="77777777" w:rsidR="00812E80" w:rsidRPr="004B645E" w:rsidRDefault="00812E80" w:rsidP="000A2186">
            <w:pPr>
              <w:widowControl w:val="0"/>
              <w:spacing w:before="120" w:afterLines="30" w:after="72" w:line="360" w:lineRule="auto"/>
              <w:jc w:val="left"/>
              <w:rPr>
                <w:rFonts w:ascii="Times New Roman" w:hAnsi="Times New Roman" w:cs="Times New Roman"/>
                <w:sz w:val="28"/>
                <w:szCs w:val="28"/>
              </w:rPr>
            </w:pPr>
          </w:p>
        </w:tc>
        <w:tc>
          <w:tcPr>
            <w:tcW w:w="3579" w:type="dxa"/>
            <w:shd w:val="clear" w:color="auto" w:fill="auto"/>
            <w:vAlign w:val="center"/>
          </w:tcPr>
          <w:p w14:paraId="062A8061"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Performance</w:t>
            </w:r>
          </w:p>
          <w:p w14:paraId="278BC961"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Composition</w:t>
            </w:r>
          </w:p>
          <w:p w14:paraId="38B9544C"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Songwriting</w:t>
            </w:r>
          </w:p>
        </w:tc>
      </w:tr>
      <w:tr w:rsidR="00812E80" w:rsidRPr="004B645E" w14:paraId="059D1E61" w14:textId="77777777" w:rsidTr="00E203E1">
        <w:tc>
          <w:tcPr>
            <w:tcW w:w="2997" w:type="dxa"/>
            <w:shd w:val="clear" w:color="auto" w:fill="auto"/>
            <w:vAlign w:val="center"/>
          </w:tcPr>
          <w:p w14:paraId="138CD572" w14:textId="77777777" w:rsidR="00812E80" w:rsidRPr="004B645E" w:rsidRDefault="00812E80" w:rsidP="000A2186">
            <w:pPr>
              <w:widowControl w:val="0"/>
              <w:spacing w:before="120" w:afterLines="30" w:after="72" w:line="360" w:lineRule="auto"/>
              <w:jc w:val="left"/>
              <w:rPr>
                <w:rFonts w:ascii="Times New Roman" w:hAnsi="Times New Roman" w:cs="Times New Roman"/>
                <w:sz w:val="28"/>
                <w:szCs w:val="28"/>
              </w:rPr>
            </w:pPr>
          </w:p>
          <w:p w14:paraId="1CE52E77" w14:textId="77777777" w:rsidR="00812E80" w:rsidRPr="004B645E" w:rsidRDefault="002378BE" w:rsidP="000A2186">
            <w:pPr>
              <w:widowControl w:val="0"/>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Media and Communication</w:t>
            </w:r>
          </w:p>
          <w:p w14:paraId="1F34399D" w14:textId="77777777" w:rsidR="00812E80" w:rsidRPr="004B645E" w:rsidRDefault="00812E80" w:rsidP="000A2186">
            <w:pPr>
              <w:widowControl w:val="0"/>
              <w:spacing w:before="120" w:afterLines="30" w:after="72" w:line="360" w:lineRule="auto"/>
              <w:jc w:val="left"/>
              <w:rPr>
                <w:rFonts w:ascii="Times New Roman" w:hAnsi="Times New Roman" w:cs="Times New Roman"/>
                <w:sz w:val="28"/>
                <w:szCs w:val="28"/>
              </w:rPr>
            </w:pPr>
          </w:p>
        </w:tc>
        <w:tc>
          <w:tcPr>
            <w:tcW w:w="3579" w:type="dxa"/>
            <w:shd w:val="clear" w:color="auto" w:fill="auto"/>
            <w:vAlign w:val="center"/>
          </w:tcPr>
          <w:p w14:paraId="31930039"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Musicology</w:t>
            </w:r>
          </w:p>
          <w:p w14:paraId="6F7C496B"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Cultural Studies</w:t>
            </w:r>
          </w:p>
          <w:p w14:paraId="0E198F5A"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User Experience</w:t>
            </w:r>
          </w:p>
        </w:tc>
      </w:tr>
      <w:tr w:rsidR="00812E80" w:rsidRPr="004B645E" w14:paraId="4B03D304" w14:textId="77777777" w:rsidTr="00E203E1">
        <w:tc>
          <w:tcPr>
            <w:tcW w:w="2997" w:type="dxa"/>
            <w:shd w:val="clear" w:color="auto" w:fill="auto"/>
            <w:vAlign w:val="center"/>
          </w:tcPr>
          <w:p w14:paraId="77A328EE" w14:textId="77777777" w:rsidR="00812E80" w:rsidRPr="004B645E" w:rsidRDefault="00812E80" w:rsidP="000A2186">
            <w:pPr>
              <w:widowControl w:val="0"/>
              <w:spacing w:before="120" w:afterLines="30" w:after="72" w:line="360" w:lineRule="auto"/>
              <w:jc w:val="left"/>
              <w:rPr>
                <w:rFonts w:ascii="Times New Roman" w:hAnsi="Times New Roman" w:cs="Times New Roman"/>
                <w:sz w:val="28"/>
                <w:szCs w:val="28"/>
              </w:rPr>
            </w:pPr>
          </w:p>
          <w:p w14:paraId="49662D6B" w14:textId="77777777" w:rsidR="00812E80" w:rsidRPr="004B645E" w:rsidRDefault="0098699E" w:rsidP="000A2186">
            <w:pPr>
              <w:widowControl w:val="0"/>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 xml:space="preserve">Science and </w:t>
            </w:r>
            <w:r w:rsidR="002378BE" w:rsidRPr="004B645E">
              <w:rPr>
                <w:rFonts w:ascii="Times New Roman" w:hAnsi="Times New Roman" w:cs="Times New Roman"/>
                <w:sz w:val="28"/>
                <w:szCs w:val="28"/>
              </w:rPr>
              <w:t>Engineering</w:t>
            </w:r>
          </w:p>
          <w:p w14:paraId="6FE93E8E" w14:textId="77777777" w:rsidR="00812E80" w:rsidRPr="004B645E" w:rsidRDefault="00812E80" w:rsidP="000A2186">
            <w:pPr>
              <w:widowControl w:val="0"/>
              <w:spacing w:before="120" w:afterLines="30" w:after="72" w:line="360" w:lineRule="auto"/>
              <w:jc w:val="left"/>
              <w:rPr>
                <w:rFonts w:ascii="Times New Roman" w:hAnsi="Times New Roman" w:cs="Times New Roman"/>
                <w:sz w:val="28"/>
                <w:szCs w:val="28"/>
              </w:rPr>
            </w:pPr>
          </w:p>
        </w:tc>
        <w:tc>
          <w:tcPr>
            <w:tcW w:w="3579" w:type="dxa"/>
            <w:shd w:val="clear" w:color="auto" w:fill="auto"/>
            <w:vAlign w:val="center"/>
          </w:tcPr>
          <w:p w14:paraId="6211C1DF"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Electronics</w:t>
            </w:r>
          </w:p>
          <w:p w14:paraId="5E47849E"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Acoustics</w:t>
            </w:r>
          </w:p>
          <w:p w14:paraId="78B77DDB"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Computing</w:t>
            </w:r>
          </w:p>
          <w:p w14:paraId="3264404F" w14:textId="77777777" w:rsidR="0098699E" w:rsidRPr="004B645E" w:rsidRDefault="0098699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Psychology</w:t>
            </w:r>
          </w:p>
        </w:tc>
      </w:tr>
      <w:tr w:rsidR="00812E80" w:rsidRPr="004B645E" w14:paraId="17FE3265" w14:textId="77777777" w:rsidTr="00E203E1">
        <w:tc>
          <w:tcPr>
            <w:tcW w:w="2997" w:type="dxa"/>
            <w:shd w:val="clear" w:color="auto" w:fill="auto"/>
            <w:vAlign w:val="center"/>
          </w:tcPr>
          <w:p w14:paraId="6CC322C2" w14:textId="77777777" w:rsidR="00812E80" w:rsidRPr="004B645E" w:rsidRDefault="00812E80" w:rsidP="000A2186">
            <w:pPr>
              <w:widowControl w:val="0"/>
              <w:spacing w:before="120" w:afterLines="30" w:after="72" w:line="360" w:lineRule="auto"/>
              <w:jc w:val="left"/>
              <w:rPr>
                <w:rFonts w:ascii="Times New Roman" w:hAnsi="Times New Roman" w:cs="Times New Roman"/>
                <w:sz w:val="28"/>
                <w:szCs w:val="28"/>
              </w:rPr>
            </w:pPr>
          </w:p>
          <w:p w14:paraId="1519524F" w14:textId="77777777" w:rsidR="00812E80" w:rsidRPr="004B645E" w:rsidRDefault="002378BE" w:rsidP="000A2186">
            <w:pPr>
              <w:widowControl w:val="0"/>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Business</w:t>
            </w:r>
          </w:p>
          <w:p w14:paraId="07774E7C" w14:textId="77777777" w:rsidR="00812E80" w:rsidRPr="004B645E" w:rsidRDefault="00812E80" w:rsidP="000A2186">
            <w:pPr>
              <w:widowControl w:val="0"/>
              <w:spacing w:before="120" w:afterLines="30" w:after="72" w:line="360" w:lineRule="auto"/>
              <w:jc w:val="left"/>
              <w:rPr>
                <w:rFonts w:ascii="Times New Roman" w:hAnsi="Times New Roman" w:cs="Times New Roman"/>
                <w:sz w:val="28"/>
                <w:szCs w:val="28"/>
              </w:rPr>
            </w:pPr>
          </w:p>
        </w:tc>
        <w:tc>
          <w:tcPr>
            <w:tcW w:w="3579" w:type="dxa"/>
            <w:shd w:val="clear" w:color="auto" w:fill="auto"/>
            <w:vAlign w:val="center"/>
          </w:tcPr>
          <w:p w14:paraId="070A9DDA"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Business and Enterprise</w:t>
            </w:r>
          </w:p>
          <w:p w14:paraId="3D566D84"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Entrepreneurship</w:t>
            </w:r>
          </w:p>
          <w:p w14:paraId="37B43912" w14:textId="77777777" w:rsidR="00812E80" w:rsidRPr="004B645E" w:rsidRDefault="002378BE" w:rsidP="000A2186">
            <w:pPr>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Project Management</w:t>
            </w:r>
          </w:p>
        </w:tc>
      </w:tr>
    </w:tbl>
    <w:p w14:paraId="0DE011C7" w14:textId="77777777" w:rsidR="00812E80" w:rsidRPr="004B645E" w:rsidRDefault="00812E80" w:rsidP="000A2186">
      <w:pPr>
        <w:widowControl w:val="0"/>
        <w:spacing w:before="120" w:afterLines="30" w:after="72" w:line="360" w:lineRule="auto"/>
        <w:jc w:val="left"/>
        <w:rPr>
          <w:rFonts w:ascii="Times New Roman" w:hAnsi="Times New Roman" w:cs="Times New Roman"/>
          <w:sz w:val="28"/>
          <w:szCs w:val="28"/>
        </w:rPr>
      </w:pPr>
    </w:p>
    <w:p w14:paraId="6816C4E6" w14:textId="77777777" w:rsidR="00812E80" w:rsidRPr="004B645E" w:rsidRDefault="00B57BF1" w:rsidP="000A2186">
      <w:pPr>
        <w:widowControl w:val="0"/>
        <w:spacing w:before="120" w:afterLines="30" w:after="72" w:line="360" w:lineRule="auto"/>
        <w:jc w:val="left"/>
        <w:rPr>
          <w:rFonts w:ascii="Times New Roman" w:hAnsi="Times New Roman" w:cs="Times New Roman"/>
          <w:b/>
          <w:sz w:val="28"/>
          <w:szCs w:val="28"/>
        </w:rPr>
      </w:pPr>
      <w:r w:rsidRPr="004B645E">
        <w:rPr>
          <w:rFonts w:ascii="Times New Roman" w:hAnsi="Times New Roman" w:cs="Times New Roman"/>
          <w:b/>
          <w:sz w:val="28"/>
          <w:szCs w:val="28"/>
        </w:rPr>
        <w:t>Figure 7</w:t>
      </w:r>
      <w:r w:rsidR="002378BE" w:rsidRPr="004B645E">
        <w:rPr>
          <w:rFonts w:ascii="Times New Roman" w:hAnsi="Times New Roman" w:cs="Times New Roman"/>
          <w:b/>
          <w:sz w:val="28"/>
          <w:szCs w:val="28"/>
        </w:rPr>
        <w:t>. Academic fields and subject areas connected in music production.</w:t>
      </w:r>
    </w:p>
    <w:p w14:paraId="4C8CA1F1" w14:textId="77777777" w:rsidR="00812E80" w:rsidRPr="004B645E" w:rsidRDefault="00812E80" w:rsidP="000A2186">
      <w:pPr>
        <w:spacing w:before="120" w:afterLines="30" w:after="72" w:line="360" w:lineRule="auto"/>
        <w:jc w:val="left"/>
        <w:rPr>
          <w:rFonts w:ascii="Times New Roman" w:hAnsi="Times New Roman" w:cs="Times New Roman"/>
          <w:sz w:val="28"/>
          <w:szCs w:val="28"/>
        </w:rPr>
      </w:pPr>
    </w:p>
    <w:p w14:paraId="4A2D7417" w14:textId="77777777" w:rsidR="00812E80" w:rsidRPr="004B645E" w:rsidRDefault="002378BE" w:rsidP="000A2186">
      <w:pPr>
        <w:widowControl w:val="0"/>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lastRenderedPageBreak/>
        <w:t>There are a number of different challenges in providing quality music production education, not least the practical challenges of delivery of an arts-technology subject to large cohorts of students. In particular, physical space can be an issue, given that professionally designed recording studios are not well equipped for large cohorts, so learning sessions need to be in small groups and often repeated. Equally, the cost of, for example, teaching the practicalities of recording a concert orchestra in a large-scale studio is challenging to justify (Toulson, 2011).</w:t>
      </w:r>
    </w:p>
    <w:p w14:paraId="4CCB7284" w14:textId="77777777" w:rsidR="00812E80" w:rsidRPr="004B645E" w:rsidRDefault="002378BE" w:rsidP="000A2186">
      <w:pPr>
        <w:widowControl w:val="0"/>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Technical challenges include the high cost and maintenance of technical (studio) resources, particularly given the need to consider both analogue and digital technologies and rapid innovations in the field. For example, multiple digital audio workstation (DAW) software packages are required to cover diverse music production techniques, and these DAW packages are regularly improved and updated by the developers, requiring constant maintenance in education institutions. Equally, analogue and digital technologies change rapidly in music technology, meaning that a modern (high cost) digital mixing desk could easily become outdated and redundant in just a few years. Similarly, as a result of rapid innovation, literature becomes quickly outdated too and needs constantly re-evaluating for use on academic courses. Recently authors and publishers have identified this fact and, as a result, have put more attention into publishing texts that are more focused on methods, philosophy and individual expert opinion than texts focusing on specific technical aspects of music production – for example the Perspectives on Music Production series edited by Hepworth-Sawyer and Hodgson (2016).</w:t>
      </w:r>
    </w:p>
    <w:p w14:paraId="33F51BD4" w14:textId="77777777" w:rsidR="00812E80" w:rsidRPr="004B645E" w:rsidRDefault="002378BE" w:rsidP="000A2186">
      <w:pPr>
        <w:widowControl w:val="0"/>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 xml:space="preserve">A further challenge in delivering music production education is in simulating real-world scenarios and the commercial pressures associated with those. Simulating the creative processes of professional music production teams and incorporating commercial pressures and timescales is essential, though learners </w:t>
      </w:r>
      <w:r w:rsidRPr="004B645E">
        <w:rPr>
          <w:rFonts w:ascii="Times New Roman" w:hAnsi="Times New Roman" w:cs="Times New Roman"/>
          <w:sz w:val="28"/>
          <w:szCs w:val="28"/>
        </w:rPr>
        <w:lastRenderedPageBreak/>
        <w:t>are often underwhelmed by insistence on the sharing of creative activities and developing musical content to a specific commercially focused brief. The music field itself is critically connected to parallel industries, which learners need to embrace and learn how to connect with, specifically the radio, media, film, TV, game and virtual reality industries which all utilise produced music.</w:t>
      </w:r>
    </w:p>
    <w:p w14:paraId="5D3960BE" w14:textId="77777777" w:rsidR="00812E80" w:rsidRPr="004B645E" w:rsidRDefault="002378BE" w:rsidP="000A2186">
      <w:pPr>
        <w:widowControl w:val="0"/>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Cultural challenges exist also, particularly with respect to the diversity of music genres that require equally diverse methods of music production. For example, producing music for classical, rock, pop, electronic and urban genres require very different skillsets, facilities and resources. It is also challenging to assemble a teaching team that brings expertise in all of these areas. The culture of music and students who embrace this academic field also brings complexity, though equally brings opportunities for hybrid and original works to emerge. A specific example of a cultural shift in music production is the emergence of the ‘artist producer’</w:t>
      </w:r>
      <w:r w:rsidR="00B56D04" w:rsidRPr="004B645E">
        <w:rPr>
          <w:rFonts w:ascii="Times New Roman" w:hAnsi="Times New Roman" w:cs="Times New Roman"/>
          <w:sz w:val="28"/>
          <w:szCs w:val="28"/>
        </w:rPr>
        <w:t xml:space="preserve"> - as discussed by Burgess (2013) -</w:t>
      </w:r>
      <w:r w:rsidRPr="004B645E">
        <w:rPr>
          <w:rFonts w:ascii="Times New Roman" w:hAnsi="Times New Roman" w:cs="Times New Roman"/>
          <w:sz w:val="28"/>
          <w:szCs w:val="28"/>
        </w:rPr>
        <w:t xml:space="preserve"> connected to certain pop and electronic music genres, which sees the producer being the most recognized member of the creative team, for example artist producers such as </w:t>
      </w:r>
      <w:proofErr w:type="spellStart"/>
      <w:r w:rsidRPr="004B645E">
        <w:rPr>
          <w:rFonts w:ascii="Times New Roman" w:hAnsi="Times New Roman" w:cs="Times New Roman"/>
          <w:sz w:val="28"/>
          <w:szCs w:val="28"/>
        </w:rPr>
        <w:t>Timb</w:t>
      </w:r>
      <w:r w:rsidR="00407C26" w:rsidRPr="004B645E">
        <w:rPr>
          <w:rFonts w:ascii="Times New Roman" w:hAnsi="Times New Roman" w:cs="Times New Roman"/>
          <w:sz w:val="28"/>
          <w:szCs w:val="28"/>
        </w:rPr>
        <w:t>a</w:t>
      </w:r>
      <w:r w:rsidRPr="004B645E">
        <w:rPr>
          <w:rFonts w:ascii="Times New Roman" w:hAnsi="Times New Roman" w:cs="Times New Roman"/>
          <w:sz w:val="28"/>
          <w:szCs w:val="28"/>
        </w:rPr>
        <w:t>land</w:t>
      </w:r>
      <w:proofErr w:type="spellEnd"/>
      <w:r w:rsidRPr="004B645E">
        <w:rPr>
          <w:rFonts w:ascii="Times New Roman" w:hAnsi="Times New Roman" w:cs="Times New Roman"/>
          <w:sz w:val="28"/>
          <w:szCs w:val="28"/>
        </w:rPr>
        <w:t xml:space="preserve">, Danger Mouse and Mark </w:t>
      </w:r>
      <w:proofErr w:type="spellStart"/>
      <w:r w:rsidRPr="004B645E">
        <w:rPr>
          <w:rFonts w:ascii="Times New Roman" w:hAnsi="Times New Roman" w:cs="Times New Roman"/>
          <w:sz w:val="28"/>
          <w:szCs w:val="28"/>
        </w:rPr>
        <w:t>Ronson</w:t>
      </w:r>
      <w:proofErr w:type="spellEnd"/>
      <w:r w:rsidRPr="004B645E">
        <w:rPr>
          <w:rFonts w:ascii="Times New Roman" w:hAnsi="Times New Roman" w:cs="Times New Roman"/>
          <w:sz w:val="28"/>
          <w:szCs w:val="28"/>
        </w:rPr>
        <w:t xml:space="preserve">. Traditionally, the producer was considered to be an essential creative team member who remained behind the scenes and not showcased alongside the artist. This clearly brings a new challenge for music production education, in that producers nowadays need to gather more knowledge of composition, songwriting, commercial music markets and marketing methods. </w:t>
      </w:r>
    </w:p>
    <w:p w14:paraId="7D4132DC" w14:textId="77777777" w:rsidR="00812E80" w:rsidRPr="004B645E" w:rsidRDefault="002378BE" w:rsidP="000A2186">
      <w:pPr>
        <w:widowControl w:val="0"/>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 xml:space="preserve">Diverse student cohorts in music production </w:t>
      </w:r>
      <w:r w:rsidR="00375C95" w:rsidRPr="004B645E">
        <w:rPr>
          <w:rFonts w:ascii="Times New Roman" w:hAnsi="Times New Roman" w:cs="Times New Roman"/>
          <w:sz w:val="28"/>
          <w:szCs w:val="28"/>
        </w:rPr>
        <w:t>also present a problem</w:t>
      </w:r>
      <w:r w:rsidRPr="004B645E">
        <w:rPr>
          <w:rFonts w:ascii="Times New Roman" w:hAnsi="Times New Roman" w:cs="Times New Roman"/>
          <w:sz w:val="28"/>
          <w:szCs w:val="28"/>
        </w:rPr>
        <w:t xml:space="preserve">, particularly given that students arrive from very different backgrounds and may be proficient on one area but weak in others. </w:t>
      </w:r>
      <w:r w:rsidR="004F5C34" w:rsidRPr="004B645E">
        <w:rPr>
          <w:rFonts w:ascii="Times New Roman" w:hAnsi="Times New Roman" w:cs="Times New Roman"/>
          <w:sz w:val="28"/>
          <w:szCs w:val="28"/>
        </w:rPr>
        <w:t>D</w:t>
      </w:r>
      <w:r w:rsidRPr="004B645E">
        <w:rPr>
          <w:rFonts w:ascii="Times New Roman" w:hAnsi="Times New Roman" w:cs="Times New Roman"/>
          <w:sz w:val="28"/>
          <w:szCs w:val="28"/>
        </w:rPr>
        <w:t xml:space="preserve">eveloping a curriculum that allows the best learners to excel, whilst bringing the weaker students up to speed is a significant challenge. Furthermore, students respond to different learning methods and usually identify skills areas in which they prefer to specialize or </w:t>
      </w:r>
      <w:r w:rsidRPr="004B645E">
        <w:rPr>
          <w:rFonts w:ascii="Times New Roman" w:hAnsi="Times New Roman" w:cs="Times New Roman"/>
          <w:sz w:val="28"/>
          <w:szCs w:val="28"/>
        </w:rPr>
        <w:lastRenderedPageBreak/>
        <w:t xml:space="preserve">concentrate more. These complexities also generate challenges for assessment, in order to give all students a fair opportunity to express their personal identity and capability. The size of cohorts can also </w:t>
      </w:r>
      <w:r w:rsidR="00375C95" w:rsidRPr="004B645E">
        <w:rPr>
          <w:rFonts w:ascii="Times New Roman" w:hAnsi="Times New Roman" w:cs="Times New Roman"/>
          <w:sz w:val="28"/>
          <w:szCs w:val="28"/>
        </w:rPr>
        <w:t>have implications</w:t>
      </w:r>
      <w:r w:rsidRPr="004B645E">
        <w:rPr>
          <w:rFonts w:ascii="Times New Roman" w:hAnsi="Times New Roman" w:cs="Times New Roman"/>
          <w:sz w:val="28"/>
          <w:szCs w:val="28"/>
        </w:rPr>
        <w:t xml:space="preserve"> </w:t>
      </w:r>
      <w:r w:rsidR="00375C95" w:rsidRPr="004B645E">
        <w:rPr>
          <w:rFonts w:ascii="Times New Roman" w:hAnsi="Times New Roman" w:cs="Times New Roman"/>
          <w:sz w:val="28"/>
          <w:szCs w:val="28"/>
        </w:rPr>
        <w:t>for</w:t>
      </w:r>
      <w:r w:rsidRPr="004B645E">
        <w:rPr>
          <w:rFonts w:ascii="Times New Roman" w:hAnsi="Times New Roman" w:cs="Times New Roman"/>
          <w:sz w:val="28"/>
          <w:szCs w:val="28"/>
        </w:rPr>
        <w:t xml:space="preserve"> assessment methods, particularly given that the field is generally subjectively assessed and requires individual attention to detail and strong second marking to ensure fairness in marking.</w:t>
      </w:r>
    </w:p>
    <w:p w14:paraId="494919F5" w14:textId="77777777" w:rsidR="00812E80" w:rsidRPr="004B645E" w:rsidRDefault="00812E80" w:rsidP="000A2186">
      <w:pPr>
        <w:spacing w:before="120" w:afterLines="30" w:after="72" w:line="360" w:lineRule="auto"/>
        <w:jc w:val="left"/>
        <w:rPr>
          <w:rFonts w:ascii="Times New Roman" w:hAnsi="Times New Roman" w:cs="Times New Roman"/>
          <w:sz w:val="28"/>
          <w:szCs w:val="28"/>
        </w:rPr>
      </w:pPr>
    </w:p>
    <w:p w14:paraId="1475A58C" w14:textId="77777777" w:rsidR="00812E80" w:rsidRPr="004B645E" w:rsidRDefault="00B56D04" w:rsidP="00053713">
      <w:pPr>
        <w:pStyle w:val="Heading2"/>
      </w:pPr>
      <w:bookmarkStart w:id="13" w:name="_Toc511118202"/>
      <w:r w:rsidRPr="004B645E">
        <w:t>Conclusions:</w:t>
      </w:r>
      <w:r w:rsidR="00FD2907" w:rsidRPr="004B645E">
        <w:t xml:space="preserve"> </w:t>
      </w:r>
      <w:r w:rsidR="002378BE" w:rsidRPr="004B645E">
        <w:t>The Exit Strategy</w:t>
      </w:r>
      <w:bookmarkEnd w:id="13"/>
    </w:p>
    <w:p w14:paraId="005CA1A9" w14:textId="77777777" w:rsidR="00812E80" w:rsidRPr="004B645E" w:rsidRDefault="00E8760F" w:rsidP="000A2186">
      <w:pPr>
        <w:widowControl w:val="0"/>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 xml:space="preserve">A </w:t>
      </w:r>
      <w:r w:rsidR="002378BE" w:rsidRPr="004B645E">
        <w:rPr>
          <w:rFonts w:ascii="Times New Roman" w:hAnsi="Times New Roman" w:cs="Times New Roman"/>
          <w:sz w:val="28"/>
          <w:szCs w:val="28"/>
        </w:rPr>
        <w:t xml:space="preserve">key objective of music production courses is to generate autonomous learners who are equipped with the skills for employment or freelance careers in fields related to music production. Figure </w:t>
      </w:r>
      <w:r w:rsidR="00B57BF1" w:rsidRPr="004B645E">
        <w:rPr>
          <w:rFonts w:ascii="Times New Roman" w:hAnsi="Times New Roman" w:cs="Times New Roman"/>
          <w:sz w:val="28"/>
          <w:szCs w:val="28"/>
        </w:rPr>
        <w:t>8</w:t>
      </w:r>
      <w:r w:rsidR="002378BE" w:rsidRPr="004B645E">
        <w:rPr>
          <w:rFonts w:ascii="Times New Roman" w:hAnsi="Times New Roman" w:cs="Times New Roman"/>
          <w:sz w:val="28"/>
          <w:szCs w:val="28"/>
        </w:rPr>
        <w:t xml:space="preserve"> lists a number of exit pathways for students in music production.</w:t>
      </w:r>
    </w:p>
    <w:p w14:paraId="7CB293E7" w14:textId="77777777" w:rsidR="00812E80" w:rsidRPr="004B645E" w:rsidRDefault="00812E80" w:rsidP="000A2186">
      <w:pPr>
        <w:widowControl w:val="0"/>
        <w:spacing w:before="120" w:afterLines="30" w:after="72" w:line="360" w:lineRule="auto"/>
        <w:jc w:val="left"/>
        <w:rPr>
          <w:rFonts w:ascii="Times New Roman" w:hAnsi="Times New Roman" w:cs="Times New Roman"/>
          <w:noProof/>
          <w:sz w:val="28"/>
          <w:szCs w:val="28"/>
          <w:lang w:val="en-US"/>
        </w:rPr>
      </w:pPr>
    </w:p>
    <w:p w14:paraId="69E0F802" w14:textId="77777777" w:rsidR="003062F9" w:rsidRPr="004B645E" w:rsidRDefault="003062F9" w:rsidP="000A2186">
      <w:pPr>
        <w:widowControl w:val="0"/>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//Figure_8.png//</w:t>
      </w:r>
    </w:p>
    <w:p w14:paraId="76974CF3" w14:textId="77777777" w:rsidR="00812E80" w:rsidRPr="004B645E" w:rsidRDefault="002378BE" w:rsidP="000A2186">
      <w:pPr>
        <w:widowControl w:val="0"/>
        <w:spacing w:before="120" w:afterLines="30" w:after="72" w:line="360" w:lineRule="auto"/>
        <w:jc w:val="left"/>
        <w:rPr>
          <w:rFonts w:ascii="Times New Roman" w:hAnsi="Times New Roman" w:cs="Times New Roman"/>
          <w:b/>
          <w:sz w:val="28"/>
          <w:szCs w:val="28"/>
        </w:rPr>
      </w:pPr>
      <w:r w:rsidRPr="004B645E">
        <w:rPr>
          <w:rFonts w:ascii="Times New Roman" w:hAnsi="Times New Roman" w:cs="Times New Roman"/>
          <w:b/>
          <w:sz w:val="28"/>
          <w:szCs w:val="28"/>
        </w:rPr>
        <w:t xml:space="preserve">Figure </w:t>
      </w:r>
      <w:r w:rsidR="00B57BF1" w:rsidRPr="004B645E">
        <w:rPr>
          <w:rFonts w:ascii="Times New Roman" w:hAnsi="Times New Roman" w:cs="Times New Roman"/>
          <w:b/>
          <w:sz w:val="28"/>
          <w:szCs w:val="28"/>
        </w:rPr>
        <w:t>8</w:t>
      </w:r>
      <w:r w:rsidRPr="004B645E">
        <w:rPr>
          <w:rFonts w:ascii="Times New Roman" w:hAnsi="Times New Roman" w:cs="Times New Roman"/>
          <w:b/>
          <w:sz w:val="28"/>
          <w:szCs w:val="28"/>
        </w:rPr>
        <w:t>. Exit pathways for music production students.</w:t>
      </w:r>
    </w:p>
    <w:p w14:paraId="256FF985" w14:textId="77777777" w:rsidR="00812E80" w:rsidRPr="004B645E" w:rsidRDefault="00812E80" w:rsidP="000A2186">
      <w:pPr>
        <w:spacing w:before="120" w:afterLines="30" w:after="72" w:line="360" w:lineRule="auto"/>
        <w:jc w:val="left"/>
        <w:rPr>
          <w:rFonts w:ascii="Times New Roman" w:eastAsia="Times New Roman" w:hAnsi="Times New Roman" w:cs="Times New Roman"/>
          <w:sz w:val="28"/>
          <w:szCs w:val="28"/>
        </w:rPr>
      </w:pPr>
    </w:p>
    <w:p w14:paraId="53C424E1" w14:textId="77777777" w:rsidR="00FD2907" w:rsidRPr="004B645E" w:rsidRDefault="002378BE" w:rsidP="000A2186">
      <w:pPr>
        <w:widowControl w:val="0"/>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 xml:space="preserve">It is no secret that there are few employment opportunities for graduate music producers in the current day, but given the diverse skillset covered in their academic programme, music production graduates can expect to be highly employable and equipped for sustainable careers in music and related industries. Students may be ready to embark on freelance careers in music production (or as producer artists), perhaps first gaining professional experience as studio assistants or recording engineers with the aim of progressing to lead and manage full music production projects. Equally, the skills acquired when learning music production in higher education should equip leaners to be employable by equipment manufacturers and in parallel industries that rely on music assets, such as the radio, film, TV and gaming industries. Furthermore, </w:t>
      </w:r>
      <w:r w:rsidRPr="004B645E">
        <w:rPr>
          <w:rFonts w:ascii="Times New Roman" w:hAnsi="Times New Roman" w:cs="Times New Roman"/>
          <w:sz w:val="28"/>
          <w:szCs w:val="28"/>
        </w:rPr>
        <w:lastRenderedPageBreak/>
        <w:t>students should be educated to a level where they are able to take their autonomous learning to a new level and engage in postgraduate study or academic research that further develops the field of music production.</w:t>
      </w:r>
    </w:p>
    <w:p w14:paraId="26C7A31B" w14:textId="77777777" w:rsidR="00FD2907" w:rsidRPr="004B645E" w:rsidRDefault="00FD2907" w:rsidP="000A2186">
      <w:pPr>
        <w:widowControl w:val="0"/>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Reflecting on Bloom’s and K</w:t>
      </w:r>
      <w:r w:rsidR="00B3320B" w:rsidRPr="004B645E">
        <w:rPr>
          <w:rFonts w:ascii="Times New Roman" w:hAnsi="Times New Roman" w:cs="Times New Roman"/>
          <w:sz w:val="28"/>
          <w:szCs w:val="28"/>
        </w:rPr>
        <w:t>ol</w:t>
      </w:r>
      <w:r w:rsidRPr="004B645E">
        <w:rPr>
          <w:rFonts w:ascii="Times New Roman" w:hAnsi="Times New Roman" w:cs="Times New Roman"/>
          <w:sz w:val="28"/>
          <w:szCs w:val="28"/>
        </w:rPr>
        <w:t xml:space="preserve">b’s methodologies for learning, two words that are </w:t>
      </w:r>
      <w:r w:rsidR="00B56D04" w:rsidRPr="004B645E">
        <w:rPr>
          <w:rFonts w:ascii="Times New Roman" w:hAnsi="Times New Roman" w:cs="Times New Roman"/>
          <w:sz w:val="28"/>
          <w:szCs w:val="28"/>
        </w:rPr>
        <w:t xml:space="preserve">perhaps </w:t>
      </w:r>
      <w:r w:rsidRPr="004B645E">
        <w:rPr>
          <w:rFonts w:ascii="Times New Roman" w:hAnsi="Times New Roman" w:cs="Times New Roman"/>
          <w:sz w:val="28"/>
          <w:szCs w:val="28"/>
        </w:rPr>
        <w:t>missing in the discussion are innovation and wisdom, which are both essential and applicable to many fields</w:t>
      </w:r>
      <w:r w:rsidR="00B56D04" w:rsidRPr="004B645E">
        <w:rPr>
          <w:rFonts w:ascii="Times New Roman" w:hAnsi="Times New Roman" w:cs="Times New Roman"/>
          <w:sz w:val="28"/>
          <w:szCs w:val="28"/>
        </w:rPr>
        <w:t>,</w:t>
      </w:r>
      <w:r w:rsidRPr="004B645E">
        <w:rPr>
          <w:rFonts w:ascii="Times New Roman" w:hAnsi="Times New Roman" w:cs="Times New Roman"/>
          <w:sz w:val="28"/>
          <w:szCs w:val="28"/>
        </w:rPr>
        <w:t xml:space="preserve"> including music production. Innovation is a term used to describe the development and sharing of new tools and practices, and as such represents the synthesis and evaluation levels of Bloom’s </w:t>
      </w:r>
      <w:r w:rsidR="00B56D04" w:rsidRPr="004B645E">
        <w:rPr>
          <w:rFonts w:ascii="Times New Roman" w:hAnsi="Times New Roman" w:cs="Times New Roman"/>
          <w:sz w:val="28"/>
          <w:szCs w:val="28"/>
        </w:rPr>
        <w:t>Cognitive</w:t>
      </w:r>
      <w:r w:rsidRPr="004B645E">
        <w:rPr>
          <w:rFonts w:ascii="Times New Roman" w:hAnsi="Times New Roman" w:cs="Times New Roman"/>
          <w:sz w:val="28"/>
          <w:szCs w:val="28"/>
        </w:rPr>
        <w:t xml:space="preserve"> Domain. </w:t>
      </w:r>
      <w:r w:rsidR="00B56D04" w:rsidRPr="004B645E">
        <w:rPr>
          <w:rFonts w:ascii="Times New Roman" w:hAnsi="Times New Roman" w:cs="Times New Roman"/>
          <w:sz w:val="28"/>
          <w:szCs w:val="28"/>
        </w:rPr>
        <w:t>Successful p</w:t>
      </w:r>
      <w:r w:rsidRPr="004B645E">
        <w:rPr>
          <w:rFonts w:ascii="Times New Roman" w:hAnsi="Times New Roman" w:cs="Times New Roman"/>
          <w:sz w:val="28"/>
          <w:szCs w:val="28"/>
        </w:rPr>
        <w:t xml:space="preserve">ractitioners (and students) innovate both technically, creatively and entrepreneurially, and the process of innovation yields the new tools and practices that can be further synthesised and evaluated. It could be argued that wisdom itself, in music production, is defined by the combination of Bloom’s connected </w:t>
      </w:r>
      <w:r w:rsidR="00B56D04" w:rsidRPr="004B645E">
        <w:rPr>
          <w:rFonts w:ascii="Times New Roman" w:hAnsi="Times New Roman" w:cs="Times New Roman"/>
          <w:sz w:val="28"/>
          <w:szCs w:val="28"/>
        </w:rPr>
        <w:t>Cognitive</w:t>
      </w:r>
      <w:r w:rsidRPr="004B645E">
        <w:rPr>
          <w:rFonts w:ascii="Times New Roman" w:hAnsi="Times New Roman" w:cs="Times New Roman"/>
          <w:sz w:val="28"/>
          <w:szCs w:val="28"/>
        </w:rPr>
        <w:t xml:space="preserve"> Domains with the inclusion of K</w:t>
      </w:r>
      <w:r w:rsidR="00B3320B" w:rsidRPr="004B645E">
        <w:rPr>
          <w:rFonts w:ascii="Times New Roman" w:hAnsi="Times New Roman" w:cs="Times New Roman"/>
          <w:sz w:val="28"/>
          <w:szCs w:val="28"/>
        </w:rPr>
        <w:t>ol</w:t>
      </w:r>
      <w:r w:rsidRPr="004B645E">
        <w:rPr>
          <w:rFonts w:ascii="Times New Roman" w:hAnsi="Times New Roman" w:cs="Times New Roman"/>
          <w:sz w:val="28"/>
          <w:szCs w:val="28"/>
        </w:rPr>
        <w:t xml:space="preserve">b’s Experiential Learning Model – </w:t>
      </w:r>
      <w:proofErr w:type="spellStart"/>
      <w:r w:rsidRPr="004B645E">
        <w:rPr>
          <w:rFonts w:ascii="Times New Roman" w:hAnsi="Times New Roman" w:cs="Times New Roman"/>
          <w:sz w:val="28"/>
          <w:szCs w:val="28"/>
        </w:rPr>
        <w:t>i.e</w:t>
      </w:r>
      <w:proofErr w:type="spellEnd"/>
      <w:r w:rsidRPr="004B645E">
        <w:rPr>
          <w:rFonts w:ascii="Times New Roman" w:hAnsi="Times New Roman" w:cs="Times New Roman"/>
          <w:sz w:val="28"/>
          <w:szCs w:val="28"/>
        </w:rPr>
        <w:t xml:space="preserve"> a fusion of Figures 2 and 4 shown previously. The wise practitioner is one who  is knowledgeable, practical and innovative, with substantial in-field experience</w:t>
      </w:r>
      <w:r w:rsidR="00B56D04" w:rsidRPr="004B645E">
        <w:rPr>
          <w:rFonts w:ascii="Times New Roman" w:hAnsi="Times New Roman" w:cs="Times New Roman"/>
          <w:sz w:val="28"/>
          <w:szCs w:val="28"/>
        </w:rPr>
        <w:t xml:space="preserve"> that enables intuitive decision making and the ability to impart wisdom to others. If students graduate with wisdom in their field then the facilitator’s job is complete, though perhaps it takes a career of professional experiences to develop the highest form of wisdom. </w:t>
      </w:r>
    </w:p>
    <w:p w14:paraId="53C914B4" w14:textId="77777777" w:rsidR="00812E80" w:rsidRPr="004B645E" w:rsidRDefault="002378BE" w:rsidP="000A2186">
      <w:pPr>
        <w:widowControl w:val="0"/>
        <w:spacing w:before="120"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 xml:space="preserve">It is therefore seen that the provision of music production education is a challenging one, that brings diverse academic fields and requires multiple learning and teaching strategies to deliver effectively. As a result, the field becomes a fascinating multi-dimensional journey for learners, and educators, that, when implemented successfully, yields multi-skilled practitioners that are desired and employable within a number of professional fields.    </w:t>
      </w:r>
    </w:p>
    <w:p w14:paraId="642C2BAF" w14:textId="77777777" w:rsidR="00812E80" w:rsidRPr="004B645E" w:rsidRDefault="00812E80" w:rsidP="000A2186">
      <w:pPr>
        <w:spacing w:before="120" w:afterLines="30" w:after="72" w:line="360" w:lineRule="auto"/>
        <w:jc w:val="left"/>
        <w:rPr>
          <w:rFonts w:ascii="Times New Roman" w:eastAsia="Times New Roman" w:hAnsi="Times New Roman" w:cs="Times New Roman"/>
          <w:sz w:val="28"/>
          <w:szCs w:val="28"/>
        </w:rPr>
      </w:pPr>
    </w:p>
    <w:p w14:paraId="0D94C0CE" w14:textId="77777777" w:rsidR="00812E80" w:rsidRPr="004B645E" w:rsidRDefault="00E8760F" w:rsidP="00053713">
      <w:pPr>
        <w:pStyle w:val="Heading2"/>
      </w:pPr>
      <w:bookmarkStart w:id="14" w:name="_Toc511118203"/>
      <w:r w:rsidRPr="004B645E">
        <w:lastRenderedPageBreak/>
        <w:t xml:space="preserve">8. </w:t>
      </w:r>
      <w:r w:rsidR="002378BE" w:rsidRPr="004B645E">
        <w:t>References</w:t>
      </w:r>
      <w:bookmarkEnd w:id="14"/>
    </w:p>
    <w:p w14:paraId="1EB5455A" w14:textId="77777777" w:rsidR="00812E80" w:rsidRPr="004B645E" w:rsidRDefault="002378BE" w:rsidP="000A2186">
      <w:pPr>
        <w:spacing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 xml:space="preserve">Anderson, L.W. &amp; Krathwohl, D. R. (Eds.) (2001). A Taxonomy For Learning, Teaching, and Assessing; A revision of Bloom’s Taxonomy of Educational Objectives. Longman, New York. </w:t>
      </w:r>
    </w:p>
    <w:p w14:paraId="2B324F1C" w14:textId="77777777" w:rsidR="00812E80" w:rsidRPr="004B645E" w:rsidRDefault="002378BE" w:rsidP="000A2186">
      <w:pPr>
        <w:spacing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 xml:space="preserve">Bloom, B., Englehart, M. </w:t>
      </w:r>
      <w:proofErr w:type="spellStart"/>
      <w:r w:rsidRPr="004B645E">
        <w:rPr>
          <w:rFonts w:ascii="Times New Roman" w:hAnsi="Times New Roman" w:cs="Times New Roman"/>
          <w:sz w:val="28"/>
          <w:szCs w:val="28"/>
        </w:rPr>
        <w:t>Furst</w:t>
      </w:r>
      <w:proofErr w:type="spellEnd"/>
      <w:r w:rsidRPr="004B645E">
        <w:rPr>
          <w:rFonts w:ascii="Times New Roman" w:hAnsi="Times New Roman" w:cs="Times New Roman"/>
          <w:sz w:val="28"/>
          <w:szCs w:val="28"/>
        </w:rPr>
        <w:t>, E., Hill, W., &amp; Krathwohl, D. 1956. Taxonomy of educational objectives: The classification of educational goals. Handbook I: Cognitive domain. New York, Toronto: Longmans, Green.</w:t>
      </w:r>
    </w:p>
    <w:p w14:paraId="4411AE9A" w14:textId="77777777" w:rsidR="00B56D04" w:rsidRPr="004B645E" w:rsidRDefault="002378BE" w:rsidP="000A2186">
      <w:pPr>
        <w:spacing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Boehm, C. (2007). ‘The discipline that never was: current developments in music technology in higher education in Britain’. Journal of Music, Technology &amp; Education 1:3 pp. 7-21.</w:t>
      </w:r>
    </w:p>
    <w:p w14:paraId="75642415" w14:textId="77777777" w:rsidR="00B56D04" w:rsidRPr="004B645E" w:rsidRDefault="00B56D04" w:rsidP="000A2186">
      <w:pPr>
        <w:spacing w:afterLines="30" w:after="72" w:line="360" w:lineRule="auto"/>
        <w:jc w:val="left"/>
        <w:rPr>
          <w:rFonts w:ascii="Times New Roman" w:hAnsi="Times New Roman" w:cs="Times New Roman"/>
          <w:sz w:val="28"/>
          <w:szCs w:val="28"/>
        </w:rPr>
      </w:pPr>
      <w:r w:rsidRPr="004B645E">
        <w:rPr>
          <w:rStyle w:val="PlainTable31"/>
          <w:rFonts w:ascii="Times New Roman" w:hAnsi="Times New Roman" w:cs="Times New Roman"/>
          <w:i w:val="0"/>
          <w:color w:val="000000"/>
          <w:sz w:val="28"/>
          <w:szCs w:val="28"/>
        </w:rPr>
        <w:t xml:space="preserve">Burgess, R. J. The Art of Music Production: the Theory and Practice. 4th ed. (Oxford: Oxford University Press, 2013), </w:t>
      </w:r>
    </w:p>
    <w:p w14:paraId="1DC9272D" w14:textId="77777777" w:rsidR="00812E80" w:rsidRPr="004B645E" w:rsidRDefault="002378BE" w:rsidP="000A2186">
      <w:pPr>
        <w:spacing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Calver, J., Davis, R. &amp; Parker, S. (2015). ‘Disrupting disciplines: meeting the challenge of the industry-ready agenda for the freelance creative practitioner’. Teaching and Learning Cultural Entrepreneurship (TLCUE) Conference 2015</w:t>
      </w:r>
    </w:p>
    <w:p w14:paraId="48F0B267" w14:textId="77777777" w:rsidR="00812E80" w:rsidRPr="004B645E" w:rsidRDefault="002378BE" w:rsidP="000A2186">
      <w:pPr>
        <w:spacing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 xml:space="preserve">Chickering, A. W. &amp; </w:t>
      </w:r>
      <w:proofErr w:type="spellStart"/>
      <w:r w:rsidRPr="004B645E">
        <w:rPr>
          <w:rFonts w:ascii="Times New Roman" w:hAnsi="Times New Roman" w:cs="Times New Roman"/>
          <w:sz w:val="28"/>
          <w:szCs w:val="28"/>
        </w:rPr>
        <w:t>Gamson</w:t>
      </w:r>
      <w:proofErr w:type="spellEnd"/>
      <w:r w:rsidRPr="004B645E">
        <w:rPr>
          <w:rFonts w:ascii="Times New Roman" w:hAnsi="Times New Roman" w:cs="Times New Roman"/>
          <w:sz w:val="28"/>
          <w:szCs w:val="28"/>
        </w:rPr>
        <w:t>, Z. F. 1987. I. AAHE Bulletin, 39(7), 3-7.</w:t>
      </w:r>
    </w:p>
    <w:p w14:paraId="54F8F714" w14:textId="77777777" w:rsidR="00812E80" w:rsidRPr="004B645E" w:rsidRDefault="002378BE" w:rsidP="000A2186">
      <w:pPr>
        <w:spacing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Covington, M. V. 1985. Strategic thinking and fear of failure. In J. Segal, S. Chipman, &amp; R. Glaser (Eds.), Thinking and learning skills: Relating instruction to research (pp. 389-416). Hillsdale, NJ: Erlbaum.</w:t>
      </w:r>
    </w:p>
    <w:p w14:paraId="6E2B960D" w14:textId="77777777" w:rsidR="00812E80" w:rsidRPr="004B645E" w:rsidRDefault="002378BE" w:rsidP="000A2186">
      <w:pPr>
        <w:spacing w:afterLines="30" w:after="72" w:line="360" w:lineRule="auto"/>
        <w:jc w:val="left"/>
        <w:rPr>
          <w:rFonts w:ascii="Times New Roman" w:hAnsi="Times New Roman" w:cs="Times New Roman"/>
          <w:b/>
          <w:sz w:val="28"/>
          <w:szCs w:val="28"/>
        </w:rPr>
      </w:pPr>
      <w:r w:rsidRPr="004B645E">
        <w:rPr>
          <w:rFonts w:ascii="Times New Roman" w:hAnsi="Times New Roman" w:cs="Times New Roman"/>
          <w:sz w:val="28"/>
          <w:szCs w:val="28"/>
        </w:rPr>
        <w:t>Davis, M., (2003) ‘Barriers to Reflective Practice’</w:t>
      </w:r>
      <w:r w:rsidRPr="004B645E">
        <w:rPr>
          <w:rFonts w:ascii="Times New Roman" w:hAnsi="Times New Roman" w:cs="Times New Roman"/>
          <w:b/>
          <w:sz w:val="28"/>
          <w:szCs w:val="28"/>
        </w:rPr>
        <w:t xml:space="preserve">. </w:t>
      </w:r>
      <w:r w:rsidRPr="004B645E">
        <w:rPr>
          <w:rFonts w:ascii="Times New Roman" w:hAnsi="Times New Roman" w:cs="Times New Roman"/>
          <w:sz w:val="28"/>
          <w:szCs w:val="28"/>
        </w:rPr>
        <w:t xml:space="preserve">Active Learning in Higher Education </w:t>
      </w:r>
    </w:p>
    <w:p w14:paraId="19285E1F" w14:textId="77777777" w:rsidR="00812E80" w:rsidRPr="004B645E" w:rsidRDefault="002378BE" w:rsidP="000A2186">
      <w:pPr>
        <w:spacing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 xml:space="preserve">Vol 4, Issue 3, pp. 243 - 255 </w:t>
      </w:r>
    </w:p>
    <w:p w14:paraId="3CAF863B" w14:textId="77777777" w:rsidR="00812E80" w:rsidRPr="004B645E" w:rsidRDefault="002378BE" w:rsidP="000A2186">
      <w:pPr>
        <w:spacing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Fallows, S. J. and  Ahmet, K. (1999). Inspiring Students: Case Studies in Motivating the Learner, Kogan Page Limited.</w:t>
      </w:r>
    </w:p>
    <w:p w14:paraId="34BD5D67" w14:textId="77777777" w:rsidR="00812E80" w:rsidRPr="004B645E" w:rsidRDefault="002378BE" w:rsidP="000A2186">
      <w:pPr>
        <w:spacing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Gershon, M. (2015) How To Use Bloom's Taxonomy in the Classroom: The Complete Guide, Amazon/CreateSpace Independent Publishing Platform</w:t>
      </w:r>
    </w:p>
    <w:p w14:paraId="5FB4F555" w14:textId="77777777" w:rsidR="00812E80" w:rsidRPr="004B645E" w:rsidRDefault="002378BE" w:rsidP="000A2186">
      <w:pPr>
        <w:spacing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lastRenderedPageBreak/>
        <w:t>Hanna, W. (2007) The New Bloom's Taxonomy: Implications for Music Education, Arts Education Policy Review, Volume 108, Issue 4</w:t>
      </w:r>
    </w:p>
    <w:p w14:paraId="3C34B192" w14:textId="77777777" w:rsidR="00812E80" w:rsidRPr="004B645E" w:rsidRDefault="002378BE" w:rsidP="000A2186">
      <w:pPr>
        <w:spacing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 xml:space="preserve">Harden, R. M. and Crosby, J. (2000). </w:t>
      </w:r>
      <w:hyperlink r:id="rId10">
        <w:r w:rsidRPr="004B645E">
          <w:rPr>
            <w:rFonts w:ascii="Times New Roman" w:hAnsi="Times New Roman" w:cs="Times New Roman"/>
            <w:sz w:val="28"/>
            <w:szCs w:val="28"/>
          </w:rPr>
          <w:t>AMEE Guide No 20: The good teacher is more than a lecturer - the twelve roles of the teacher</w:t>
        </w:r>
      </w:hyperlink>
      <w:r w:rsidRPr="004B645E">
        <w:rPr>
          <w:rFonts w:ascii="Times New Roman" w:hAnsi="Times New Roman" w:cs="Times New Roman"/>
          <w:sz w:val="28"/>
          <w:szCs w:val="28"/>
        </w:rPr>
        <w:t xml:space="preserve">, </w:t>
      </w:r>
      <w:hyperlink r:id="rId11">
        <w:r w:rsidRPr="004B645E">
          <w:rPr>
            <w:rFonts w:ascii="Times New Roman" w:hAnsi="Times New Roman" w:cs="Times New Roman"/>
            <w:sz w:val="28"/>
            <w:szCs w:val="28"/>
          </w:rPr>
          <w:t>Medical Teacher </w:t>
        </w:r>
      </w:hyperlink>
      <w:r w:rsidRPr="004B645E">
        <w:rPr>
          <w:rFonts w:ascii="Times New Roman" w:hAnsi="Times New Roman" w:cs="Times New Roman"/>
          <w:sz w:val="28"/>
          <w:szCs w:val="28"/>
        </w:rPr>
        <w:t>Volume 22, Issue 4, p334-347</w:t>
      </w:r>
    </w:p>
    <w:p w14:paraId="4C8CF2E6" w14:textId="77777777" w:rsidR="00812E80" w:rsidRPr="004B645E" w:rsidRDefault="002378BE" w:rsidP="000A2186">
      <w:pPr>
        <w:spacing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Hattie, J. 2002. 'What are the attributes of excellent teachers?' in B. Webber (Editor), Teachers make a Difference: What is the Research Evidence? Conference Proceedings, New Zealand Council for Educational Research, Wellington (New Zealand).</w:t>
      </w:r>
    </w:p>
    <w:p w14:paraId="564F389F" w14:textId="77777777" w:rsidR="00812E80" w:rsidRPr="004B645E" w:rsidRDefault="002378BE" w:rsidP="000A2186">
      <w:pPr>
        <w:spacing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Hepworth-Sawyer, R. and Golding, C. (2011). What Is Music Production, Focal Press.</w:t>
      </w:r>
    </w:p>
    <w:p w14:paraId="383C0826" w14:textId="77777777" w:rsidR="00812E80" w:rsidRPr="004B645E" w:rsidRDefault="002378BE" w:rsidP="000A2186">
      <w:pPr>
        <w:spacing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 xml:space="preserve">Hepworth-Sawyer, R. and Hodgson, J. (2016). Perspectives on Music Production: Mixing Music, Routledge. </w:t>
      </w:r>
    </w:p>
    <w:p w14:paraId="72117238" w14:textId="77777777" w:rsidR="00812E80" w:rsidRPr="004B645E" w:rsidRDefault="002378BE" w:rsidP="000A2186">
      <w:pPr>
        <w:spacing w:afterLines="30" w:after="72" w:line="360" w:lineRule="auto"/>
        <w:jc w:val="left"/>
        <w:rPr>
          <w:rFonts w:ascii="Times New Roman" w:hAnsi="Times New Roman" w:cs="Times New Roman"/>
          <w:sz w:val="28"/>
          <w:szCs w:val="28"/>
        </w:rPr>
      </w:pPr>
      <w:proofErr w:type="spellStart"/>
      <w:r w:rsidRPr="004B645E">
        <w:rPr>
          <w:rFonts w:ascii="Times New Roman" w:hAnsi="Times New Roman" w:cs="Times New Roman"/>
          <w:sz w:val="28"/>
          <w:szCs w:val="28"/>
        </w:rPr>
        <w:t>Husman</w:t>
      </w:r>
      <w:proofErr w:type="spellEnd"/>
      <w:r w:rsidRPr="004B645E">
        <w:rPr>
          <w:rFonts w:ascii="Times New Roman" w:hAnsi="Times New Roman" w:cs="Times New Roman"/>
          <w:sz w:val="28"/>
          <w:szCs w:val="28"/>
        </w:rPr>
        <w:t>, J., &amp; Lens, W. (1999). The role of the future in student motivation. Educational Psychologist, 34(2), 113-125.</w:t>
      </w:r>
    </w:p>
    <w:p w14:paraId="2257B513" w14:textId="77777777" w:rsidR="00812E80" w:rsidRPr="004B645E" w:rsidRDefault="002378BE" w:rsidP="000A2186">
      <w:pPr>
        <w:spacing w:afterLines="30" w:after="72" w:line="360" w:lineRule="auto"/>
        <w:jc w:val="left"/>
        <w:rPr>
          <w:rFonts w:ascii="Times New Roman" w:hAnsi="Times New Roman" w:cs="Times New Roman"/>
          <w:sz w:val="28"/>
          <w:szCs w:val="28"/>
        </w:rPr>
      </w:pPr>
      <w:proofErr w:type="spellStart"/>
      <w:r w:rsidRPr="004B645E">
        <w:rPr>
          <w:rFonts w:ascii="Times New Roman" w:hAnsi="Times New Roman" w:cs="Times New Roman"/>
          <w:sz w:val="28"/>
          <w:szCs w:val="28"/>
        </w:rPr>
        <w:t>Kimmons</w:t>
      </w:r>
      <w:proofErr w:type="spellEnd"/>
      <w:r w:rsidRPr="004B645E">
        <w:rPr>
          <w:rFonts w:ascii="Times New Roman" w:hAnsi="Times New Roman" w:cs="Times New Roman"/>
          <w:sz w:val="28"/>
          <w:szCs w:val="28"/>
        </w:rPr>
        <w:t>, J. V. and </w:t>
      </w:r>
      <w:proofErr w:type="spellStart"/>
      <w:r w:rsidRPr="004B645E">
        <w:rPr>
          <w:rFonts w:ascii="Times New Roman" w:hAnsi="Times New Roman" w:cs="Times New Roman"/>
          <w:sz w:val="28"/>
          <w:szCs w:val="28"/>
        </w:rPr>
        <w:t>Spruiell</w:t>
      </w:r>
      <w:proofErr w:type="spellEnd"/>
      <w:r w:rsidRPr="004B645E">
        <w:rPr>
          <w:rFonts w:ascii="Times New Roman" w:hAnsi="Times New Roman" w:cs="Times New Roman"/>
          <w:sz w:val="28"/>
          <w:szCs w:val="28"/>
        </w:rPr>
        <w:t>, P. R. (2005). Using Problem-Based Learning in a Multidisciplinary Setting, Clothing and Textiles Research Journal, Volume 23/4, p385-395.</w:t>
      </w:r>
    </w:p>
    <w:p w14:paraId="19CA4E94" w14:textId="77777777" w:rsidR="00812E80" w:rsidRPr="004B645E" w:rsidRDefault="002378BE" w:rsidP="000A2186">
      <w:pPr>
        <w:spacing w:afterLines="30" w:after="72" w:line="360" w:lineRule="auto"/>
        <w:jc w:val="left"/>
        <w:rPr>
          <w:rFonts w:ascii="Times New Roman" w:hAnsi="Times New Roman" w:cs="Times New Roman"/>
          <w:sz w:val="28"/>
          <w:szCs w:val="28"/>
        </w:rPr>
      </w:pPr>
      <w:proofErr w:type="spellStart"/>
      <w:r w:rsidRPr="004B645E">
        <w:rPr>
          <w:rFonts w:ascii="Times New Roman" w:hAnsi="Times New Roman" w:cs="Times New Roman"/>
          <w:sz w:val="28"/>
          <w:szCs w:val="28"/>
        </w:rPr>
        <w:t>Klegeris</w:t>
      </w:r>
      <w:proofErr w:type="spellEnd"/>
      <w:r w:rsidRPr="004B645E">
        <w:rPr>
          <w:rFonts w:ascii="Times New Roman" w:hAnsi="Times New Roman" w:cs="Times New Roman"/>
          <w:sz w:val="28"/>
          <w:szCs w:val="28"/>
        </w:rPr>
        <w:t>, A. Heather Hurren, H. (2011). Impact of problem-based learning in a large classroom setting: student perception and problem-solving skills, Advances in Physiology Education, Volume 35/4, p408-415.</w:t>
      </w:r>
    </w:p>
    <w:p w14:paraId="013551D8" w14:textId="77777777" w:rsidR="00812E80" w:rsidRPr="004B645E" w:rsidRDefault="002378BE" w:rsidP="000A2186">
      <w:pPr>
        <w:spacing w:afterLines="30" w:after="72" w:line="360" w:lineRule="auto"/>
        <w:jc w:val="left"/>
        <w:rPr>
          <w:rFonts w:ascii="Times New Roman" w:eastAsia="MS Mincho" w:hAnsi="Times New Roman" w:cs="Times New Roman"/>
          <w:sz w:val="28"/>
          <w:szCs w:val="28"/>
        </w:rPr>
      </w:pPr>
      <w:r w:rsidRPr="004B645E">
        <w:rPr>
          <w:rFonts w:ascii="Times New Roman" w:hAnsi="Times New Roman" w:cs="Times New Roman"/>
          <w:sz w:val="28"/>
          <w:szCs w:val="28"/>
        </w:rPr>
        <w:t>Krathwohl, D.R. (2002). A Revision of Bloom's Taxonomy: An Overview. Theory Into Practice, Vol. 41, No. 4, Revising Bloom's Taxonomy, pp. 212-218</w:t>
      </w:r>
      <w:r w:rsidRPr="004B645E">
        <w:rPr>
          <w:rFonts w:ascii="Times New Roman" w:eastAsia="MS Mincho" w:hAnsi="Times New Roman" w:cs="Times New Roman"/>
          <w:sz w:val="28"/>
          <w:szCs w:val="28"/>
        </w:rPr>
        <w:t> </w:t>
      </w:r>
    </w:p>
    <w:p w14:paraId="75918948" w14:textId="77777777" w:rsidR="00812E80" w:rsidRPr="004B645E" w:rsidRDefault="002378BE" w:rsidP="000A2186">
      <w:pPr>
        <w:spacing w:afterLines="30" w:after="72" w:line="360" w:lineRule="auto"/>
        <w:jc w:val="left"/>
        <w:rPr>
          <w:rFonts w:ascii="Times New Roman" w:hAnsi="Times New Roman" w:cs="Times New Roman"/>
          <w:sz w:val="28"/>
          <w:szCs w:val="28"/>
        </w:rPr>
      </w:pPr>
      <w:r w:rsidRPr="004B645E">
        <w:rPr>
          <w:rFonts w:ascii="Times New Roman" w:eastAsia="MS Mincho" w:hAnsi="Times New Roman" w:cs="Times New Roman"/>
          <w:sz w:val="28"/>
          <w:szCs w:val="28"/>
        </w:rPr>
        <w:t>Kn</w:t>
      </w:r>
      <w:r w:rsidRPr="004B645E">
        <w:rPr>
          <w:rFonts w:ascii="Times New Roman" w:hAnsi="Times New Roman" w:cs="Times New Roman"/>
          <w:sz w:val="28"/>
          <w:szCs w:val="28"/>
        </w:rPr>
        <w:t>ow</w:t>
      </w:r>
      <w:r w:rsidRPr="004B645E">
        <w:rPr>
          <w:rFonts w:ascii="Times New Roman" w:eastAsia="MS Mincho" w:hAnsi="Times New Roman" w:cs="Times New Roman"/>
          <w:sz w:val="28"/>
          <w:szCs w:val="28"/>
        </w:rPr>
        <w:t>les M.S.&amp; Swanson, R. A. (2011). The Adult Learner. Elsevier</w:t>
      </w:r>
    </w:p>
    <w:p w14:paraId="6B4C89BD" w14:textId="77777777" w:rsidR="000B27E1" w:rsidRPr="004B645E" w:rsidRDefault="000B27E1" w:rsidP="000A2186">
      <w:pPr>
        <w:spacing w:afterLines="30" w:after="72" w:line="360" w:lineRule="auto"/>
        <w:jc w:val="left"/>
        <w:rPr>
          <w:rFonts w:ascii="Times New Roman" w:hAnsi="Times New Roman" w:cs="Times New Roman"/>
          <w:sz w:val="28"/>
          <w:szCs w:val="28"/>
        </w:rPr>
      </w:pPr>
      <w:proofErr w:type="spellStart"/>
      <w:r w:rsidRPr="004B645E">
        <w:rPr>
          <w:rFonts w:ascii="Times New Roman" w:eastAsia="Times New Roman" w:hAnsi="Times New Roman" w:cs="Times New Roman"/>
          <w:sz w:val="28"/>
          <w:szCs w:val="28"/>
          <w:shd w:val="clear" w:color="auto" w:fill="FFFFFF"/>
          <w:lang w:val="en-US"/>
        </w:rPr>
        <w:lastRenderedPageBreak/>
        <w:t>Mussawy</w:t>
      </w:r>
      <w:proofErr w:type="spellEnd"/>
      <w:r w:rsidRPr="004B645E">
        <w:rPr>
          <w:rFonts w:ascii="Times New Roman" w:eastAsia="Times New Roman" w:hAnsi="Times New Roman" w:cs="Times New Roman"/>
          <w:sz w:val="28"/>
          <w:szCs w:val="28"/>
          <w:shd w:val="clear" w:color="auto" w:fill="FFFFFF"/>
          <w:lang w:val="en-US"/>
        </w:rPr>
        <w:t xml:space="preserve">, Sayed Ahmad Javid. (2009). “Assessment Practices: Student’s and Teachers’ Perceptions of Classroom Assessment” in Master's Capstone Projects, 9. Available online also at: http://scholarworks.umass.edu/cie_capstones/9 </w:t>
      </w:r>
    </w:p>
    <w:p w14:paraId="724D0354" w14:textId="77777777" w:rsidR="00812E80" w:rsidRPr="004B645E" w:rsidRDefault="002378BE" w:rsidP="000A2186">
      <w:pPr>
        <w:spacing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 xml:space="preserve">Rose, D. (2004). The potential of role-model education, The Encyclopaedia of Informal Education, </w:t>
      </w:r>
      <w:hyperlink r:id="rId12" w:history="1">
        <w:r w:rsidR="00A0286E" w:rsidRPr="004B645E">
          <w:rPr>
            <w:rStyle w:val="Hyperlink"/>
            <w:rFonts w:ascii="Times New Roman" w:hAnsi="Times New Roman" w:cs="Times New Roman"/>
            <w:color w:val="000000"/>
            <w:sz w:val="28"/>
            <w:szCs w:val="28"/>
          </w:rPr>
          <w:t>www.infed.org/biblio/role_model_education.htm</w:t>
        </w:r>
      </w:hyperlink>
    </w:p>
    <w:p w14:paraId="0F85AE78" w14:textId="77777777" w:rsidR="00A0286E" w:rsidRPr="004B645E" w:rsidRDefault="00A0286E" w:rsidP="000A2186">
      <w:pPr>
        <w:spacing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 xml:space="preserve">Southall, J. and </w:t>
      </w:r>
      <w:proofErr w:type="spellStart"/>
      <w:r w:rsidRPr="004B645E">
        <w:rPr>
          <w:rFonts w:ascii="Times New Roman" w:hAnsi="Times New Roman" w:cs="Times New Roman"/>
          <w:sz w:val="28"/>
          <w:szCs w:val="28"/>
        </w:rPr>
        <w:t>Wason</w:t>
      </w:r>
      <w:proofErr w:type="spellEnd"/>
      <w:r w:rsidRPr="004B645E">
        <w:rPr>
          <w:rFonts w:ascii="Times New Roman" w:hAnsi="Times New Roman" w:cs="Times New Roman"/>
          <w:sz w:val="28"/>
          <w:szCs w:val="28"/>
        </w:rPr>
        <w:t xml:space="preserve">, H. (2016) Evaluating the use of synoptic assessment to engage and develop lower level Higher Education students within a Further Education setting. Practitioner Research in Higher Education, 10 (1). pp. 192-202. </w:t>
      </w:r>
    </w:p>
    <w:p w14:paraId="1682FC4D" w14:textId="77777777" w:rsidR="00812E80" w:rsidRPr="004B645E" w:rsidRDefault="002378BE" w:rsidP="000A2186">
      <w:pPr>
        <w:spacing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Senior, M. (2008). Kick and Snare Recording Techniques, Sound on Sound Magazine, June 2008.</w:t>
      </w:r>
    </w:p>
    <w:p w14:paraId="3A15CD1F" w14:textId="77777777" w:rsidR="00812E80" w:rsidRPr="004B645E" w:rsidRDefault="002378BE" w:rsidP="000A2186">
      <w:pPr>
        <w:spacing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 xml:space="preserve">Setter, T. (2006). George </w:t>
      </w:r>
      <w:proofErr w:type="spellStart"/>
      <w:r w:rsidRPr="004B645E">
        <w:rPr>
          <w:rFonts w:ascii="Times New Roman" w:hAnsi="Times New Roman" w:cs="Times New Roman"/>
          <w:sz w:val="28"/>
          <w:szCs w:val="28"/>
        </w:rPr>
        <w:t>Massenburg</w:t>
      </w:r>
      <w:proofErr w:type="spellEnd"/>
      <w:r w:rsidRPr="004B645E">
        <w:rPr>
          <w:rFonts w:ascii="Times New Roman" w:hAnsi="Times New Roman" w:cs="Times New Roman"/>
          <w:sz w:val="28"/>
          <w:szCs w:val="28"/>
        </w:rPr>
        <w:t>: does he really need an introduction? Tape Op Magazine, Jul/Aug 2006.</w:t>
      </w:r>
    </w:p>
    <w:p w14:paraId="716AEC1C" w14:textId="77777777" w:rsidR="00812E80" w:rsidRPr="004B645E" w:rsidRDefault="002378BE" w:rsidP="000A2186">
      <w:pPr>
        <w:spacing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Thorley, M., (2014). ‘Graduate meets employer–a model for embedding industry professional involvement in the development and assessment of student portfolios’. Journal of Music, Technology &amp; Education, 7(3), pp.325-329.</w:t>
      </w:r>
    </w:p>
    <w:p w14:paraId="2DF0E3D0" w14:textId="77777777" w:rsidR="00812E80" w:rsidRPr="004B645E" w:rsidRDefault="002378BE" w:rsidP="000A2186">
      <w:pPr>
        <w:spacing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Toulson, E. R. (2011). Media and Music Technology Education, Journal on The Art of Record Production, Issue 05.</w:t>
      </w:r>
    </w:p>
    <w:p w14:paraId="0D605CEF" w14:textId="77777777" w:rsidR="00DB7B70" w:rsidRDefault="002378BE" w:rsidP="004B645E">
      <w:pPr>
        <w:spacing w:afterLines="30" w:after="72" w:line="360" w:lineRule="auto"/>
        <w:jc w:val="left"/>
        <w:rPr>
          <w:rFonts w:ascii="Times New Roman" w:hAnsi="Times New Roman" w:cs="Times New Roman"/>
          <w:sz w:val="28"/>
          <w:szCs w:val="28"/>
        </w:rPr>
      </w:pPr>
      <w:r w:rsidRPr="004B645E">
        <w:rPr>
          <w:rFonts w:ascii="Times New Roman" w:hAnsi="Times New Roman" w:cs="Times New Roman"/>
          <w:sz w:val="28"/>
          <w:szCs w:val="28"/>
        </w:rPr>
        <w:t>van Hoek, R.,</w:t>
      </w:r>
      <w:hyperlink r:id="rId13">
        <w:r w:rsidRPr="004B645E">
          <w:rPr>
            <w:rFonts w:ascii="Times New Roman" w:hAnsi="Times New Roman" w:cs="Times New Roman"/>
            <w:sz w:val="28"/>
            <w:szCs w:val="28"/>
          </w:rPr>
          <w:t xml:space="preserve"> Godsell</w:t>
        </w:r>
      </w:hyperlink>
      <w:r w:rsidRPr="004B645E">
        <w:rPr>
          <w:rFonts w:ascii="Times New Roman" w:hAnsi="Times New Roman" w:cs="Times New Roman"/>
          <w:sz w:val="28"/>
          <w:szCs w:val="28"/>
        </w:rPr>
        <w:t>, J. and </w:t>
      </w:r>
      <w:hyperlink r:id="rId14">
        <w:r w:rsidRPr="004B645E">
          <w:rPr>
            <w:rFonts w:ascii="Times New Roman" w:hAnsi="Times New Roman" w:cs="Times New Roman"/>
            <w:sz w:val="28"/>
            <w:szCs w:val="28"/>
          </w:rPr>
          <w:t>Harrison</w:t>
        </w:r>
      </w:hyperlink>
      <w:r w:rsidRPr="004B645E">
        <w:rPr>
          <w:rFonts w:ascii="Times New Roman" w:hAnsi="Times New Roman" w:cs="Times New Roman"/>
          <w:sz w:val="28"/>
          <w:szCs w:val="28"/>
        </w:rPr>
        <w:t>, A. (2011). Embedding “insights from industry” in supply chain programmes: the role of guest lecturers, Supply Chain Management: An International Journal, Vol. 16 Issue: 2, pp.142-147.]</w:t>
      </w:r>
    </w:p>
    <w:p w14:paraId="44DA0368" w14:textId="77777777" w:rsidR="004B645E" w:rsidRDefault="004B645E" w:rsidP="004B645E">
      <w:pPr>
        <w:spacing w:afterLines="30" w:after="72" w:line="360" w:lineRule="auto"/>
        <w:jc w:val="left"/>
        <w:rPr>
          <w:rFonts w:ascii="Times New Roman" w:hAnsi="Times New Roman" w:cs="Times New Roman"/>
          <w:sz w:val="28"/>
          <w:szCs w:val="28"/>
        </w:rPr>
      </w:pPr>
    </w:p>
    <w:p w14:paraId="7AC18AAA" w14:textId="77777777" w:rsidR="007A6F11" w:rsidRDefault="007A6F11" w:rsidP="004B645E">
      <w:pPr>
        <w:spacing w:afterLines="30" w:after="72" w:line="360" w:lineRule="auto"/>
        <w:jc w:val="left"/>
        <w:rPr>
          <w:rFonts w:ascii="Times New Roman" w:hAnsi="Times New Roman" w:cs="Times New Roman"/>
          <w:sz w:val="28"/>
          <w:szCs w:val="28"/>
        </w:rPr>
      </w:pPr>
    </w:p>
    <w:p w14:paraId="6DF18C73" w14:textId="77777777" w:rsidR="007A6F11" w:rsidRPr="004B645E" w:rsidRDefault="007A6F11" w:rsidP="004B645E">
      <w:pPr>
        <w:spacing w:afterLines="30" w:after="72" w:line="360" w:lineRule="auto"/>
        <w:jc w:val="left"/>
        <w:rPr>
          <w:rFonts w:ascii="Times New Roman" w:hAnsi="Times New Roman" w:cs="Times New Roman"/>
          <w:sz w:val="28"/>
          <w:szCs w:val="28"/>
        </w:rPr>
      </w:pPr>
    </w:p>
    <w:p w14:paraId="66A5F8CF" w14:textId="77777777" w:rsidR="00DB7B70" w:rsidRPr="004B645E" w:rsidRDefault="00DB7B70" w:rsidP="000A2186">
      <w:pPr>
        <w:widowControl w:val="0"/>
        <w:spacing w:before="120" w:afterLines="30" w:after="72" w:line="360" w:lineRule="auto"/>
        <w:jc w:val="left"/>
        <w:rPr>
          <w:rFonts w:ascii="Times New Roman" w:hAnsi="Times New Roman" w:cs="Times New Roman"/>
          <w:b/>
          <w:sz w:val="28"/>
          <w:szCs w:val="28"/>
          <w:u w:val="single"/>
        </w:rPr>
      </w:pPr>
      <w:r w:rsidRPr="004B645E">
        <w:rPr>
          <w:rFonts w:ascii="Times New Roman" w:hAnsi="Times New Roman" w:cs="Times New Roman"/>
          <w:b/>
          <w:sz w:val="28"/>
          <w:szCs w:val="28"/>
          <w:u w:val="single"/>
        </w:rPr>
        <w:t>Contributor Details</w:t>
      </w:r>
    </w:p>
    <w:p w14:paraId="0846FFBC" w14:textId="77777777" w:rsidR="00DB7B70" w:rsidRPr="004B645E" w:rsidRDefault="00DB7B70" w:rsidP="00DB7B70">
      <w:pPr>
        <w:widowControl w:val="0"/>
        <w:spacing w:before="120" w:afterLines="30" w:after="72"/>
        <w:jc w:val="left"/>
        <w:rPr>
          <w:rFonts w:ascii="Times New Roman" w:hAnsi="Times New Roman" w:cs="Times New Roman"/>
          <w:sz w:val="28"/>
          <w:szCs w:val="28"/>
        </w:rPr>
      </w:pPr>
      <w:r w:rsidRPr="004B645E">
        <w:rPr>
          <w:rFonts w:ascii="Times New Roman" w:hAnsi="Times New Roman" w:cs="Times New Roman"/>
          <w:sz w:val="28"/>
          <w:szCs w:val="28"/>
        </w:rPr>
        <w:t xml:space="preserve">Rob Toulson is Professor of Creative Industries: Commercial Music at the University of Westminster, London. He was previously Director of the Cultures </w:t>
      </w:r>
      <w:r w:rsidRPr="004B645E">
        <w:rPr>
          <w:rFonts w:ascii="Times New Roman" w:hAnsi="Times New Roman" w:cs="Times New Roman"/>
          <w:sz w:val="28"/>
          <w:szCs w:val="28"/>
        </w:rPr>
        <w:lastRenderedPageBreak/>
        <w:t xml:space="preserve">of the Digital Economy Research Institute at Anglia Ruskin University, Cambridge, UK. Rob is a research leader in the field of commercial music and he has collaborated with many international organisations in the music industry. He is a successful music producer and studio engineer working across most musical genres, from pop to classical and metal to electronica. In particular, he has worked as recording, mixing and mastering engineer on a number of albums for Mediaeval </w:t>
      </w:r>
      <w:proofErr w:type="spellStart"/>
      <w:r w:rsidRPr="004B645E">
        <w:rPr>
          <w:rFonts w:ascii="Times New Roman" w:hAnsi="Times New Roman" w:cs="Times New Roman"/>
          <w:sz w:val="28"/>
          <w:szCs w:val="28"/>
        </w:rPr>
        <w:t>Baebes</w:t>
      </w:r>
      <w:proofErr w:type="spellEnd"/>
      <w:r w:rsidRPr="004B645E">
        <w:rPr>
          <w:rFonts w:ascii="Times New Roman" w:hAnsi="Times New Roman" w:cs="Times New Roman"/>
          <w:sz w:val="28"/>
          <w:szCs w:val="28"/>
        </w:rPr>
        <w:t>, who have previously topped the UK classical album chart.</w:t>
      </w:r>
    </w:p>
    <w:p w14:paraId="26CD7D4E" w14:textId="77777777" w:rsidR="00DB7B70" w:rsidRPr="004B645E" w:rsidRDefault="00DB7B70" w:rsidP="00DB7B70">
      <w:pPr>
        <w:widowControl w:val="0"/>
        <w:spacing w:before="120" w:afterLines="30" w:after="72"/>
        <w:jc w:val="left"/>
        <w:rPr>
          <w:rFonts w:ascii="Times New Roman" w:hAnsi="Times New Roman" w:cs="Times New Roman"/>
          <w:sz w:val="28"/>
          <w:szCs w:val="28"/>
        </w:rPr>
      </w:pPr>
    </w:p>
    <w:p w14:paraId="344CE10B" w14:textId="77777777" w:rsidR="00DB7B70" w:rsidRPr="004B645E" w:rsidRDefault="00DB7B70" w:rsidP="00DB7B70">
      <w:pPr>
        <w:rPr>
          <w:rFonts w:ascii="Times New Roman" w:hAnsi="Times New Roman" w:cs="Times New Roman"/>
          <w:sz w:val="28"/>
          <w:szCs w:val="28"/>
        </w:rPr>
      </w:pPr>
      <w:r w:rsidRPr="004B645E">
        <w:rPr>
          <w:rFonts w:ascii="Times New Roman" w:hAnsi="Times New Roman" w:cs="Times New Roman"/>
          <w:sz w:val="28"/>
          <w:szCs w:val="28"/>
        </w:rPr>
        <w:t xml:space="preserve">Russ Hepworth-Sawyer is a professional mastering engineer and currently a part time senior lecturer of Music Production at York St John University. Russ, alongside his professional career has formerly taught at London College of Music, Leeds College of Music and Rose </w:t>
      </w:r>
      <w:proofErr w:type="spellStart"/>
      <w:r w:rsidRPr="004B645E">
        <w:rPr>
          <w:rFonts w:ascii="Times New Roman" w:hAnsi="Times New Roman" w:cs="Times New Roman"/>
          <w:sz w:val="28"/>
          <w:szCs w:val="28"/>
        </w:rPr>
        <w:t>Bruford</w:t>
      </w:r>
      <w:proofErr w:type="spellEnd"/>
      <w:r w:rsidRPr="004B645E">
        <w:rPr>
          <w:rFonts w:ascii="Times New Roman" w:hAnsi="Times New Roman" w:cs="Times New Roman"/>
          <w:sz w:val="28"/>
          <w:szCs w:val="28"/>
        </w:rPr>
        <w:t xml:space="preserve"> College. Russ has written several titles for Focal Press and Routledge and edits their Perspectives on Music Production series. Since 2013, Russ alongside other academics has run the Innovation in Music conference series and proceedings books in addition to the more recent Music Production Education Conference (MPEC). Russ is currently undertaking doctoral study at Leeds University on audio mastering education. </w:t>
      </w:r>
    </w:p>
    <w:p w14:paraId="04623652" w14:textId="77777777" w:rsidR="00DB7B70" w:rsidRPr="004B645E" w:rsidRDefault="00DB7B70" w:rsidP="000A2186">
      <w:pPr>
        <w:widowControl w:val="0"/>
        <w:spacing w:before="120" w:afterLines="30" w:after="72" w:line="360" w:lineRule="auto"/>
        <w:jc w:val="left"/>
        <w:rPr>
          <w:rFonts w:ascii="Times New Roman" w:hAnsi="Times New Roman" w:cs="Times New Roman"/>
          <w:sz w:val="28"/>
          <w:szCs w:val="28"/>
        </w:rPr>
      </w:pPr>
    </w:p>
    <w:p w14:paraId="46CA9AAA" w14:textId="77777777" w:rsidR="00DB7B70" w:rsidRPr="004B645E" w:rsidRDefault="00DB7B70" w:rsidP="000A2186">
      <w:pPr>
        <w:widowControl w:val="0"/>
        <w:spacing w:before="120" w:afterLines="30" w:after="72" w:line="360" w:lineRule="auto"/>
        <w:jc w:val="left"/>
        <w:rPr>
          <w:rFonts w:ascii="Times New Roman" w:hAnsi="Times New Roman" w:cs="Times New Roman"/>
          <w:sz w:val="28"/>
          <w:szCs w:val="28"/>
        </w:rPr>
      </w:pPr>
    </w:p>
    <w:p w14:paraId="659C5268" w14:textId="77777777" w:rsidR="00DB7B70" w:rsidRPr="004B645E" w:rsidRDefault="00DB7B70" w:rsidP="000A2186">
      <w:pPr>
        <w:widowControl w:val="0"/>
        <w:spacing w:before="120" w:afterLines="30" w:after="72" w:line="360" w:lineRule="auto"/>
        <w:jc w:val="left"/>
        <w:rPr>
          <w:rFonts w:ascii="Times New Roman" w:hAnsi="Times New Roman" w:cs="Times New Roman"/>
          <w:sz w:val="28"/>
          <w:szCs w:val="28"/>
        </w:rPr>
      </w:pPr>
    </w:p>
    <w:sectPr w:rsidR="00DB7B70" w:rsidRPr="004B645E">
      <w:headerReference w:type="default" r:id="rId15"/>
      <w:footerReference w:type="even" r:id="rId16"/>
      <w:footerReference w:type="default" r:id="rId1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3A8D4" w14:textId="77777777" w:rsidR="00F4427B" w:rsidRDefault="00F4427B">
      <w:pPr>
        <w:spacing w:before="0" w:after="0"/>
      </w:pPr>
      <w:r>
        <w:separator/>
      </w:r>
    </w:p>
  </w:endnote>
  <w:endnote w:type="continuationSeparator" w:id="0">
    <w:p w14:paraId="5D24A57A" w14:textId="77777777" w:rsidR="00F4427B" w:rsidRDefault="00F4427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3BEB7" w14:textId="77777777" w:rsidR="00115DC5" w:rsidRDefault="00115DC5">
    <w:pPr>
      <w:tabs>
        <w:tab w:val="left" w:pos="1134"/>
        <w:tab w:val="right" w:pos="9639"/>
      </w:tabs>
      <w:spacing w:before="40" w:after="40"/>
      <w:jc w:val="right"/>
      <w:rPr>
        <w:color w:val="999999"/>
        <w:u w:val="single"/>
      </w:rPr>
    </w:pPr>
    <w:r>
      <w:rPr>
        <w:color w:val="999999"/>
        <w:u w:val="single"/>
      </w:rPr>
      <w:fldChar w:fldCharType="begin"/>
    </w:r>
    <w:r>
      <w:rPr>
        <w:color w:val="999999"/>
        <w:u w:val="single"/>
      </w:rPr>
      <w:instrText>PAGE</w:instrText>
    </w:r>
    <w:r>
      <w:rPr>
        <w:color w:val="999999"/>
        <w:u w:val="single"/>
      </w:rPr>
      <w:fldChar w:fldCharType="end"/>
    </w:r>
  </w:p>
  <w:p w14:paraId="4FF86006" w14:textId="77777777" w:rsidR="00115DC5" w:rsidRDefault="00115DC5">
    <w:pPr>
      <w:tabs>
        <w:tab w:val="left" w:pos="1134"/>
        <w:tab w:val="right" w:pos="9639"/>
      </w:tabs>
      <w:spacing w:before="40" w:after="40"/>
      <w:ind w:right="360"/>
      <w:jc w:val="left"/>
      <w:rPr>
        <w:color w:val="999999"/>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5" w:name="_GoBack"/>
  <w:p w14:paraId="45A5CC80" w14:textId="77777777" w:rsidR="00115DC5" w:rsidRDefault="00115DC5">
    <w:pPr>
      <w:tabs>
        <w:tab w:val="left" w:pos="1134"/>
        <w:tab w:val="right" w:pos="9639"/>
      </w:tabs>
      <w:spacing w:before="40" w:after="40"/>
      <w:jc w:val="right"/>
      <w:rPr>
        <w:color w:val="999999"/>
      </w:rPr>
    </w:pPr>
    <w:r w:rsidRPr="005B7A89">
      <w:rPr>
        <w:color w:val="FF0000"/>
      </w:rPr>
      <w:fldChar w:fldCharType="begin"/>
    </w:r>
    <w:r w:rsidRPr="005B7A89">
      <w:rPr>
        <w:color w:val="FF0000"/>
      </w:rPr>
      <w:instrText>PAGE</w:instrText>
    </w:r>
    <w:r w:rsidRPr="005B7A89">
      <w:rPr>
        <w:color w:val="FF0000"/>
      </w:rPr>
      <w:fldChar w:fldCharType="separate"/>
    </w:r>
    <w:r w:rsidR="007A6F11" w:rsidRPr="005B7A89">
      <w:rPr>
        <w:noProof/>
        <w:color w:val="FF0000"/>
      </w:rPr>
      <w:t>1</w:t>
    </w:r>
    <w:r w:rsidRPr="005B7A89">
      <w:rPr>
        <w:color w:val="FF0000"/>
      </w:rPr>
      <w:fldChar w:fldCharType="end"/>
    </w:r>
    <w:bookmarkEnd w:id="15"/>
  </w:p>
  <w:p w14:paraId="04A32E89" w14:textId="77777777" w:rsidR="00115DC5" w:rsidRDefault="00115DC5">
    <w:pPr>
      <w:tabs>
        <w:tab w:val="left" w:pos="1134"/>
        <w:tab w:val="right" w:pos="9639"/>
      </w:tabs>
      <w:spacing w:before="40" w:after="40"/>
      <w:ind w:right="360"/>
      <w:jc w:val="left"/>
      <w:rPr>
        <w:color w:val="999999"/>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8C617" w14:textId="77777777" w:rsidR="00F4427B" w:rsidRDefault="00F4427B">
      <w:pPr>
        <w:spacing w:before="0" w:after="0"/>
      </w:pPr>
      <w:r>
        <w:separator/>
      </w:r>
    </w:p>
  </w:footnote>
  <w:footnote w:type="continuationSeparator" w:id="0">
    <w:p w14:paraId="2EEC8E53" w14:textId="77777777" w:rsidR="00F4427B" w:rsidRDefault="00F4427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3BDAE" w14:textId="77777777" w:rsidR="00115DC5" w:rsidRDefault="00115D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0BA83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853A21"/>
    <w:multiLevelType w:val="multilevel"/>
    <w:tmpl w:val="785CF2E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8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1E41654"/>
    <w:multiLevelType w:val="multilevel"/>
    <w:tmpl w:val="6F323E6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2282"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4DD0752"/>
    <w:multiLevelType w:val="hybridMultilevel"/>
    <w:tmpl w:val="1A56B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BA724E"/>
    <w:multiLevelType w:val="hybridMultilevel"/>
    <w:tmpl w:val="B7246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AE7899"/>
    <w:multiLevelType w:val="multilevel"/>
    <w:tmpl w:val="D02CC7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41335F4"/>
    <w:multiLevelType w:val="multilevel"/>
    <w:tmpl w:val="35B269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8C12010"/>
    <w:multiLevelType w:val="hybridMultilevel"/>
    <w:tmpl w:val="8EEA3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307034"/>
    <w:multiLevelType w:val="multilevel"/>
    <w:tmpl w:val="9628F62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8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7F024A7B"/>
    <w:multiLevelType w:val="multilevel"/>
    <w:tmpl w:val="6F323E6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2282"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1"/>
  </w:num>
  <w:num w:numId="3">
    <w:abstractNumId w:val="9"/>
  </w:num>
  <w:num w:numId="4">
    <w:abstractNumId w:val="8"/>
  </w:num>
  <w:num w:numId="5">
    <w:abstractNumId w:val="4"/>
  </w:num>
  <w:num w:numId="6">
    <w:abstractNumId w:val="7"/>
  </w:num>
  <w:num w:numId="7">
    <w:abstractNumId w:val="5"/>
  </w:num>
  <w:num w:numId="8">
    <w:abstractNumId w:val="6"/>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E80"/>
    <w:rsid w:val="00052BFE"/>
    <w:rsid w:val="00053713"/>
    <w:rsid w:val="000A2186"/>
    <w:rsid w:val="000B27E1"/>
    <w:rsid w:val="00113986"/>
    <w:rsid w:val="00115DC5"/>
    <w:rsid w:val="00120F98"/>
    <w:rsid w:val="001714C0"/>
    <w:rsid w:val="00191874"/>
    <w:rsid w:val="001A7A68"/>
    <w:rsid w:val="001C15DE"/>
    <w:rsid w:val="00217608"/>
    <w:rsid w:val="002378BE"/>
    <w:rsid w:val="00241B83"/>
    <w:rsid w:val="00244A16"/>
    <w:rsid w:val="002460F3"/>
    <w:rsid w:val="00276E8A"/>
    <w:rsid w:val="002A6310"/>
    <w:rsid w:val="002D0F1B"/>
    <w:rsid w:val="003062F9"/>
    <w:rsid w:val="00314558"/>
    <w:rsid w:val="00323F03"/>
    <w:rsid w:val="00354BBE"/>
    <w:rsid w:val="003648D9"/>
    <w:rsid w:val="0036716D"/>
    <w:rsid w:val="00375C95"/>
    <w:rsid w:val="00393E2D"/>
    <w:rsid w:val="00396236"/>
    <w:rsid w:val="003A7D92"/>
    <w:rsid w:val="003B2567"/>
    <w:rsid w:val="00407C26"/>
    <w:rsid w:val="00490A50"/>
    <w:rsid w:val="004B645E"/>
    <w:rsid w:val="004F5C34"/>
    <w:rsid w:val="00521B36"/>
    <w:rsid w:val="00523C6E"/>
    <w:rsid w:val="00533EBD"/>
    <w:rsid w:val="00534C31"/>
    <w:rsid w:val="00547DE3"/>
    <w:rsid w:val="00563909"/>
    <w:rsid w:val="00592E36"/>
    <w:rsid w:val="005B7A89"/>
    <w:rsid w:val="005D53C6"/>
    <w:rsid w:val="005E7EDE"/>
    <w:rsid w:val="005F122D"/>
    <w:rsid w:val="005F72B4"/>
    <w:rsid w:val="0062759E"/>
    <w:rsid w:val="006533CB"/>
    <w:rsid w:val="0068167A"/>
    <w:rsid w:val="00685E8A"/>
    <w:rsid w:val="006F1BD8"/>
    <w:rsid w:val="00763D04"/>
    <w:rsid w:val="00775C91"/>
    <w:rsid w:val="00776820"/>
    <w:rsid w:val="007A6F11"/>
    <w:rsid w:val="00812E80"/>
    <w:rsid w:val="00864667"/>
    <w:rsid w:val="00890ABA"/>
    <w:rsid w:val="00893749"/>
    <w:rsid w:val="008B6179"/>
    <w:rsid w:val="008D770A"/>
    <w:rsid w:val="008F73AB"/>
    <w:rsid w:val="009073D0"/>
    <w:rsid w:val="0094594C"/>
    <w:rsid w:val="0098699E"/>
    <w:rsid w:val="009A292A"/>
    <w:rsid w:val="009E05A0"/>
    <w:rsid w:val="00A0286E"/>
    <w:rsid w:val="00A276E5"/>
    <w:rsid w:val="00A4493E"/>
    <w:rsid w:val="00AA5ACD"/>
    <w:rsid w:val="00AF42BF"/>
    <w:rsid w:val="00B3320B"/>
    <w:rsid w:val="00B5223B"/>
    <w:rsid w:val="00B56D04"/>
    <w:rsid w:val="00B57BF1"/>
    <w:rsid w:val="00B60636"/>
    <w:rsid w:val="00BB298C"/>
    <w:rsid w:val="00C60485"/>
    <w:rsid w:val="00C77CB7"/>
    <w:rsid w:val="00C86770"/>
    <w:rsid w:val="00C877FA"/>
    <w:rsid w:val="00CA2538"/>
    <w:rsid w:val="00DA263D"/>
    <w:rsid w:val="00DB7B70"/>
    <w:rsid w:val="00E01229"/>
    <w:rsid w:val="00E203E1"/>
    <w:rsid w:val="00E46E9D"/>
    <w:rsid w:val="00E6579B"/>
    <w:rsid w:val="00E8760F"/>
    <w:rsid w:val="00E95513"/>
    <w:rsid w:val="00F03E2F"/>
    <w:rsid w:val="00F4427B"/>
    <w:rsid w:val="00F4433A"/>
    <w:rsid w:val="00F54E74"/>
    <w:rsid w:val="00FD2907"/>
    <w:rsid w:val="00FD3A85"/>
    <w:rsid w:val="00FF6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67BE9"/>
  <w15:chartTrackingRefBased/>
  <w15:docId w15:val="{C3AFED55-59C5-485A-B3EF-383B6B433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pBdr>
        <w:top w:val="nil"/>
        <w:left w:val="nil"/>
        <w:bottom w:val="nil"/>
        <w:right w:val="nil"/>
        <w:between w:val="nil"/>
      </w:pBdr>
      <w:tabs>
        <w:tab w:val="left" w:pos="851"/>
        <w:tab w:val="center" w:pos="4536"/>
        <w:tab w:val="right" w:pos="9072"/>
      </w:tabs>
      <w:spacing w:before="80" w:after="80"/>
      <w:jc w:val="both"/>
    </w:pPr>
    <w:rPr>
      <w:color w:val="000000"/>
      <w:sz w:val="22"/>
      <w:szCs w:val="22"/>
      <w:lang w:eastAsia="en-US"/>
    </w:rPr>
  </w:style>
  <w:style w:type="paragraph" w:styleId="Heading1">
    <w:name w:val="heading 1"/>
    <w:basedOn w:val="Normal"/>
    <w:next w:val="Normal"/>
    <w:qFormat/>
    <w:pPr>
      <w:keepNext/>
      <w:spacing w:before="240" w:after="120"/>
      <w:outlineLvl w:val="0"/>
    </w:pPr>
    <w:rPr>
      <w:b/>
    </w:rPr>
  </w:style>
  <w:style w:type="paragraph" w:styleId="Heading2">
    <w:name w:val="heading 2"/>
    <w:basedOn w:val="Normal"/>
    <w:next w:val="Normal"/>
    <w:qFormat/>
    <w:rsid w:val="00053713"/>
    <w:pPr>
      <w:keepNext/>
      <w:pBdr>
        <w:top w:val="none" w:sz="0" w:space="0" w:color="auto"/>
        <w:left w:val="none" w:sz="0" w:space="0" w:color="auto"/>
        <w:bottom w:val="none" w:sz="0" w:space="0" w:color="auto"/>
        <w:right w:val="none" w:sz="0" w:space="0" w:color="auto"/>
        <w:between w:val="none" w:sz="0" w:space="0" w:color="auto"/>
      </w:pBdr>
      <w:shd w:val="clear" w:color="auto" w:fill="FFFFFF"/>
      <w:spacing w:before="120" w:afterLines="30" w:after="72" w:line="360" w:lineRule="auto"/>
      <w:ind w:hanging="11"/>
      <w:jc w:val="left"/>
      <w:outlineLvl w:val="1"/>
    </w:pPr>
    <w:rPr>
      <w:rFonts w:ascii="Times New Roman" w:hAnsi="Times New Roman" w:cs="Times New Roman"/>
      <w:b/>
      <w:caps/>
      <w:sz w:val="28"/>
      <w:szCs w:val="28"/>
    </w:rPr>
  </w:style>
  <w:style w:type="paragraph" w:styleId="Heading3">
    <w:name w:val="heading 3"/>
    <w:basedOn w:val="Normal"/>
    <w:next w:val="Normal"/>
    <w:qFormat/>
    <w:rsid w:val="003648D9"/>
    <w:pPr>
      <w:keepNext/>
      <w:spacing w:before="240" w:after="120"/>
      <w:ind w:left="720" w:hanging="720"/>
      <w:outlineLvl w:val="2"/>
    </w:pPr>
    <w:rPr>
      <w:b/>
      <w:szCs w:val="18"/>
    </w:rPr>
  </w:style>
  <w:style w:type="paragraph" w:styleId="Heading4">
    <w:name w:val="heading 4"/>
    <w:basedOn w:val="Normal"/>
    <w:next w:val="Normal"/>
    <w:qFormat/>
    <w:pPr>
      <w:keepNext/>
      <w:spacing w:before="120"/>
      <w:ind w:left="720" w:hanging="720"/>
      <w:outlineLvl w:val="3"/>
    </w:pPr>
    <w:rPr>
      <w:b/>
    </w:rPr>
  </w:style>
  <w:style w:type="paragraph" w:styleId="Heading5">
    <w:name w:val="heading 5"/>
    <w:basedOn w:val="Normal"/>
    <w:next w:val="Normal"/>
    <w:qFormat/>
    <w:pPr>
      <w:spacing w:before="240" w:after="60"/>
      <w:outlineLvl w:val="4"/>
    </w:pPr>
    <w:rPr>
      <w:b/>
      <w:i/>
      <w:sz w:val="26"/>
      <w:szCs w:val="26"/>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pPr>
    <w:rPr>
      <w:rFonts w:ascii="Georgia" w:eastAsia="Georgia" w:hAnsi="Georgia" w:cs="Georgia"/>
      <w:i/>
      <w:color w:val="666666"/>
      <w:sz w:val="48"/>
      <w:szCs w:val="48"/>
    </w:rPr>
  </w:style>
  <w:style w:type="table" w:customStyle="1" w:styleId="2">
    <w:name w:val="2"/>
    <w:basedOn w:val="TableNormal"/>
    <w:rPr>
      <w:rFonts w:ascii="Times New Roman" w:eastAsia="Times New Roman" w:hAnsi="Times New Roman" w:cs="Times New Roman"/>
      <w:sz w:val="24"/>
      <w:szCs w:val="24"/>
    </w:rPr>
    <w:tblPr>
      <w:tblStyleRowBandSize w:val="1"/>
      <w:tblStyleColBandSize w:val="1"/>
    </w:tblPr>
  </w:style>
  <w:style w:type="table" w:customStyle="1" w:styleId="1">
    <w:name w:val="1"/>
    <w:basedOn w:val="TableNormal"/>
    <w:rPr>
      <w:rFonts w:ascii="Times New Roman" w:eastAsia="Times New Roman" w:hAnsi="Times New Roman" w:cs="Times New Roman"/>
      <w:sz w:val="24"/>
      <w:szCs w:val="24"/>
    </w:rPr>
    <w:tblPr>
      <w:tblStyleRowBandSize w:val="1"/>
      <w:tblStyleColBandSize w:val="1"/>
    </w:tblPr>
  </w:style>
  <w:style w:type="paragraph" w:styleId="CommentText">
    <w:name w:val="annotation text"/>
    <w:basedOn w:val="Normal"/>
    <w:link w:val="CommentTextChar"/>
    <w:uiPriority w:val="99"/>
    <w:semiHidden/>
    <w:unhideWhenUsed/>
    <w:rPr>
      <w:sz w:val="24"/>
      <w:szCs w:val="24"/>
    </w:rPr>
  </w:style>
  <w:style w:type="character" w:customStyle="1" w:styleId="CommentTextChar">
    <w:name w:val="Comment Text Char"/>
    <w:link w:val="CommentText"/>
    <w:uiPriority w:val="99"/>
    <w:semiHidden/>
    <w:rPr>
      <w:sz w:val="24"/>
      <w:szCs w:val="24"/>
    </w:rPr>
  </w:style>
  <w:style w:type="character" w:styleId="CommentReference">
    <w:name w:val="annotation reference"/>
    <w:uiPriority w:val="99"/>
    <w:semiHidden/>
    <w:unhideWhenUsed/>
    <w:rPr>
      <w:sz w:val="18"/>
      <w:szCs w:val="18"/>
    </w:rPr>
  </w:style>
  <w:style w:type="paragraph" w:styleId="BalloonText">
    <w:name w:val="Balloon Text"/>
    <w:basedOn w:val="Normal"/>
    <w:link w:val="BalloonTextChar"/>
    <w:uiPriority w:val="99"/>
    <w:semiHidden/>
    <w:unhideWhenUsed/>
    <w:rsid w:val="00393E2D"/>
    <w:pPr>
      <w:spacing w:before="0" w:after="0"/>
    </w:pPr>
    <w:rPr>
      <w:rFonts w:ascii="Times New Roman" w:hAnsi="Times New Roman" w:cs="Times New Roman"/>
      <w:sz w:val="18"/>
      <w:szCs w:val="18"/>
    </w:rPr>
  </w:style>
  <w:style w:type="character" w:customStyle="1" w:styleId="BalloonTextChar">
    <w:name w:val="Balloon Text Char"/>
    <w:link w:val="BalloonText"/>
    <w:uiPriority w:val="99"/>
    <w:semiHidden/>
    <w:rsid w:val="00393E2D"/>
    <w:rPr>
      <w:rFonts w:ascii="Times New Roman" w:hAnsi="Times New Roman" w:cs="Times New Roman"/>
      <w:sz w:val="18"/>
      <w:szCs w:val="18"/>
    </w:rPr>
  </w:style>
  <w:style w:type="paragraph" w:customStyle="1" w:styleId="MediumGrid1-Accent21">
    <w:name w:val="Medium Grid 1 - Accent 21"/>
    <w:basedOn w:val="Normal"/>
    <w:uiPriority w:val="34"/>
    <w:qFormat/>
    <w:rsid w:val="0062759E"/>
    <w:pPr>
      <w:tabs>
        <w:tab w:val="clear" w:pos="851"/>
        <w:tab w:val="clear" w:pos="4536"/>
        <w:tab w:val="clear" w:pos="9072"/>
      </w:tabs>
      <w:spacing w:before="0" w:after="0"/>
      <w:ind w:left="720"/>
      <w:contextualSpacing/>
      <w:jc w:val="left"/>
    </w:pPr>
    <w:rPr>
      <w:lang w:val="en-US"/>
    </w:rPr>
  </w:style>
  <w:style w:type="character" w:customStyle="1" w:styleId="PlainTable31">
    <w:name w:val="Plain Table 31"/>
    <w:uiPriority w:val="19"/>
    <w:qFormat/>
    <w:rsid w:val="00B56D04"/>
    <w:rPr>
      <w:i/>
      <w:iCs/>
      <w:color w:val="808080"/>
    </w:rPr>
  </w:style>
  <w:style w:type="paragraph" w:styleId="TOC2">
    <w:name w:val="toc 2"/>
    <w:basedOn w:val="Normal"/>
    <w:next w:val="Normal"/>
    <w:autoRedefine/>
    <w:uiPriority w:val="39"/>
    <w:unhideWhenUsed/>
    <w:rsid w:val="00F03E2F"/>
    <w:pPr>
      <w:tabs>
        <w:tab w:val="clear" w:pos="851"/>
        <w:tab w:val="clear" w:pos="4536"/>
        <w:tab w:val="clear" w:pos="9072"/>
      </w:tabs>
      <w:ind w:left="220"/>
    </w:pPr>
  </w:style>
  <w:style w:type="paragraph" w:styleId="TOC3">
    <w:name w:val="toc 3"/>
    <w:basedOn w:val="Normal"/>
    <w:next w:val="Normal"/>
    <w:autoRedefine/>
    <w:uiPriority w:val="39"/>
    <w:unhideWhenUsed/>
    <w:rsid w:val="00F03E2F"/>
    <w:pPr>
      <w:tabs>
        <w:tab w:val="clear" w:pos="851"/>
        <w:tab w:val="clear" w:pos="4536"/>
        <w:tab w:val="clear" w:pos="9072"/>
      </w:tabs>
      <w:ind w:left="440"/>
    </w:pPr>
  </w:style>
  <w:style w:type="character" w:styleId="Hyperlink">
    <w:name w:val="Hyperlink"/>
    <w:uiPriority w:val="99"/>
    <w:unhideWhenUsed/>
    <w:rsid w:val="00F03E2F"/>
    <w:rPr>
      <w:color w:val="0563C1"/>
      <w:u w:val="single"/>
    </w:rPr>
  </w:style>
  <w:style w:type="paragraph" w:styleId="NormalWeb">
    <w:name w:val="Normal (Web)"/>
    <w:basedOn w:val="Normal"/>
    <w:uiPriority w:val="99"/>
    <w:unhideWhenUsed/>
    <w:rsid w:val="00A0286E"/>
    <w:pPr>
      <w:pBdr>
        <w:top w:val="none" w:sz="0" w:space="0" w:color="auto"/>
        <w:left w:val="none" w:sz="0" w:space="0" w:color="auto"/>
        <w:bottom w:val="none" w:sz="0" w:space="0" w:color="auto"/>
        <w:right w:val="none" w:sz="0" w:space="0" w:color="auto"/>
        <w:between w:val="none" w:sz="0" w:space="0" w:color="auto"/>
      </w:pBdr>
      <w:tabs>
        <w:tab w:val="clear" w:pos="851"/>
        <w:tab w:val="clear" w:pos="4536"/>
        <w:tab w:val="clear" w:pos="9072"/>
      </w:tabs>
      <w:spacing w:before="100" w:beforeAutospacing="1" w:after="100" w:afterAutospacing="1"/>
      <w:jc w:val="left"/>
    </w:pPr>
    <w:rPr>
      <w:rFonts w:ascii="Times New Roman" w:hAnsi="Times New Roman" w:cs="Times New Roman"/>
      <w:color w:val="auto"/>
      <w:sz w:val="24"/>
      <w:szCs w:val="24"/>
      <w:lang w:val="en-US"/>
    </w:rPr>
  </w:style>
  <w:style w:type="paragraph" w:styleId="CommentSubject">
    <w:name w:val="annotation subject"/>
    <w:basedOn w:val="CommentText"/>
    <w:next w:val="CommentText"/>
    <w:link w:val="CommentSubjectChar"/>
    <w:uiPriority w:val="99"/>
    <w:semiHidden/>
    <w:unhideWhenUsed/>
    <w:rsid w:val="009A292A"/>
    <w:rPr>
      <w:b/>
      <w:bCs/>
      <w:sz w:val="20"/>
      <w:szCs w:val="20"/>
    </w:rPr>
  </w:style>
  <w:style w:type="character" w:customStyle="1" w:styleId="CommentSubjectChar">
    <w:name w:val="Comment Subject Char"/>
    <w:link w:val="CommentSubject"/>
    <w:uiPriority w:val="99"/>
    <w:semiHidden/>
    <w:rsid w:val="009A292A"/>
    <w:rPr>
      <w:b/>
      <w:bCs/>
      <w:color w:val="000000"/>
      <w:sz w:val="24"/>
      <w:szCs w:val="24"/>
    </w:rPr>
  </w:style>
  <w:style w:type="paragraph" w:customStyle="1" w:styleId="ColorfulShading-Accent11">
    <w:name w:val="Colorful Shading - Accent 11"/>
    <w:hidden/>
    <w:uiPriority w:val="62"/>
    <w:unhideWhenUsed/>
    <w:rsid w:val="002460F3"/>
    <w:rPr>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02342">
      <w:bodyDiv w:val="1"/>
      <w:marLeft w:val="0"/>
      <w:marRight w:val="0"/>
      <w:marTop w:val="0"/>
      <w:marBottom w:val="0"/>
      <w:divBdr>
        <w:top w:val="none" w:sz="0" w:space="0" w:color="auto"/>
        <w:left w:val="none" w:sz="0" w:space="0" w:color="auto"/>
        <w:bottom w:val="none" w:sz="0" w:space="0" w:color="auto"/>
        <w:right w:val="none" w:sz="0" w:space="0" w:color="auto"/>
      </w:divBdr>
      <w:divsChild>
        <w:div w:id="459684861">
          <w:marLeft w:val="0"/>
          <w:marRight w:val="0"/>
          <w:marTop w:val="0"/>
          <w:marBottom w:val="0"/>
          <w:divBdr>
            <w:top w:val="none" w:sz="0" w:space="0" w:color="auto"/>
            <w:left w:val="none" w:sz="0" w:space="0" w:color="auto"/>
            <w:bottom w:val="none" w:sz="0" w:space="0" w:color="auto"/>
            <w:right w:val="none" w:sz="0" w:space="0" w:color="auto"/>
          </w:divBdr>
          <w:divsChild>
            <w:div w:id="689068135">
              <w:marLeft w:val="0"/>
              <w:marRight w:val="0"/>
              <w:marTop w:val="0"/>
              <w:marBottom w:val="0"/>
              <w:divBdr>
                <w:top w:val="none" w:sz="0" w:space="0" w:color="auto"/>
                <w:left w:val="none" w:sz="0" w:space="0" w:color="auto"/>
                <w:bottom w:val="none" w:sz="0" w:space="0" w:color="auto"/>
                <w:right w:val="none" w:sz="0" w:space="0" w:color="auto"/>
              </w:divBdr>
              <w:divsChild>
                <w:div w:id="140379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1817">
      <w:bodyDiv w:val="1"/>
      <w:marLeft w:val="0"/>
      <w:marRight w:val="0"/>
      <w:marTop w:val="0"/>
      <w:marBottom w:val="0"/>
      <w:divBdr>
        <w:top w:val="none" w:sz="0" w:space="0" w:color="auto"/>
        <w:left w:val="none" w:sz="0" w:space="0" w:color="auto"/>
        <w:bottom w:val="none" w:sz="0" w:space="0" w:color="auto"/>
        <w:right w:val="none" w:sz="0" w:space="0" w:color="auto"/>
      </w:divBdr>
    </w:div>
    <w:div w:id="203977204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eraldinsight.com/author/Godsell%2C+Ja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nfed.org/biblio/role_model_education.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andfonline.com/toc/imte20/22/4"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tandfonline.com/doi/full/10.1080/014215900409429"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eraldinsight.com/author/Harrison%2C+A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D6388293B0D74A9FCEBA0213AEFB09" ma:contentTypeVersion="6" ma:contentTypeDescription="Create a new document." ma:contentTypeScope="" ma:versionID="8ae0b93d45995d92186e1839ec3537a0">
  <xsd:schema xmlns:xsd="http://www.w3.org/2001/XMLSchema" xmlns:xs="http://www.w3.org/2001/XMLSchema" xmlns:p="http://schemas.microsoft.com/office/2006/metadata/properties" xmlns:ns3="7657b7af-29bc-44ca-92cf-865e5fb068b6" targetNamespace="http://schemas.microsoft.com/office/2006/metadata/properties" ma:root="true" ma:fieldsID="b33578313eda3a4320616d4897247073" ns3:_="">
    <xsd:import namespace="7657b7af-29bc-44ca-92cf-865e5fb068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7b7af-29bc-44ca-92cf-865e5fb06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3E2575-6CB5-4E92-8BCD-00942C860BF8}">
  <ds:schemaRefs>
    <ds:schemaRef ds:uri="http://schemas.microsoft.com/sharepoint/v3/contenttype/forms"/>
  </ds:schemaRefs>
</ds:datastoreItem>
</file>

<file path=customXml/itemProps2.xml><?xml version="1.0" encoding="utf-8"?>
<ds:datastoreItem xmlns:ds="http://schemas.openxmlformats.org/officeDocument/2006/customXml" ds:itemID="{93318760-8408-4B1D-902D-22D456124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7b7af-29bc-44ca-92cf-865e5fb06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7039E4-BDC1-40AD-8B3A-17DB7C5B60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7097</Words>
  <Characters>39604</Characters>
  <Application>Microsoft Office Word</Application>
  <DocSecurity>0</DocSecurity>
  <Lines>921</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46439</CharactersWithSpaces>
  <SharedDoc>false</SharedDoc>
  <HLinks>
    <vt:vector size="30" baseType="variant">
      <vt:variant>
        <vt:i4>1704036</vt:i4>
      </vt:variant>
      <vt:variant>
        <vt:i4>12</vt:i4>
      </vt:variant>
      <vt:variant>
        <vt:i4>0</vt:i4>
      </vt:variant>
      <vt:variant>
        <vt:i4>5</vt:i4>
      </vt:variant>
      <vt:variant>
        <vt:lpwstr>http://www.emeraldinsight.com/author/Harrison%2C+Alan</vt:lpwstr>
      </vt:variant>
      <vt:variant>
        <vt:lpwstr/>
      </vt:variant>
      <vt:variant>
        <vt:i4>5701687</vt:i4>
      </vt:variant>
      <vt:variant>
        <vt:i4>9</vt:i4>
      </vt:variant>
      <vt:variant>
        <vt:i4>0</vt:i4>
      </vt:variant>
      <vt:variant>
        <vt:i4>5</vt:i4>
      </vt:variant>
      <vt:variant>
        <vt:lpwstr>http://www.emeraldinsight.com/author/Godsell%2C+Janet</vt:lpwstr>
      </vt:variant>
      <vt:variant>
        <vt:lpwstr/>
      </vt:variant>
      <vt:variant>
        <vt:i4>1179664</vt:i4>
      </vt:variant>
      <vt:variant>
        <vt:i4>6</vt:i4>
      </vt:variant>
      <vt:variant>
        <vt:i4>0</vt:i4>
      </vt:variant>
      <vt:variant>
        <vt:i4>5</vt:i4>
      </vt:variant>
      <vt:variant>
        <vt:lpwstr>http://www.infed.org/biblio/role_model_education.htm</vt:lpwstr>
      </vt:variant>
      <vt:variant>
        <vt:lpwstr/>
      </vt:variant>
      <vt:variant>
        <vt:i4>2752563</vt:i4>
      </vt:variant>
      <vt:variant>
        <vt:i4>3</vt:i4>
      </vt:variant>
      <vt:variant>
        <vt:i4>0</vt:i4>
      </vt:variant>
      <vt:variant>
        <vt:i4>5</vt:i4>
      </vt:variant>
      <vt:variant>
        <vt:lpwstr>http://www.tandfonline.com/toc/imte20/22/4</vt:lpwstr>
      </vt:variant>
      <vt:variant>
        <vt:lpwstr/>
      </vt:variant>
      <vt:variant>
        <vt:i4>3932177</vt:i4>
      </vt:variant>
      <vt:variant>
        <vt:i4>0</vt:i4>
      </vt:variant>
      <vt:variant>
        <vt:i4>0</vt:i4>
      </vt:variant>
      <vt:variant>
        <vt:i4>5</vt:i4>
      </vt:variant>
      <vt:variant>
        <vt:lpwstr>http://www.tandfonline.com/doi/full/10.1080/014215900409429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Ruth Mardall (R.Mardall)</cp:lastModifiedBy>
  <cp:revision>3</cp:revision>
  <dcterms:created xsi:type="dcterms:W3CDTF">2019-09-10T10:42:00Z</dcterms:created>
  <dcterms:modified xsi:type="dcterms:W3CDTF">2019-09-10T10:43:00Z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0x0101009BD6388293B0D74A9FCEBA0213AEFB09</vt:lpwstr>
  </property>
</Properties>
</file>