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F00EC" w14:textId="22E8D961" w:rsidR="00C91D3C" w:rsidRDefault="00C91D3C">
      <w:pPr>
        <w:rPr>
          <w:rFonts w:ascii="Times New Roman" w:hAnsi="Times New Roman" w:cs="Times New Roman"/>
        </w:rPr>
      </w:pPr>
      <w:bookmarkStart w:id="0" w:name="_GoBack"/>
      <w:bookmarkEnd w:id="0"/>
      <w:r w:rsidRPr="00C91D3C">
        <w:rPr>
          <w:rFonts w:ascii="Times New Roman" w:hAnsi="Times New Roman" w:cs="Times New Roman"/>
        </w:rPr>
        <w:t xml:space="preserve">Chiara </w:t>
      </w:r>
      <w:proofErr w:type="spellStart"/>
      <w:r w:rsidRPr="00C91D3C">
        <w:rPr>
          <w:rFonts w:ascii="Times New Roman" w:hAnsi="Times New Roman" w:cs="Times New Roman"/>
        </w:rPr>
        <w:t>Thumiger</w:t>
      </w:r>
      <w:proofErr w:type="spellEnd"/>
      <w:r w:rsidRPr="00C91D3C">
        <w:rPr>
          <w:rFonts w:ascii="Times New Roman" w:hAnsi="Times New Roman" w:cs="Times New Roman"/>
        </w:rPr>
        <w:t xml:space="preserve">, P. N. Singer (ed.), </w:t>
      </w:r>
      <w:r w:rsidRPr="00C91D3C">
        <w:rPr>
          <w:rFonts w:ascii="Times New Roman" w:hAnsi="Times New Roman" w:cs="Times New Roman"/>
          <w:i/>
          <w:iCs/>
        </w:rPr>
        <w:t xml:space="preserve">Mental Illness in Ancient Medicine: from </w:t>
      </w:r>
      <w:proofErr w:type="spellStart"/>
      <w:r w:rsidRPr="00C91D3C">
        <w:rPr>
          <w:rFonts w:ascii="Times New Roman" w:hAnsi="Times New Roman" w:cs="Times New Roman"/>
          <w:i/>
          <w:iCs/>
        </w:rPr>
        <w:t>Celsus</w:t>
      </w:r>
      <w:proofErr w:type="spellEnd"/>
      <w:r w:rsidRPr="00C91D3C">
        <w:rPr>
          <w:rFonts w:ascii="Times New Roman" w:hAnsi="Times New Roman" w:cs="Times New Roman"/>
          <w:i/>
          <w:iCs/>
        </w:rPr>
        <w:t xml:space="preserve"> to Paul of Aegina. Studies in Ancient Medicine</w:t>
      </w:r>
      <w:r w:rsidRPr="00C91D3C">
        <w:rPr>
          <w:rFonts w:ascii="Times New Roman" w:hAnsi="Times New Roman" w:cs="Times New Roman"/>
        </w:rPr>
        <w:t>, 50. Leiden; Boston: Brill, 2018. Pp. xv, 479. ISBN 978</w:t>
      </w:r>
      <w:r w:rsidR="006829E5">
        <w:rPr>
          <w:rFonts w:ascii="Times New Roman" w:hAnsi="Times New Roman" w:cs="Times New Roman"/>
        </w:rPr>
        <w:t>-</w:t>
      </w:r>
      <w:r w:rsidRPr="00C91D3C">
        <w:rPr>
          <w:rFonts w:ascii="Times New Roman" w:hAnsi="Times New Roman" w:cs="Times New Roman"/>
        </w:rPr>
        <w:t>90</w:t>
      </w:r>
      <w:r w:rsidR="006829E5">
        <w:rPr>
          <w:rFonts w:ascii="Times New Roman" w:hAnsi="Times New Roman" w:cs="Times New Roman"/>
        </w:rPr>
        <w:t>-</w:t>
      </w:r>
      <w:r w:rsidRPr="00C91D3C">
        <w:rPr>
          <w:rFonts w:ascii="Times New Roman" w:hAnsi="Times New Roman" w:cs="Times New Roman"/>
        </w:rPr>
        <w:t>04</w:t>
      </w:r>
      <w:r w:rsidR="006829E5">
        <w:rPr>
          <w:rFonts w:ascii="Times New Roman" w:hAnsi="Times New Roman" w:cs="Times New Roman"/>
        </w:rPr>
        <w:t>-</w:t>
      </w:r>
      <w:r w:rsidRPr="00C91D3C">
        <w:rPr>
          <w:rFonts w:ascii="Times New Roman" w:hAnsi="Times New Roman" w:cs="Times New Roman"/>
        </w:rPr>
        <w:t>36272</w:t>
      </w:r>
      <w:r w:rsidR="006829E5">
        <w:rPr>
          <w:rFonts w:ascii="Times New Roman" w:hAnsi="Times New Roman" w:cs="Times New Roman"/>
        </w:rPr>
        <w:t>-</w:t>
      </w:r>
      <w:r w:rsidRPr="00C91D3C">
        <w:rPr>
          <w:rFonts w:ascii="Times New Roman" w:hAnsi="Times New Roman" w:cs="Times New Roman"/>
        </w:rPr>
        <w:t>7. €143,00.</w:t>
      </w:r>
    </w:p>
    <w:p w14:paraId="044C7F55" w14:textId="77777777" w:rsidR="004D5DC9" w:rsidRDefault="00C91D3C" w:rsidP="008E2072">
      <w:pPr>
        <w:spacing w:line="480" w:lineRule="auto"/>
        <w:rPr>
          <w:rFonts w:ascii="Times New Roman" w:hAnsi="Times New Roman" w:cs="Times New Roman"/>
        </w:rPr>
      </w:pPr>
      <w:r w:rsidRPr="00C91D3C">
        <w:rPr>
          <w:rFonts w:ascii="Times New Roman" w:hAnsi="Times New Roman" w:cs="Times New Roman"/>
        </w:rPr>
        <w:t xml:space="preserve">The treatment of mental illness </w:t>
      </w:r>
      <w:r w:rsidR="005D0B9F">
        <w:rPr>
          <w:rFonts w:ascii="Times New Roman" w:hAnsi="Times New Roman" w:cs="Times New Roman"/>
        </w:rPr>
        <w:t xml:space="preserve">provides an important window into the cultural and social realities of the ancient world. By tracking its development, interaction with other aspects of medical thought, </w:t>
      </w:r>
      <w:r w:rsidR="00F23BFC">
        <w:rPr>
          <w:rFonts w:ascii="Times New Roman" w:hAnsi="Times New Roman" w:cs="Times New Roman"/>
        </w:rPr>
        <w:t xml:space="preserve">and </w:t>
      </w:r>
      <w:r w:rsidR="005D0B9F">
        <w:rPr>
          <w:rFonts w:ascii="Times New Roman" w:hAnsi="Times New Roman" w:cs="Times New Roman"/>
        </w:rPr>
        <w:t>religious</w:t>
      </w:r>
      <w:r w:rsidR="00EB0CE4">
        <w:rPr>
          <w:rFonts w:ascii="Times New Roman" w:hAnsi="Times New Roman" w:cs="Times New Roman"/>
        </w:rPr>
        <w:t xml:space="preserve"> and philosophical</w:t>
      </w:r>
      <w:r w:rsidR="005D0B9F">
        <w:rPr>
          <w:rFonts w:ascii="Times New Roman" w:hAnsi="Times New Roman" w:cs="Times New Roman"/>
        </w:rPr>
        <w:t xml:space="preserve"> </w:t>
      </w:r>
      <w:r w:rsidR="00EB0CE4">
        <w:rPr>
          <w:rFonts w:ascii="Times New Roman" w:hAnsi="Times New Roman" w:cs="Times New Roman"/>
        </w:rPr>
        <w:t>approaches</w:t>
      </w:r>
      <w:r w:rsidR="005D0B9F">
        <w:rPr>
          <w:rFonts w:ascii="Times New Roman" w:hAnsi="Times New Roman" w:cs="Times New Roman"/>
        </w:rPr>
        <w:t xml:space="preserve">, it is possible to see wider shifts in society </w:t>
      </w:r>
      <w:r w:rsidR="00F23BFC">
        <w:rPr>
          <w:rFonts w:ascii="Times New Roman" w:hAnsi="Times New Roman" w:cs="Times New Roman"/>
        </w:rPr>
        <w:t xml:space="preserve">as well as within medical learning and knowledge. One of the key ways of doing this is by looking at medical treaties and writings, how they interact with one another (use of similar sources/ academic disagreements etc.), and also </w:t>
      </w:r>
      <w:r w:rsidR="008E2072">
        <w:rPr>
          <w:rFonts w:ascii="Times New Roman" w:hAnsi="Times New Roman" w:cs="Times New Roman"/>
        </w:rPr>
        <w:t>studying</w:t>
      </w:r>
      <w:r w:rsidR="00F23BFC">
        <w:rPr>
          <w:rFonts w:ascii="Times New Roman" w:hAnsi="Times New Roman" w:cs="Times New Roman"/>
        </w:rPr>
        <w:t xml:space="preserve"> at the specific terminology used to consider the illness in question. It is here where this volume is particularly strong. </w:t>
      </w:r>
      <w:proofErr w:type="spellStart"/>
      <w:r w:rsidR="00EB0CE4">
        <w:rPr>
          <w:rFonts w:ascii="Times New Roman" w:hAnsi="Times New Roman" w:cs="Times New Roman"/>
        </w:rPr>
        <w:t>Thumiger</w:t>
      </w:r>
      <w:proofErr w:type="spellEnd"/>
      <w:r w:rsidR="00EB0CE4">
        <w:rPr>
          <w:rFonts w:ascii="Times New Roman" w:hAnsi="Times New Roman" w:cs="Times New Roman"/>
        </w:rPr>
        <w:t xml:space="preserve"> and Singer have assembled here an excellent array of informed papers, that reflect the different ways of thinking about and studying mental illness </w:t>
      </w:r>
      <w:r w:rsidR="008E2072">
        <w:rPr>
          <w:rFonts w:ascii="Times New Roman" w:hAnsi="Times New Roman" w:cs="Times New Roman"/>
        </w:rPr>
        <w:t>i</w:t>
      </w:r>
      <w:r w:rsidR="00EB0CE4">
        <w:rPr>
          <w:rFonts w:ascii="Times New Roman" w:hAnsi="Times New Roman" w:cs="Times New Roman"/>
        </w:rPr>
        <w:t>n</w:t>
      </w:r>
      <w:r w:rsidR="008E2072">
        <w:rPr>
          <w:rFonts w:ascii="Times New Roman" w:hAnsi="Times New Roman" w:cs="Times New Roman"/>
        </w:rPr>
        <w:t xml:space="preserve"> </w:t>
      </w:r>
      <w:r w:rsidR="00EB0CE4">
        <w:rPr>
          <w:rFonts w:ascii="Times New Roman" w:hAnsi="Times New Roman" w:cs="Times New Roman"/>
        </w:rPr>
        <w:t xml:space="preserve">the ancient world. </w:t>
      </w:r>
      <w:r w:rsidR="00F23BFC">
        <w:rPr>
          <w:rFonts w:ascii="Times New Roman" w:hAnsi="Times New Roman" w:cs="Times New Roman"/>
        </w:rPr>
        <w:t>A number of the chapters here make great effort to engage with the ori</w:t>
      </w:r>
      <w:r w:rsidR="00EF63AA">
        <w:rPr>
          <w:rFonts w:ascii="Times New Roman" w:hAnsi="Times New Roman" w:cs="Times New Roman"/>
        </w:rPr>
        <w:t xml:space="preserve">ginal </w:t>
      </w:r>
      <w:r w:rsidR="008E2072">
        <w:rPr>
          <w:rFonts w:ascii="Times New Roman" w:hAnsi="Times New Roman" w:cs="Times New Roman"/>
        </w:rPr>
        <w:t>vocabulary</w:t>
      </w:r>
      <w:r w:rsidR="00EF63AA">
        <w:rPr>
          <w:rFonts w:ascii="Times New Roman" w:hAnsi="Times New Roman" w:cs="Times New Roman"/>
        </w:rPr>
        <w:t xml:space="preserve"> used, and fro</w:t>
      </w:r>
      <w:r w:rsidR="00F23BFC">
        <w:rPr>
          <w:rFonts w:ascii="Times New Roman" w:hAnsi="Times New Roman" w:cs="Times New Roman"/>
        </w:rPr>
        <w:t>m</w:t>
      </w:r>
      <w:r w:rsidR="00EF63AA">
        <w:rPr>
          <w:rFonts w:ascii="Times New Roman" w:hAnsi="Times New Roman" w:cs="Times New Roman"/>
        </w:rPr>
        <w:t xml:space="preserve"> </w:t>
      </w:r>
      <w:r w:rsidR="00F23BFC">
        <w:rPr>
          <w:rFonts w:ascii="Times New Roman" w:hAnsi="Times New Roman" w:cs="Times New Roman"/>
        </w:rPr>
        <w:t xml:space="preserve">that </w:t>
      </w:r>
      <w:r w:rsidR="00EF63AA">
        <w:rPr>
          <w:rFonts w:ascii="Times New Roman" w:hAnsi="Times New Roman" w:cs="Times New Roman"/>
        </w:rPr>
        <w:t>t</w:t>
      </w:r>
      <w:r w:rsidR="00F23BFC">
        <w:rPr>
          <w:rFonts w:ascii="Times New Roman" w:hAnsi="Times New Roman" w:cs="Times New Roman"/>
        </w:rPr>
        <w:t xml:space="preserve">race not just intellectual currents, but also real </w:t>
      </w:r>
      <w:r w:rsidR="00EB0CE4">
        <w:rPr>
          <w:rFonts w:ascii="Times New Roman" w:hAnsi="Times New Roman" w:cs="Times New Roman"/>
        </w:rPr>
        <w:t xml:space="preserve">world </w:t>
      </w:r>
      <w:r w:rsidR="00EF63AA">
        <w:rPr>
          <w:rFonts w:ascii="Times New Roman" w:hAnsi="Times New Roman" w:cs="Times New Roman"/>
        </w:rPr>
        <w:t>applications</w:t>
      </w:r>
      <w:r w:rsidR="00F23BFC">
        <w:rPr>
          <w:rFonts w:ascii="Times New Roman" w:hAnsi="Times New Roman" w:cs="Times New Roman"/>
        </w:rPr>
        <w:t xml:space="preserve"> of medical knowledge. </w:t>
      </w:r>
      <w:r w:rsidR="00EF63AA">
        <w:rPr>
          <w:rFonts w:ascii="Times New Roman" w:hAnsi="Times New Roman" w:cs="Times New Roman"/>
        </w:rPr>
        <w:t xml:space="preserve">The other great strength to this volume is in how disease is defined and understood; crucially as both a social and cultural construct. </w:t>
      </w:r>
      <w:r w:rsidR="00EB0CE4">
        <w:rPr>
          <w:rFonts w:ascii="Times New Roman" w:hAnsi="Times New Roman" w:cs="Times New Roman"/>
        </w:rPr>
        <w:t>This allow</w:t>
      </w:r>
      <w:r w:rsidR="008E2072">
        <w:rPr>
          <w:rFonts w:ascii="Times New Roman" w:hAnsi="Times New Roman" w:cs="Times New Roman"/>
        </w:rPr>
        <w:t>s</w:t>
      </w:r>
      <w:r w:rsidR="00EB0CE4">
        <w:rPr>
          <w:rFonts w:ascii="Times New Roman" w:hAnsi="Times New Roman" w:cs="Times New Roman"/>
        </w:rPr>
        <w:t xml:space="preserve"> for </w:t>
      </w:r>
      <w:proofErr w:type="gramStart"/>
      <w:r w:rsidR="00EB0CE4">
        <w:rPr>
          <w:rFonts w:ascii="Times New Roman" w:hAnsi="Times New Roman" w:cs="Times New Roman"/>
        </w:rPr>
        <w:t>a number of</w:t>
      </w:r>
      <w:proofErr w:type="gramEnd"/>
      <w:r w:rsidR="00EB0CE4">
        <w:rPr>
          <w:rFonts w:ascii="Times New Roman" w:hAnsi="Times New Roman" w:cs="Times New Roman"/>
        </w:rPr>
        <w:t xml:space="preserve"> persuasive conclusions to be reached, and </w:t>
      </w:r>
      <w:r w:rsidR="00917BBF">
        <w:rPr>
          <w:rFonts w:ascii="Times New Roman" w:hAnsi="Times New Roman" w:cs="Times New Roman"/>
        </w:rPr>
        <w:t xml:space="preserve">some important </w:t>
      </w:r>
      <w:r w:rsidR="00EB0CE4">
        <w:rPr>
          <w:rFonts w:ascii="Times New Roman" w:hAnsi="Times New Roman" w:cs="Times New Roman"/>
        </w:rPr>
        <w:t xml:space="preserve">questions to be asked. </w:t>
      </w:r>
    </w:p>
    <w:p w14:paraId="7976E041" w14:textId="294F2781" w:rsidR="00A02F11" w:rsidRDefault="00EF63AA" w:rsidP="008E2072">
      <w:pPr>
        <w:spacing w:line="480" w:lineRule="auto"/>
        <w:rPr>
          <w:rFonts w:ascii="Times New Roman" w:hAnsi="Times New Roman" w:cs="Times New Roman"/>
        </w:rPr>
      </w:pPr>
      <w:r>
        <w:rPr>
          <w:rFonts w:ascii="Times New Roman" w:hAnsi="Times New Roman" w:cs="Times New Roman"/>
        </w:rPr>
        <w:t xml:space="preserve">The book is divided between three sections. The first engages </w:t>
      </w:r>
      <w:r w:rsidR="00146C6D">
        <w:rPr>
          <w:rFonts w:ascii="Times New Roman" w:hAnsi="Times New Roman" w:cs="Times New Roman"/>
        </w:rPr>
        <w:t>in</w:t>
      </w:r>
      <w:r>
        <w:rPr>
          <w:rFonts w:ascii="Times New Roman" w:hAnsi="Times New Roman" w:cs="Times New Roman"/>
        </w:rPr>
        <w:t xml:space="preserve"> a </w:t>
      </w:r>
      <w:r w:rsidR="00A02F11">
        <w:rPr>
          <w:rFonts w:ascii="Times New Roman" w:hAnsi="Times New Roman" w:cs="Times New Roman"/>
        </w:rPr>
        <w:t>broad</w:t>
      </w:r>
      <w:r>
        <w:rPr>
          <w:rFonts w:ascii="Times New Roman" w:hAnsi="Times New Roman" w:cs="Times New Roman"/>
        </w:rPr>
        <w:t xml:space="preserve"> perspective (35-10</w:t>
      </w:r>
      <w:r w:rsidR="00B66932">
        <w:rPr>
          <w:rFonts w:ascii="Times New Roman" w:hAnsi="Times New Roman" w:cs="Times New Roman"/>
        </w:rPr>
        <w:t>6</w:t>
      </w:r>
      <w:r>
        <w:rPr>
          <w:rFonts w:ascii="Times New Roman" w:hAnsi="Times New Roman" w:cs="Times New Roman"/>
        </w:rPr>
        <w:t>), with a chapter looking at melancholy (</w:t>
      </w:r>
      <w:proofErr w:type="spellStart"/>
      <w:r>
        <w:rPr>
          <w:rFonts w:ascii="Times New Roman" w:hAnsi="Times New Roman" w:cs="Times New Roman"/>
        </w:rPr>
        <w:t>Kazantzidis</w:t>
      </w:r>
      <w:proofErr w:type="spellEnd"/>
      <w:r>
        <w:rPr>
          <w:rFonts w:ascii="Times New Roman" w:hAnsi="Times New Roman" w:cs="Times New Roman"/>
        </w:rPr>
        <w:t xml:space="preserve">, </w:t>
      </w:r>
      <w:r w:rsidR="00F37F7F">
        <w:rPr>
          <w:rFonts w:ascii="Times New Roman" w:hAnsi="Times New Roman" w:cs="Times New Roman"/>
        </w:rPr>
        <w:t xml:space="preserve"> </w:t>
      </w:r>
      <w:r w:rsidRPr="00F37F7F">
        <w:rPr>
          <w:rFonts w:ascii="Times New Roman" w:hAnsi="Times New Roman" w:cs="Times New Roman"/>
        </w:rPr>
        <w:t>35</w:t>
      </w:r>
      <w:r>
        <w:rPr>
          <w:rFonts w:ascii="Times New Roman" w:hAnsi="Times New Roman" w:cs="Times New Roman"/>
        </w:rPr>
        <w:t xml:space="preserve">-78) and another investigating </w:t>
      </w:r>
      <w:r w:rsidR="00B66932">
        <w:rPr>
          <w:rFonts w:ascii="Times New Roman" w:hAnsi="Times New Roman" w:cs="Times New Roman"/>
        </w:rPr>
        <w:t>demonic influence in mental illness (Metzger, 79-</w:t>
      </w:r>
      <w:r>
        <w:rPr>
          <w:rFonts w:ascii="Times New Roman" w:hAnsi="Times New Roman" w:cs="Times New Roman"/>
        </w:rPr>
        <w:t xml:space="preserve"> </w:t>
      </w:r>
      <w:r w:rsidR="00B66932">
        <w:rPr>
          <w:rFonts w:ascii="Times New Roman" w:hAnsi="Times New Roman" w:cs="Times New Roman"/>
        </w:rPr>
        <w:t xml:space="preserve">106). </w:t>
      </w:r>
      <w:proofErr w:type="spellStart"/>
      <w:r w:rsidR="004D5DC9">
        <w:rPr>
          <w:rFonts w:ascii="Times New Roman" w:hAnsi="Times New Roman" w:cs="Times New Roman"/>
        </w:rPr>
        <w:t>Kazantizidis</w:t>
      </w:r>
      <w:proofErr w:type="spellEnd"/>
      <w:r w:rsidR="004D5DC9">
        <w:rPr>
          <w:rFonts w:ascii="Times New Roman" w:hAnsi="Times New Roman" w:cs="Times New Roman"/>
        </w:rPr>
        <w:t xml:space="preserve"> </w:t>
      </w:r>
      <w:r w:rsidR="00A02F11">
        <w:rPr>
          <w:rFonts w:ascii="Times New Roman" w:hAnsi="Times New Roman" w:cs="Times New Roman"/>
        </w:rPr>
        <w:t xml:space="preserve">provides an excellent dissection of </w:t>
      </w:r>
      <w:proofErr w:type="spellStart"/>
      <w:r w:rsidR="00A02F11">
        <w:rPr>
          <w:rFonts w:ascii="Times New Roman" w:hAnsi="Times New Roman" w:cs="Times New Roman"/>
          <w:i/>
        </w:rPr>
        <w:t>insania</w:t>
      </w:r>
      <w:proofErr w:type="spellEnd"/>
      <w:r w:rsidR="00A02F11">
        <w:rPr>
          <w:rFonts w:ascii="Times New Roman" w:hAnsi="Times New Roman" w:cs="Times New Roman"/>
        </w:rPr>
        <w:t xml:space="preserve">, recognising the bifurcation found in the ancient writings between </w:t>
      </w:r>
      <w:proofErr w:type="spellStart"/>
      <w:r w:rsidR="00A02F11">
        <w:rPr>
          <w:rFonts w:ascii="Times New Roman" w:hAnsi="Times New Roman" w:cs="Times New Roman"/>
          <w:i/>
        </w:rPr>
        <w:t>tristia</w:t>
      </w:r>
      <w:proofErr w:type="spellEnd"/>
      <w:r w:rsidR="00A02F11">
        <w:rPr>
          <w:rFonts w:ascii="Times New Roman" w:hAnsi="Times New Roman" w:cs="Times New Roman"/>
          <w:i/>
        </w:rPr>
        <w:t xml:space="preserve"> </w:t>
      </w:r>
      <w:r w:rsidR="00A02F11">
        <w:rPr>
          <w:rFonts w:ascii="Times New Roman" w:hAnsi="Times New Roman" w:cs="Times New Roman"/>
        </w:rPr>
        <w:t xml:space="preserve">(sadness/depression) and </w:t>
      </w:r>
      <w:proofErr w:type="spellStart"/>
      <w:r w:rsidR="00A02F11">
        <w:rPr>
          <w:rFonts w:ascii="Times New Roman" w:hAnsi="Times New Roman" w:cs="Times New Roman"/>
          <w:i/>
        </w:rPr>
        <w:t>hilares</w:t>
      </w:r>
      <w:proofErr w:type="spellEnd"/>
      <w:r w:rsidR="00A02F11">
        <w:rPr>
          <w:rFonts w:ascii="Times New Roman" w:hAnsi="Times New Roman" w:cs="Times New Roman"/>
          <w:i/>
        </w:rPr>
        <w:t xml:space="preserve"> </w:t>
      </w:r>
      <w:r w:rsidR="00A02F11">
        <w:rPr>
          <w:rFonts w:ascii="Times New Roman" w:hAnsi="Times New Roman" w:cs="Times New Roman"/>
        </w:rPr>
        <w:t xml:space="preserve">(cheerfulness/hilarity). </w:t>
      </w:r>
      <w:r w:rsidR="004D5DC9">
        <w:rPr>
          <w:rFonts w:ascii="Times New Roman" w:hAnsi="Times New Roman" w:cs="Times New Roman"/>
        </w:rPr>
        <w:t>T</w:t>
      </w:r>
      <w:r w:rsidR="00A02F11">
        <w:rPr>
          <w:rFonts w:ascii="Times New Roman" w:hAnsi="Times New Roman" w:cs="Times New Roman"/>
        </w:rPr>
        <w:t xml:space="preserve">his division needs to be </w:t>
      </w:r>
      <w:r w:rsidR="00150450">
        <w:rPr>
          <w:rFonts w:ascii="Times New Roman" w:hAnsi="Times New Roman" w:cs="Times New Roman"/>
        </w:rPr>
        <w:t>recognised</w:t>
      </w:r>
      <w:r w:rsidR="00A02F11">
        <w:rPr>
          <w:rFonts w:ascii="Times New Roman" w:hAnsi="Times New Roman" w:cs="Times New Roman"/>
        </w:rPr>
        <w:t xml:space="preserve"> </w:t>
      </w:r>
      <w:r w:rsidR="00150450">
        <w:rPr>
          <w:rFonts w:ascii="Times New Roman" w:hAnsi="Times New Roman" w:cs="Times New Roman"/>
        </w:rPr>
        <w:t>immediately</w:t>
      </w:r>
      <w:r w:rsidR="00A02F11">
        <w:rPr>
          <w:rFonts w:ascii="Times New Roman" w:hAnsi="Times New Roman" w:cs="Times New Roman"/>
        </w:rPr>
        <w:t>, as it requires different treatment (‘</w:t>
      </w:r>
      <w:proofErr w:type="spellStart"/>
      <w:r w:rsidR="00A02F11">
        <w:rPr>
          <w:rFonts w:ascii="Times New Roman" w:hAnsi="Times New Roman" w:cs="Times New Roman"/>
          <w:i/>
        </w:rPr>
        <w:t>si</w:t>
      </w:r>
      <w:proofErr w:type="spellEnd"/>
      <w:r w:rsidR="00A02F11">
        <w:rPr>
          <w:rFonts w:ascii="Times New Roman" w:hAnsi="Times New Roman" w:cs="Times New Roman"/>
          <w:i/>
        </w:rPr>
        <w:t xml:space="preserve"> imagines </w:t>
      </w:r>
      <w:proofErr w:type="spellStart"/>
      <w:r w:rsidR="00A02F11">
        <w:rPr>
          <w:rFonts w:ascii="Times New Roman" w:hAnsi="Times New Roman" w:cs="Times New Roman"/>
          <w:i/>
        </w:rPr>
        <w:t>fallunt</w:t>
      </w:r>
      <w:proofErr w:type="spellEnd"/>
      <w:r w:rsidR="00A02F11">
        <w:rPr>
          <w:rFonts w:ascii="Times New Roman" w:hAnsi="Times New Roman" w:cs="Times New Roman"/>
          <w:i/>
        </w:rPr>
        <w:t xml:space="preserve">, ante Omnia </w:t>
      </w:r>
      <w:proofErr w:type="spellStart"/>
      <w:r w:rsidR="00A02F11">
        <w:rPr>
          <w:rFonts w:ascii="Times New Roman" w:hAnsi="Times New Roman" w:cs="Times New Roman"/>
          <w:i/>
        </w:rPr>
        <w:t>videndum</w:t>
      </w:r>
      <w:proofErr w:type="spellEnd"/>
      <w:r w:rsidR="00A02F11">
        <w:rPr>
          <w:rFonts w:ascii="Times New Roman" w:hAnsi="Times New Roman" w:cs="Times New Roman"/>
          <w:i/>
        </w:rPr>
        <w:t xml:space="preserve"> </w:t>
      </w:r>
      <w:proofErr w:type="spellStart"/>
      <w:r w:rsidR="00A02F11">
        <w:rPr>
          <w:rFonts w:ascii="Times New Roman" w:hAnsi="Times New Roman" w:cs="Times New Roman"/>
          <w:i/>
        </w:rPr>
        <w:t>est</w:t>
      </w:r>
      <w:proofErr w:type="spellEnd"/>
      <w:r w:rsidR="00A02F11">
        <w:rPr>
          <w:rFonts w:ascii="Times New Roman" w:hAnsi="Times New Roman" w:cs="Times New Roman"/>
          <w:i/>
        </w:rPr>
        <w:t xml:space="preserve">, tristes an </w:t>
      </w:r>
      <w:proofErr w:type="spellStart"/>
      <w:r w:rsidR="00A02F11">
        <w:rPr>
          <w:rFonts w:ascii="Times New Roman" w:hAnsi="Times New Roman" w:cs="Times New Roman"/>
          <w:i/>
        </w:rPr>
        <w:t>hilares</w:t>
      </w:r>
      <w:proofErr w:type="spellEnd"/>
      <w:r w:rsidR="00A02F11">
        <w:rPr>
          <w:rFonts w:ascii="Times New Roman" w:hAnsi="Times New Roman" w:cs="Times New Roman"/>
          <w:i/>
        </w:rPr>
        <w:t xml:space="preserve"> </w:t>
      </w:r>
      <w:proofErr w:type="spellStart"/>
      <w:r w:rsidR="00A02F11">
        <w:rPr>
          <w:rFonts w:ascii="Times New Roman" w:hAnsi="Times New Roman" w:cs="Times New Roman"/>
          <w:i/>
        </w:rPr>
        <w:t>sint</w:t>
      </w:r>
      <w:proofErr w:type="spellEnd"/>
      <w:r w:rsidR="00A02F11">
        <w:rPr>
          <w:rFonts w:ascii="Times New Roman" w:hAnsi="Times New Roman" w:cs="Times New Roman"/>
        </w:rPr>
        <w:t xml:space="preserve">’, </w:t>
      </w:r>
      <w:proofErr w:type="spellStart"/>
      <w:r w:rsidR="004D5DC9">
        <w:rPr>
          <w:rFonts w:ascii="Times New Roman" w:hAnsi="Times New Roman" w:cs="Times New Roman"/>
        </w:rPr>
        <w:t>Celsus</w:t>
      </w:r>
      <w:proofErr w:type="spellEnd"/>
      <w:r w:rsidR="004D5DC9">
        <w:rPr>
          <w:rFonts w:ascii="Times New Roman" w:hAnsi="Times New Roman" w:cs="Times New Roman"/>
        </w:rPr>
        <w:t xml:space="preserve">, </w:t>
      </w:r>
      <w:r w:rsidR="00A02F11">
        <w:rPr>
          <w:rFonts w:ascii="Times New Roman" w:hAnsi="Times New Roman" w:cs="Times New Roman"/>
        </w:rPr>
        <w:t>45).</w:t>
      </w:r>
      <w:r w:rsidR="00B15212">
        <w:rPr>
          <w:rFonts w:ascii="Times New Roman" w:hAnsi="Times New Roman" w:cs="Times New Roman"/>
        </w:rPr>
        <w:t xml:space="preserve"> This chapter al</w:t>
      </w:r>
      <w:r w:rsidR="00150450">
        <w:rPr>
          <w:rFonts w:ascii="Times New Roman" w:hAnsi="Times New Roman" w:cs="Times New Roman"/>
        </w:rPr>
        <w:t>so exposes what can be gained b</w:t>
      </w:r>
      <w:r w:rsidR="00B15212">
        <w:rPr>
          <w:rFonts w:ascii="Times New Roman" w:hAnsi="Times New Roman" w:cs="Times New Roman"/>
        </w:rPr>
        <w:t>y bringing together medical and philosophical learning (esp. 74-78).</w:t>
      </w:r>
      <w:r w:rsidR="00150450">
        <w:rPr>
          <w:rFonts w:ascii="Times New Roman" w:hAnsi="Times New Roman" w:cs="Times New Roman"/>
        </w:rPr>
        <w:t xml:space="preserve"> </w:t>
      </w:r>
      <w:r w:rsidR="00B15212">
        <w:rPr>
          <w:rFonts w:ascii="Times New Roman" w:hAnsi="Times New Roman" w:cs="Times New Roman"/>
        </w:rPr>
        <w:t xml:space="preserve"> </w:t>
      </w:r>
      <w:r w:rsidR="00150450">
        <w:rPr>
          <w:rFonts w:ascii="Times New Roman" w:hAnsi="Times New Roman" w:cs="Times New Roman"/>
        </w:rPr>
        <w:t xml:space="preserve">Metzger tackles an important issue head-on, the fear of demonic possession and its consequences for the mental health of its victims. Any reader of early Church writings will find a confusion between the possessed, and those who suffer mental illness. </w:t>
      </w:r>
      <w:r w:rsidR="008D282A">
        <w:rPr>
          <w:rFonts w:ascii="Times New Roman" w:hAnsi="Times New Roman" w:cs="Times New Roman"/>
        </w:rPr>
        <w:t>This is then an important discussion o</w:t>
      </w:r>
      <w:r w:rsidR="00EB5607">
        <w:rPr>
          <w:rFonts w:ascii="Times New Roman" w:hAnsi="Times New Roman" w:cs="Times New Roman"/>
        </w:rPr>
        <w:t>f a complex topic, and one that analyses the available evidence with care and precision. As Metzger reminds us: ‘[a]</w:t>
      </w:r>
      <w:proofErr w:type="spellStart"/>
      <w:r w:rsidR="00EB5607">
        <w:rPr>
          <w:rFonts w:ascii="Times New Roman" w:hAnsi="Times New Roman" w:cs="Times New Roman"/>
        </w:rPr>
        <w:t>longside</w:t>
      </w:r>
      <w:proofErr w:type="spellEnd"/>
      <w:r w:rsidR="00EB5607">
        <w:rPr>
          <w:rFonts w:ascii="Times New Roman" w:hAnsi="Times New Roman" w:cs="Times New Roman"/>
        </w:rPr>
        <w:t xml:space="preserve"> Christian demonology, there were at least two other schools of </w:t>
      </w:r>
      <w:r w:rsidR="00EB5607">
        <w:rPr>
          <w:rFonts w:ascii="Times New Roman" w:hAnsi="Times New Roman" w:cs="Times New Roman"/>
        </w:rPr>
        <w:lastRenderedPageBreak/>
        <w:t xml:space="preserve">thought, namely Neoplatonic demonology and pagan popular beliefs which held very different notions concerning the nature of superhuman beings, both </w:t>
      </w:r>
      <w:r w:rsidR="0027108D">
        <w:rPr>
          <w:rFonts w:ascii="Times New Roman" w:hAnsi="Times New Roman" w:cs="Times New Roman"/>
        </w:rPr>
        <w:t>referring</w:t>
      </w:r>
      <w:r w:rsidR="00EB5607">
        <w:rPr>
          <w:rFonts w:ascii="Times New Roman" w:hAnsi="Times New Roman" w:cs="Times New Roman"/>
        </w:rPr>
        <w:t xml:space="preserve"> to such beings as </w:t>
      </w:r>
      <w:proofErr w:type="spellStart"/>
      <w:r w:rsidR="00EB5607">
        <w:rPr>
          <w:rFonts w:ascii="Times New Roman" w:hAnsi="Times New Roman" w:cs="Times New Roman"/>
          <w:i/>
        </w:rPr>
        <w:t>daimones</w:t>
      </w:r>
      <w:proofErr w:type="spellEnd"/>
      <w:r w:rsidR="00EB5607">
        <w:rPr>
          <w:rFonts w:ascii="Times New Roman" w:hAnsi="Times New Roman" w:cs="Times New Roman"/>
        </w:rPr>
        <w:t>’ (81).</w:t>
      </w:r>
      <w:r w:rsidR="003B53C2">
        <w:rPr>
          <w:rFonts w:ascii="Times New Roman" w:hAnsi="Times New Roman" w:cs="Times New Roman"/>
        </w:rPr>
        <w:t xml:space="preserve"> The most important conclusion </w:t>
      </w:r>
      <w:r w:rsidR="0027108D">
        <w:rPr>
          <w:rFonts w:ascii="Times New Roman" w:hAnsi="Times New Roman" w:cs="Times New Roman"/>
        </w:rPr>
        <w:t>reached</w:t>
      </w:r>
      <w:r w:rsidR="003B53C2">
        <w:rPr>
          <w:rFonts w:ascii="Times New Roman" w:hAnsi="Times New Roman" w:cs="Times New Roman"/>
        </w:rPr>
        <w:t xml:space="preserve"> here is about the subconscious bias of modern </w:t>
      </w:r>
      <w:r w:rsidR="0027108D">
        <w:rPr>
          <w:rFonts w:ascii="Times New Roman" w:hAnsi="Times New Roman" w:cs="Times New Roman"/>
        </w:rPr>
        <w:t>interpreters</w:t>
      </w:r>
      <w:r w:rsidR="003B53C2">
        <w:rPr>
          <w:rFonts w:ascii="Times New Roman" w:hAnsi="Times New Roman" w:cs="Times New Roman"/>
        </w:rPr>
        <w:t xml:space="preserve">, in how we view religion and </w:t>
      </w:r>
      <w:r w:rsidR="0027108D">
        <w:rPr>
          <w:rFonts w:ascii="Times New Roman" w:hAnsi="Times New Roman" w:cs="Times New Roman"/>
        </w:rPr>
        <w:t>medicine</w:t>
      </w:r>
      <w:r w:rsidR="003B53C2">
        <w:rPr>
          <w:rFonts w:ascii="Times New Roman" w:hAnsi="Times New Roman" w:cs="Times New Roman"/>
        </w:rPr>
        <w:t xml:space="preserve"> as ‘closed systems’ when instead we should accept the ‘</w:t>
      </w:r>
      <w:r w:rsidR="0027108D">
        <w:rPr>
          <w:rFonts w:ascii="Times New Roman" w:hAnsi="Times New Roman" w:cs="Times New Roman"/>
        </w:rPr>
        <w:t>concept</w:t>
      </w:r>
      <w:r w:rsidR="003B53C2">
        <w:rPr>
          <w:rFonts w:ascii="Times New Roman" w:hAnsi="Times New Roman" w:cs="Times New Roman"/>
        </w:rPr>
        <w:t xml:space="preserve"> of ambiguity’</w:t>
      </w:r>
      <w:r w:rsidR="0027108D">
        <w:rPr>
          <w:rFonts w:ascii="Times New Roman" w:hAnsi="Times New Roman" w:cs="Times New Roman"/>
        </w:rPr>
        <w:t xml:space="preserve"> (106)</w:t>
      </w:r>
      <w:r w:rsidR="003B53C2">
        <w:rPr>
          <w:rFonts w:ascii="Times New Roman" w:hAnsi="Times New Roman" w:cs="Times New Roman"/>
        </w:rPr>
        <w:t>.</w:t>
      </w:r>
    </w:p>
    <w:p w14:paraId="39E50DD2" w14:textId="26128C3F" w:rsidR="0027108D" w:rsidRDefault="00B66932" w:rsidP="008E2072">
      <w:pPr>
        <w:spacing w:line="480" w:lineRule="auto"/>
        <w:rPr>
          <w:rFonts w:ascii="Times New Roman" w:hAnsi="Times New Roman" w:cs="Times New Roman"/>
        </w:rPr>
      </w:pPr>
      <w:r>
        <w:rPr>
          <w:rFonts w:ascii="Times New Roman" w:hAnsi="Times New Roman" w:cs="Times New Roman"/>
        </w:rPr>
        <w:t xml:space="preserve">The second part is more focussed, with nine separate chapters studying individual writers such as </w:t>
      </w:r>
      <w:proofErr w:type="spellStart"/>
      <w:r>
        <w:rPr>
          <w:rFonts w:ascii="Times New Roman" w:hAnsi="Times New Roman" w:cs="Times New Roman"/>
        </w:rPr>
        <w:t>Athenaeus</w:t>
      </w:r>
      <w:proofErr w:type="spellEnd"/>
      <w:r>
        <w:rPr>
          <w:rFonts w:ascii="Times New Roman" w:hAnsi="Times New Roman" w:cs="Times New Roman"/>
        </w:rPr>
        <w:t xml:space="preserve"> of </w:t>
      </w:r>
      <w:proofErr w:type="spellStart"/>
      <w:r>
        <w:rPr>
          <w:rFonts w:ascii="Times New Roman" w:hAnsi="Times New Roman" w:cs="Times New Roman"/>
        </w:rPr>
        <w:t>Attalia</w:t>
      </w:r>
      <w:proofErr w:type="spellEnd"/>
      <w:r>
        <w:rPr>
          <w:rFonts w:ascii="Times New Roman" w:hAnsi="Times New Roman" w:cs="Times New Roman"/>
        </w:rPr>
        <w:t xml:space="preserve">, Rufus of Ephesus and </w:t>
      </w:r>
      <w:proofErr w:type="spellStart"/>
      <w:r>
        <w:rPr>
          <w:rFonts w:ascii="Times New Roman" w:hAnsi="Times New Roman" w:cs="Times New Roman"/>
        </w:rPr>
        <w:t>Archigenes</w:t>
      </w:r>
      <w:proofErr w:type="spellEnd"/>
      <w:r>
        <w:rPr>
          <w:rFonts w:ascii="Times New Roman" w:hAnsi="Times New Roman" w:cs="Times New Roman"/>
        </w:rPr>
        <w:t xml:space="preserve"> of </w:t>
      </w:r>
      <w:proofErr w:type="spellStart"/>
      <w:r>
        <w:rPr>
          <w:rFonts w:ascii="Times New Roman" w:hAnsi="Times New Roman" w:cs="Times New Roman"/>
        </w:rPr>
        <w:t>Apamea</w:t>
      </w:r>
      <w:proofErr w:type="spellEnd"/>
      <w:r w:rsidR="0027108D">
        <w:rPr>
          <w:rFonts w:ascii="Times New Roman" w:hAnsi="Times New Roman" w:cs="Times New Roman"/>
        </w:rPr>
        <w:t xml:space="preserve">, as well as </w:t>
      </w:r>
      <w:r>
        <w:rPr>
          <w:rFonts w:ascii="Times New Roman" w:hAnsi="Times New Roman" w:cs="Times New Roman"/>
        </w:rPr>
        <w:t xml:space="preserve">individual themes (109-340). </w:t>
      </w:r>
      <w:r w:rsidR="00912E7F">
        <w:rPr>
          <w:rFonts w:ascii="Times New Roman" w:hAnsi="Times New Roman" w:cs="Times New Roman"/>
        </w:rPr>
        <w:t xml:space="preserve">As with any volume of collected essays, it can be difficult to present a strong sense of unity, and these chapters do not always sit quite so well together. </w:t>
      </w:r>
      <w:r w:rsidR="00456552">
        <w:rPr>
          <w:rFonts w:ascii="Times New Roman" w:hAnsi="Times New Roman" w:cs="Times New Roman"/>
        </w:rPr>
        <w:t xml:space="preserve">Nonetheless, in focussing on individual writers and important themes, the reader is </w:t>
      </w:r>
      <w:r w:rsidR="00C973DE">
        <w:rPr>
          <w:rFonts w:ascii="Times New Roman" w:hAnsi="Times New Roman" w:cs="Times New Roman"/>
        </w:rPr>
        <w:t>introduced</w:t>
      </w:r>
      <w:r w:rsidR="00456552">
        <w:rPr>
          <w:rFonts w:ascii="Times New Roman" w:hAnsi="Times New Roman" w:cs="Times New Roman"/>
        </w:rPr>
        <w:t xml:space="preserve"> both to familiar and unfamiliar writings and writers, and this can only help provide a deeper level of understanding. </w:t>
      </w:r>
      <w:r w:rsidR="00F85E0C">
        <w:rPr>
          <w:rFonts w:ascii="Times New Roman" w:hAnsi="Times New Roman" w:cs="Times New Roman"/>
        </w:rPr>
        <w:t xml:space="preserve">The chapters by </w:t>
      </w:r>
      <w:proofErr w:type="spellStart"/>
      <w:r w:rsidR="00456552">
        <w:rPr>
          <w:rFonts w:ascii="Times New Roman" w:hAnsi="Times New Roman" w:cs="Times New Roman"/>
        </w:rPr>
        <w:t>Thumiger</w:t>
      </w:r>
      <w:proofErr w:type="spellEnd"/>
      <w:r w:rsidR="00456552">
        <w:rPr>
          <w:rFonts w:ascii="Times New Roman" w:hAnsi="Times New Roman" w:cs="Times New Roman"/>
        </w:rPr>
        <w:t xml:space="preserve"> and </w:t>
      </w:r>
      <w:proofErr w:type="spellStart"/>
      <w:r w:rsidR="00456552">
        <w:rPr>
          <w:rFonts w:ascii="Times New Roman" w:hAnsi="Times New Roman" w:cs="Times New Roman"/>
        </w:rPr>
        <w:t>Gäbel</w:t>
      </w:r>
      <w:proofErr w:type="spellEnd"/>
      <w:r w:rsidR="00456552">
        <w:rPr>
          <w:rFonts w:ascii="Times New Roman" w:hAnsi="Times New Roman" w:cs="Times New Roman"/>
        </w:rPr>
        <w:t xml:space="preserve"> are </w:t>
      </w:r>
      <w:r w:rsidR="00C973DE">
        <w:rPr>
          <w:rFonts w:ascii="Times New Roman" w:hAnsi="Times New Roman" w:cs="Times New Roman"/>
        </w:rPr>
        <w:t xml:space="preserve">the </w:t>
      </w:r>
      <w:r w:rsidR="00456552">
        <w:rPr>
          <w:rFonts w:ascii="Times New Roman" w:hAnsi="Times New Roman" w:cs="Times New Roman"/>
        </w:rPr>
        <w:t>strong</w:t>
      </w:r>
      <w:r w:rsidR="00C973DE">
        <w:rPr>
          <w:rFonts w:ascii="Times New Roman" w:hAnsi="Times New Roman" w:cs="Times New Roman"/>
        </w:rPr>
        <w:t>est in this section</w:t>
      </w:r>
      <w:r w:rsidR="00456552">
        <w:rPr>
          <w:rFonts w:ascii="Times New Roman" w:hAnsi="Times New Roman" w:cs="Times New Roman"/>
        </w:rPr>
        <w:t xml:space="preserve">. </w:t>
      </w:r>
      <w:proofErr w:type="spellStart"/>
      <w:r w:rsidR="00456552">
        <w:rPr>
          <w:rFonts w:ascii="Times New Roman" w:hAnsi="Times New Roman" w:cs="Times New Roman"/>
        </w:rPr>
        <w:t>Thumiger’s</w:t>
      </w:r>
      <w:proofErr w:type="spellEnd"/>
      <w:r w:rsidR="00456552">
        <w:rPr>
          <w:rFonts w:ascii="Times New Roman" w:hAnsi="Times New Roman" w:cs="Times New Roman"/>
        </w:rPr>
        <w:t xml:space="preserve"> first chapter (245-268) looks to eating disorder</w:t>
      </w:r>
      <w:r w:rsidR="00F64FEF">
        <w:rPr>
          <w:rFonts w:ascii="Times New Roman" w:hAnsi="Times New Roman" w:cs="Times New Roman"/>
        </w:rPr>
        <w:t>s</w:t>
      </w:r>
      <w:r w:rsidR="00456552">
        <w:rPr>
          <w:rFonts w:ascii="Times New Roman" w:hAnsi="Times New Roman" w:cs="Times New Roman"/>
        </w:rPr>
        <w:t xml:space="preserve">, </w:t>
      </w:r>
      <w:r w:rsidR="00F64FEF">
        <w:rPr>
          <w:rFonts w:ascii="Times New Roman" w:hAnsi="Times New Roman" w:cs="Times New Roman"/>
        </w:rPr>
        <w:t xml:space="preserve">such as </w:t>
      </w:r>
      <w:proofErr w:type="spellStart"/>
      <w:r w:rsidR="00F64FEF">
        <w:rPr>
          <w:rFonts w:ascii="Times New Roman" w:hAnsi="Times New Roman" w:cs="Times New Roman"/>
          <w:i/>
        </w:rPr>
        <w:t>boulimos</w:t>
      </w:r>
      <w:proofErr w:type="spellEnd"/>
      <w:r w:rsidR="00F64FEF">
        <w:rPr>
          <w:rFonts w:ascii="Times New Roman" w:hAnsi="Times New Roman" w:cs="Times New Roman"/>
        </w:rPr>
        <w:t xml:space="preserve">, </w:t>
      </w:r>
      <w:proofErr w:type="spellStart"/>
      <w:r w:rsidR="00F64FEF" w:rsidRPr="00F64FEF">
        <w:rPr>
          <w:rFonts w:ascii="Times New Roman" w:hAnsi="Times New Roman" w:cs="Times New Roman"/>
          <w:i/>
        </w:rPr>
        <w:t>atrophia</w:t>
      </w:r>
      <w:proofErr w:type="spellEnd"/>
      <w:r w:rsidR="00F64FEF">
        <w:rPr>
          <w:rFonts w:ascii="Times New Roman" w:hAnsi="Times New Roman" w:cs="Times New Roman"/>
        </w:rPr>
        <w:t xml:space="preserve">, </w:t>
      </w:r>
      <w:proofErr w:type="spellStart"/>
      <w:r w:rsidR="00F64FEF">
        <w:rPr>
          <w:rFonts w:ascii="Times New Roman" w:hAnsi="Times New Roman" w:cs="Times New Roman"/>
          <w:i/>
        </w:rPr>
        <w:t>polysarkia</w:t>
      </w:r>
      <w:proofErr w:type="spellEnd"/>
      <w:r w:rsidR="00F64FEF">
        <w:rPr>
          <w:rFonts w:ascii="Times New Roman" w:hAnsi="Times New Roman" w:cs="Times New Roman"/>
          <w:i/>
        </w:rPr>
        <w:t xml:space="preserve">, </w:t>
      </w:r>
      <w:proofErr w:type="spellStart"/>
      <w:r w:rsidR="004552E5">
        <w:rPr>
          <w:rFonts w:ascii="Times New Roman" w:hAnsi="Times New Roman" w:cs="Times New Roman"/>
          <w:i/>
        </w:rPr>
        <w:t>phagedaina</w:t>
      </w:r>
      <w:proofErr w:type="spellEnd"/>
      <w:r w:rsidR="004552E5">
        <w:rPr>
          <w:rFonts w:ascii="Times New Roman" w:hAnsi="Times New Roman" w:cs="Times New Roman"/>
          <w:i/>
        </w:rPr>
        <w:t xml:space="preserve">, </w:t>
      </w:r>
      <w:proofErr w:type="spellStart"/>
      <w:r w:rsidR="00F64FEF">
        <w:rPr>
          <w:rFonts w:ascii="Times New Roman" w:hAnsi="Times New Roman" w:cs="Times New Roman"/>
          <w:i/>
        </w:rPr>
        <w:t>stomachikon</w:t>
      </w:r>
      <w:proofErr w:type="spellEnd"/>
      <w:r w:rsidR="00F64FEF">
        <w:rPr>
          <w:rFonts w:ascii="Times New Roman" w:hAnsi="Times New Roman" w:cs="Times New Roman"/>
          <w:i/>
        </w:rPr>
        <w:t xml:space="preserve"> </w:t>
      </w:r>
      <w:r w:rsidR="00F64FEF">
        <w:rPr>
          <w:rFonts w:ascii="Times New Roman" w:hAnsi="Times New Roman" w:cs="Times New Roman"/>
        </w:rPr>
        <w:t xml:space="preserve">and </w:t>
      </w:r>
      <w:r w:rsidR="00F64FEF">
        <w:rPr>
          <w:rFonts w:ascii="Times New Roman" w:hAnsi="Times New Roman" w:cs="Times New Roman"/>
          <w:i/>
        </w:rPr>
        <w:t>hydrophobia</w:t>
      </w:r>
      <w:r w:rsidR="00F64FEF">
        <w:rPr>
          <w:rFonts w:ascii="Times New Roman" w:hAnsi="Times New Roman" w:cs="Times New Roman"/>
        </w:rPr>
        <w:t xml:space="preserve">. These are disused by focussing on the writings of </w:t>
      </w:r>
      <w:r w:rsidR="00456552">
        <w:rPr>
          <w:rFonts w:ascii="Times New Roman" w:hAnsi="Times New Roman" w:cs="Times New Roman"/>
        </w:rPr>
        <w:t xml:space="preserve">the </w:t>
      </w:r>
      <w:r w:rsidR="008A2792">
        <w:rPr>
          <w:rFonts w:ascii="Times New Roman" w:hAnsi="Times New Roman" w:cs="Times New Roman"/>
        </w:rPr>
        <w:t>Anonymous</w:t>
      </w:r>
      <w:r w:rsidR="00456552">
        <w:rPr>
          <w:rFonts w:ascii="Times New Roman" w:hAnsi="Times New Roman" w:cs="Times New Roman"/>
        </w:rPr>
        <w:t xml:space="preserve"> </w:t>
      </w:r>
      <w:proofErr w:type="spellStart"/>
      <w:r w:rsidR="00456552">
        <w:rPr>
          <w:rFonts w:ascii="Times New Roman" w:hAnsi="Times New Roman" w:cs="Times New Roman"/>
        </w:rPr>
        <w:t>Parisinus</w:t>
      </w:r>
      <w:proofErr w:type="spellEnd"/>
      <w:r w:rsidR="00456552">
        <w:rPr>
          <w:rFonts w:ascii="Times New Roman" w:hAnsi="Times New Roman" w:cs="Times New Roman"/>
        </w:rPr>
        <w:t xml:space="preserve">, </w:t>
      </w:r>
      <w:proofErr w:type="spellStart"/>
      <w:r w:rsidR="00456552">
        <w:rPr>
          <w:rFonts w:ascii="Times New Roman" w:hAnsi="Times New Roman" w:cs="Times New Roman"/>
        </w:rPr>
        <w:t>A</w:t>
      </w:r>
      <w:r w:rsidR="00F64FEF">
        <w:rPr>
          <w:rFonts w:ascii="Times New Roman" w:hAnsi="Times New Roman" w:cs="Times New Roman"/>
        </w:rPr>
        <w:t>retaeus</w:t>
      </w:r>
      <w:proofErr w:type="spellEnd"/>
      <w:r w:rsidR="00F64FEF">
        <w:rPr>
          <w:rFonts w:ascii="Times New Roman" w:hAnsi="Times New Roman" w:cs="Times New Roman"/>
        </w:rPr>
        <w:t xml:space="preserve"> and </w:t>
      </w:r>
      <w:proofErr w:type="spellStart"/>
      <w:r w:rsidR="00F64FEF">
        <w:rPr>
          <w:rFonts w:ascii="Times New Roman" w:hAnsi="Times New Roman" w:cs="Times New Roman"/>
        </w:rPr>
        <w:t>Caelius</w:t>
      </w:r>
      <w:proofErr w:type="spellEnd"/>
      <w:r w:rsidR="00F64FEF">
        <w:rPr>
          <w:rFonts w:ascii="Times New Roman" w:hAnsi="Times New Roman" w:cs="Times New Roman"/>
        </w:rPr>
        <w:t xml:space="preserve"> Aurelianus</w:t>
      </w:r>
      <w:r w:rsidR="004E18B1">
        <w:rPr>
          <w:rFonts w:ascii="Times New Roman" w:hAnsi="Times New Roman" w:cs="Times New Roman"/>
        </w:rPr>
        <w:t xml:space="preserve"> (covering the first to the fifth century CE)</w:t>
      </w:r>
      <w:r w:rsidR="00F64FEF">
        <w:rPr>
          <w:rFonts w:ascii="Times New Roman" w:hAnsi="Times New Roman" w:cs="Times New Roman"/>
        </w:rPr>
        <w:t xml:space="preserve">. </w:t>
      </w:r>
      <w:r w:rsidR="004552E5">
        <w:rPr>
          <w:rFonts w:ascii="Times New Roman" w:hAnsi="Times New Roman" w:cs="Times New Roman"/>
        </w:rPr>
        <w:t xml:space="preserve">In discussing the specific medical terms </w:t>
      </w:r>
      <w:proofErr w:type="spellStart"/>
      <w:r w:rsidR="004552E5">
        <w:rPr>
          <w:rFonts w:ascii="Times New Roman" w:hAnsi="Times New Roman" w:cs="Times New Roman"/>
        </w:rPr>
        <w:t>Thumiger</w:t>
      </w:r>
      <w:proofErr w:type="spellEnd"/>
      <w:r w:rsidR="004552E5">
        <w:rPr>
          <w:rFonts w:ascii="Times New Roman" w:hAnsi="Times New Roman" w:cs="Times New Roman"/>
        </w:rPr>
        <w:t xml:space="preserve"> provides a number of important observations. </w:t>
      </w:r>
      <w:proofErr w:type="spellStart"/>
      <w:r w:rsidR="00F128EA">
        <w:rPr>
          <w:rFonts w:ascii="Times New Roman" w:hAnsi="Times New Roman" w:cs="Times New Roman"/>
          <w:i/>
        </w:rPr>
        <w:t>Boulimos</w:t>
      </w:r>
      <w:proofErr w:type="spellEnd"/>
      <w:r w:rsidR="00F128EA">
        <w:rPr>
          <w:rFonts w:ascii="Times New Roman" w:hAnsi="Times New Roman" w:cs="Times New Roman"/>
        </w:rPr>
        <w:t xml:space="preserve"> differs from the modern use of the term, with a focus instead on an intense appetite, that can</w:t>
      </w:r>
      <w:r w:rsidR="008A2792">
        <w:rPr>
          <w:rFonts w:ascii="Times New Roman" w:hAnsi="Times New Roman" w:cs="Times New Roman"/>
        </w:rPr>
        <w:t xml:space="preserve"> quite literally</w:t>
      </w:r>
      <w:r w:rsidR="00F128EA">
        <w:rPr>
          <w:rFonts w:ascii="Times New Roman" w:hAnsi="Times New Roman" w:cs="Times New Roman"/>
        </w:rPr>
        <w:t xml:space="preserve"> chill the blood (256). </w:t>
      </w:r>
      <w:proofErr w:type="spellStart"/>
      <w:r w:rsidR="004552E5" w:rsidRPr="004552E5">
        <w:rPr>
          <w:rFonts w:ascii="Times New Roman" w:hAnsi="Times New Roman" w:cs="Times New Roman"/>
          <w:i/>
        </w:rPr>
        <w:t>Phagedaina</w:t>
      </w:r>
      <w:proofErr w:type="spellEnd"/>
      <w:r w:rsidR="004552E5">
        <w:rPr>
          <w:rFonts w:ascii="Times New Roman" w:hAnsi="Times New Roman" w:cs="Times New Roman"/>
          <w:i/>
        </w:rPr>
        <w:t xml:space="preserve"> </w:t>
      </w:r>
      <w:r w:rsidR="004552E5">
        <w:rPr>
          <w:rFonts w:ascii="Times New Roman" w:hAnsi="Times New Roman" w:cs="Times New Roman"/>
        </w:rPr>
        <w:t xml:space="preserve">manifests itself with obscene hunger, consuming without chewing, and subsequently vomiting and weakness, but </w:t>
      </w:r>
      <w:proofErr w:type="spellStart"/>
      <w:r w:rsidR="004552E5" w:rsidRPr="004552E5">
        <w:rPr>
          <w:rFonts w:ascii="Times New Roman" w:hAnsi="Times New Roman" w:cs="Times New Roman"/>
          <w:i/>
        </w:rPr>
        <w:t>polysarkia</w:t>
      </w:r>
      <w:proofErr w:type="spellEnd"/>
      <w:r w:rsidR="004552E5">
        <w:rPr>
          <w:rFonts w:ascii="Times New Roman" w:hAnsi="Times New Roman" w:cs="Times New Roman"/>
        </w:rPr>
        <w:t xml:space="preserve"> stands in opposition to </w:t>
      </w:r>
      <w:proofErr w:type="spellStart"/>
      <w:r w:rsidR="004552E5">
        <w:rPr>
          <w:rFonts w:ascii="Times New Roman" w:hAnsi="Times New Roman" w:cs="Times New Roman"/>
          <w:i/>
        </w:rPr>
        <w:t>atrophia</w:t>
      </w:r>
      <w:proofErr w:type="spellEnd"/>
      <w:r w:rsidR="004552E5">
        <w:rPr>
          <w:rFonts w:ascii="Times New Roman" w:hAnsi="Times New Roman" w:cs="Times New Roman"/>
        </w:rPr>
        <w:t xml:space="preserve">, in taking on simply too much for your body to deal with (256-7). It is also here that we see both mind and body working together to make the patient better: </w:t>
      </w:r>
      <w:r w:rsidR="004552E5">
        <w:rPr>
          <w:rFonts w:ascii="Times New Roman" w:hAnsi="Times New Roman" w:cs="Times New Roman"/>
          <w:i/>
        </w:rPr>
        <w:t xml:space="preserve">‘animi </w:t>
      </w:r>
      <w:proofErr w:type="spellStart"/>
      <w:r w:rsidR="004552E5">
        <w:rPr>
          <w:rFonts w:ascii="Times New Roman" w:hAnsi="Times New Roman" w:cs="Times New Roman"/>
          <w:i/>
        </w:rPr>
        <w:t>oficiis</w:t>
      </w:r>
      <w:proofErr w:type="spellEnd"/>
      <w:r w:rsidR="004552E5">
        <w:rPr>
          <w:rFonts w:ascii="Times New Roman" w:hAnsi="Times New Roman" w:cs="Times New Roman"/>
          <w:i/>
        </w:rPr>
        <w:t xml:space="preserve"> </w:t>
      </w:r>
      <w:proofErr w:type="spellStart"/>
      <w:r w:rsidR="004552E5">
        <w:rPr>
          <w:rFonts w:ascii="Times New Roman" w:hAnsi="Times New Roman" w:cs="Times New Roman"/>
          <w:i/>
        </w:rPr>
        <w:t>sive</w:t>
      </w:r>
      <w:proofErr w:type="spellEnd"/>
      <w:r w:rsidR="004552E5">
        <w:rPr>
          <w:rFonts w:ascii="Times New Roman" w:hAnsi="Times New Roman" w:cs="Times New Roman"/>
          <w:i/>
        </w:rPr>
        <w:t xml:space="preserve"> </w:t>
      </w:r>
      <w:proofErr w:type="spellStart"/>
      <w:r w:rsidR="004552E5">
        <w:rPr>
          <w:rFonts w:ascii="Times New Roman" w:hAnsi="Times New Roman" w:cs="Times New Roman"/>
          <w:i/>
        </w:rPr>
        <w:t>curis</w:t>
      </w:r>
      <w:proofErr w:type="spellEnd"/>
      <w:r w:rsidR="004552E5">
        <w:rPr>
          <w:rFonts w:ascii="Times New Roman" w:hAnsi="Times New Roman" w:cs="Times New Roman"/>
          <w:i/>
        </w:rPr>
        <w:t xml:space="preserve"> </w:t>
      </w:r>
      <w:proofErr w:type="spellStart"/>
      <w:r w:rsidR="008A2792">
        <w:rPr>
          <w:rFonts w:ascii="Times New Roman" w:hAnsi="Times New Roman" w:cs="Times New Roman"/>
          <w:i/>
        </w:rPr>
        <w:t>applicatio</w:t>
      </w:r>
      <w:proofErr w:type="spellEnd"/>
      <w:r w:rsidR="004552E5">
        <w:rPr>
          <w:rFonts w:ascii="Times New Roman" w:hAnsi="Times New Roman" w:cs="Times New Roman"/>
        </w:rPr>
        <w:t>’ (</w:t>
      </w:r>
      <w:proofErr w:type="spellStart"/>
      <w:r w:rsidR="004552E5">
        <w:rPr>
          <w:rFonts w:ascii="Times New Roman" w:hAnsi="Times New Roman" w:cs="Times New Roman"/>
        </w:rPr>
        <w:t>Caelius</w:t>
      </w:r>
      <w:proofErr w:type="spellEnd"/>
      <w:r w:rsidR="004552E5">
        <w:rPr>
          <w:rFonts w:ascii="Times New Roman" w:hAnsi="Times New Roman" w:cs="Times New Roman"/>
        </w:rPr>
        <w:t>, at 257)</w:t>
      </w:r>
      <w:r w:rsidR="005C2D5E">
        <w:rPr>
          <w:rFonts w:ascii="Times New Roman" w:hAnsi="Times New Roman" w:cs="Times New Roman"/>
        </w:rPr>
        <w:t xml:space="preserve">. </w:t>
      </w:r>
      <w:proofErr w:type="spellStart"/>
      <w:r w:rsidR="005C2D5E">
        <w:rPr>
          <w:rFonts w:ascii="Times New Roman" w:hAnsi="Times New Roman" w:cs="Times New Roman"/>
          <w:i/>
        </w:rPr>
        <w:t>Stomachikon</w:t>
      </w:r>
      <w:proofErr w:type="spellEnd"/>
      <w:r w:rsidR="005C2D5E">
        <w:rPr>
          <w:rFonts w:ascii="Times New Roman" w:hAnsi="Times New Roman" w:cs="Times New Roman"/>
          <w:i/>
        </w:rPr>
        <w:t xml:space="preserve"> </w:t>
      </w:r>
      <w:r w:rsidR="005C2D5E">
        <w:rPr>
          <w:rFonts w:ascii="Times New Roman" w:hAnsi="Times New Roman" w:cs="Times New Roman"/>
        </w:rPr>
        <w:t xml:space="preserve">is difficult to define, but carries with it melancholic symptoms and </w:t>
      </w:r>
      <w:r w:rsidR="005C2D5E">
        <w:rPr>
          <w:rFonts w:ascii="Times New Roman" w:hAnsi="Times New Roman" w:cs="Times New Roman"/>
          <w:i/>
        </w:rPr>
        <w:t xml:space="preserve">hydrophobia </w:t>
      </w:r>
      <w:r w:rsidR="005C2D5E">
        <w:rPr>
          <w:rFonts w:ascii="Times New Roman" w:hAnsi="Times New Roman" w:cs="Times New Roman"/>
        </w:rPr>
        <w:t>is when ‘</w:t>
      </w:r>
      <w:r w:rsidR="00C973DE">
        <w:rPr>
          <w:rFonts w:ascii="Times New Roman" w:hAnsi="Times New Roman" w:cs="Times New Roman"/>
        </w:rPr>
        <w:t>the patient is tortured b</w:t>
      </w:r>
      <w:r w:rsidR="005C2D5E">
        <w:rPr>
          <w:rFonts w:ascii="Times New Roman" w:hAnsi="Times New Roman" w:cs="Times New Roman"/>
        </w:rPr>
        <w:t>y</w:t>
      </w:r>
      <w:r w:rsidR="00C973DE">
        <w:rPr>
          <w:rFonts w:ascii="Times New Roman" w:hAnsi="Times New Roman" w:cs="Times New Roman"/>
        </w:rPr>
        <w:t xml:space="preserve"> </w:t>
      </w:r>
      <w:r w:rsidR="005C2D5E">
        <w:rPr>
          <w:rFonts w:ascii="Times New Roman" w:hAnsi="Times New Roman" w:cs="Times New Roman"/>
        </w:rPr>
        <w:t xml:space="preserve">thirst and a by dread of water’ (263). </w:t>
      </w:r>
      <w:proofErr w:type="spellStart"/>
      <w:r w:rsidR="001D49A8">
        <w:rPr>
          <w:rFonts w:ascii="Times New Roman" w:hAnsi="Times New Roman" w:cs="Times New Roman"/>
        </w:rPr>
        <w:t>Thumiger’s</w:t>
      </w:r>
      <w:proofErr w:type="spellEnd"/>
      <w:r w:rsidR="001D49A8">
        <w:rPr>
          <w:rFonts w:ascii="Times New Roman" w:hAnsi="Times New Roman" w:cs="Times New Roman"/>
        </w:rPr>
        <w:t xml:space="preserve"> second chapter (269-</w:t>
      </w:r>
      <w:r w:rsidR="00C973DE">
        <w:rPr>
          <w:rFonts w:ascii="Times New Roman" w:hAnsi="Times New Roman" w:cs="Times New Roman"/>
        </w:rPr>
        <w:t>284</w:t>
      </w:r>
      <w:r w:rsidR="001D49A8">
        <w:rPr>
          <w:rFonts w:ascii="Times New Roman" w:hAnsi="Times New Roman" w:cs="Times New Roman"/>
        </w:rPr>
        <w:t xml:space="preserve">) works best when read with the first, as together they ask </w:t>
      </w:r>
      <w:r w:rsidR="00C973DE">
        <w:rPr>
          <w:rFonts w:ascii="Times New Roman" w:hAnsi="Times New Roman" w:cs="Times New Roman"/>
        </w:rPr>
        <w:t>similar</w:t>
      </w:r>
      <w:r w:rsidR="001D49A8">
        <w:rPr>
          <w:rFonts w:ascii="Times New Roman" w:hAnsi="Times New Roman" w:cs="Times New Roman"/>
        </w:rPr>
        <w:t xml:space="preserve"> </w:t>
      </w:r>
      <w:r w:rsidR="00C973DE">
        <w:rPr>
          <w:rFonts w:ascii="Times New Roman" w:hAnsi="Times New Roman" w:cs="Times New Roman"/>
        </w:rPr>
        <w:t>questions</w:t>
      </w:r>
      <w:r w:rsidR="001D49A8">
        <w:rPr>
          <w:rFonts w:ascii="Times New Roman" w:hAnsi="Times New Roman" w:cs="Times New Roman"/>
        </w:rPr>
        <w:t xml:space="preserve"> of the thematically linked topics. In this chapter </w:t>
      </w:r>
      <w:proofErr w:type="spellStart"/>
      <w:r w:rsidR="001D49A8">
        <w:rPr>
          <w:rFonts w:ascii="Times New Roman" w:hAnsi="Times New Roman" w:cs="Times New Roman"/>
        </w:rPr>
        <w:t>Thumiger</w:t>
      </w:r>
      <w:proofErr w:type="spellEnd"/>
      <w:r w:rsidR="001D49A8">
        <w:rPr>
          <w:rFonts w:ascii="Times New Roman" w:hAnsi="Times New Roman" w:cs="Times New Roman"/>
        </w:rPr>
        <w:t xml:space="preserve"> </w:t>
      </w:r>
      <w:r w:rsidR="00C973DE">
        <w:rPr>
          <w:rFonts w:ascii="Times New Roman" w:hAnsi="Times New Roman" w:cs="Times New Roman"/>
        </w:rPr>
        <w:t>places her research against the backdrop of Foucault’s interpretation of ancient sexuality, and reaches</w:t>
      </w:r>
      <w:r w:rsidR="001D49A8">
        <w:rPr>
          <w:rFonts w:ascii="Times New Roman" w:hAnsi="Times New Roman" w:cs="Times New Roman"/>
        </w:rPr>
        <w:t xml:space="preserve"> a </w:t>
      </w:r>
      <w:r w:rsidR="00C973DE">
        <w:rPr>
          <w:rFonts w:ascii="Times New Roman" w:hAnsi="Times New Roman" w:cs="Times New Roman"/>
        </w:rPr>
        <w:t>convincing</w:t>
      </w:r>
      <w:r w:rsidR="001D49A8">
        <w:rPr>
          <w:rFonts w:ascii="Times New Roman" w:hAnsi="Times New Roman" w:cs="Times New Roman"/>
        </w:rPr>
        <w:t xml:space="preserve"> conclusion</w:t>
      </w:r>
      <w:r w:rsidR="008A2792">
        <w:rPr>
          <w:rFonts w:ascii="Times New Roman" w:hAnsi="Times New Roman" w:cs="Times New Roman"/>
        </w:rPr>
        <w:t xml:space="preserve">, </w:t>
      </w:r>
      <w:proofErr w:type="gramStart"/>
      <w:r w:rsidR="008A2792">
        <w:rPr>
          <w:rFonts w:ascii="Times New Roman" w:hAnsi="Times New Roman" w:cs="Times New Roman"/>
        </w:rPr>
        <w:t xml:space="preserve">that </w:t>
      </w:r>
      <w:r w:rsidR="001D49A8">
        <w:rPr>
          <w:rFonts w:ascii="Times New Roman" w:hAnsi="Times New Roman" w:cs="Times New Roman"/>
        </w:rPr>
        <w:t xml:space="preserve"> </w:t>
      </w:r>
      <w:r w:rsidR="00C973DE">
        <w:rPr>
          <w:rFonts w:ascii="Times New Roman" w:hAnsi="Times New Roman" w:cs="Times New Roman"/>
        </w:rPr>
        <w:t>‘</w:t>
      </w:r>
      <w:proofErr w:type="gramEnd"/>
      <w:r w:rsidR="00C973DE">
        <w:rPr>
          <w:rFonts w:ascii="Times New Roman" w:hAnsi="Times New Roman" w:cs="Times New Roman"/>
        </w:rPr>
        <w:t xml:space="preserve">the case of sexual disorders is in many respects symmetrical to that of eating disturbances’ </w:t>
      </w:r>
      <w:r w:rsidR="001D49A8">
        <w:rPr>
          <w:rFonts w:ascii="Times New Roman" w:hAnsi="Times New Roman" w:cs="Times New Roman"/>
        </w:rPr>
        <w:t xml:space="preserve">(314).  </w:t>
      </w:r>
      <w:proofErr w:type="spellStart"/>
      <w:r w:rsidR="00F85E0C">
        <w:rPr>
          <w:rFonts w:ascii="Times New Roman" w:hAnsi="Times New Roman" w:cs="Times New Roman"/>
        </w:rPr>
        <w:t>Gäbel</w:t>
      </w:r>
      <w:r w:rsidR="008A2792">
        <w:rPr>
          <w:rFonts w:ascii="Times New Roman" w:hAnsi="Times New Roman" w:cs="Times New Roman"/>
        </w:rPr>
        <w:t>’s</w:t>
      </w:r>
      <w:proofErr w:type="spellEnd"/>
      <w:r w:rsidR="008A2792">
        <w:rPr>
          <w:rFonts w:ascii="Times New Roman" w:hAnsi="Times New Roman" w:cs="Times New Roman"/>
        </w:rPr>
        <w:t xml:space="preserve"> chapter</w:t>
      </w:r>
      <w:r w:rsidR="00F85E0C">
        <w:rPr>
          <w:rFonts w:ascii="Times New Roman" w:hAnsi="Times New Roman" w:cs="Times New Roman"/>
        </w:rPr>
        <w:t xml:space="preserve"> is a good example of what can be </w:t>
      </w:r>
      <w:r w:rsidR="00F85E0C">
        <w:rPr>
          <w:rFonts w:ascii="Times New Roman" w:hAnsi="Times New Roman" w:cs="Times New Roman"/>
        </w:rPr>
        <w:lastRenderedPageBreak/>
        <w:t xml:space="preserve">achieved, and the questions that can be asked, by focussed source analysis, here of </w:t>
      </w:r>
      <w:proofErr w:type="spellStart"/>
      <w:r w:rsidR="00F85E0C">
        <w:rPr>
          <w:rFonts w:ascii="Times New Roman" w:hAnsi="Times New Roman" w:cs="Times New Roman"/>
        </w:rPr>
        <w:t>Aätius</w:t>
      </w:r>
      <w:proofErr w:type="spellEnd"/>
      <w:r w:rsidR="00F85E0C">
        <w:rPr>
          <w:rFonts w:ascii="Times New Roman" w:hAnsi="Times New Roman" w:cs="Times New Roman"/>
        </w:rPr>
        <w:t xml:space="preserve"> of </w:t>
      </w:r>
      <w:proofErr w:type="spellStart"/>
      <w:r w:rsidR="00F85E0C">
        <w:rPr>
          <w:rFonts w:ascii="Times New Roman" w:hAnsi="Times New Roman" w:cs="Times New Roman"/>
        </w:rPr>
        <w:t>Amida</w:t>
      </w:r>
      <w:proofErr w:type="spellEnd"/>
      <w:r w:rsidR="006D0F43">
        <w:rPr>
          <w:rFonts w:ascii="Times New Roman" w:hAnsi="Times New Roman" w:cs="Times New Roman"/>
        </w:rPr>
        <w:t xml:space="preserve"> (315-340)</w:t>
      </w:r>
      <w:r w:rsidR="00F85E0C">
        <w:rPr>
          <w:rFonts w:ascii="Times New Roman" w:hAnsi="Times New Roman" w:cs="Times New Roman"/>
        </w:rPr>
        <w:t xml:space="preserve">. </w:t>
      </w:r>
      <w:proofErr w:type="spellStart"/>
      <w:r w:rsidR="00F85E0C">
        <w:rPr>
          <w:rFonts w:ascii="Times New Roman" w:hAnsi="Times New Roman" w:cs="Times New Roman"/>
        </w:rPr>
        <w:t>Gäbel</w:t>
      </w:r>
      <w:proofErr w:type="spellEnd"/>
      <w:r w:rsidR="00F85E0C">
        <w:rPr>
          <w:rFonts w:ascii="Times New Roman" w:hAnsi="Times New Roman" w:cs="Times New Roman"/>
        </w:rPr>
        <w:t xml:space="preserve"> is able to </w:t>
      </w:r>
      <w:r w:rsidR="006D0F43">
        <w:rPr>
          <w:rFonts w:ascii="Times New Roman" w:hAnsi="Times New Roman" w:cs="Times New Roman"/>
        </w:rPr>
        <w:t>demonstrate</w:t>
      </w:r>
      <w:r w:rsidR="00F85E0C">
        <w:rPr>
          <w:rFonts w:ascii="Times New Roman" w:hAnsi="Times New Roman" w:cs="Times New Roman"/>
        </w:rPr>
        <w:t>, while</w:t>
      </w:r>
      <w:r w:rsidR="006D0F43">
        <w:rPr>
          <w:rFonts w:ascii="Times New Roman" w:hAnsi="Times New Roman" w:cs="Times New Roman"/>
        </w:rPr>
        <w:t xml:space="preserve"> working</w:t>
      </w:r>
      <w:r w:rsidR="00F85E0C">
        <w:rPr>
          <w:rFonts w:ascii="Times New Roman" w:hAnsi="Times New Roman" w:cs="Times New Roman"/>
        </w:rPr>
        <w:t xml:space="preserve"> with complex source </w:t>
      </w:r>
      <w:r w:rsidR="006D0F43">
        <w:rPr>
          <w:rFonts w:ascii="Times New Roman" w:hAnsi="Times New Roman" w:cs="Times New Roman"/>
        </w:rPr>
        <w:t>documents</w:t>
      </w:r>
      <w:r w:rsidR="00F85E0C">
        <w:rPr>
          <w:rFonts w:ascii="Times New Roman" w:hAnsi="Times New Roman" w:cs="Times New Roman"/>
        </w:rPr>
        <w:t>, that the compilers sou</w:t>
      </w:r>
      <w:r w:rsidR="006D0F43">
        <w:rPr>
          <w:rFonts w:ascii="Times New Roman" w:hAnsi="Times New Roman" w:cs="Times New Roman"/>
        </w:rPr>
        <w:t xml:space="preserve">ght to link mental illness </w:t>
      </w:r>
      <w:r w:rsidR="00F85E0C">
        <w:rPr>
          <w:rFonts w:ascii="Times New Roman" w:hAnsi="Times New Roman" w:cs="Times New Roman"/>
        </w:rPr>
        <w:t xml:space="preserve">with cognitive </w:t>
      </w:r>
      <w:r w:rsidR="006D0F43">
        <w:rPr>
          <w:rFonts w:ascii="Times New Roman" w:hAnsi="Times New Roman" w:cs="Times New Roman"/>
        </w:rPr>
        <w:t>function</w:t>
      </w:r>
      <w:r w:rsidR="00F85E0C">
        <w:rPr>
          <w:rFonts w:ascii="Times New Roman" w:hAnsi="Times New Roman" w:cs="Times New Roman"/>
        </w:rPr>
        <w:t xml:space="preserve"> and the brain more generally, and </w:t>
      </w:r>
      <w:r w:rsidR="008343A9">
        <w:rPr>
          <w:rFonts w:ascii="Times New Roman" w:hAnsi="Times New Roman" w:cs="Times New Roman"/>
        </w:rPr>
        <w:t xml:space="preserve">in doing so set out a </w:t>
      </w:r>
      <w:r w:rsidR="00F85E0C">
        <w:rPr>
          <w:rFonts w:ascii="Times New Roman" w:hAnsi="Times New Roman" w:cs="Times New Roman"/>
        </w:rPr>
        <w:t xml:space="preserve">systematic </w:t>
      </w:r>
      <w:r w:rsidR="00BE69B0">
        <w:rPr>
          <w:rFonts w:ascii="Times New Roman" w:hAnsi="Times New Roman" w:cs="Times New Roman"/>
        </w:rPr>
        <w:t>methodology</w:t>
      </w:r>
      <w:r w:rsidR="00F85E0C">
        <w:rPr>
          <w:rFonts w:ascii="Times New Roman" w:hAnsi="Times New Roman" w:cs="Times New Roman"/>
        </w:rPr>
        <w:t xml:space="preserve">. </w:t>
      </w:r>
    </w:p>
    <w:p w14:paraId="4E5BF1BE" w14:textId="53C080FF" w:rsidR="006D0F43" w:rsidRDefault="00B66932" w:rsidP="008E2072">
      <w:pPr>
        <w:spacing w:line="480" w:lineRule="auto"/>
        <w:rPr>
          <w:rFonts w:ascii="Times New Roman" w:hAnsi="Times New Roman" w:cs="Times New Roman"/>
        </w:rPr>
      </w:pPr>
      <w:r>
        <w:rPr>
          <w:rFonts w:ascii="Times New Roman" w:hAnsi="Times New Roman" w:cs="Times New Roman"/>
        </w:rPr>
        <w:t xml:space="preserve">The final section takes a more philosophical approach, with three chapters that illuminate the interaction of medical aetiology and philosophical discourse (343-420). </w:t>
      </w:r>
      <w:r w:rsidR="006D0F43">
        <w:rPr>
          <w:rFonts w:ascii="Times New Roman" w:hAnsi="Times New Roman" w:cs="Times New Roman"/>
        </w:rPr>
        <w:t xml:space="preserve"> Of the three, </w:t>
      </w:r>
      <w:proofErr w:type="spellStart"/>
      <w:r w:rsidR="006D0F43">
        <w:rPr>
          <w:rFonts w:ascii="Times New Roman" w:hAnsi="Times New Roman" w:cs="Times New Roman"/>
        </w:rPr>
        <w:t>Ahonen’s</w:t>
      </w:r>
      <w:proofErr w:type="spellEnd"/>
      <w:r w:rsidR="006D0F43">
        <w:rPr>
          <w:rFonts w:ascii="Times New Roman" w:hAnsi="Times New Roman" w:cs="Times New Roman"/>
        </w:rPr>
        <w:t xml:space="preserve"> exploration of the </w:t>
      </w:r>
      <w:r w:rsidR="00440856">
        <w:rPr>
          <w:rFonts w:ascii="Times New Roman" w:hAnsi="Times New Roman" w:cs="Times New Roman"/>
        </w:rPr>
        <w:t>S</w:t>
      </w:r>
      <w:r w:rsidR="006D0F43">
        <w:rPr>
          <w:rFonts w:ascii="Times New Roman" w:hAnsi="Times New Roman" w:cs="Times New Roman"/>
        </w:rPr>
        <w:t>toic interpretation is the most persuasive, in particular when looking at Seneca and Cicero (349-357)</w:t>
      </w:r>
      <w:r w:rsidR="00440856">
        <w:rPr>
          <w:rFonts w:ascii="Times New Roman" w:hAnsi="Times New Roman" w:cs="Times New Roman"/>
        </w:rPr>
        <w:t xml:space="preserve">. Both are famous figures, but studied and analysed with focus and precision, and when read together allow for a more nuanced understanding both </w:t>
      </w:r>
      <w:r w:rsidR="00545EEC">
        <w:rPr>
          <w:rFonts w:ascii="Times New Roman" w:hAnsi="Times New Roman" w:cs="Times New Roman"/>
        </w:rPr>
        <w:t xml:space="preserve">of </w:t>
      </w:r>
      <w:r w:rsidR="00440856">
        <w:rPr>
          <w:rFonts w:ascii="Times New Roman" w:hAnsi="Times New Roman" w:cs="Times New Roman"/>
        </w:rPr>
        <w:t>mental health (</w:t>
      </w:r>
      <w:r w:rsidR="00440856">
        <w:rPr>
          <w:rFonts w:ascii="Times New Roman" w:hAnsi="Times New Roman" w:cs="Times New Roman"/>
          <w:i/>
        </w:rPr>
        <w:t xml:space="preserve">animi </w:t>
      </w:r>
      <w:proofErr w:type="spellStart"/>
      <w:r w:rsidR="00440856">
        <w:rPr>
          <w:rFonts w:ascii="Times New Roman" w:hAnsi="Times New Roman" w:cs="Times New Roman"/>
          <w:i/>
        </w:rPr>
        <w:t>sanitas</w:t>
      </w:r>
      <w:proofErr w:type="spellEnd"/>
      <w:r w:rsidR="00440856">
        <w:rPr>
          <w:rFonts w:ascii="Times New Roman" w:hAnsi="Times New Roman" w:cs="Times New Roman"/>
        </w:rPr>
        <w:t xml:space="preserve">, 356), and its importance to true wellbeing. </w:t>
      </w:r>
    </w:p>
    <w:p w14:paraId="16614AC4" w14:textId="510B09B5" w:rsidR="00C91D3C" w:rsidRDefault="00C91D3C" w:rsidP="008E2072">
      <w:pPr>
        <w:spacing w:line="480" w:lineRule="auto"/>
        <w:rPr>
          <w:rFonts w:ascii="Times New Roman" w:hAnsi="Times New Roman" w:cs="Times New Roman"/>
        </w:rPr>
      </w:pPr>
      <w:r w:rsidRPr="00C91D3C">
        <w:rPr>
          <w:rFonts w:ascii="Times New Roman" w:hAnsi="Times New Roman" w:cs="Times New Roman"/>
        </w:rPr>
        <w:t>To close, this is an impressive collection of essays</w:t>
      </w:r>
      <w:r>
        <w:rPr>
          <w:rFonts w:ascii="Times New Roman" w:hAnsi="Times New Roman" w:cs="Times New Roman"/>
        </w:rPr>
        <w:t xml:space="preserve">, reflecting a good level of historical analysis and a willingness to ask important questions of those sources still left to us. When read together, a much wider understanding of ancient approaches is possible, one that betrays the </w:t>
      </w:r>
      <w:r w:rsidR="00440856">
        <w:rPr>
          <w:rFonts w:ascii="Times New Roman" w:hAnsi="Times New Roman" w:cs="Times New Roman"/>
        </w:rPr>
        <w:t>sophisticated</w:t>
      </w:r>
      <w:r>
        <w:rPr>
          <w:rFonts w:ascii="Times New Roman" w:hAnsi="Times New Roman" w:cs="Times New Roman"/>
        </w:rPr>
        <w:t xml:space="preserve"> and shifting pattern of intellectual and religious reflections upon illnesses of the mind. As with any edited collection there are some concerns over how well each section fits together, and the over-long introduction is not quite as useful as needed to fully establish a clear and focussed foundation and framework for the later studies. Nonetheless, this is an important volume, and one that offers much insight into a complex and </w:t>
      </w:r>
      <w:r w:rsidR="005C59A8">
        <w:rPr>
          <w:rFonts w:ascii="Times New Roman" w:hAnsi="Times New Roman" w:cs="Times New Roman"/>
        </w:rPr>
        <w:t>multifaceted</w:t>
      </w:r>
      <w:r>
        <w:rPr>
          <w:rFonts w:ascii="Times New Roman" w:hAnsi="Times New Roman" w:cs="Times New Roman"/>
        </w:rPr>
        <w:t xml:space="preserve"> topic.  </w:t>
      </w:r>
    </w:p>
    <w:p w14:paraId="248EFE79" w14:textId="5371E3B3" w:rsidR="00A90E2E" w:rsidRDefault="00A90E2E" w:rsidP="00A90E2E">
      <w:pPr>
        <w:spacing w:line="360" w:lineRule="auto"/>
        <w:jc w:val="right"/>
        <w:rPr>
          <w:rFonts w:ascii="Times New Roman" w:hAnsi="Times New Roman" w:cs="Times New Roman"/>
        </w:rPr>
      </w:pPr>
      <w:r>
        <w:rPr>
          <w:rFonts w:ascii="Times New Roman" w:hAnsi="Times New Roman" w:cs="Times New Roman"/>
        </w:rPr>
        <w:t>Anthony Smart</w:t>
      </w:r>
    </w:p>
    <w:p w14:paraId="1CC52D91" w14:textId="05191E21" w:rsidR="00A90E2E" w:rsidRDefault="00A90E2E" w:rsidP="00A90E2E">
      <w:pPr>
        <w:spacing w:line="360" w:lineRule="auto"/>
        <w:jc w:val="right"/>
        <w:rPr>
          <w:rFonts w:ascii="Times New Roman" w:hAnsi="Times New Roman" w:cs="Times New Roman"/>
        </w:rPr>
      </w:pPr>
      <w:r>
        <w:rPr>
          <w:rFonts w:ascii="Times New Roman" w:hAnsi="Times New Roman" w:cs="Times New Roman"/>
        </w:rPr>
        <w:t xml:space="preserve">York St John University </w:t>
      </w:r>
    </w:p>
    <w:p w14:paraId="1AECC454" w14:textId="08349213" w:rsidR="00C91D3C" w:rsidRDefault="00C91D3C" w:rsidP="00EB0CE4">
      <w:pPr>
        <w:spacing w:line="360" w:lineRule="auto"/>
        <w:rPr>
          <w:rFonts w:ascii="Times New Roman" w:hAnsi="Times New Roman" w:cs="Times New Roman"/>
        </w:rPr>
      </w:pPr>
    </w:p>
    <w:p w14:paraId="63D4A849" w14:textId="77777777" w:rsidR="00C91D3C" w:rsidRPr="00C91D3C" w:rsidRDefault="00C91D3C">
      <w:pPr>
        <w:rPr>
          <w:rFonts w:ascii="Times New Roman" w:hAnsi="Times New Roman" w:cs="Times New Roman"/>
        </w:rPr>
      </w:pPr>
    </w:p>
    <w:sectPr w:rsidR="00C91D3C" w:rsidRPr="00C91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D3C"/>
    <w:rsid w:val="00146C6D"/>
    <w:rsid w:val="00150450"/>
    <w:rsid w:val="00165D85"/>
    <w:rsid w:val="001D49A8"/>
    <w:rsid w:val="001F2A6F"/>
    <w:rsid w:val="0027108D"/>
    <w:rsid w:val="00395B3D"/>
    <w:rsid w:val="003B53C2"/>
    <w:rsid w:val="003F0E38"/>
    <w:rsid w:val="00440856"/>
    <w:rsid w:val="004552E5"/>
    <w:rsid w:val="00456552"/>
    <w:rsid w:val="004D5DC9"/>
    <w:rsid w:val="004E18B1"/>
    <w:rsid w:val="005032AB"/>
    <w:rsid w:val="005042D2"/>
    <w:rsid w:val="00545EEC"/>
    <w:rsid w:val="005C2D5E"/>
    <w:rsid w:val="005C59A8"/>
    <w:rsid w:val="005D0B9F"/>
    <w:rsid w:val="006829E5"/>
    <w:rsid w:val="006D0F43"/>
    <w:rsid w:val="007C5723"/>
    <w:rsid w:val="008343A9"/>
    <w:rsid w:val="008A2792"/>
    <w:rsid w:val="008D282A"/>
    <w:rsid w:val="008E2072"/>
    <w:rsid w:val="00912E7F"/>
    <w:rsid w:val="00917BBF"/>
    <w:rsid w:val="00A02F11"/>
    <w:rsid w:val="00A829F8"/>
    <w:rsid w:val="00A90E2E"/>
    <w:rsid w:val="00B15212"/>
    <w:rsid w:val="00B66932"/>
    <w:rsid w:val="00B85C69"/>
    <w:rsid w:val="00BE69B0"/>
    <w:rsid w:val="00C91D3C"/>
    <w:rsid w:val="00C973DE"/>
    <w:rsid w:val="00DC332E"/>
    <w:rsid w:val="00EB0CE4"/>
    <w:rsid w:val="00EB5607"/>
    <w:rsid w:val="00EF63AA"/>
    <w:rsid w:val="00F128EA"/>
    <w:rsid w:val="00F23BFC"/>
    <w:rsid w:val="00F37F7F"/>
    <w:rsid w:val="00F64FEF"/>
    <w:rsid w:val="00F8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9D22"/>
  <w15:docId w15:val="{9572725B-927C-4FF1-8BEF-045C2F15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5B3ED-055A-4750-AB42-F3357DD8B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3C5F0-296E-4D91-BFA4-BC60BDCD34FD}">
  <ds:schemaRefs>
    <ds:schemaRef ds:uri="http://schemas.microsoft.com/sharepoint/v3/contenttype/forms"/>
  </ds:schemaRefs>
</ds:datastoreItem>
</file>

<file path=customXml/itemProps3.xml><?xml version="1.0" encoding="utf-8"?>
<ds:datastoreItem xmlns:ds="http://schemas.openxmlformats.org/officeDocument/2006/customXml" ds:itemID="{4D8FB038-A544-4AD7-8498-DE22138B0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5813</Characters>
  <Application>Microsoft Office Word</Application>
  <DocSecurity>4</DocSecurity>
  <Lines>73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Smart</dc:creator>
  <cp:keywords/>
  <dc:description/>
  <cp:lastModifiedBy>Ruth Mardall (R.Mardall)</cp:lastModifiedBy>
  <cp:revision>2</cp:revision>
  <dcterms:created xsi:type="dcterms:W3CDTF">2019-09-24T13:17:00Z</dcterms:created>
  <dcterms:modified xsi:type="dcterms:W3CDTF">2019-09-24T13:17:00Z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