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5B43D" w14:textId="27908ECD" w:rsidR="005655FC" w:rsidRPr="006D7303" w:rsidRDefault="00A46DD5" w:rsidP="00980B05">
      <w:pPr>
        <w:spacing w:line="480" w:lineRule="auto"/>
        <w:rPr>
          <w:rFonts w:ascii="Book Antiqua" w:hAnsi="Book Antiqua"/>
          <w:b/>
          <w:bCs/>
        </w:rPr>
      </w:pPr>
      <w:r w:rsidRPr="006D7303">
        <w:rPr>
          <w:rFonts w:ascii="Book Antiqua" w:hAnsi="Book Antiqua"/>
          <w:b/>
          <w:bCs/>
        </w:rPr>
        <w:t>The Routledge Companion to Animal-Human History, Hilda Kean, Philip Howell (Eds)</w:t>
      </w:r>
      <w:r w:rsidR="00993408">
        <w:rPr>
          <w:rFonts w:ascii="Book Antiqua" w:hAnsi="Book Antiqua"/>
          <w:b/>
          <w:bCs/>
        </w:rPr>
        <w:t>.</w:t>
      </w:r>
      <w:r w:rsidRPr="006D7303">
        <w:rPr>
          <w:rFonts w:ascii="Book Antiqua" w:hAnsi="Book Antiqua"/>
          <w:b/>
          <w:bCs/>
        </w:rPr>
        <w:t xml:space="preserve"> Routledge, Abingdon (2018). 560 pages, £140 hardcover</w:t>
      </w:r>
    </w:p>
    <w:p w14:paraId="6C01194B" w14:textId="7F45D934" w:rsidR="00E10621" w:rsidRDefault="00B41159" w:rsidP="00980B05">
      <w:pPr>
        <w:spacing w:line="480" w:lineRule="auto"/>
        <w:rPr>
          <w:rFonts w:ascii="Book Antiqua" w:hAnsi="Book Antiqua"/>
        </w:rPr>
      </w:pPr>
      <w:r w:rsidRPr="006D7303">
        <w:rPr>
          <w:rFonts w:ascii="Book Antiqua" w:hAnsi="Book Antiqua"/>
        </w:rPr>
        <w:t>E</w:t>
      </w:r>
      <w:r w:rsidR="00A460E6" w:rsidRPr="006D7303">
        <w:rPr>
          <w:rFonts w:ascii="Book Antiqua" w:hAnsi="Book Antiqua"/>
        </w:rPr>
        <w:t>dited</w:t>
      </w:r>
      <w:r w:rsidR="009A21CF" w:rsidRPr="006D7303">
        <w:rPr>
          <w:rFonts w:ascii="Book Antiqua" w:hAnsi="Book Antiqua"/>
        </w:rPr>
        <w:t xml:space="preserve"> by Hilda Kean and Philip Howell, </w:t>
      </w:r>
      <w:r w:rsidRPr="006D7303">
        <w:rPr>
          <w:rFonts w:ascii="Book Antiqua" w:hAnsi="Book Antiqua"/>
        </w:rPr>
        <w:t>th</w:t>
      </w:r>
      <w:r w:rsidR="00993408">
        <w:rPr>
          <w:rFonts w:ascii="Book Antiqua" w:hAnsi="Book Antiqua"/>
        </w:rPr>
        <w:t>is</w:t>
      </w:r>
      <w:r w:rsidRPr="006D7303">
        <w:rPr>
          <w:rFonts w:ascii="Book Antiqua" w:hAnsi="Book Antiqua"/>
        </w:rPr>
        <w:t xml:space="preserve"> new collection </w:t>
      </w:r>
      <w:r w:rsidR="00A460E6" w:rsidRPr="006D7303">
        <w:rPr>
          <w:rFonts w:ascii="Book Antiqua" w:hAnsi="Book Antiqua"/>
        </w:rPr>
        <w:t>presents a diverse assortment of essays</w:t>
      </w:r>
      <w:r w:rsidR="009A21CF" w:rsidRPr="006D7303">
        <w:rPr>
          <w:rFonts w:ascii="Book Antiqua" w:hAnsi="Book Antiqua"/>
        </w:rPr>
        <w:t xml:space="preserve"> </w:t>
      </w:r>
      <w:r w:rsidR="00A460E6" w:rsidRPr="006D7303">
        <w:rPr>
          <w:rFonts w:ascii="Book Antiqua" w:hAnsi="Book Antiqua"/>
        </w:rPr>
        <w:t xml:space="preserve">championing the study and presence of </w:t>
      </w:r>
      <w:r w:rsidRPr="006D7303">
        <w:rPr>
          <w:rFonts w:ascii="Book Antiqua" w:hAnsi="Book Antiqua"/>
        </w:rPr>
        <w:t xml:space="preserve">animals </w:t>
      </w:r>
      <w:r w:rsidR="009A21CF" w:rsidRPr="006D7303">
        <w:rPr>
          <w:rFonts w:ascii="Book Antiqua" w:hAnsi="Book Antiqua"/>
        </w:rPr>
        <w:t>in histor</w:t>
      </w:r>
      <w:r w:rsidR="00A460E6" w:rsidRPr="006D7303">
        <w:rPr>
          <w:rFonts w:ascii="Book Antiqua" w:hAnsi="Book Antiqua"/>
        </w:rPr>
        <w:t>ical research</w:t>
      </w:r>
      <w:r w:rsidR="009A21CF" w:rsidRPr="006D7303">
        <w:rPr>
          <w:rFonts w:ascii="Book Antiqua" w:hAnsi="Book Antiqua"/>
        </w:rPr>
        <w:t>. The</w:t>
      </w:r>
      <w:r w:rsidR="00A460E6" w:rsidRPr="006D7303">
        <w:rPr>
          <w:rFonts w:ascii="Book Antiqua" w:hAnsi="Book Antiqua"/>
        </w:rPr>
        <w:t xml:space="preserve"> editors’</w:t>
      </w:r>
      <w:r w:rsidR="009A21CF" w:rsidRPr="006D7303">
        <w:rPr>
          <w:rFonts w:ascii="Book Antiqua" w:hAnsi="Book Antiqua"/>
        </w:rPr>
        <w:t xml:space="preserve"> aim, </w:t>
      </w:r>
      <w:r w:rsidR="00993408">
        <w:rPr>
          <w:rFonts w:ascii="Book Antiqua" w:hAnsi="Book Antiqua"/>
        </w:rPr>
        <w:t xml:space="preserve">which is </w:t>
      </w:r>
      <w:r w:rsidR="009A21CF" w:rsidRPr="006D7303">
        <w:rPr>
          <w:rFonts w:ascii="Book Antiqua" w:hAnsi="Book Antiqua"/>
        </w:rPr>
        <w:t xml:space="preserve">certainly achieved, is to provide </w:t>
      </w:r>
      <w:r w:rsidRPr="006D7303">
        <w:rPr>
          <w:rFonts w:ascii="Book Antiqua" w:hAnsi="Book Antiqua"/>
        </w:rPr>
        <w:t>both an</w:t>
      </w:r>
      <w:r w:rsidR="009A21CF" w:rsidRPr="006D7303">
        <w:rPr>
          <w:rFonts w:ascii="Book Antiqua" w:hAnsi="Book Antiqua"/>
        </w:rPr>
        <w:t xml:space="preserve"> overview of the ontological and epistemological questions central to </w:t>
      </w:r>
      <w:r w:rsidRPr="006D7303">
        <w:rPr>
          <w:rFonts w:ascii="Book Antiqua" w:hAnsi="Book Antiqua"/>
        </w:rPr>
        <w:t>the</w:t>
      </w:r>
      <w:r w:rsidR="009A21CF" w:rsidRPr="006D7303">
        <w:rPr>
          <w:rFonts w:ascii="Book Antiqua" w:hAnsi="Book Antiqua"/>
        </w:rPr>
        <w:t xml:space="preserve"> field</w:t>
      </w:r>
      <w:r w:rsidR="00A460E6" w:rsidRPr="006D7303">
        <w:rPr>
          <w:rFonts w:ascii="Book Antiqua" w:hAnsi="Book Antiqua"/>
        </w:rPr>
        <w:t>,</w:t>
      </w:r>
      <w:r w:rsidR="009A21CF" w:rsidRPr="006D7303">
        <w:rPr>
          <w:rFonts w:ascii="Book Antiqua" w:hAnsi="Book Antiqua"/>
        </w:rPr>
        <w:t xml:space="preserve"> </w:t>
      </w:r>
      <w:r w:rsidR="00A460E6" w:rsidRPr="006D7303">
        <w:rPr>
          <w:rFonts w:ascii="Book Antiqua" w:hAnsi="Book Antiqua"/>
        </w:rPr>
        <w:t xml:space="preserve">still in the process of ‘opening up’ (p.544) </w:t>
      </w:r>
      <w:r w:rsidR="009A21CF" w:rsidRPr="006D7303">
        <w:rPr>
          <w:rFonts w:ascii="Book Antiqua" w:hAnsi="Book Antiqua"/>
        </w:rPr>
        <w:t xml:space="preserve">as Harriet </w:t>
      </w:r>
      <w:proofErr w:type="spellStart"/>
      <w:r w:rsidR="009A21CF" w:rsidRPr="006D7303">
        <w:rPr>
          <w:rFonts w:ascii="Book Antiqua" w:hAnsi="Book Antiqua"/>
        </w:rPr>
        <w:t>Ritvo</w:t>
      </w:r>
      <w:proofErr w:type="spellEnd"/>
      <w:r w:rsidR="009A21CF" w:rsidRPr="006D7303">
        <w:rPr>
          <w:rFonts w:ascii="Book Antiqua" w:hAnsi="Book Antiqua"/>
        </w:rPr>
        <w:t xml:space="preserve"> puts it</w:t>
      </w:r>
      <w:r w:rsidRPr="006D7303">
        <w:rPr>
          <w:rFonts w:ascii="Book Antiqua" w:hAnsi="Book Antiqua"/>
        </w:rPr>
        <w:t>, and to signal some future directions of travel.</w:t>
      </w:r>
      <w:r w:rsidR="009A21CF" w:rsidRPr="006D7303">
        <w:rPr>
          <w:rFonts w:ascii="Book Antiqua" w:hAnsi="Book Antiqua"/>
        </w:rPr>
        <w:t xml:space="preserve"> </w:t>
      </w:r>
      <w:r w:rsidR="006B4540" w:rsidRPr="006D7303">
        <w:rPr>
          <w:rFonts w:ascii="Book Antiqua" w:hAnsi="Book Antiqua"/>
        </w:rPr>
        <w:t>For historical and more-than-human geographers, this collection will be of great interest, tr</w:t>
      </w:r>
      <w:bookmarkStart w:id="0" w:name="_GoBack"/>
      <w:bookmarkEnd w:id="0"/>
      <w:r w:rsidR="006B4540" w:rsidRPr="006D7303">
        <w:rPr>
          <w:rFonts w:ascii="Book Antiqua" w:hAnsi="Book Antiqua"/>
        </w:rPr>
        <w:t>aversing multiple spaces, times</w:t>
      </w:r>
      <w:r w:rsidRPr="006D7303">
        <w:rPr>
          <w:rFonts w:ascii="Book Antiqua" w:hAnsi="Book Antiqua"/>
        </w:rPr>
        <w:t xml:space="preserve">, </w:t>
      </w:r>
      <w:r w:rsidR="006B4540" w:rsidRPr="006D7303">
        <w:rPr>
          <w:rFonts w:ascii="Book Antiqua" w:hAnsi="Book Antiqua"/>
        </w:rPr>
        <w:t>archives</w:t>
      </w:r>
      <w:r w:rsidRPr="006D7303">
        <w:rPr>
          <w:rFonts w:ascii="Book Antiqua" w:hAnsi="Book Antiqua"/>
        </w:rPr>
        <w:t xml:space="preserve"> and</w:t>
      </w:r>
      <w:r w:rsidR="006B4540" w:rsidRPr="006D7303">
        <w:rPr>
          <w:rFonts w:ascii="Book Antiqua" w:hAnsi="Book Antiqua"/>
        </w:rPr>
        <w:t xml:space="preserve"> human-animal encounters.</w:t>
      </w:r>
    </w:p>
    <w:p w14:paraId="221A2605" w14:textId="77777777" w:rsidR="00E60B39" w:rsidRPr="006D7303" w:rsidRDefault="00E60B39" w:rsidP="00980B05">
      <w:pPr>
        <w:spacing w:line="480" w:lineRule="auto"/>
        <w:rPr>
          <w:rFonts w:ascii="Book Antiqua" w:hAnsi="Book Antiqua"/>
        </w:rPr>
      </w:pPr>
    </w:p>
    <w:p w14:paraId="275F3205" w14:textId="5D0DF5DD" w:rsidR="00E10621" w:rsidRDefault="009A21CF" w:rsidP="00980B05">
      <w:pPr>
        <w:spacing w:line="480" w:lineRule="auto"/>
        <w:rPr>
          <w:rFonts w:ascii="Book Antiqua" w:hAnsi="Book Antiqua"/>
        </w:rPr>
      </w:pPr>
      <w:r w:rsidRPr="006D7303">
        <w:rPr>
          <w:rFonts w:ascii="Book Antiqua" w:hAnsi="Book Antiqua"/>
        </w:rPr>
        <w:t xml:space="preserve">The </w:t>
      </w:r>
      <w:r w:rsidR="00E10621" w:rsidRPr="006D7303">
        <w:rPr>
          <w:rFonts w:ascii="Book Antiqua" w:hAnsi="Book Antiqua"/>
        </w:rPr>
        <w:t>assembled</w:t>
      </w:r>
      <w:r w:rsidRPr="006D7303">
        <w:rPr>
          <w:rFonts w:ascii="Book Antiqua" w:hAnsi="Book Antiqua"/>
        </w:rPr>
        <w:t xml:space="preserve"> </w:t>
      </w:r>
      <w:r w:rsidR="00A460E6" w:rsidRPr="006D7303">
        <w:rPr>
          <w:rFonts w:ascii="Book Antiqua" w:hAnsi="Book Antiqua"/>
        </w:rPr>
        <w:t>authors</w:t>
      </w:r>
      <w:r w:rsidRPr="006D7303">
        <w:rPr>
          <w:rFonts w:ascii="Book Antiqua" w:hAnsi="Book Antiqua"/>
        </w:rPr>
        <w:t xml:space="preserve"> reflect</w:t>
      </w:r>
      <w:r w:rsidR="00A460E6" w:rsidRPr="006D7303">
        <w:rPr>
          <w:rFonts w:ascii="Book Antiqua" w:hAnsi="Book Antiqua"/>
        </w:rPr>
        <w:t xml:space="preserve"> the editors’</w:t>
      </w:r>
      <w:r w:rsidRPr="006D7303">
        <w:rPr>
          <w:rFonts w:ascii="Book Antiqua" w:hAnsi="Book Antiqua"/>
        </w:rPr>
        <w:t xml:space="preserve"> interdisciplinary ambition. </w:t>
      </w:r>
      <w:r w:rsidR="00A460E6" w:rsidRPr="006D7303">
        <w:rPr>
          <w:rFonts w:ascii="Book Antiqua" w:hAnsi="Book Antiqua"/>
        </w:rPr>
        <w:t>Alongside historians,</w:t>
      </w:r>
      <w:r w:rsidRPr="006D7303">
        <w:rPr>
          <w:rFonts w:ascii="Book Antiqua" w:hAnsi="Book Antiqua"/>
        </w:rPr>
        <w:t xml:space="preserve"> </w:t>
      </w:r>
      <w:r w:rsidR="00622119" w:rsidRPr="006D7303">
        <w:rPr>
          <w:rFonts w:ascii="Book Antiqua" w:hAnsi="Book Antiqua"/>
        </w:rPr>
        <w:t xml:space="preserve">scholars </w:t>
      </w:r>
      <w:r w:rsidR="00B41159" w:rsidRPr="006D7303">
        <w:rPr>
          <w:rFonts w:ascii="Book Antiqua" w:hAnsi="Book Antiqua"/>
        </w:rPr>
        <w:t xml:space="preserve">assemble </w:t>
      </w:r>
      <w:r w:rsidR="00622119" w:rsidRPr="006D7303">
        <w:rPr>
          <w:rFonts w:ascii="Book Antiqua" w:hAnsi="Book Antiqua"/>
        </w:rPr>
        <w:t xml:space="preserve">from </w:t>
      </w:r>
      <w:r w:rsidR="00B41159" w:rsidRPr="006D7303">
        <w:rPr>
          <w:rFonts w:ascii="Book Antiqua" w:hAnsi="Book Antiqua"/>
        </w:rPr>
        <w:t xml:space="preserve">across </w:t>
      </w:r>
      <w:r w:rsidRPr="006D7303">
        <w:rPr>
          <w:rFonts w:ascii="Book Antiqua" w:hAnsi="Book Antiqua"/>
        </w:rPr>
        <w:t>historical geograph</w:t>
      </w:r>
      <w:r w:rsidR="00622119" w:rsidRPr="006D7303">
        <w:rPr>
          <w:rFonts w:ascii="Book Antiqua" w:hAnsi="Book Antiqua"/>
        </w:rPr>
        <w:t>y</w:t>
      </w:r>
      <w:r w:rsidRPr="006D7303">
        <w:rPr>
          <w:rFonts w:ascii="Book Antiqua" w:hAnsi="Book Antiqua"/>
        </w:rPr>
        <w:t xml:space="preserve">, literature, </w:t>
      </w:r>
      <w:r w:rsidR="00B41159" w:rsidRPr="006D7303">
        <w:rPr>
          <w:rFonts w:ascii="Book Antiqua" w:hAnsi="Book Antiqua"/>
        </w:rPr>
        <w:t>art history</w:t>
      </w:r>
      <w:r w:rsidRPr="006D7303">
        <w:rPr>
          <w:rFonts w:ascii="Book Antiqua" w:hAnsi="Book Antiqua"/>
        </w:rPr>
        <w:t xml:space="preserve">, science and technology studies, and veterinary </w:t>
      </w:r>
      <w:r w:rsidR="00622119" w:rsidRPr="006D7303">
        <w:rPr>
          <w:rFonts w:ascii="Book Antiqua" w:hAnsi="Book Antiqua"/>
        </w:rPr>
        <w:t>science</w:t>
      </w:r>
      <w:r w:rsidRPr="006D7303">
        <w:rPr>
          <w:rFonts w:ascii="Book Antiqua" w:hAnsi="Book Antiqua"/>
        </w:rPr>
        <w:t>. Each takes a somewhat different approach to the question of the historical animal</w:t>
      </w:r>
      <w:r w:rsidR="00622119" w:rsidRPr="006D7303">
        <w:rPr>
          <w:rFonts w:ascii="Book Antiqua" w:hAnsi="Book Antiqua"/>
        </w:rPr>
        <w:t xml:space="preserve"> – as well as issues of agency, method and politics. </w:t>
      </w:r>
      <w:r w:rsidR="00E10621" w:rsidRPr="006D7303">
        <w:rPr>
          <w:rFonts w:ascii="Book Antiqua" w:hAnsi="Book Antiqua"/>
        </w:rPr>
        <w:t xml:space="preserve">Split into three sections, </w:t>
      </w:r>
      <w:r w:rsidR="00622119" w:rsidRPr="006D7303">
        <w:rPr>
          <w:rFonts w:ascii="Book Antiqua" w:hAnsi="Book Antiqua"/>
        </w:rPr>
        <w:t>attention</w:t>
      </w:r>
      <w:r w:rsidR="007A307A">
        <w:rPr>
          <w:rFonts w:ascii="Book Antiqua" w:hAnsi="Book Antiqua"/>
        </w:rPr>
        <w:t xml:space="preserve"> is given</w:t>
      </w:r>
      <w:r w:rsidR="00622119" w:rsidRPr="006D7303">
        <w:rPr>
          <w:rFonts w:ascii="Book Antiqua" w:hAnsi="Book Antiqua"/>
        </w:rPr>
        <w:t xml:space="preserve"> to familiar themes, questions of practice and broader themes of ongoing debate. </w:t>
      </w:r>
      <w:r w:rsidR="00E10621" w:rsidRPr="006D7303">
        <w:rPr>
          <w:rFonts w:ascii="Book Antiqua" w:hAnsi="Book Antiqua"/>
        </w:rPr>
        <w:t>Whilst</w:t>
      </w:r>
      <w:r w:rsidR="00622119" w:rsidRPr="006D7303">
        <w:rPr>
          <w:rFonts w:ascii="Book Antiqua" w:hAnsi="Book Antiqua"/>
        </w:rPr>
        <w:t xml:space="preserve">, as </w:t>
      </w:r>
      <w:proofErr w:type="spellStart"/>
      <w:r w:rsidR="00622119" w:rsidRPr="006D7303">
        <w:rPr>
          <w:rFonts w:ascii="Book Antiqua" w:hAnsi="Book Antiqua"/>
        </w:rPr>
        <w:t>Ritvo’s</w:t>
      </w:r>
      <w:proofErr w:type="spellEnd"/>
      <w:r w:rsidR="00622119" w:rsidRPr="006D7303">
        <w:rPr>
          <w:rFonts w:ascii="Book Antiqua" w:hAnsi="Book Antiqua"/>
        </w:rPr>
        <w:t xml:space="preserve"> </w:t>
      </w:r>
      <w:r w:rsidR="00E10621" w:rsidRPr="006D7303">
        <w:rPr>
          <w:rFonts w:ascii="Book Antiqua" w:hAnsi="Book Antiqua"/>
        </w:rPr>
        <w:t>epilogue notes</w:t>
      </w:r>
      <w:r w:rsidR="00622119" w:rsidRPr="006D7303">
        <w:rPr>
          <w:rFonts w:ascii="Book Antiqua" w:hAnsi="Book Antiqua"/>
        </w:rPr>
        <w:t>,</w:t>
      </w:r>
      <w:r w:rsidR="00E10621" w:rsidRPr="006D7303">
        <w:rPr>
          <w:rFonts w:ascii="Book Antiqua" w:hAnsi="Book Antiqua"/>
        </w:rPr>
        <w:t xml:space="preserve"> the </w:t>
      </w:r>
      <w:r w:rsidR="00622119" w:rsidRPr="006D7303">
        <w:rPr>
          <w:rFonts w:ascii="Book Antiqua" w:hAnsi="Book Antiqua"/>
        </w:rPr>
        <w:t>authors</w:t>
      </w:r>
      <w:r w:rsidR="00E10621" w:rsidRPr="006D7303">
        <w:rPr>
          <w:rFonts w:ascii="Book Antiqua" w:hAnsi="Book Antiqua"/>
        </w:rPr>
        <w:t xml:space="preserve"> </w:t>
      </w:r>
      <w:r w:rsidR="00622119" w:rsidRPr="006D7303">
        <w:rPr>
          <w:rFonts w:ascii="Book Antiqua" w:hAnsi="Book Antiqua"/>
        </w:rPr>
        <w:t>don’t tend to</w:t>
      </w:r>
      <w:r w:rsidR="00E10621" w:rsidRPr="006D7303">
        <w:rPr>
          <w:rFonts w:ascii="Book Antiqua" w:hAnsi="Book Antiqua"/>
        </w:rPr>
        <w:t xml:space="preserve"> stray far from ‘taxonomic home’ (p. 543)  in </w:t>
      </w:r>
      <w:r w:rsidR="00622119" w:rsidRPr="006D7303">
        <w:rPr>
          <w:rFonts w:ascii="Book Antiqua" w:hAnsi="Book Antiqua"/>
        </w:rPr>
        <w:t>their</w:t>
      </w:r>
      <w:r w:rsidR="00E10621" w:rsidRPr="006D7303">
        <w:rPr>
          <w:rFonts w:ascii="Book Antiqua" w:hAnsi="Book Antiqua"/>
        </w:rPr>
        <w:t xml:space="preserve"> choice of animals as subject matter – livestock and domestic pets are well represented here – </w:t>
      </w:r>
      <w:r w:rsidR="00622119" w:rsidRPr="006D7303">
        <w:rPr>
          <w:rFonts w:ascii="Book Antiqua" w:hAnsi="Book Antiqua"/>
        </w:rPr>
        <w:t xml:space="preserve">there does </w:t>
      </w:r>
      <w:r w:rsidR="00E10621" w:rsidRPr="006D7303">
        <w:rPr>
          <w:rFonts w:ascii="Book Antiqua" w:hAnsi="Book Antiqua"/>
        </w:rPr>
        <w:t xml:space="preserve">remain quite the menagerie </w:t>
      </w:r>
      <w:r w:rsidR="00622119" w:rsidRPr="006D7303">
        <w:rPr>
          <w:rFonts w:ascii="Book Antiqua" w:hAnsi="Book Antiqua"/>
        </w:rPr>
        <w:t>on show</w:t>
      </w:r>
      <w:r w:rsidR="00E10621" w:rsidRPr="006D7303">
        <w:rPr>
          <w:rFonts w:ascii="Book Antiqua" w:hAnsi="Book Antiqua"/>
        </w:rPr>
        <w:t xml:space="preserve">, </w:t>
      </w:r>
      <w:r w:rsidR="00622119" w:rsidRPr="006D7303">
        <w:rPr>
          <w:rFonts w:ascii="Book Antiqua" w:hAnsi="Book Antiqua"/>
        </w:rPr>
        <w:t>as</w:t>
      </w:r>
      <w:r w:rsidR="00E10621" w:rsidRPr="006D7303">
        <w:rPr>
          <w:rFonts w:ascii="Book Antiqua" w:hAnsi="Book Antiqua"/>
        </w:rPr>
        <w:t xml:space="preserve"> dogs, sheep, cattle, primates, elephants, fruit flies and songbird</w:t>
      </w:r>
      <w:r w:rsidR="00622119" w:rsidRPr="006D7303">
        <w:rPr>
          <w:rFonts w:ascii="Book Antiqua" w:hAnsi="Book Antiqua"/>
        </w:rPr>
        <w:t>s, to name a few, jostle for space</w:t>
      </w:r>
      <w:r w:rsidR="00E10621" w:rsidRPr="006D7303">
        <w:rPr>
          <w:rFonts w:ascii="Book Antiqua" w:hAnsi="Book Antiqua"/>
        </w:rPr>
        <w:t xml:space="preserve">. </w:t>
      </w:r>
    </w:p>
    <w:p w14:paraId="5E3AD98D" w14:textId="77777777" w:rsidR="00E60B39" w:rsidRPr="006D7303" w:rsidRDefault="00E60B39" w:rsidP="00980B05">
      <w:pPr>
        <w:spacing w:line="480" w:lineRule="auto"/>
        <w:rPr>
          <w:rFonts w:ascii="Book Antiqua" w:hAnsi="Book Antiqua"/>
        </w:rPr>
      </w:pPr>
    </w:p>
    <w:p w14:paraId="5D2B72D7" w14:textId="7B9E12E5" w:rsidR="00C60689" w:rsidRDefault="00E10621" w:rsidP="00980B05">
      <w:pPr>
        <w:spacing w:line="480" w:lineRule="auto"/>
        <w:rPr>
          <w:rFonts w:ascii="Book Antiqua" w:hAnsi="Book Antiqua"/>
        </w:rPr>
      </w:pPr>
      <w:r w:rsidRPr="006D7303">
        <w:rPr>
          <w:rFonts w:ascii="Book Antiqua" w:hAnsi="Book Antiqua"/>
        </w:rPr>
        <w:t xml:space="preserve">The first part of the collection, ‘Animals and the practice of history’, </w:t>
      </w:r>
      <w:r w:rsidR="008E5CCC" w:rsidRPr="006D7303">
        <w:rPr>
          <w:rFonts w:ascii="Book Antiqua" w:hAnsi="Book Antiqua"/>
        </w:rPr>
        <w:t>traverses</w:t>
      </w:r>
      <w:r w:rsidRPr="006D7303">
        <w:rPr>
          <w:rFonts w:ascii="Book Antiqua" w:hAnsi="Book Antiqua"/>
        </w:rPr>
        <w:t xml:space="preserve"> </w:t>
      </w:r>
      <w:r w:rsidR="008E5CCC" w:rsidRPr="006D7303">
        <w:rPr>
          <w:rFonts w:ascii="Book Antiqua" w:hAnsi="Book Antiqua"/>
        </w:rPr>
        <w:t>three</w:t>
      </w:r>
      <w:r w:rsidRPr="006D7303">
        <w:rPr>
          <w:rFonts w:ascii="Book Antiqua" w:hAnsi="Book Antiqua"/>
        </w:rPr>
        <w:t xml:space="preserve"> familiar sub-themes within historical scholarship</w:t>
      </w:r>
      <w:r w:rsidR="00622119" w:rsidRPr="006D7303">
        <w:rPr>
          <w:rFonts w:ascii="Book Antiqua" w:hAnsi="Book Antiqua"/>
        </w:rPr>
        <w:t>:</w:t>
      </w:r>
      <w:r w:rsidRPr="006D7303">
        <w:rPr>
          <w:rFonts w:ascii="Book Antiqua" w:hAnsi="Book Antiqua"/>
        </w:rPr>
        <w:t xml:space="preserve"> political history and discourses of nationhood, the history of science and the practice</w:t>
      </w:r>
      <w:r w:rsidR="00622119" w:rsidRPr="006D7303">
        <w:rPr>
          <w:rFonts w:ascii="Book Antiqua" w:hAnsi="Book Antiqua"/>
        </w:rPr>
        <w:t>s</w:t>
      </w:r>
      <w:r w:rsidRPr="006D7303">
        <w:rPr>
          <w:rFonts w:ascii="Book Antiqua" w:hAnsi="Book Antiqua"/>
        </w:rPr>
        <w:t xml:space="preserve"> of public history</w:t>
      </w:r>
      <w:r w:rsidR="00BF04F1" w:rsidRPr="006D7303">
        <w:rPr>
          <w:rFonts w:ascii="Book Antiqua" w:hAnsi="Book Antiqua"/>
        </w:rPr>
        <w:t>.</w:t>
      </w:r>
      <w:r w:rsidRPr="006D7303">
        <w:rPr>
          <w:rFonts w:ascii="Book Antiqua" w:hAnsi="Book Antiqua"/>
        </w:rPr>
        <w:t xml:space="preserve"> </w:t>
      </w:r>
      <w:r w:rsidR="008E5CCC" w:rsidRPr="006D7303">
        <w:rPr>
          <w:rFonts w:ascii="Book Antiqua" w:hAnsi="Book Antiqua"/>
        </w:rPr>
        <w:t xml:space="preserve">Beginning the section, </w:t>
      </w:r>
      <w:r w:rsidRPr="006D7303">
        <w:rPr>
          <w:rFonts w:ascii="Book Antiqua" w:hAnsi="Book Antiqua"/>
        </w:rPr>
        <w:t xml:space="preserve">Sandra </w:t>
      </w:r>
      <w:proofErr w:type="spellStart"/>
      <w:r w:rsidRPr="006D7303">
        <w:rPr>
          <w:rFonts w:ascii="Book Antiqua" w:hAnsi="Book Antiqua"/>
        </w:rPr>
        <w:t>Swart</w:t>
      </w:r>
      <w:proofErr w:type="spellEnd"/>
      <w:r w:rsidRPr="006D7303">
        <w:rPr>
          <w:rFonts w:ascii="Book Antiqua" w:hAnsi="Book Antiqua"/>
        </w:rPr>
        <w:t xml:space="preserve"> </w:t>
      </w:r>
      <w:r w:rsidRPr="006D7303">
        <w:rPr>
          <w:rFonts w:ascii="Book Antiqua" w:hAnsi="Book Antiqua"/>
        </w:rPr>
        <w:lastRenderedPageBreak/>
        <w:t>argues for the need to repopulate histories of nationalism with</w:t>
      </w:r>
      <w:r w:rsidR="008E5CCC" w:rsidRPr="006D7303">
        <w:rPr>
          <w:rFonts w:ascii="Book Antiqua" w:hAnsi="Book Antiqua"/>
        </w:rPr>
        <w:t xml:space="preserve"> the</w:t>
      </w:r>
      <w:r w:rsidR="00A10B9C" w:rsidRPr="006D7303">
        <w:rPr>
          <w:rFonts w:ascii="Book Antiqua" w:hAnsi="Book Antiqua"/>
        </w:rPr>
        <w:t xml:space="preserve"> ‘animal citizens’</w:t>
      </w:r>
      <w:r w:rsidR="008E5CCC" w:rsidRPr="006D7303">
        <w:rPr>
          <w:rFonts w:ascii="Book Antiqua" w:hAnsi="Book Antiqua"/>
        </w:rPr>
        <w:t xml:space="preserve"> who remain central to </w:t>
      </w:r>
      <w:r w:rsidR="00A10B9C" w:rsidRPr="006D7303">
        <w:rPr>
          <w:rFonts w:ascii="Book Antiqua" w:hAnsi="Book Antiqua"/>
        </w:rPr>
        <w:t xml:space="preserve">‘the story a nation tells about itself’ (p. 32). </w:t>
      </w:r>
      <w:r w:rsidR="008E5CCC" w:rsidRPr="006D7303">
        <w:rPr>
          <w:rFonts w:ascii="Book Antiqua" w:hAnsi="Book Antiqua"/>
        </w:rPr>
        <w:t>Like</w:t>
      </w:r>
      <w:r w:rsidR="00A10B9C" w:rsidRPr="006D7303">
        <w:rPr>
          <w:rFonts w:ascii="Book Antiqua" w:hAnsi="Book Antiqua"/>
        </w:rPr>
        <w:t xml:space="preserve"> nations</w:t>
      </w:r>
      <w:r w:rsidR="008E5CCC" w:rsidRPr="006D7303">
        <w:rPr>
          <w:rFonts w:ascii="Book Antiqua" w:hAnsi="Book Antiqua"/>
        </w:rPr>
        <w:t>,</w:t>
      </w:r>
      <w:r w:rsidR="00A10B9C" w:rsidRPr="006D7303">
        <w:rPr>
          <w:rFonts w:ascii="Book Antiqua" w:hAnsi="Book Antiqua"/>
        </w:rPr>
        <w:t xml:space="preserve"> </w:t>
      </w:r>
      <w:r w:rsidR="008E5CCC" w:rsidRPr="006D7303">
        <w:rPr>
          <w:rFonts w:ascii="Book Antiqua" w:hAnsi="Book Antiqua"/>
        </w:rPr>
        <w:t xml:space="preserve">national ecologies, and even </w:t>
      </w:r>
      <w:r w:rsidR="008E5CCC" w:rsidRPr="006D7303">
        <w:rPr>
          <w:rFonts w:ascii="Book Antiqua" w:hAnsi="Book Antiqua"/>
          <w:i/>
          <w:iCs/>
        </w:rPr>
        <w:t>species</w:t>
      </w:r>
      <w:r w:rsidR="008E5CCC" w:rsidRPr="006D7303">
        <w:rPr>
          <w:rFonts w:ascii="Book Antiqua" w:hAnsi="Book Antiqua"/>
        </w:rPr>
        <w:t xml:space="preserve"> exist as </w:t>
      </w:r>
      <w:r w:rsidR="00A10B9C" w:rsidRPr="006D7303">
        <w:rPr>
          <w:rFonts w:ascii="Book Antiqua" w:hAnsi="Book Antiqua"/>
        </w:rPr>
        <w:t>imagined communities.</w:t>
      </w:r>
      <w:r w:rsidR="008E5CCC" w:rsidRPr="006D7303">
        <w:rPr>
          <w:rFonts w:ascii="Book Antiqua" w:hAnsi="Book Antiqua"/>
        </w:rPr>
        <w:t xml:space="preserve"> </w:t>
      </w:r>
      <w:r w:rsidR="00A10B9C" w:rsidRPr="006D7303">
        <w:rPr>
          <w:rFonts w:ascii="Book Antiqua" w:hAnsi="Book Antiqua"/>
        </w:rPr>
        <w:t>Jan-Erik Steinberger’s discussion</w:t>
      </w:r>
      <w:r w:rsidR="00622119" w:rsidRPr="006D7303">
        <w:rPr>
          <w:rFonts w:ascii="Book Antiqua" w:hAnsi="Book Antiqua"/>
        </w:rPr>
        <w:t xml:space="preserve"> </w:t>
      </w:r>
      <w:r w:rsidR="008E5CCC" w:rsidRPr="006D7303">
        <w:rPr>
          <w:rFonts w:ascii="Book Antiqua" w:hAnsi="Book Antiqua"/>
        </w:rPr>
        <w:t xml:space="preserve">neatly follows </w:t>
      </w:r>
      <w:proofErr w:type="spellStart"/>
      <w:r w:rsidR="008E5CCC" w:rsidRPr="006D7303">
        <w:rPr>
          <w:rFonts w:ascii="Book Antiqua" w:hAnsi="Book Antiqua"/>
        </w:rPr>
        <w:t>Swart</w:t>
      </w:r>
      <w:proofErr w:type="spellEnd"/>
      <w:r w:rsidR="008E5CCC" w:rsidRPr="006D7303">
        <w:rPr>
          <w:rFonts w:ascii="Book Antiqua" w:hAnsi="Book Antiqua"/>
        </w:rPr>
        <w:t>,</w:t>
      </w:r>
      <w:r w:rsidR="00622119" w:rsidRPr="006D7303">
        <w:rPr>
          <w:rFonts w:ascii="Book Antiqua" w:hAnsi="Book Antiqua"/>
        </w:rPr>
        <w:t xml:space="preserve"> fram</w:t>
      </w:r>
      <w:r w:rsidR="008E5CCC" w:rsidRPr="006D7303">
        <w:rPr>
          <w:rFonts w:ascii="Book Antiqua" w:hAnsi="Book Antiqua"/>
        </w:rPr>
        <w:t>ing</w:t>
      </w:r>
      <w:r w:rsidR="00A10B9C" w:rsidRPr="006D7303">
        <w:rPr>
          <w:rFonts w:ascii="Book Antiqua" w:hAnsi="Book Antiqua"/>
        </w:rPr>
        <w:t xml:space="preserve"> wildlife conservation as </w:t>
      </w:r>
      <w:r w:rsidR="008E5CCC" w:rsidRPr="006D7303">
        <w:rPr>
          <w:rFonts w:ascii="Book Antiqua" w:hAnsi="Book Antiqua"/>
        </w:rPr>
        <w:t>the</w:t>
      </w:r>
      <w:r w:rsidR="00A10B9C" w:rsidRPr="006D7303">
        <w:rPr>
          <w:rFonts w:ascii="Book Antiqua" w:hAnsi="Book Antiqua"/>
        </w:rPr>
        <w:t xml:space="preserve"> practic</w:t>
      </w:r>
      <w:r w:rsidR="008E5CCC" w:rsidRPr="006D7303">
        <w:rPr>
          <w:rFonts w:ascii="Book Antiqua" w:hAnsi="Book Antiqua"/>
        </w:rPr>
        <w:t>ing</w:t>
      </w:r>
      <w:r w:rsidR="00A10B9C" w:rsidRPr="006D7303">
        <w:rPr>
          <w:rFonts w:ascii="Book Antiqua" w:hAnsi="Book Antiqua"/>
        </w:rPr>
        <w:t xml:space="preserve"> of ‘cultural memory’. </w:t>
      </w:r>
      <w:r w:rsidR="00622119" w:rsidRPr="006D7303">
        <w:rPr>
          <w:rFonts w:ascii="Book Antiqua" w:hAnsi="Book Antiqua"/>
        </w:rPr>
        <w:t>Moreover, a</w:t>
      </w:r>
      <w:r w:rsidR="00BF04F1" w:rsidRPr="006D7303">
        <w:rPr>
          <w:rFonts w:ascii="Book Antiqua" w:hAnsi="Book Antiqua"/>
        </w:rPr>
        <w:t>s demonstrate</w:t>
      </w:r>
      <w:r w:rsidR="008E5CCC" w:rsidRPr="006D7303">
        <w:rPr>
          <w:rFonts w:ascii="Book Antiqua" w:hAnsi="Book Antiqua"/>
        </w:rPr>
        <w:t>d</w:t>
      </w:r>
      <w:r w:rsidR="00BF04F1" w:rsidRPr="006D7303">
        <w:rPr>
          <w:rFonts w:ascii="Book Antiqua" w:hAnsi="Book Antiqua"/>
        </w:rPr>
        <w:t xml:space="preserve"> with reference to South Africa’s Kruger National Park</w:t>
      </w:r>
      <w:r w:rsidR="00622119" w:rsidRPr="006D7303">
        <w:rPr>
          <w:rFonts w:ascii="Book Antiqua" w:hAnsi="Book Antiqua"/>
        </w:rPr>
        <w:t xml:space="preserve"> (founded in 1898)</w:t>
      </w:r>
      <w:r w:rsidR="00BF04F1" w:rsidRPr="006D7303">
        <w:rPr>
          <w:rFonts w:ascii="Book Antiqua" w:hAnsi="Book Antiqua"/>
        </w:rPr>
        <w:t xml:space="preserve"> the management of animal li</w:t>
      </w:r>
      <w:r w:rsidR="00622119" w:rsidRPr="006D7303">
        <w:rPr>
          <w:rFonts w:ascii="Book Antiqua" w:hAnsi="Book Antiqua"/>
        </w:rPr>
        <w:t xml:space="preserve">ves and landscapes </w:t>
      </w:r>
      <w:r w:rsidR="00C60689" w:rsidRPr="006D7303">
        <w:rPr>
          <w:rFonts w:ascii="Book Antiqua" w:hAnsi="Book Antiqua"/>
        </w:rPr>
        <w:t>is inseparable</w:t>
      </w:r>
      <w:r w:rsidR="00622119" w:rsidRPr="006D7303">
        <w:rPr>
          <w:rFonts w:ascii="Book Antiqua" w:hAnsi="Book Antiqua"/>
        </w:rPr>
        <w:t xml:space="preserve"> from the political ambitions of nation building.</w:t>
      </w:r>
      <w:r w:rsidR="00BF04F1" w:rsidRPr="006D7303">
        <w:rPr>
          <w:rFonts w:ascii="Book Antiqua" w:hAnsi="Book Antiqua"/>
        </w:rPr>
        <w:t xml:space="preserve"> </w:t>
      </w:r>
    </w:p>
    <w:p w14:paraId="5B4B96DB" w14:textId="77777777" w:rsidR="00E60B39" w:rsidRPr="006D7303" w:rsidRDefault="00E60B39" w:rsidP="00980B05">
      <w:pPr>
        <w:spacing w:line="480" w:lineRule="auto"/>
        <w:rPr>
          <w:rFonts w:ascii="Book Antiqua" w:hAnsi="Book Antiqua"/>
        </w:rPr>
      </w:pPr>
    </w:p>
    <w:p w14:paraId="72C46B70" w14:textId="7A47E5CE" w:rsidR="00C60689" w:rsidRDefault="00622119" w:rsidP="00980B05">
      <w:pPr>
        <w:spacing w:line="480" w:lineRule="auto"/>
        <w:rPr>
          <w:rFonts w:ascii="Book Antiqua" w:hAnsi="Book Antiqua"/>
        </w:rPr>
      </w:pPr>
      <w:r w:rsidRPr="006D7303">
        <w:rPr>
          <w:rFonts w:ascii="Book Antiqua" w:hAnsi="Book Antiqua"/>
        </w:rPr>
        <w:t xml:space="preserve">Elsewhere in </w:t>
      </w:r>
      <w:r w:rsidR="00C60689" w:rsidRPr="006D7303">
        <w:rPr>
          <w:rFonts w:ascii="Book Antiqua" w:hAnsi="Book Antiqua"/>
        </w:rPr>
        <w:t>the</w:t>
      </w:r>
      <w:r w:rsidRPr="006D7303">
        <w:rPr>
          <w:rFonts w:ascii="Book Antiqua" w:hAnsi="Book Antiqua"/>
        </w:rPr>
        <w:t xml:space="preserve"> section, </w:t>
      </w:r>
      <w:r w:rsidR="00BF04F1" w:rsidRPr="006D7303">
        <w:rPr>
          <w:rFonts w:ascii="Book Antiqua" w:hAnsi="Book Antiqua"/>
        </w:rPr>
        <w:t xml:space="preserve">Abigail Woods and Robert Kirk demonstrate the need to </w:t>
      </w:r>
      <w:r w:rsidRPr="006D7303">
        <w:rPr>
          <w:rFonts w:ascii="Book Antiqua" w:hAnsi="Book Antiqua"/>
        </w:rPr>
        <w:t>historicise</w:t>
      </w:r>
      <w:r w:rsidR="00BF04F1" w:rsidRPr="006D7303">
        <w:rPr>
          <w:rFonts w:ascii="Book Antiqua" w:hAnsi="Book Antiqua"/>
        </w:rPr>
        <w:t xml:space="preserve"> the </w:t>
      </w:r>
      <w:r w:rsidR="00BF04F1" w:rsidRPr="006D7303">
        <w:rPr>
          <w:rFonts w:ascii="Book Antiqua" w:hAnsi="Book Antiqua"/>
          <w:i/>
          <w:iCs/>
        </w:rPr>
        <w:t xml:space="preserve">scientific </w:t>
      </w:r>
      <w:r w:rsidR="00BF04F1" w:rsidRPr="006D7303">
        <w:rPr>
          <w:rFonts w:ascii="Book Antiqua" w:hAnsi="Book Antiqua"/>
        </w:rPr>
        <w:t xml:space="preserve">animal, </w:t>
      </w:r>
      <w:r w:rsidRPr="006D7303">
        <w:rPr>
          <w:rFonts w:ascii="Book Antiqua" w:hAnsi="Book Antiqua"/>
        </w:rPr>
        <w:t xml:space="preserve">often </w:t>
      </w:r>
      <w:r w:rsidR="00BF04F1" w:rsidRPr="006D7303">
        <w:rPr>
          <w:rFonts w:ascii="Book Antiqua" w:hAnsi="Book Antiqua"/>
        </w:rPr>
        <w:t xml:space="preserve">underacknowledged </w:t>
      </w:r>
      <w:r w:rsidRPr="006D7303">
        <w:rPr>
          <w:rFonts w:ascii="Book Antiqua" w:hAnsi="Book Antiqua"/>
        </w:rPr>
        <w:t>when compared to livestock or pets</w:t>
      </w:r>
      <w:r w:rsidR="00BF04F1" w:rsidRPr="006D7303">
        <w:rPr>
          <w:rFonts w:ascii="Book Antiqua" w:hAnsi="Book Antiqua"/>
        </w:rPr>
        <w:t>. Woods, advocating collaboration between medical and animal historians, traces the construction of animals as experimental objects, vectors of disease, and victims themselves of illness, the agency of other creatures potentially apparent to veterinary practitioners by virtue of their capacity to assist or resist a variety of interventions. For Kirk, animal-human histor</w:t>
      </w:r>
      <w:r w:rsidR="00CB4C5A" w:rsidRPr="006D7303">
        <w:rPr>
          <w:rFonts w:ascii="Book Antiqua" w:hAnsi="Book Antiqua"/>
        </w:rPr>
        <w:t xml:space="preserve">ies of experimentation </w:t>
      </w:r>
      <w:r w:rsidR="00BF04F1" w:rsidRPr="006D7303">
        <w:rPr>
          <w:rFonts w:ascii="Book Antiqua" w:hAnsi="Book Antiqua"/>
        </w:rPr>
        <w:t>challenge portrayal</w:t>
      </w:r>
      <w:r w:rsidR="00CB4C5A" w:rsidRPr="006D7303">
        <w:rPr>
          <w:rFonts w:ascii="Book Antiqua" w:hAnsi="Book Antiqua"/>
        </w:rPr>
        <w:t>s</w:t>
      </w:r>
      <w:r w:rsidR="00BF04F1" w:rsidRPr="006D7303">
        <w:rPr>
          <w:rFonts w:ascii="Book Antiqua" w:hAnsi="Book Antiqua"/>
        </w:rPr>
        <w:t xml:space="preserve"> of science as ‘an all-too-human activity’ (p. 135)</w:t>
      </w:r>
      <w:r w:rsidR="00F415EA">
        <w:rPr>
          <w:rFonts w:ascii="Book Antiqua" w:hAnsi="Book Antiqua"/>
        </w:rPr>
        <w:t xml:space="preserve"> </w:t>
      </w:r>
      <w:r w:rsidR="00CB4C5A" w:rsidRPr="006D7303">
        <w:rPr>
          <w:rFonts w:ascii="Book Antiqua" w:hAnsi="Book Antiqua"/>
        </w:rPr>
        <w:t xml:space="preserve">and engender a more critical application of </w:t>
      </w:r>
      <w:proofErr w:type="gramStart"/>
      <w:r w:rsidR="00CB4C5A" w:rsidRPr="006D7303">
        <w:rPr>
          <w:rFonts w:ascii="Book Antiqua" w:hAnsi="Book Antiqua"/>
        </w:rPr>
        <w:t>experimentally-produced</w:t>
      </w:r>
      <w:proofErr w:type="gramEnd"/>
      <w:r w:rsidR="00CB4C5A" w:rsidRPr="006D7303">
        <w:rPr>
          <w:rFonts w:ascii="Book Antiqua" w:hAnsi="Book Antiqua"/>
        </w:rPr>
        <w:t xml:space="preserve"> knowledge </w:t>
      </w:r>
      <w:r w:rsidR="00CB4C5A" w:rsidRPr="006D7303">
        <w:rPr>
          <w:rFonts w:ascii="Book Antiqua" w:hAnsi="Book Antiqua"/>
          <w:i/>
          <w:iCs/>
        </w:rPr>
        <w:t xml:space="preserve">about </w:t>
      </w:r>
      <w:r w:rsidR="00CB4C5A" w:rsidRPr="006D7303">
        <w:rPr>
          <w:rFonts w:ascii="Book Antiqua" w:hAnsi="Book Antiqua"/>
        </w:rPr>
        <w:t xml:space="preserve">animals by historians. </w:t>
      </w:r>
    </w:p>
    <w:p w14:paraId="2B9B9828" w14:textId="77777777" w:rsidR="00E60B39" w:rsidRPr="006D7303" w:rsidRDefault="00E60B39" w:rsidP="00980B05">
      <w:pPr>
        <w:spacing w:line="480" w:lineRule="auto"/>
        <w:rPr>
          <w:rFonts w:ascii="Book Antiqua" w:hAnsi="Book Antiqua"/>
        </w:rPr>
      </w:pPr>
    </w:p>
    <w:p w14:paraId="14947730" w14:textId="6ED59ECA" w:rsidR="009A21CF" w:rsidRDefault="00CB4C5A" w:rsidP="00980B05">
      <w:pPr>
        <w:spacing w:line="480" w:lineRule="auto"/>
        <w:rPr>
          <w:rFonts w:ascii="Book Antiqua" w:hAnsi="Book Antiqua"/>
        </w:rPr>
      </w:pPr>
      <w:r w:rsidRPr="006D7303">
        <w:rPr>
          <w:rFonts w:ascii="Book Antiqua" w:hAnsi="Book Antiqua"/>
        </w:rPr>
        <w:t xml:space="preserve">Urging animal-human historians to venture </w:t>
      </w:r>
      <w:r w:rsidRPr="006D7303">
        <w:rPr>
          <w:rFonts w:ascii="Book Antiqua" w:hAnsi="Book Antiqua"/>
          <w:i/>
          <w:iCs/>
        </w:rPr>
        <w:t xml:space="preserve">beyond </w:t>
      </w:r>
      <w:r w:rsidRPr="006D7303">
        <w:rPr>
          <w:rFonts w:ascii="Book Antiqua" w:hAnsi="Book Antiqua"/>
        </w:rPr>
        <w:t xml:space="preserve">the academic, </w:t>
      </w:r>
      <w:r w:rsidR="00BF04F1" w:rsidRPr="006D7303">
        <w:rPr>
          <w:rFonts w:ascii="Book Antiqua" w:hAnsi="Book Antiqua"/>
        </w:rPr>
        <w:t>Hilda Kean</w:t>
      </w:r>
      <w:r w:rsidR="00622119" w:rsidRPr="006D7303">
        <w:rPr>
          <w:rFonts w:ascii="Book Antiqua" w:hAnsi="Book Antiqua"/>
        </w:rPr>
        <w:t xml:space="preserve"> </w:t>
      </w:r>
      <w:r w:rsidRPr="006D7303">
        <w:rPr>
          <w:rFonts w:ascii="Book Antiqua" w:hAnsi="Book Antiqua"/>
        </w:rPr>
        <w:t xml:space="preserve">argues that we might find </w:t>
      </w:r>
      <w:r w:rsidR="00BF04F1" w:rsidRPr="006D7303">
        <w:rPr>
          <w:rFonts w:ascii="Book Antiqua" w:hAnsi="Book Antiqua"/>
        </w:rPr>
        <w:t>animal</w:t>
      </w:r>
      <w:r w:rsidR="00622119" w:rsidRPr="006D7303">
        <w:rPr>
          <w:rFonts w:ascii="Book Antiqua" w:hAnsi="Book Antiqua"/>
        </w:rPr>
        <w:t>s’ role</w:t>
      </w:r>
      <w:r w:rsidRPr="006D7303">
        <w:rPr>
          <w:rFonts w:ascii="Book Antiqua" w:hAnsi="Book Antiqua"/>
        </w:rPr>
        <w:t>s</w:t>
      </w:r>
      <w:r w:rsidR="00622119" w:rsidRPr="006D7303">
        <w:rPr>
          <w:rFonts w:ascii="Book Antiqua" w:hAnsi="Book Antiqua"/>
        </w:rPr>
        <w:t xml:space="preserve"> in </w:t>
      </w:r>
      <w:r w:rsidRPr="006D7303">
        <w:rPr>
          <w:rFonts w:ascii="Book Antiqua" w:hAnsi="Book Antiqua"/>
        </w:rPr>
        <w:t>the making of the past</w:t>
      </w:r>
      <w:r w:rsidR="00622119" w:rsidRPr="006D7303">
        <w:rPr>
          <w:rFonts w:ascii="Book Antiqua" w:hAnsi="Book Antiqua"/>
        </w:rPr>
        <w:t xml:space="preserve"> </w:t>
      </w:r>
      <w:r w:rsidRPr="006D7303">
        <w:rPr>
          <w:rFonts w:ascii="Book Antiqua" w:hAnsi="Book Antiqua"/>
        </w:rPr>
        <w:t>acknowledged</w:t>
      </w:r>
      <w:r w:rsidR="00622119" w:rsidRPr="006D7303">
        <w:rPr>
          <w:rFonts w:ascii="Book Antiqua" w:hAnsi="Book Antiqua"/>
        </w:rPr>
        <w:t xml:space="preserve"> amidst </w:t>
      </w:r>
      <w:r w:rsidRPr="006D7303">
        <w:rPr>
          <w:rFonts w:ascii="Book Antiqua" w:hAnsi="Book Antiqua"/>
        </w:rPr>
        <w:t xml:space="preserve">practices of public </w:t>
      </w:r>
      <w:r w:rsidR="00622119" w:rsidRPr="006D7303">
        <w:rPr>
          <w:rFonts w:ascii="Book Antiqua" w:hAnsi="Book Antiqua"/>
        </w:rPr>
        <w:t>memorials and museum</w:t>
      </w:r>
      <w:r w:rsidRPr="006D7303">
        <w:rPr>
          <w:rFonts w:ascii="Book Antiqua" w:hAnsi="Book Antiqua"/>
        </w:rPr>
        <w:t xml:space="preserve"> curation</w:t>
      </w:r>
      <w:r w:rsidR="00622119" w:rsidRPr="006D7303">
        <w:rPr>
          <w:rFonts w:ascii="Book Antiqua" w:hAnsi="Book Antiqua"/>
        </w:rPr>
        <w:t>. For Kean, t</w:t>
      </w:r>
      <w:r w:rsidR="00F53575" w:rsidRPr="006D7303">
        <w:rPr>
          <w:rFonts w:ascii="Book Antiqua" w:hAnsi="Book Antiqua"/>
        </w:rPr>
        <w:t xml:space="preserve">he </w:t>
      </w:r>
      <w:r w:rsidRPr="006D7303">
        <w:rPr>
          <w:rFonts w:ascii="Book Antiqua" w:hAnsi="Book Antiqua"/>
        </w:rPr>
        <w:t>content of this</w:t>
      </w:r>
      <w:r w:rsidR="00F53575" w:rsidRPr="006D7303">
        <w:rPr>
          <w:rFonts w:ascii="Book Antiqua" w:hAnsi="Book Antiqua"/>
        </w:rPr>
        <w:t xml:space="preserve"> </w:t>
      </w:r>
      <w:r w:rsidR="00F53575" w:rsidRPr="006D7303">
        <w:rPr>
          <w:rFonts w:ascii="Book Antiqua" w:hAnsi="Book Antiqua"/>
          <w:i/>
          <w:iCs/>
        </w:rPr>
        <w:t xml:space="preserve">Companion </w:t>
      </w:r>
      <w:r w:rsidRPr="006D7303">
        <w:rPr>
          <w:rFonts w:ascii="Book Antiqua" w:hAnsi="Book Antiqua"/>
        </w:rPr>
        <w:t>must</w:t>
      </w:r>
      <w:r w:rsidR="00F53575" w:rsidRPr="006D7303">
        <w:rPr>
          <w:rFonts w:ascii="Book Antiqua" w:hAnsi="Book Antiqua"/>
        </w:rPr>
        <w:t xml:space="preserve"> be taken beyond a narrow audience of scholars, </w:t>
      </w:r>
      <w:r w:rsidRPr="006D7303">
        <w:rPr>
          <w:rFonts w:ascii="Book Antiqua" w:hAnsi="Book Antiqua"/>
        </w:rPr>
        <w:t>and into conversation with public historians</w:t>
      </w:r>
      <w:r w:rsidR="00F53575" w:rsidRPr="006D7303">
        <w:rPr>
          <w:rFonts w:ascii="Book Antiqua" w:hAnsi="Book Antiqua"/>
        </w:rPr>
        <w:t xml:space="preserve">. Likewise, Liv Thorsen proposes that </w:t>
      </w:r>
      <w:r w:rsidRPr="006D7303">
        <w:rPr>
          <w:rFonts w:ascii="Book Antiqua" w:hAnsi="Book Antiqua"/>
        </w:rPr>
        <w:t xml:space="preserve">the artefacts that abound in museum collections can be animated with a sense of their animal histories and </w:t>
      </w:r>
      <w:r w:rsidR="00F53575" w:rsidRPr="006D7303">
        <w:rPr>
          <w:rFonts w:ascii="Book Antiqua" w:hAnsi="Book Antiqua"/>
        </w:rPr>
        <w:t xml:space="preserve">the historical relations in which animals </w:t>
      </w:r>
      <w:r w:rsidR="00F53575" w:rsidRPr="006D7303">
        <w:rPr>
          <w:rFonts w:ascii="Book Antiqua" w:hAnsi="Book Antiqua"/>
        </w:rPr>
        <w:lastRenderedPageBreak/>
        <w:t>and humans were enmeshed. An item such as a dog fur cap (p. 185) opens onto times and places where relations with a familiar domestic partner were far more utilitarian, raising questions about the meaning of these pasts and the agency of this kind of object to provoke an emotional and ethical response.</w:t>
      </w:r>
    </w:p>
    <w:p w14:paraId="3C5298A4" w14:textId="77777777" w:rsidR="00E60B39" w:rsidRPr="006D7303" w:rsidRDefault="00E60B39" w:rsidP="00980B05">
      <w:pPr>
        <w:spacing w:line="480" w:lineRule="auto"/>
        <w:rPr>
          <w:rFonts w:ascii="Book Antiqua" w:hAnsi="Book Antiqua"/>
        </w:rPr>
      </w:pPr>
    </w:p>
    <w:p w14:paraId="77DD0910" w14:textId="31D4A279" w:rsidR="00C60689" w:rsidRDefault="00CB4C5A" w:rsidP="00980B05">
      <w:pPr>
        <w:spacing w:line="480" w:lineRule="auto"/>
        <w:rPr>
          <w:rFonts w:ascii="Book Antiqua" w:hAnsi="Book Antiqua"/>
        </w:rPr>
      </w:pPr>
      <w:r w:rsidRPr="006D7303">
        <w:rPr>
          <w:rFonts w:ascii="Book Antiqua" w:hAnsi="Book Antiqua"/>
        </w:rPr>
        <w:t xml:space="preserve">Following these </w:t>
      </w:r>
      <w:r w:rsidR="00C60689" w:rsidRPr="006D7303">
        <w:rPr>
          <w:rFonts w:ascii="Book Antiqua" w:hAnsi="Book Antiqua"/>
        </w:rPr>
        <w:t xml:space="preserve">opening </w:t>
      </w:r>
      <w:r w:rsidRPr="006D7303">
        <w:rPr>
          <w:rFonts w:ascii="Book Antiqua" w:hAnsi="Book Antiqua"/>
        </w:rPr>
        <w:t>discussions,</w:t>
      </w:r>
      <w:r w:rsidR="00F53575" w:rsidRPr="006D7303">
        <w:rPr>
          <w:rFonts w:ascii="Book Antiqua" w:hAnsi="Book Antiqua"/>
        </w:rPr>
        <w:t xml:space="preserve"> ‘Problems and Paradigms’ </w:t>
      </w:r>
      <w:r w:rsidRPr="006D7303">
        <w:rPr>
          <w:rFonts w:ascii="Book Antiqua" w:hAnsi="Book Antiqua"/>
        </w:rPr>
        <w:t>considers question</w:t>
      </w:r>
      <w:r w:rsidR="00C60689" w:rsidRPr="006D7303">
        <w:rPr>
          <w:rFonts w:ascii="Book Antiqua" w:hAnsi="Book Antiqua"/>
        </w:rPr>
        <w:t>s</w:t>
      </w:r>
      <w:r w:rsidR="00F53575" w:rsidRPr="006D7303">
        <w:rPr>
          <w:rFonts w:ascii="Book Antiqua" w:hAnsi="Book Antiqua"/>
        </w:rPr>
        <w:t xml:space="preserve"> of agency, the </w:t>
      </w:r>
      <w:r w:rsidRPr="006D7303">
        <w:rPr>
          <w:rFonts w:ascii="Book Antiqua" w:hAnsi="Book Antiqua"/>
        </w:rPr>
        <w:t>challenges</w:t>
      </w:r>
      <w:r w:rsidR="00F53575" w:rsidRPr="006D7303">
        <w:rPr>
          <w:rFonts w:ascii="Book Antiqua" w:hAnsi="Book Antiqua"/>
        </w:rPr>
        <w:t xml:space="preserve"> of drawing upon</w:t>
      </w:r>
      <w:r w:rsidR="00FF18BA" w:rsidRPr="006D7303">
        <w:rPr>
          <w:rFonts w:ascii="Book Antiqua" w:hAnsi="Book Antiqua"/>
        </w:rPr>
        <w:t xml:space="preserve"> literary</w:t>
      </w:r>
      <w:r w:rsidR="00F53575" w:rsidRPr="006D7303">
        <w:rPr>
          <w:rFonts w:ascii="Book Antiqua" w:hAnsi="Book Antiqua"/>
        </w:rPr>
        <w:t xml:space="preserve"> and </w:t>
      </w:r>
      <w:r w:rsidRPr="006D7303">
        <w:rPr>
          <w:rFonts w:ascii="Book Antiqua" w:hAnsi="Book Antiqua"/>
        </w:rPr>
        <w:t>artistic</w:t>
      </w:r>
      <w:r w:rsidR="00F53575" w:rsidRPr="006D7303">
        <w:rPr>
          <w:rFonts w:ascii="Book Antiqua" w:hAnsi="Book Antiqua"/>
        </w:rPr>
        <w:t xml:space="preserve"> sources, and</w:t>
      </w:r>
      <w:r w:rsidRPr="006D7303">
        <w:rPr>
          <w:rFonts w:ascii="Book Antiqua" w:hAnsi="Book Antiqua"/>
        </w:rPr>
        <w:t xml:space="preserve"> </w:t>
      </w:r>
      <w:r w:rsidR="00F53575" w:rsidRPr="006D7303">
        <w:rPr>
          <w:rFonts w:ascii="Book Antiqua" w:hAnsi="Book Antiqua"/>
        </w:rPr>
        <w:t xml:space="preserve">whether or not histories </w:t>
      </w:r>
      <w:r w:rsidRPr="006D7303">
        <w:rPr>
          <w:rFonts w:ascii="Book Antiqua" w:hAnsi="Book Antiqua"/>
        </w:rPr>
        <w:t>of</w:t>
      </w:r>
      <w:r w:rsidR="00F53575" w:rsidRPr="006D7303">
        <w:rPr>
          <w:rFonts w:ascii="Book Antiqua" w:hAnsi="Book Antiqua"/>
        </w:rPr>
        <w:t xml:space="preserve"> changing </w:t>
      </w:r>
      <w:r w:rsidR="00F53575" w:rsidRPr="006D7303">
        <w:rPr>
          <w:rFonts w:ascii="Book Antiqua" w:hAnsi="Book Antiqua"/>
          <w:i/>
          <w:iCs/>
        </w:rPr>
        <w:t xml:space="preserve">human </w:t>
      </w:r>
      <w:r w:rsidR="00F53575" w:rsidRPr="006D7303">
        <w:rPr>
          <w:rFonts w:ascii="Book Antiqua" w:hAnsi="Book Antiqua"/>
        </w:rPr>
        <w:t xml:space="preserve">perceptions of animals are the best we can hope for. Philip Howell traces three ways in which agency might be conceived – </w:t>
      </w:r>
      <w:r w:rsidRPr="006D7303">
        <w:rPr>
          <w:rFonts w:ascii="Book Antiqua" w:hAnsi="Book Antiqua"/>
        </w:rPr>
        <w:t>being</w:t>
      </w:r>
      <w:r w:rsidR="00F53575" w:rsidRPr="006D7303">
        <w:rPr>
          <w:rFonts w:ascii="Book Antiqua" w:hAnsi="Book Antiqua"/>
        </w:rPr>
        <w:t xml:space="preserve"> ascribed or perceived by people</w:t>
      </w:r>
      <w:r w:rsidRPr="006D7303">
        <w:rPr>
          <w:rFonts w:ascii="Book Antiqua" w:hAnsi="Book Antiqua"/>
        </w:rPr>
        <w:t>;</w:t>
      </w:r>
      <w:r w:rsidR="00F53575" w:rsidRPr="006D7303">
        <w:rPr>
          <w:rFonts w:ascii="Book Antiqua" w:hAnsi="Book Antiqua"/>
        </w:rPr>
        <w:t xml:space="preserve"> as something recognis</w:t>
      </w:r>
      <w:r w:rsidRPr="006D7303">
        <w:rPr>
          <w:rFonts w:ascii="Book Antiqua" w:hAnsi="Book Antiqua"/>
        </w:rPr>
        <w:t>able</w:t>
      </w:r>
      <w:r w:rsidR="00F53575" w:rsidRPr="006D7303">
        <w:rPr>
          <w:rFonts w:ascii="Book Antiqua" w:hAnsi="Book Antiqua"/>
        </w:rPr>
        <w:t xml:space="preserve"> in instances of ‘resistance’ or transgression; and as a quality of being </w:t>
      </w:r>
      <w:r w:rsidRPr="006D7303">
        <w:rPr>
          <w:rFonts w:ascii="Book Antiqua" w:hAnsi="Book Antiqua"/>
        </w:rPr>
        <w:t>rendered capable of action or response amidst assemblages or relationships</w:t>
      </w:r>
      <w:r w:rsidR="00F53575" w:rsidRPr="006D7303">
        <w:rPr>
          <w:rFonts w:ascii="Book Antiqua" w:hAnsi="Book Antiqua"/>
          <w:i/>
          <w:iCs/>
        </w:rPr>
        <w:t xml:space="preserve">. </w:t>
      </w:r>
      <w:r w:rsidR="00F53575" w:rsidRPr="006D7303">
        <w:rPr>
          <w:rFonts w:ascii="Book Antiqua" w:hAnsi="Book Antiqua"/>
        </w:rPr>
        <w:t xml:space="preserve">Favouring the third </w:t>
      </w:r>
      <w:r w:rsidRPr="006D7303">
        <w:rPr>
          <w:rFonts w:ascii="Book Antiqua" w:hAnsi="Book Antiqua"/>
        </w:rPr>
        <w:t>route</w:t>
      </w:r>
      <w:r w:rsidR="00F53575" w:rsidRPr="006D7303">
        <w:rPr>
          <w:rFonts w:ascii="Book Antiqua" w:hAnsi="Book Antiqua"/>
        </w:rPr>
        <w:t xml:space="preserve">, Howell nevertheless </w:t>
      </w:r>
      <w:r w:rsidRPr="006D7303">
        <w:rPr>
          <w:rFonts w:ascii="Book Antiqua" w:hAnsi="Book Antiqua"/>
        </w:rPr>
        <w:t>acknowledges</w:t>
      </w:r>
      <w:r w:rsidR="00F53575" w:rsidRPr="006D7303">
        <w:rPr>
          <w:rFonts w:ascii="Book Antiqua" w:hAnsi="Book Antiqua"/>
        </w:rPr>
        <w:t xml:space="preserve"> the utility of each approach </w:t>
      </w:r>
      <w:r w:rsidRPr="006D7303">
        <w:rPr>
          <w:rFonts w:ascii="Book Antiqua" w:hAnsi="Book Antiqua"/>
        </w:rPr>
        <w:t>and</w:t>
      </w:r>
      <w:r w:rsidR="00F53575" w:rsidRPr="006D7303">
        <w:rPr>
          <w:rFonts w:ascii="Book Antiqua" w:hAnsi="Book Antiqua"/>
        </w:rPr>
        <w:t xml:space="preserve"> underlines the need </w:t>
      </w:r>
      <w:r w:rsidRPr="006D7303">
        <w:rPr>
          <w:rFonts w:ascii="Book Antiqua" w:hAnsi="Book Antiqua"/>
        </w:rPr>
        <w:t xml:space="preserve">for historians </w:t>
      </w:r>
      <w:r w:rsidR="00F53575" w:rsidRPr="006D7303">
        <w:rPr>
          <w:rFonts w:ascii="Book Antiqua" w:hAnsi="Book Antiqua"/>
        </w:rPr>
        <w:t xml:space="preserve">to </w:t>
      </w:r>
      <w:r w:rsidR="00F53575" w:rsidRPr="006D7303">
        <w:rPr>
          <w:rFonts w:ascii="Book Antiqua" w:hAnsi="Book Antiqua"/>
          <w:i/>
          <w:iCs/>
        </w:rPr>
        <w:t xml:space="preserve">define </w:t>
      </w:r>
      <w:r w:rsidR="00F53575" w:rsidRPr="006D7303">
        <w:rPr>
          <w:rFonts w:ascii="Book Antiqua" w:hAnsi="Book Antiqua"/>
        </w:rPr>
        <w:t xml:space="preserve">agency and consider the histories </w:t>
      </w:r>
      <w:r w:rsidRPr="006D7303">
        <w:rPr>
          <w:rFonts w:ascii="Book Antiqua" w:hAnsi="Book Antiqua"/>
        </w:rPr>
        <w:t>such definitions make</w:t>
      </w:r>
      <w:r w:rsidR="00F53575" w:rsidRPr="006D7303">
        <w:rPr>
          <w:rFonts w:ascii="Book Antiqua" w:hAnsi="Book Antiqua"/>
        </w:rPr>
        <w:t xml:space="preserve"> </w:t>
      </w:r>
      <w:r w:rsidRPr="006D7303">
        <w:rPr>
          <w:rFonts w:ascii="Book Antiqua" w:hAnsi="Book Antiqua"/>
        </w:rPr>
        <w:t>possible within their work.</w:t>
      </w:r>
      <w:r w:rsidR="00FF18BA" w:rsidRPr="006D7303">
        <w:rPr>
          <w:rFonts w:ascii="Book Antiqua" w:hAnsi="Book Antiqua"/>
        </w:rPr>
        <w:t xml:space="preserve"> </w:t>
      </w:r>
    </w:p>
    <w:p w14:paraId="425429CE" w14:textId="77777777" w:rsidR="00E60B39" w:rsidRPr="006D7303" w:rsidRDefault="00E60B39" w:rsidP="00980B05">
      <w:pPr>
        <w:spacing w:line="480" w:lineRule="auto"/>
        <w:rPr>
          <w:rFonts w:ascii="Book Antiqua" w:hAnsi="Book Antiqua"/>
        </w:rPr>
      </w:pPr>
    </w:p>
    <w:p w14:paraId="5CD2C689" w14:textId="787322FA" w:rsidR="00C60689" w:rsidRDefault="00CB4C5A" w:rsidP="00980B05">
      <w:pPr>
        <w:spacing w:line="480" w:lineRule="auto"/>
        <w:rPr>
          <w:rFonts w:ascii="Book Antiqua" w:hAnsi="Book Antiqua"/>
        </w:rPr>
      </w:pPr>
      <w:r w:rsidRPr="006D7303">
        <w:rPr>
          <w:rFonts w:ascii="Book Antiqua" w:hAnsi="Book Antiqua"/>
        </w:rPr>
        <w:t>T</w:t>
      </w:r>
      <w:r w:rsidR="00FF18BA" w:rsidRPr="006D7303">
        <w:rPr>
          <w:rFonts w:ascii="Book Antiqua" w:hAnsi="Book Antiqua"/>
        </w:rPr>
        <w:t xml:space="preserve">he </w:t>
      </w:r>
      <w:r w:rsidR="00C60689" w:rsidRPr="006D7303">
        <w:rPr>
          <w:rFonts w:ascii="Book Antiqua" w:hAnsi="Book Antiqua"/>
        </w:rPr>
        <w:t>subsequent</w:t>
      </w:r>
      <w:r w:rsidR="00FF18BA" w:rsidRPr="006D7303">
        <w:rPr>
          <w:rFonts w:ascii="Book Antiqua" w:hAnsi="Book Antiqua"/>
        </w:rPr>
        <w:t xml:space="preserve"> chapters</w:t>
      </w:r>
      <w:r w:rsidRPr="006D7303">
        <w:rPr>
          <w:rFonts w:ascii="Book Antiqua" w:hAnsi="Book Antiqua"/>
        </w:rPr>
        <w:t xml:space="preserve"> by</w:t>
      </w:r>
      <w:r w:rsidR="00FF18BA" w:rsidRPr="006D7303">
        <w:rPr>
          <w:rFonts w:ascii="Book Antiqua" w:hAnsi="Book Antiqua"/>
        </w:rPr>
        <w:t xml:space="preserve"> Jennifer McDonell, J Keri Cronin and </w:t>
      </w:r>
      <w:proofErr w:type="spellStart"/>
      <w:r w:rsidR="00FF18BA" w:rsidRPr="006D7303">
        <w:rPr>
          <w:rFonts w:ascii="Book Antiqua" w:hAnsi="Book Antiqua"/>
        </w:rPr>
        <w:t>Boria</w:t>
      </w:r>
      <w:proofErr w:type="spellEnd"/>
      <w:r w:rsidR="00FF18BA" w:rsidRPr="006D7303">
        <w:rPr>
          <w:rFonts w:ascii="Book Antiqua" w:hAnsi="Book Antiqua"/>
        </w:rPr>
        <w:t xml:space="preserve"> Sax each </w:t>
      </w:r>
      <w:r w:rsidRPr="006D7303">
        <w:rPr>
          <w:rFonts w:ascii="Book Antiqua" w:hAnsi="Book Antiqua"/>
        </w:rPr>
        <w:t>examine the potential of</w:t>
      </w:r>
      <w:r w:rsidR="00FF18BA" w:rsidRPr="006D7303">
        <w:rPr>
          <w:rFonts w:ascii="Book Antiqua" w:hAnsi="Book Antiqua"/>
        </w:rPr>
        <w:t xml:space="preserve"> </w:t>
      </w:r>
      <w:r w:rsidRPr="006D7303">
        <w:rPr>
          <w:rFonts w:ascii="Book Antiqua" w:hAnsi="Book Antiqua"/>
        </w:rPr>
        <w:t>artistic</w:t>
      </w:r>
      <w:r w:rsidR="00FF18BA" w:rsidRPr="006D7303">
        <w:rPr>
          <w:rFonts w:ascii="Book Antiqua" w:hAnsi="Book Antiqua"/>
        </w:rPr>
        <w:t xml:space="preserve"> and </w:t>
      </w:r>
      <w:r w:rsidRPr="006D7303">
        <w:rPr>
          <w:rFonts w:ascii="Book Antiqua" w:hAnsi="Book Antiqua"/>
        </w:rPr>
        <w:t>literary</w:t>
      </w:r>
      <w:r w:rsidR="00FF18BA" w:rsidRPr="006D7303">
        <w:rPr>
          <w:rFonts w:ascii="Book Antiqua" w:hAnsi="Book Antiqua"/>
        </w:rPr>
        <w:t xml:space="preserve"> sources for animal-human histor</w:t>
      </w:r>
      <w:r w:rsidRPr="006D7303">
        <w:rPr>
          <w:rFonts w:ascii="Book Antiqua" w:hAnsi="Book Antiqua"/>
        </w:rPr>
        <w:t>ians</w:t>
      </w:r>
      <w:r w:rsidR="00FF18BA" w:rsidRPr="006D7303">
        <w:rPr>
          <w:rFonts w:ascii="Book Antiqua" w:hAnsi="Book Antiqua"/>
        </w:rPr>
        <w:t xml:space="preserve">. </w:t>
      </w:r>
      <w:proofErr w:type="spellStart"/>
      <w:r w:rsidRPr="006D7303">
        <w:rPr>
          <w:rFonts w:ascii="Book Antiqua" w:hAnsi="Book Antiqua"/>
        </w:rPr>
        <w:t>MacDonnel</w:t>
      </w:r>
      <w:proofErr w:type="spellEnd"/>
      <w:r w:rsidRPr="006D7303">
        <w:rPr>
          <w:rFonts w:ascii="Book Antiqua" w:hAnsi="Book Antiqua"/>
        </w:rPr>
        <w:t xml:space="preserve"> makes the case that Victorian literature, whether novels </w:t>
      </w:r>
      <w:r w:rsidR="00FF18BA" w:rsidRPr="006D7303">
        <w:rPr>
          <w:rFonts w:ascii="Book Antiqua" w:hAnsi="Book Antiqua"/>
        </w:rPr>
        <w:t xml:space="preserve">such as </w:t>
      </w:r>
      <w:r w:rsidR="00FF18BA" w:rsidRPr="006D7303">
        <w:rPr>
          <w:rFonts w:ascii="Book Antiqua" w:hAnsi="Book Antiqua"/>
          <w:i/>
          <w:iCs/>
        </w:rPr>
        <w:t>The Island of Dr Moreau</w:t>
      </w:r>
      <w:r w:rsidRPr="006D7303">
        <w:rPr>
          <w:rFonts w:ascii="Book Antiqua" w:hAnsi="Book Antiqua"/>
        </w:rPr>
        <w:t xml:space="preserve"> – explicitly communicating </w:t>
      </w:r>
      <w:r w:rsidR="00FF18BA" w:rsidRPr="006D7303">
        <w:rPr>
          <w:rFonts w:ascii="Book Antiqua" w:hAnsi="Book Antiqua"/>
        </w:rPr>
        <w:t>public concerns around vivisection</w:t>
      </w:r>
      <w:r w:rsidRPr="006D7303">
        <w:rPr>
          <w:rFonts w:ascii="Book Antiqua" w:hAnsi="Book Antiqua"/>
        </w:rPr>
        <w:t xml:space="preserve"> –</w:t>
      </w:r>
      <w:r w:rsidR="00FF18BA" w:rsidRPr="006D7303">
        <w:rPr>
          <w:rFonts w:ascii="Book Antiqua" w:hAnsi="Book Antiqua"/>
        </w:rPr>
        <w:t xml:space="preserve"> ‘animal biographies’ such as </w:t>
      </w:r>
      <w:r w:rsidR="00FF18BA" w:rsidRPr="006D7303">
        <w:rPr>
          <w:rFonts w:ascii="Book Antiqua" w:hAnsi="Book Antiqua"/>
          <w:i/>
          <w:iCs/>
        </w:rPr>
        <w:t>Black Beauty</w:t>
      </w:r>
      <w:r w:rsidRPr="006D7303">
        <w:rPr>
          <w:rFonts w:ascii="Book Antiqua" w:hAnsi="Book Antiqua"/>
        </w:rPr>
        <w:t xml:space="preserve"> – rendering their protagonists as (potentially) more than metonymic, can usefully yield insight for</w:t>
      </w:r>
      <w:r w:rsidR="00FF18BA" w:rsidRPr="006D7303">
        <w:rPr>
          <w:rFonts w:ascii="Book Antiqua" w:hAnsi="Book Antiqua"/>
        </w:rPr>
        <w:t xml:space="preserve"> historica</w:t>
      </w:r>
      <w:r w:rsidRPr="006D7303">
        <w:rPr>
          <w:rFonts w:ascii="Book Antiqua" w:hAnsi="Book Antiqua"/>
        </w:rPr>
        <w:t>l</w:t>
      </w:r>
      <w:r w:rsidR="00FF18BA" w:rsidRPr="006D7303">
        <w:rPr>
          <w:rFonts w:ascii="Book Antiqua" w:hAnsi="Book Antiqua"/>
        </w:rPr>
        <w:t xml:space="preserve"> enquiry. </w:t>
      </w:r>
      <w:r w:rsidRPr="006D7303">
        <w:rPr>
          <w:rFonts w:ascii="Book Antiqua" w:hAnsi="Book Antiqua"/>
        </w:rPr>
        <w:t>Likewise,</w:t>
      </w:r>
      <w:r w:rsidR="00FF18BA" w:rsidRPr="006D7303">
        <w:rPr>
          <w:rFonts w:ascii="Book Antiqua" w:hAnsi="Book Antiqua"/>
        </w:rPr>
        <w:t xml:space="preserve"> Cronin and Sax emphasise the role of the visual arts</w:t>
      </w:r>
      <w:r w:rsidR="005654BB" w:rsidRPr="006D7303">
        <w:rPr>
          <w:rFonts w:ascii="Book Antiqua" w:hAnsi="Book Antiqua"/>
        </w:rPr>
        <w:t xml:space="preserve"> and the effects of representational practice</w:t>
      </w:r>
      <w:r w:rsidRPr="006D7303">
        <w:rPr>
          <w:rFonts w:ascii="Book Antiqua" w:hAnsi="Book Antiqua"/>
        </w:rPr>
        <w:t>.</w:t>
      </w:r>
      <w:r w:rsidR="00FF18BA" w:rsidRPr="006D7303">
        <w:rPr>
          <w:rFonts w:ascii="Book Antiqua" w:hAnsi="Book Antiqua"/>
        </w:rPr>
        <w:t xml:space="preserve"> </w:t>
      </w:r>
      <w:r w:rsidRPr="006D7303">
        <w:rPr>
          <w:rFonts w:ascii="Book Antiqua" w:hAnsi="Book Antiqua"/>
        </w:rPr>
        <w:t>R</w:t>
      </w:r>
      <w:r w:rsidR="00FF18BA" w:rsidRPr="006D7303">
        <w:rPr>
          <w:rFonts w:ascii="Book Antiqua" w:hAnsi="Book Antiqua"/>
        </w:rPr>
        <w:t xml:space="preserve">egarding the RSPCA’s response to the 1887 Royal Academy exhibition and the cultural construction of primates respectively, </w:t>
      </w:r>
      <w:r w:rsidR="005654BB" w:rsidRPr="006D7303">
        <w:rPr>
          <w:rFonts w:ascii="Book Antiqua" w:hAnsi="Book Antiqua"/>
        </w:rPr>
        <w:t>art is shown as</w:t>
      </w:r>
      <w:r w:rsidR="00FF18BA" w:rsidRPr="006D7303">
        <w:rPr>
          <w:rFonts w:ascii="Book Antiqua" w:hAnsi="Book Antiqua"/>
        </w:rPr>
        <w:t xml:space="preserve"> shaping public sentiment, provoking an affective response, and for evoking </w:t>
      </w:r>
      <w:r w:rsidR="005654BB" w:rsidRPr="006D7303">
        <w:rPr>
          <w:rFonts w:ascii="Book Antiqua" w:hAnsi="Book Antiqua"/>
        </w:rPr>
        <w:t xml:space="preserve">a </w:t>
      </w:r>
      <w:r w:rsidR="005654BB" w:rsidRPr="006D7303">
        <w:rPr>
          <w:rFonts w:ascii="Book Antiqua" w:hAnsi="Book Antiqua"/>
        </w:rPr>
        <w:lastRenderedPageBreak/>
        <w:t>sense of how</w:t>
      </w:r>
      <w:r w:rsidR="00FF18BA" w:rsidRPr="006D7303">
        <w:rPr>
          <w:rFonts w:ascii="Book Antiqua" w:hAnsi="Book Antiqua"/>
        </w:rPr>
        <w:t xml:space="preserve"> actual animal lives unfolded in context. As Cronin </w:t>
      </w:r>
      <w:r w:rsidR="005654BB" w:rsidRPr="006D7303">
        <w:rPr>
          <w:rFonts w:ascii="Book Antiqua" w:hAnsi="Book Antiqua"/>
        </w:rPr>
        <w:t>suggests</w:t>
      </w:r>
      <w:r w:rsidR="00FF18BA" w:rsidRPr="006D7303">
        <w:rPr>
          <w:rFonts w:ascii="Book Antiqua" w:hAnsi="Book Antiqua"/>
        </w:rPr>
        <w:t xml:space="preserve">, </w:t>
      </w:r>
      <w:r w:rsidR="00FF18BA" w:rsidRPr="006D7303">
        <w:rPr>
          <w:rFonts w:ascii="Book Antiqua" w:hAnsi="Book Antiqua"/>
          <w:i/>
          <w:iCs/>
        </w:rPr>
        <w:t xml:space="preserve">art </w:t>
      </w:r>
      <w:r w:rsidR="00FF18BA" w:rsidRPr="006D7303">
        <w:rPr>
          <w:rFonts w:ascii="Book Antiqua" w:hAnsi="Book Antiqua"/>
        </w:rPr>
        <w:t>history</w:t>
      </w:r>
      <w:r w:rsidR="00FF18BA" w:rsidRPr="006D7303">
        <w:rPr>
          <w:rFonts w:ascii="Book Antiqua" w:hAnsi="Book Antiqua"/>
          <w:i/>
          <w:iCs/>
        </w:rPr>
        <w:t xml:space="preserve"> </w:t>
      </w:r>
      <w:r w:rsidR="00FF18BA" w:rsidRPr="006D7303">
        <w:rPr>
          <w:rFonts w:ascii="Book Antiqua" w:hAnsi="Book Antiqua"/>
        </w:rPr>
        <w:t xml:space="preserve">might </w:t>
      </w:r>
      <w:r w:rsidR="005654BB" w:rsidRPr="006D7303">
        <w:rPr>
          <w:rFonts w:ascii="Book Antiqua" w:hAnsi="Book Antiqua"/>
        </w:rPr>
        <w:t>also productively engage</w:t>
      </w:r>
      <w:r w:rsidR="00FF18BA" w:rsidRPr="006D7303">
        <w:rPr>
          <w:rFonts w:ascii="Book Antiqua" w:hAnsi="Book Antiqua"/>
        </w:rPr>
        <w:t xml:space="preserve"> </w:t>
      </w:r>
      <w:r w:rsidR="00F415EA">
        <w:rPr>
          <w:rFonts w:ascii="Book Antiqua" w:hAnsi="Book Antiqua"/>
        </w:rPr>
        <w:t xml:space="preserve">with </w:t>
      </w:r>
      <w:r w:rsidR="00FF18BA" w:rsidRPr="006D7303">
        <w:rPr>
          <w:rFonts w:ascii="Book Antiqua" w:hAnsi="Book Antiqua"/>
        </w:rPr>
        <w:t>the ‘animal question’ (p. 251).</w:t>
      </w:r>
      <w:r w:rsidR="00397EEF" w:rsidRPr="006D7303">
        <w:rPr>
          <w:rFonts w:ascii="Book Antiqua" w:hAnsi="Book Antiqua"/>
        </w:rPr>
        <w:t xml:space="preserve"> </w:t>
      </w:r>
    </w:p>
    <w:p w14:paraId="04DA8BB6" w14:textId="77777777" w:rsidR="00E60B39" w:rsidRPr="006D7303" w:rsidRDefault="00E60B39" w:rsidP="00980B05">
      <w:pPr>
        <w:spacing w:line="480" w:lineRule="auto"/>
        <w:rPr>
          <w:rFonts w:ascii="Book Antiqua" w:hAnsi="Book Antiqua"/>
        </w:rPr>
      </w:pPr>
    </w:p>
    <w:p w14:paraId="0A279E97" w14:textId="090E56E4" w:rsidR="00FF18BA" w:rsidRDefault="005654BB" w:rsidP="00980B05">
      <w:pPr>
        <w:spacing w:line="480" w:lineRule="auto"/>
        <w:rPr>
          <w:rFonts w:ascii="Book Antiqua" w:hAnsi="Book Antiqua"/>
        </w:rPr>
      </w:pPr>
      <w:r w:rsidRPr="006D7303">
        <w:rPr>
          <w:rFonts w:ascii="Book Antiqua" w:hAnsi="Book Antiqua"/>
        </w:rPr>
        <w:t>Though m</w:t>
      </w:r>
      <w:r w:rsidR="00397EEF" w:rsidRPr="006D7303">
        <w:rPr>
          <w:rFonts w:ascii="Book Antiqua" w:hAnsi="Book Antiqua"/>
        </w:rPr>
        <w:t xml:space="preserve">ore concerned with human </w:t>
      </w:r>
      <w:r w:rsidR="00397EEF" w:rsidRPr="006D7303">
        <w:rPr>
          <w:rFonts w:ascii="Book Antiqua" w:hAnsi="Book Antiqua"/>
          <w:i/>
          <w:iCs/>
        </w:rPr>
        <w:t xml:space="preserve">perceptions </w:t>
      </w:r>
      <w:r w:rsidR="00397EEF" w:rsidRPr="006D7303">
        <w:rPr>
          <w:rFonts w:ascii="Book Antiqua" w:hAnsi="Book Antiqua"/>
        </w:rPr>
        <w:t>of animals – be it in relation to</w:t>
      </w:r>
      <w:r w:rsidR="00C60689" w:rsidRPr="006D7303">
        <w:rPr>
          <w:rFonts w:ascii="Book Antiqua" w:hAnsi="Book Antiqua"/>
        </w:rPr>
        <w:t xml:space="preserve"> menageries and zoos,</w:t>
      </w:r>
      <w:r w:rsidR="00397EEF" w:rsidRPr="006D7303">
        <w:rPr>
          <w:rFonts w:ascii="Book Antiqua" w:hAnsi="Book Antiqua"/>
        </w:rPr>
        <w:t xml:space="preserve"> eighteenth century rural Brit</w:t>
      </w:r>
      <w:r w:rsidR="00C60689" w:rsidRPr="006D7303">
        <w:rPr>
          <w:rFonts w:ascii="Book Antiqua" w:hAnsi="Book Antiqua"/>
        </w:rPr>
        <w:t>ish landscapes</w:t>
      </w:r>
      <w:r w:rsidR="00397EEF" w:rsidRPr="006D7303">
        <w:rPr>
          <w:rFonts w:ascii="Book Antiqua" w:hAnsi="Book Antiqua"/>
        </w:rPr>
        <w:t>, as beings with a potential emotional inner life, or as vectors of affect in the inter-war years</w:t>
      </w:r>
      <w:r w:rsidRPr="006D7303">
        <w:rPr>
          <w:rFonts w:ascii="Book Antiqua" w:hAnsi="Book Antiqua"/>
        </w:rPr>
        <w:t xml:space="preserve"> – </w:t>
      </w:r>
      <w:r w:rsidR="00397EEF" w:rsidRPr="006D7303">
        <w:rPr>
          <w:rFonts w:ascii="Book Antiqua" w:hAnsi="Book Antiqua"/>
        </w:rPr>
        <w:t xml:space="preserve"> the</w:t>
      </w:r>
      <w:r w:rsidRPr="006D7303">
        <w:rPr>
          <w:rFonts w:ascii="Book Antiqua" w:hAnsi="Book Antiqua"/>
        </w:rPr>
        <w:t xml:space="preserve"> section’s final </w:t>
      </w:r>
      <w:r w:rsidR="00C60689" w:rsidRPr="006D7303">
        <w:rPr>
          <w:rFonts w:ascii="Book Antiqua" w:hAnsi="Book Antiqua"/>
        </w:rPr>
        <w:t>quartet</w:t>
      </w:r>
      <w:r w:rsidRPr="006D7303">
        <w:rPr>
          <w:rFonts w:ascii="Book Antiqua" w:hAnsi="Book Antiqua"/>
        </w:rPr>
        <w:t xml:space="preserve"> of</w:t>
      </w:r>
      <w:r w:rsidR="00397EEF" w:rsidRPr="006D7303">
        <w:rPr>
          <w:rFonts w:ascii="Book Antiqua" w:hAnsi="Book Antiqua"/>
        </w:rPr>
        <w:t xml:space="preserve"> chapters by</w:t>
      </w:r>
      <w:r w:rsidR="00C60689" w:rsidRPr="006D7303">
        <w:rPr>
          <w:rFonts w:ascii="Book Antiqua" w:hAnsi="Book Antiqua"/>
        </w:rPr>
        <w:t xml:space="preserve"> Helen Cowie,</w:t>
      </w:r>
      <w:r w:rsidR="00397EEF" w:rsidRPr="006D7303">
        <w:rPr>
          <w:rFonts w:ascii="Book Antiqua" w:hAnsi="Book Antiqua"/>
        </w:rPr>
        <w:t xml:space="preserve"> Carl Griffin, Ingrid </w:t>
      </w:r>
      <w:proofErr w:type="spellStart"/>
      <w:r w:rsidR="00397EEF" w:rsidRPr="006D7303">
        <w:rPr>
          <w:rFonts w:ascii="Book Antiqua" w:hAnsi="Book Antiqua"/>
        </w:rPr>
        <w:t>Tauge</w:t>
      </w:r>
      <w:proofErr w:type="spellEnd"/>
      <w:r w:rsidR="00397EEF" w:rsidRPr="006D7303">
        <w:rPr>
          <w:rFonts w:ascii="Book Antiqua" w:hAnsi="Book Antiqua"/>
        </w:rPr>
        <w:t xml:space="preserve"> and Michael </w:t>
      </w:r>
      <w:proofErr w:type="spellStart"/>
      <w:r w:rsidR="00397EEF" w:rsidRPr="006D7303">
        <w:rPr>
          <w:rFonts w:ascii="Book Antiqua" w:hAnsi="Book Antiqua"/>
        </w:rPr>
        <w:t>Guida</w:t>
      </w:r>
      <w:proofErr w:type="spellEnd"/>
      <w:r w:rsidR="00397EEF" w:rsidRPr="006D7303">
        <w:rPr>
          <w:rFonts w:ascii="Book Antiqua" w:hAnsi="Book Antiqua"/>
        </w:rPr>
        <w:t xml:space="preserve"> </w:t>
      </w:r>
      <w:r w:rsidRPr="006D7303">
        <w:rPr>
          <w:rFonts w:ascii="Book Antiqua" w:hAnsi="Book Antiqua"/>
        </w:rPr>
        <w:t xml:space="preserve">suggest the kind of animal histories possible even if we remain </w:t>
      </w:r>
      <w:r w:rsidR="00C60689" w:rsidRPr="006D7303">
        <w:rPr>
          <w:rFonts w:ascii="Book Antiqua" w:hAnsi="Book Antiqua"/>
        </w:rPr>
        <w:t>agnostic</w:t>
      </w:r>
      <w:r w:rsidRPr="006D7303">
        <w:rPr>
          <w:rFonts w:ascii="Book Antiqua" w:hAnsi="Book Antiqua"/>
        </w:rPr>
        <w:t xml:space="preserve"> as to how animal experience can be gleaned from the archive. Appreciating,</w:t>
      </w:r>
      <w:r w:rsidR="00C60689" w:rsidRPr="006D7303">
        <w:rPr>
          <w:rFonts w:ascii="Book Antiqua" w:hAnsi="Book Antiqua"/>
        </w:rPr>
        <w:t xml:space="preserve"> as </w:t>
      </w:r>
      <w:proofErr w:type="spellStart"/>
      <w:r w:rsidR="00C60689" w:rsidRPr="006D7303">
        <w:rPr>
          <w:rFonts w:ascii="Book Antiqua" w:hAnsi="Book Antiqua"/>
        </w:rPr>
        <w:t>Guida</w:t>
      </w:r>
      <w:proofErr w:type="spellEnd"/>
      <w:r w:rsidR="00C60689" w:rsidRPr="006D7303">
        <w:rPr>
          <w:rFonts w:ascii="Book Antiqua" w:hAnsi="Book Antiqua"/>
        </w:rPr>
        <w:t xml:space="preserve"> does,</w:t>
      </w:r>
      <w:r w:rsidRPr="006D7303">
        <w:rPr>
          <w:rFonts w:ascii="Book Antiqua" w:hAnsi="Book Antiqua"/>
        </w:rPr>
        <w:t xml:space="preserve"> for example, whilst we do not understand </w:t>
      </w:r>
      <w:r w:rsidRPr="006D7303">
        <w:rPr>
          <w:rFonts w:ascii="Book Antiqua" w:hAnsi="Book Antiqua"/>
          <w:i/>
          <w:iCs/>
        </w:rPr>
        <w:t xml:space="preserve">why </w:t>
      </w:r>
      <w:r w:rsidRPr="006D7303">
        <w:rPr>
          <w:rFonts w:ascii="Book Antiqua" w:hAnsi="Book Antiqua"/>
        </w:rPr>
        <w:t>birds sing that their song has had a demonstrable impact upon the affective life of the British population reveals much about the emotional involvement of animals in historical circumstances.</w:t>
      </w:r>
    </w:p>
    <w:p w14:paraId="46AF7B8D" w14:textId="77777777" w:rsidR="00E60B39" w:rsidRPr="006D7303" w:rsidRDefault="00E60B39" w:rsidP="00980B05">
      <w:pPr>
        <w:spacing w:line="480" w:lineRule="auto"/>
        <w:rPr>
          <w:rFonts w:ascii="Book Antiqua" w:hAnsi="Book Antiqua"/>
        </w:rPr>
      </w:pPr>
    </w:p>
    <w:p w14:paraId="732B428A" w14:textId="5523B42D" w:rsidR="00C60689" w:rsidRDefault="00FF18BA" w:rsidP="00980B05">
      <w:pPr>
        <w:spacing w:line="480" w:lineRule="auto"/>
        <w:rPr>
          <w:rFonts w:ascii="Book Antiqua" w:hAnsi="Book Antiqua"/>
        </w:rPr>
      </w:pPr>
      <w:r w:rsidRPr="006D7303">
        <w:rPr>
          <w:rFonts w:ascii="Book Antiqua" w:hAnsi="Book Antiqua"/>
        </w:rPr>
        <w:t xml:space="preserve">The final section of the </w:t>
      </w:r>
      <w:r w:rsidRPr="006D7303">
        <w:rPr>
          <w:rFonts w:ascii="Book Antiqua" w:hAnsi="Book Antiqua"/>
          <w:i/>
          <w:iCs/>
        </w:rPr>
        <w:t xml:space="preserve">Companion </w:t>
      </w:r>
      <w:r w:rsidRPr="006D7303">
        <w:rPr>
          <w:rFonts w:ascii="Book Antiqua" w:hAnsi="Book Antiqua"/>
        </w:rPr>
        <w:t xml:space="preserve">presents five chapters concerned </w:t>
      </w:r>
      <w:r w:rsidR="005654BB" w:rsidRPr="006D7303">
        <w:rPr>
          <w:rFonts w:ascii="Book Antiqua" w:hAnsi="Book Antiqua"/>
        </w:rPr>
        <w:t xml:space="preserve">each </w:t>
      </w:r>
      <w:r w:rsidRPr="006D7303">
        <w:rPr>
          <w:rFonts w:ascii="Book Antiqua" w:hAnsi="Book Antiqua"/>
        </w:rPr>
        <w:t>with a broad theme of interest to animal-human historians</w:t>
      </w:r>
      <w:r w:rsidR="005654BB" w:rsidRPr="006D7303">
        <w:rPr>
          <w:rFonts w:ascii="Book Antiqua" w:hAnsi="Book Antiqua"/>
        </w:rPr>
        <w:t xml:space="preserve">, </w:t>
      </w:r>
      <w:r w:rsidRPr="006D7303">
        <w:rPr>
          <w:rFonts w:ascii="Book Antiqua" w:hAnsi="Book Antiqua"/>
        </w:rPr>
        <w:t>the ontology of the ‘</w:t>
      </w:r>
      <w:r w:rsidR="005654BB" w:rsidRPr="006D7303">
        <w:rPr>
          <w:rFonts w:ascii="Book Antiqua" w:hAnsi="Book Antiqua"/>
        </w:rPr>
        <w:t>b</w:t>
      </w:r>
      <w:r w:rsidRPr="006D7303">
        <w:rPr>
          <w:rFonts w:ascii="Book Antiqua" w:hAnsi="Book Antiqua"/>
        </w:rPr>
        <w:t xml:space="preserve">reed’; the role of animals within military histories; </w:t>
      </w:r>
      <w:r w:rsidR="005654BB" w:rsidRPr="006D7303">
        <w:rPr>
          <w:rFonts w:ascii="Book Antiqua" w:hAnsi="Book Antiqua"/>
        </w:rPr>
        <w:t>practices of</w:t>
      </w:r>
      <w:r w:rsidRPr="006D7303">
        <w:rPr>
          <w:rFonts w:ascii="Book Antiqua" w:hAnsi="Book Antiqua"/>
        </w:rPr>
        <w:t xml:space="preserve"> hunting; </w:t>
      </w:r>
      <w:r w:rsidR="00397EEF" w:rsidRPr="006D7303">
        <w:rPr>
          <w:rFonts w:ascii="Book Antiqua" w:hAnsi="Book Antiqua"/>
        </w:rPr>
        <w:t xml:space="preserve">animals as food; and the treatment of animals during the middle ages. Collectively, these chapters emphasise the diverse and contingent histories of their </w:t>
      </w:r>
      <w:r w:rsidR="005654BB" w:rsidRPr="006D7303">
        <w:rPr>
          <w:rFonts w:ascii="Book Antiqua" w:hAnsi="Book Antiqua"/>
        </w:rPr>
        <w:t>subject matter</w:t>
      </w:r>
      <w:r w:rsidR="00397EEF" w:rsidRPr="006D7303">
        <w:rPr>
          <w:rFonts w:ascii="Book Antiqua" w:hAnsi="Book Antiqua"/>
        </w:rPr>
        <w:t xml:space="preserve"> – whether </w:t>
      </w:r>
      <w:r w:rsidR="005654BB" w:rsidRPr="006D7303">
        <w:rPr>
          <w:rFonts w:ascii="Book Antiqua" w:hAnsi="Book Antiqua"/>
        </w:rPr>
        <w:t>via Howell’s</w:t>
      </w:r>
      <w:r w:rsidR="00397EEF" w:rsidRPr="006D7303">
        <w:rPr>
          <w:rFonts w:ascii="Book Antiqua" w:hAnsi="Book Antiqua"/>
        </w:rPr>
        <w:t xml:space="preserve"> </w:t>
      </w:r>
      <w:r w:rsidR="005654BB" w:rsidRPr="006D7303">
        <w:rPr>
          <w:rFonts w:ascii="Book Antiqua" w:hAnsi="Book Antiqua"/>
        </w:rPr>
        <w:t xml:space="preserve">tracing the multiple, contingent and contradictory relationships between hunter and hunted, </w:t>
      </w:r>
      <w:r w:rsidR="00397EEF" w:rsidRPr="006D7303">
        <w:rPr>
          <w:rFonts w:ascii="Book Antiqua" w:hAnsi="Book Antiqua"/>
        </w:rPr>
        <w:t xml:space="preserve">or </w:t>
      </w:r>
      <w:r w:rsidR="005654BB" w:rsidRPr="006D7303">
        <w:rPr>
          <w:rFonts w:ascii="Book Antiqua" w:hAnsi="Book Antiqua"/>
        </w:rPr>
        <w:t xml:space="preserve">in Karl Steel’s recovering </w:t>
      </w:r>
      <w:r w:rsidR="00397EEF" w:rsidRPr="006D7303">
        <w:rPr>
          <w:rFonts w:ascii="Book Antiqua" w:hAnsi="Book Antiqua"/>
        </w:rPr>
        <w:t xml:space="preserve">accounts of medieval vegetarianism and compassion for animals that </w:t>
      </w:r>
      <w:r w:rsidR="005654BB" w:rsidRPr="006D7303">
        <w:rPr>
          <w:rFonts w:ascii="Book Antiqua" w:hAnsi="Book Antiqua"/>
        </w:rPr>
        <w:t xml:space="preserve">run </w:t>
      </w:r>
      <w:r w:rsidR="00397EEF" w:rsidRPr="006D7303">
        <w:rPr>
          <w:rFonts w:ascii="Book Antiqua" w:hAnsi="Book Antiqua"/>
        </w:rPr>
        <w:t>counter</w:t>
      </w:r>
      <w:r w:rsidR="005654BB" w:rsidRPr="006D7303">
        <w:rPr>
          <w:rFonts w:ascii="Book Antiqua" w:hAnsi="Book Antiqua"/>
        </w:rPr>
        <w:t xml:space="preserve"> to</w:t>
      </w:r>
      <w:r w:rsidR="00397EEF" w:rsidRPr="006D7303">
        <w:rPr>
          <w:rFonts w:ascii="Book Antiqua" w:hAnsi="Book Antiqua"/>
        </w:rPr>
        <w:t xml:space="preserve"> </w:t>
      </w:r>
      <w:r w:rsidR="005654BB" w:rsidRPr="006D7303">
        <w:rPr>
          <w:rFonts w:ascii="Book Antiqua" w:hAnsi="Book Antiqua"/>
        </w:rPr>
        <w:t>the clichés of</w:t>
      </w:r>
      <w:r w:rsidR="00397EEF" w:rsidRPr="006D7303">
        <w:rPr>
          <w:rFonts w:ascii="Book Antiqua" w:hAnsi="Book Antiqua"/>
        </w:rPr>
        <w:t xml:space="preserve"> ‘medieval brutality’. </w:t>
      </w:r>
      <w:r w:rsidR="00C60689" w:rsidRPr="006D7303">
        <w:rPr>
          <w:rFonts w:ascii="Book Antiqua" w:hAnsi="Book Antiqua"/>
        </w:rPr>
        <w:t xml:space="preserve">Chris </w:t>
      </w:r>
      <w:r w:rsidR="00397EEF" w:rsidRPr="006D7303">
        <w:rPr>
          <w:rFonts w:ascii="Book Antiqua" w:hAnsi="Book Antiqua"/>
        </w:rPr>
        <w:t>Otter’s overview of the history of meat, from the invention of fire to the post-war Great Acceleration</w:t>
      </w:r>
      <w:r w:rsidR="005654BB" w:rsidRPr="006D7303">
        <w:rPr>
          <w:rFonts w:ascii="Book Antiqua" w:hAnsi="Book Antiqua"/>
        </w:rPr>
        <w:t>,</w:t>
      </w:r>
      <w:r w:rsidR="00397EEF" w:rsidRPr="006D7303">
        <w:rPr>
          <w:rFonts w:ascii="Book Antiqua" w:hAnsi="Book Antiqua"/>
        </w:rPr>
        <w:t xml:space="preserve"> </w:t>
      </w:r>
      <w:r w:rsidR="005654BB" w:rsidRPr="006D7303">
        <w:rPr>
          <w:rFonts w:ascii="Book Antiqua" w:hAnsi="Book Antiqua"/>
        </w:rPr>
        <w:t>uses the lens of several different animals to denaturalise the idea of ‘meat’ and attend</w:t>
      </w:r>
      <w:r w:rsidR="00397EEF" w:rsidRPr="006D7303">
        <w:rPr>
          <w:rFonts w:ascii="Book Antiqua" w:hAnsi="Book Antiqua"/>
        </w:rPr>
        <w:t xml:space="preserve"> to how animals</w:t>
      </w:r>
      <w:r w:rsidR="005654BB" w:rsidRPr="006D7303">
        <w:rPr>
          <w:rFonts w:ascii="Book Antiqua" w:hAnsi="Book Antiqua"/>
        </w:rPr>
        <w:t>’ material lives have transformed in the process of their</w:t>
      </w:r>
      <w:r w:rsidR="00397EEF" w:rsidRPr="006D7303">
        <w:rPr>
          <w:rFonts w:ascii="Book Antiqua" w:hAnsi="Book Antiqua"/>
        </w:rPr>
        <w:t xml:space="preserve"> </w:t>
      </w:r>
      <w:r w:rsidR="00397EEF" w:rsidRPr="006D7303">
        <w:rPr>
          <w:rFonts w:ascii="Book Antiqua" w:hAnsi="Book Antiqua"/>
          <w:i/>
          <w:iCs/>
        </w:rPr>
        <w:t>becom</w:t>
      </w:r>
      <w:r w:rsidR="005654BB" w:rsidRPr="006D7303">
        <w:rPr>
          <w:rFonts w:ascii="Book Antiqua" w:hAnsi="Book Antiqua"/>
          <w:i/>
          <w:iCs/>
        </w:rPr>
        <w:t>ing</w:t>
      </w:r>
      <w:r w:rsidR="00397EEF" w:rsidRPr="006D7303">
        <w:rPr>
          <w:rFonts w:ascii="Book Antiqua" w:hAnsi="Book Antiqua"/>
          <w:i/>
          <w:iCs/>
        </w:rPr>
        <w:t xml:space="preserve"> </w:t>
      </w:r>
      <w:r w:rsidR="00397EEF" w:rsidRPr="006D7303">
        <w:rPr>
          <w:rFonts w:ascii="Book Antiqua" w:hAnsi="Book Antiqua"/>
        </w:rPr>
        <w:t xml:space="preserve">food. </w:t>
      </w:r>
    </w:p>
    <w:p w14:paraId="55C40806" w14:textId="77777777" w:rsidR="00E60B39" w:rsidRPr="006D7303" w:rsidRDefault="00E60B39" w:rsidP="00980B05">
      <w:pPr>
        <w:spacing w:line="480" w:lineRule="auto"/>
        <w:rPr>
          <w:rFonts w:ascii="Book Antiqua" w:hAnsi="Book Antiqua"/>
        </w:rPr>
      </w:pPr>
    </w:p>
    <w:p w14:paraId="400B26F1" w14:textId="039809E5" w:rsidR="00B50BD1" w:rsidRPr="006D7303" w:rsidRDefault="005654BB" w:rsidP="00980B05">
      <w:pPr>
        <w:spacing w:line="480" w:lineRule="auto"/>
        <w:rPr>
          <w:rFonts w:ascii="Book Antiqua" w:hAnsi="Book Antiqua"/>
        </w:rPr>
      </w:pPr>
      <w:r w:rsidRPr="006D7303">
        <w:rPr>
          <w:rFonts w:ascii="Book Antiqua" w:hAnsi="Book Antiqua"/>
        </w:rPr>
        <w:t>A</w:t>
      </w:r>
      <w:r w:rsidR="00397EEF" w:rsidRPr="006D7303">
        <w:rPr>
          <w:rFonts w:ascii="Book Antiqua" w:hAnsi="Book Antiqua"/>
        </w:rPr>
        <w:t xml:space="preserve"> notable </w:t>
      </w:r>
      <w:r w:rsidRPr="006D7303">
        <w:rPr>
          <w:rFonts w:ascii="Book Antiqua" w:hAnsi="Book Antiqua"/>
        </w:rPr>
        <w:t xml:space="preserve">contribution to </w:t>
      </w:r>
      <w:r w:rsidR="00397EEF" w:rsidRPr="006D7303">
        <w:rPr>
          <w:rFonts w:ascii="Book Antiqua" w:hAnsi="Book Antiqua"/>
        </w:rPr>
        <w:t>this section</w:t>
      </w:r>
      <w:r w:rsidR="00F415EA">
        <w:rPr>
          <w:rFonts w:ascii="Book Antiqua" w:hAnsi="Book Antiqua"/>
        </w:rPr>
        <w:t xml:space="preserve"> lies in</w:t>
      </w:r>
      <w:r w:rsidR="00397EEF" w:rsidRPr="006D7303">
        <w:rPr>
          <w:rFonts w:ascii="Book Antiqua" w:hAnsi="Book Antiqua"/>
        </w:rPr>
        <w:t xml:space="preserve"> </w:t>
      </w:r>
      <w:r w:rsidRPr="006D7303">
        <w:rPr>
          <w:rFonts w:ascii="Book Antiqua" w:hAnsi="Book Antiqua"/>
        </w:rPr>
        <w:t xml:space="preserve">Gervase </w:t>
      </w:r>
      <w:r w:rsidR="00397EEF" w:rsidRPr="006D7303">
        <w:rPr>
          <w:rFonts w:ascii="Book Antiqua" w:hAnsi="Book Antiqua"/>
        </w:rPr>
        <w:t xml:space="preserve">Phillips’ </w:t>
      </w:r>
      <w:r w:rsidRPr="006D7303">
        <w:rPr>
          <w:rFonts w:ascii="Book Antiqua" w:hAnsi="Book Antiqua"/>
        </w:rPr>
        <w:t>argu</w:t>
      </w:r>
      <w:r w:rsidR="00F415EA">
        <w:rPr>
          <w:rFonts w:ascii="Book Antiqua" w:hAnsi="Book Antiqua"/>
        </w:rPr>
        <w:t>ment about</w:t>
      </w:r>
      <w:r w:rsidRPr="006D7303">
        <w:rPr>
          <w:rFonts w:ascii="Book Antiqua" w:hAnsi="Book Antiqua"/>
        </w:rPr>
        <w:t xml:space="preserve"> the need to</w:t>
      </w:r>
      <w:r w:rsidR="00397EEF" w:rsidRPr="006D7303">
        <w:rPr>
          <w:rFonts w:ascii="Book Antiqua" w:hAnsi="Book Antiqua"/>
        </w:rPr>
        <w:t xml:space="preserve"> apprecia</w:t>
      </w:r>
      <w:r w:rsidRPr="006D7303">
        <w:rPr>
          <w:rFonts w:ascii="Book Antiqua" w:hAnsi="Book Antiqua"/>
        </w:rPr>
        <w:t>te</w:t>
      </w:r>
      <w:r w:rsidR="00397EEF" w:rsidRPr="006D7303">
        <w:rPr>
          <w:rFonts w:ascii="Book Antiqua" w:hAnsi="Book Antiqua"/>
        </w:rPr>
        <w:t xml:space="preserve"> not mere</w:t>
      </w:r>
      <w:r w:rsidRPr="006D7303">
        <w:rPr>
          <w:rFonts w:ascii="Book Antiqua" w:hAnsi="Book Antiqua"/>
        </w:rPr>
        <w:t>ly</w:t>
      </w:r>
      <w:r w:rsidR="00397EEF" w:rsidRPr="006D7303">
        <w:rPr>
          <w:rFonts w:ascii="Book Antiqua" w:hAnsi="Book Antiqua"/>
        </w:rPr>
        <w:t xml:space="preserve"> the </w:t>
      </w:r>
      <w:r w:rsidRPr="006D7303">
        <w:rPr>
          <w:rFonts w:ascii="Book Antiqua" w:hAnsi="Book Antiqua"/>
        </w:rPr>
        <w:t>scale of</w:t>
      </w:r>
      <w:r w:rsidR="00397EEF" w:rsidRPr="006D7303">
        <w:rPr>
          <w:rFonts w:ascii="Book Antiqua" w:hAnsi="Book Antiqua"/>
        </w:rPr>
        <w:t xml:space="preserve"> animal involve</w:t>
      </w:r>
      <w:r w:rsidRPr="006D7303">
        <w:rPr>
          <w:rFonts w:ascii="Book Antiqua" w:hAnsi="Book Antiqua"/>
        </w:rPr>
        <w:t>ment</w:t>
      </w:r>
      <w:r w:rsidR="00397EEF" w:rsidRPr="006D7303">
        <w:rPr>
          <w:rFonts w:ascii="Book Antiqua" w:hAnsi="Book Antiqua"/>
        </w:rPr>
        <w:t xml:space="preserve"> (and </w:t>
      </w:r>
      <w:r w:rsidRPr="006D7303">
        <w:rPr>
          <w:rFonts w:ascii="Book Antiqua" w:hAnsi="Book Antiqua"/>
        </w:rPr>
        <w:t>suffering</w:t>
      </w:r>
      <w:r w:rsidR="00397EEF" w:rsidRPr="006D7303">
        <w:rPr>
          <w:rFonts w:ascii="Book Antiqua" w:hAnsi="Book Antiqua"/>
        </w:rPr>
        <w:t xml:space="preserve">) in war – some 1.5 million horses dead, and 1.2 million still serving in the </w:t>
      </w:r>
      <w:r w:rsidR="00397EEF" w:rsidRPr="006D7303">
        <w:rPr>
          <w:rFonts w:ascii="Book Antiqua" w:hAnsi="Book Antiqua"/>
          <w:i/>
          <w:iCs/>
        </w:rPr>
        <w:t xml:space="preserve">Wehrmacht </w:t>
      </w:r>
      <w:r w:rsidR="00397EEF" w:rsidRPr="006D7303">
        <w:rPr>
          <w:rFonts w:ascii="Book Antiqua" w:hAnsi="Book Antiqua"/>
        </w:rPr>
        <w:t xml:space="preserve">by 1945, as one example – but also the </w:t>
      </w:r>
      <w:r w:rsidRPr="006D7303">
        <w:rPr>
          <w:rFonts w:ascii="Book Antiqua" w:hAnsi="Book Antiqua"/>
        </w:rPr>
        <w:t>value of appreciating animals active</w:t>
      </w:r>
      <w:r w:rsidR="00397EEF" w:rsidRPr="006D7303">
        <w:rPr>
          <w:rFonts w:ascii="Book Antiqua" w:hAnsi="Book Antiqua"/>
        </w:rPr>
        <w:t>, capable of learning, anticipating</w:t>
      </w:r>
      <w:r w:rsidRPr="006D7303">
        <w:rPr>
          <w:rFonts w:ascii="Book Antiqua" w:hAnsi="Book Antiqua"/>
        </w:rPr>
        <w:t xml:space="preserve">, responding to, and being affected by the horrors of conflict. She chapter powerfully </w:t>
      </w:r>
      <w:r w:rsidR="00B50BD1" w:rsidRPr="006D7303">
        <w:rPr>
          <w:rFonts w:ascii="Book Antiqua" w:hAnsi="Book Antiqua"/>
        </w:rPr>
        <w:t xml:space="preserve">argues that historians should </w:t>
      </w:r>
      <w:r w:rsidRPr="006D7303">
        <w:rPr>
          <w:rFonts w:ascii="Book Antiqua" w:hAnsi="Book Antiqua"/>
        </w:rPr>
        <w:t xml:space="preserve">deploy </w:t>
      </w:r>
      <w:r w:rsidR="00B50BD1" w:rsidRPr="006D7303">
        <w:rPr>
          <w:rFonts w:ascii="Book Antiqua" w:hAnsi="Book Antiqua"/>
        </w:rPr>
        <w:t xml:space="preserve">the insights of historical and contemporary science </w:t>
      </w:r>
      <w:r w:rsidRPr="006D7303">
        <w:rPr>
          <w:rFonts w:ascii="Book Antiqua" w:hAnsi="Book Antiqua"/>
        </w:rPr>
        <w:t xml:space="preserve">in their scholarship to </w:t>
      </w:r>
      <w:r w:rsidR="00C60689" w:rsidRPr="006D7303">
        <w:rPr>
          <w:rFonts w:ascii="Book Antiqua" w:hAnsi="Book Antiqua"/>
        </w:rPr>
        <w:t>recognise</w:t>
      </w:r>
      <w:r w:rsidR="00B50BD1" w:rsidRPr="006D7303">
        <w:rPr>
          <w:rFonts w:ascii="Book Antiqua" w:hAnsi="Book Antiqua"/>
        </w:rPr>
        <w:t xml:space="preserve"> the</w:t>
      </w:r>
      <w:r w:rsidRPr="006D7303">
        <w:rPr>
          <w:rFonts w:ascii="Book Antiqua" w:hAnsi="Book Antiqua"/>
        </w:rPr>
        <w:t xml:space="preserve"> evident</w:t>
      </w:r>
      <w:r w:rsidR="00B50BD1" w:rsidRPr="006D7303">
        <w:rPr>
          <w:rFonts w:ascii="Book Antiqua" w:hAnsi="Book Antiqua"/>
        </w:rPr>
        <w:t xml:space="preserve"> </w:t>
      </w:r>
      <w:r w:rsidRPr="006D7303">
        <w:rPr>
          <w:rFonts w:ascii="Book Antiqua" w:hAnsi="Book Antiqua"/>
        </w:rPr>
        <w:t>capacities of</w:t>
      </w:r>
      <w:r w:rsidR="00B50BD1" w:rsidRPr="006D7303">
        <w:rPr>
          <w:rFonts w:ascii="Book Antiqua" w:hAnsi="Book Antiqua"/>
        </w:rPr>
        <w:t xml:space="preserve"> (some)</w:t>
      </w:r>
      <w:r w:rsidR="00B50BD1" w:rsidRPr="006D7303">
        <w:rPr>
          <w:rFonts w:ascii="Book Antiqua" w:hAnsi="Book Antiqua"/>
          <w:i/>
          <w:iCs/>
        </w:rPr>
        <w:t xml:space="preserve"> </w:t>
      </w:r>
      <w:r w:rsidR="00B50BD1" w:rsidRPr="006D7303">
        <w:rPr>
          <w:rFonts w:ascii="Book Antiqua" w:hAnsi="Book Antiqua"/>
        </w:rPr>
        <w:t>animals</w:t>
      </w:r>
      <w:r w:rsidRPr="006D7303">
        <w:rPr>
          <w:rFonts w:ascii="Book Antiqua" w:hAnsi="Book Antiqua"/>
        </w:rPr>
        <w:t xml:space="preserve"> to experience emotion </w:t>
      </w:r>
      <w:r w:rsidR="00730742" w:rsidRPr="006D7303">
        <w:rPr>
          <w:rFonts w:ascii="Book Antiqua" w:hAnsi="Book Antiqua"/>
        </w:rPr>
        <w:t>and make choices</w:t>
      </w:r>
      <w:r w:rsidR="00B50BD1" w:rsidRPr="006D7303">
        <w:rPr>
          <w:rFonts w:ascii="Book Antiqua" w:hAnsi="Book Antiqua"/>
        </w:rPr>
        <w:t>. ‘Such knowledge</w:t>
      </w:r>
      <w:r w:rsidR="00730742" w:rsidRPr="006D7303">
        <w:rPr>
          <w:rFonts w:ascii="Book Antiqua" w:hAnsi="Book Antiqua"/>
        </w:rPr>
        <w:t>,’ she writes,</w:t>
      </w:r>
      <w:r w:rsidR="00B50BD1" w:rsidRPr="006D7303">
        <w:rPr>
          <w:rFonts w:ascii="Book Antiqua" w:hAnsi="Book Antiqua"/>
        </w:rPr>
        <w:t xml:space="preserve"> </w:t>
      </w:r>
      <w:r w:rsidR="00730742" w:rsidRPr="006D7303">
        <w:rPr>
          <w:rFonts w:ascii="Book Antiqua" w:hAnsi="Book Antiqua"/>
        </w:rPr>
        <w:t>‘</w:t>
      </w:r>
      <w:r w:rsidR="00B50BD1" w:rsidRPr="006D7303">
        <w:rPr>
          <w:rFonts w:ascii="Book Antiqua" w:hAnsi="Book Antiqua"/>
          <w:i/>
          <w:iCs/>
        </w:rPr>
        <w:t xml:space="preserve">ought </w:t>
      </w:r>
      <w:r w:rsidR="00B50BD1" w:rsidRPr="006D7303">
        <w:rPr>
          <w:rFonts w:ascii="Book Antiqua" w:hAnsi="Book Antiqua"/>
        </w:rPr>
        <w:t>to have some effect upon how historians write about animals’ (p. 431)</w:t>
      </w:r>
      <w:r w:rsidR="00E60B39">
        <w:rPr>
          <w:rFonts w:ascii="Book Antiqua" w:hAnsi="Book Antiqua"/>
        </w:rPr>
        <w:t>.</w:t>
      </w:r>
    </w:p>
    <w:p w14:paraId="58F0F2FA" w14:textId="7AC0502F" w:rsidR="006B4540" w:rsidRDefault="00B50BD1" w:rsidP="00980B05">
      <w:pPr>
        <w:spacing w:line="480" w:lineRule="auto"/>
        <w:rPr>
          <w:rFonts w:ascii="Book Antiqua" w:hAnsi="Book Antiqua"/>
        </w:rPr>
      </w:pPr>
      <w:r w:rsidRPr="006D7303">
        <w:rPr>
          <w:rFonts w:ascii="Book Antiqua" w:hAnsi="Book Antiqua"/>
        </w:rPr>
        <w:t xml:space="preserve">Overall, then, </w:t>
      </w:r>
      <w:r w:rsidR="006B4540" w:rsidRPr="006D7303">
        <w:rPr>
          <w:rFonts w:ascii="Book Antiqua" w:hAnsi="Book Antiqua"/>
        </w:rPr>
        <w:t xml:space="preserve">the </w:t>
      </w:r>
      <w:r w:rsidR="006B4540" w:rsidRPr="006D7303">
        <w:rPr>
          <w:rFonts w:ascii="Book Antiqua" w:hAnsi="Book Antiqua"/>
          <w:i/>
          <w:iCs/>
        </w:rPr>
        <w:t>Companion</w:t>
      </w:r>
      <w:r w:rsidRPr="006D7303">
        <w:rPr>
          <w:rFonts w:ascii="Book Antiqua" w:hAnsi="Book Antiqua"/>
        </w:rPr>
        <w:t xml:space="preserve"> </w:t>
      </w:r>
      <w:r w:rsidR="00730742" w:rsidRPr="006D7303">
        <w:rPr>
          <w:rFonts w:ascii="Book Antiqua" w:hAnsi="Book Antiqua"/>
        </w:rPr>
        <w:t>showcases</w:t>
      </w:r>
      <w:r w:rsidRPr="006D7303">
        <w:rPr>
          <w:rFonts w:ascii="Book Antiqua" w:hAnsi="Book Antiqua"/>
        </w:rPr>
        <w:t xml:space="preserve"> not only </w:t>
      </w:r>
      <w:r w:rsidR="006B4540" w:rsidRPr="006D7303">
        <w:rPr>
          <w:rFonts w:ascii="Book Antiqua" w:hAnsi="Book Antiqua"/>
        </w:rPr>
        <w:t>animal-human history’s immense</w:t>
      </w:r>
      <w:r w:rsidR="00730742" w:rsidRPr="006D7303">
        <w:rPr>
          <w:rFonts w:ascii="Book Antiqua" w:hAnsi="Book Antiqua"/>
        </w:rPr>
        <w:t xml:space="preserve"> </w:t>
      </w:r>
      <w:r w:rsidR="006B4540" w:rsidRPr="006D7303">
        <w:rPr>
          <w:rFonts w:ascii="Book Antiqua" w:hAnsi="Book Antiqua"/>
        </w:rPr>
        <w:t>scope</w:t>
      </w:r>
      <w:r w:rsidRPr="006D7303">
        <w:rPr>
          <w:rFonts w:ascii="Book Antiqua" w:hAnsi="Book Antiqua"/>
        </w:rPr>
        <w:t xml:space="preserve">, but also the </w:t>
      </w:r>
      <w:r w:rsidR="00730742" w:rsidRPr="006D7303">
        <w:rPr>
          <w:rFonts w:ascii="Book Antiqua" w:hAnsi="Book Antiqua"/>
        </w:rPr>
        <w:t>lively</w:t>
      </w:r>
      <w:r w:rsidR="00FA61AE" w:rsidRPr="006D7303">
        <w:rPr>
          <w:rFonts w:ascii="Book Antiqua" w:hAnsi="Book Antiqua"/>
        </w:rPr>
        <w:t xml:space="preserve"> </w:t>
      </w:r>
      <w:r w:rsidRPr="006D7303">
        <w:rPr>
          <w:rFonts w:ascii="Book Antiqua" w:hAnsi="Book Antiqua"/>
        </w:rPr>
        <w:t>contradiction</w:t>
      </w:r>
      <w:r w:rsidR="00730742" w:rsidRPr="006D7303">
        <w:rPr>
          <w:rFonts w:ascii="Book Antiqua" w:hAnsi="Book Antiqua"/>
        </w:rPr>
        <w:t>s</w:t>
      </w:r>
      <w:r w:rsidRPr="006D7303">
        <w:rPr>
          <w:rFonts w:ascii="Book Antiqua" w:hAnsi="Book Antiqua"/>
        </w:rPr>
        <w:t xml:space="preserve"> </w:t>
      </w:r>
      <w:r w:rsidR="006B4540" w:rsidRPr="006D7303">
        <w:rPr>
          <w:rFonts w:ascii="Book Antiqua" w:hAnsi="Book Antiqua"/>
        </w:rPr>
        <w:t>that abound within it</w:t>
      </w:r>
      <w:r w:rsidRPr="006D7303">
        <w:rPr>
          <w:rFonts w:ascii="Book Antiqua" w:hAnsi="Book Antiqua"/>
        </w:rPr>
        <w:t>.</w:t>
      </w:r>
      <w:r w:rsidR="00730742" w:rsidRPr="006D7303">
        <w:rPr>
          <w:rFonts w:ascii="Book Antiqua" w:hAnsi="Book Antiqua"/>
        </w:rPr>
        <w:t xml:space="preserve"> Howell, in concluding the </w:t>
      </w:r>
      <w:r w:rsidR="00730742" w:rsidRPr="006D7303">
        <w:rPr>
          <w:rFonts w:ascii="Book Antiqua" w:hAnsi="Book Antiqua"/>
          <w:i/>
          <w:iCs/>
        </w:rPr>
        <w:t>Companion</w:t>
      </w:r>
      <w:r w:rsidR="00730742" w:rsidRPr="006D7303">
        <w:rPr>
          <w:rFonts w:ascii="Book Antiqua" w:hAnsi="Book Antiqua"/>
        </w:rPr>
        <w:t xml:space="preserve">, is deft at navigating such tensions, seeing value in the fact there exists no single animal-human history. </w:t>
      </w:r>
      <w:r w:rsidR="006B4540" w:rsidRPr="006D7303">
        <w:rPr>
          <w:rFonts w:ascii="Book Antiqua" w:hAnsi="Book Antiqua"/>
        </w:rPr>
        <w:t xml:space="preserve">He takes as his focus the fact that, where issues of agency, archival methodology, or the means of writing history are concerned, there exists ‘remarkably little consensus’ (p.522). </w:t>
      </w:r>
      <w:r w:rsidR="00730742" w:rsidRPr="006D7303">
        <w:rPr>
          <w:rFonts w:ascii="Book Antiqua" w:hAnsi="Book Antiqua"/>
        </w:rPr>
        <w:t>Some</w:t>
      </w:r>
      <w:r w:rsidR="006B4540" w:rsidRPr="006D7303">
        <w:rPr>
          <w:rFonts w:ascii="Book Antiqua" w:hAnsi="Book Antiqua"/>
        </w:rPr>
        <w:t xml:space="preserve"> researchers</w:t>
      </w:r>
      <w:r w:rsidR="00730742" w:rsidRPr="006D7303">
        <w:rPr>
          <w:rFonts w:ascii="Book Antiqua" w:hAnsi="Book Antiqua"/>
        </w:rPr>
        <w:t xml:space="preserve"> demonstrate the art of richly crafted, empirical description, others see the optics of contemporary theory brought to bear. </w:t>
      </w:r>
      <w:r w:rsidR="006B4540" w:rsidRPr="006D7303">
        <w:rPr>
          <w:rFonts w:ascii="Book Antiqua" w:hAnsi="Book Antiqua"/>
        </w:rPr>
        <w:t xml:space="preserve">As </w:t>
      </w:r>
      <w:proofErr w:type="spellStart"/>
      <w:r w:rsidR="006B4540" w:rsidRPr="006D7303">
        <w:rPr>
          <w:rFonts w:ascii="Book Antiqua" w:hAnsi="Book Antiqua"/>
        </w:rPr>
        <w:t>Ritvo’s</w:t>
      </w:r>
      <w:proofErr w:type="spellEnd"/>
      <w:r w:rsidR="006B4540" w:rsidRPr="006D7303">
        <w:rPr>
          <w:rFonts w:ascii="Book Antiqua" w:hAnsi="Book Antiqua"/>
        </w:rPr>
        <w:t xml:space="preserve"> epilogue makes clear, the tracing of animal-human history is always a provisional endeavour: ‘there is always at least one road not taken’ (p. 544). The turns toward posthumanist social theory in much ‘more-than-human’ scholarship remain, Howell notes, ‘off-putting’ (p. 526) for many. Even where theory is embraced, there is little </w:t>
      </w:r>
      <w:r w:rsidR="00F415EA" w:rsidRPr="006D7303">
        <w:rPr>
          <w:rFonts w:ascii="Book Antiqua" w:hAnsi="Book Antiqua"/>
        </w:rPr>
        <w:t>consensus</w:t>
      </w:r>
      <w:r w:rsidR="006B4540" w:rsidRPr="006D7303">
        <w:rPr>
          <w:rFonts w:ascii="Book Antiqua" w:hAnsi="Book Antiqua"/>
        </w:rPr>
        <w:t xml:space="preserve"> as to how, or to what ends, it might be applied. </w:t>
      </w:r>
      <w:proofErr w:type="spellStart"/>
      <w:r w:rsidR="006B4540" w:rsidRPr="006D7303">
        <w:rPr>
          <w:rFonts w:ascii="Book Antiqua" w:hAnsi="Book Antiqua"/>
        </w:rPr>
        <w:t>Ritvo</w:t>
      </w:r>
      <w:proofErr w:type="spellEnd"/>
      <w:r w:rsidR="006B4540" w:rsidRPr="006D7303">
        <w:rPr>
          <w:rFonts w:ascii="Book Antiqua" w:hAnsi="Book Antiqua"/>
        </w:rPr>
        <w:t xml:space="preserve"> worries that we sacrifice ‘animals in the flesh’ for the sake of ‘animals in the abstract’ </w:t>
      </w:r>
      <w:r w:rsidR="00E50608">
        <w:rPr>
          <w:rFonts w:ascii="Book Antiqua" w:hAnsi="Book Antiqua"/>
        </w:rPr>
        <w:t xml:space="preserve">(p. 543) </w:t>
      </w:r>
      <w:r w:rsidR="006B4540" w:rsidRPr="006D7303">
        <w:rPr>
          <w:rFonts w:ascii="Book Antiqua" w:hAnsi="Book Antiqua"/>
        </w:rPr>
        <w:t xml:space="preserve">when we too readily embrace modish philosophical approaches. Perhaps here geographers can make a key contribution, attentive </w:t>
      </w:r>
      <w:r w:rsidR="006B4540" w:rsidRPr="006D7303">
        <w:rPr>
          <w:rFonts w:ascii="Book Antiqua" w:hAnsi="Book Antiqua"/>
        </w:rPr>
        <w:lastRenderedPageBreak/>
        <w:t xml:space="preserve">as we often are to the need to </w:t>
      </w:r>
      <w:r w:rsidR="006B4540" w:rsidRPr="006D7303">
        <w:rPr>
          <w:rFonts w:ascii="Book Antiqua" w:hAnsi="Book Antiqua"/>
          <w:i/>
          <w:iCs/>
        </w:rPr>
        <w:t xml:space="preserve">situate </w:t>
      </w:r>
      <w:r w:rsidR="006B4540" w:rsidRPr="006D7303">
        <w:rPr>
          <w:rFonts w:ascii="Book Antiqua" w:hAnsi="Book Antiqua"/>
        </w:rPr>
        <w:t xml:space="preserve">our empirical discussion and application of theory amidst the contingency of place, time and relations. </w:t>
      </w:r>
    </w:p>
    <w:p w14:paraId="35116E30" w14:textId="77777777" w:rsidR="00E60B39" w:rsidRPr="006D7303" w:rsidRDefault="00E60B39" w:rsidP="00980B05">
      <w:pPr>
        <w:spacing w:line="480" w:lineRule="auto"/>
        <w:rPr>
          <w:rFonts w:ascii="Book Antiqua" w:hAnsi="Book Antiqua"/>
        </w:rPr>
      </w:pPr>
    </w:p>
    <w:p w14:paraId="4E4CB9DF" w14:textId="74B49FB2" w:rsidR="00730742" w:rsidRPr="006D7303" w:rsidRDefault="00730742" w:rsidP="00980B05">
      <w:pPr>
        <w:spacing w:line="480" w:lineRule="auto"/>
        <w:rPr>
          <w:rFonts w:ascii="Book Antiqua" w:hAnsi="Book Antiqua"/>
        </w:rPr>
      </w:pPr>
      <w:r w:rsidRPr="006D7303">
        <w:rPr>
          <w:rFonts w:ascii="Book Antiqua" w:hAnsi="Book Antiqua"/>
        </w:rPr>
        <w:t xml:space="preserve">Essential, for Howell, is the need to appreciate the </w:t>
      </w:r>
      <w:r w:rsidRPr="006D7303">
        <w:rPr>
          <w:rFonts w:ascii="Book Antiqua" w:hAnsi="Book Antiqua"/>
          <w:i/>
          <w:iCs/>
        </w:rPr>
        <w:t xml:space="preserve">specificity </w:t>
      </w:r>
      <w:r w:rsidRPr="006D7303">
        <w:rPr>
          <w:rFonts w:ascii="Book Antiqua" w:hAnsi="Book Antiqua"/>
        </w:rPr>
        <w:t xml:space="preserve">of animal </w:t>
      </w:r>
      <w:r w:rsidRPr="006D7303">
        <w:rPr>
          <w:rFonts w:ascii="Book Antiqua" w:hAnsi="Book Antiqua"/>
          <w:i/>
          <w:iCs/>
        </w:rPr>
        <w:t xml:space="preserve">and </w:t>
      </w:r>
      <w:r w:rsidRPr="006D7303">
        <w:rPr>
          <w:rFonts w:ascii="Book Antiqua" w:hAnsi="Book Antiqua"/>
        </w:rPr>
        <w:t xml:space="preserve">human relationships in space and time, informed by – but not uncritically – the insights of ethology, zoology and biology. The question of the </w:t>
      </w:r>
      <w:r w:rsidRPr="006D7303">
        <w:rPr>
          <w:rFonts w:ascii="Book Antiqua" w:hAnsi="Book Antiqua"/>
          <w:i/>
          <w:iCs/>
        </w:rPr>
        <w:t xml:space="preserve">work </w:t>
      </w:r>
      <w:r w:rsidRPr="006D7303">
        <w:rPr>
          <w:rFonts w:ascii="Book Antiqua" w:hAnsi="Book Antiqua"/>
        </w:rPr>
        <w:t xml:space="preserve">that such a history might do – politically or ethically – also remains unsettled. The chapters across the </w:t>
      </w:r>
      <w:r w:rsidRPr="006D7303">
        <w:rPr>
          <w:rFonts w:ascii="Book Antiqua" w:hAnsi="Book Antiqua"/>
          <w:i/>
          <w:iCs/>
        </w:rPr>
        <w:t>Companion</w:t>
      </w:r>
      <w:r w:rsidRPr="006D7303">
        <w:rPr>
          <w:rFonts w:ascii="Book Antiqua" w:hAnsi="Book Antiqua"/>
        </w:rPr>
        <w:t xml:space="preserve"> demonstrate varying degrees of willingness to accord agency, take a political stance or pronounce on the ethics of the relations they examine. Whilst some historical researchers might wish to retain a sense of ‘Olympian detachment’ (p. 528) from the matters they discuss. Ultimately, as Howell makes clear, ‘</w:t>
      </w:r>
      <w:r w:rsidR="00F415EA">
        <w:rPr>
          <w:rFonts w:ascii="Book Antiqua" w:hAnsi="Book Antiqua"/>
        </w:rPr>
        <w:t>[a]</w:t>
      </w:r>
      <w:proofErr w:type="spellStart"/>
      <w:r w:rsidRPr="006D7303">
        <w:rPr>
          <w:rFonts w:ascii="Book Antiqua" w:hAnsi="Book Antiqua"/>
        </w:rPr>
        <w:t>ll</w:t>
      </w:r>
      <w:proofErr w:type="spellEnd"/>
      <w:r w:rsidRPr="006D7303">
        <w:rPr>
          <w:rFonts w:ascii="Book Antiqua" w:hAnsi="Book Antiqua"/>
        </w:rPr>
        <w:t xml:space="preserve"> research is a political act, whether we like it or not.’ (p. 528)</w:t>
      </w:r>
      <w:r w:rsidR="006B4540" w:rsidRPr="006D7303">
        <w:rPr>
          <w:rFonts w:ascii="Book Antiqua" w:hAnsi="Book Antiqua"/>
        </w:rPr>
        <w:t>. Certainly, the political decision to include animals more explicitly in our historical writing and research is to be celebrated, not only for the intriguing questions this opens up, but for the potential futures towards which such work might lead.</w:t>
      </w:r>
    </w:p>
    <w:p w14:paraId="3A3C3608" w14:textId="77777777" w:rsidR="006B4540" w:rsidRPr="006D7303" w:rsidRDefault="006B4540" w:rsidP="00980B05">
      <w:pPr>
        <w:spacing w:line="480" w:lineRule="auto"/>
        <w:rPr>
          <w:rFonts w:ascii="Book Antiqua" w:hAnsi="Book Antiqua"/>
        </w:rPr>
      </w:pPr>
    </w:p>
    <w:p w14:paraId="0C9CD3D1" w14:textId="55CD122B" w:rsidR="00A10B9C" w:rsidRPr="00980B05" w:rsidRDefault="00A10B9C" w:rsidP="00980B05">
      <w:pPr>
        <w:spacing w:line="480" w:lineRule="auto"/>
        <w:jc w:val="right"/>
        <w:rPr>
          <w:rFonts w:ascii="Book Antiqua" w:hAnsi="Book Antiqua"/>
        </w:rPr>
      </w:pPr>
      <w:r w:rsidRPr="00980B05">
        <w:rPr>
          <w:rFonts w:ascii="Book Antiqua" w:hAnsi="Book Antiqua"/>
        </w:rPr>
        <w:t>Ben Garlick</w:t>
      </w:r>
    </w:p>
    <w:p w14:paraId="373EF142" w14:textId="60C90469" w:rsidR="00A10B9C" w:rsidRPr="006D7303" w:rsidRDefault="00A10B9C" w:rsidP="00980B05">
      <w:pPr>
        <w:spacing w:line="480" w:lineRule="auto"/>
        <w:jc w:val="right"/>
        <w:rPr>
          <w:rFonts w:ascii="Book Antiqua" w:hAnsi="Book Antiqua"/>
          <w:i/>
          <w:iCs/>
        </w:rPr>
      </w:pPr>
      <w:r w:rsidRPr="006D7303">
        <w:rPr>
          <w:rFonts w:ascii="Book Antiqua" w:hAnsi="Book Antiqua"/>
          <w:i/>
          <w:iCs/>
        </w:rPr>
        <w:t>York St John University</w:t>
      </w:r>
    </w:p>
    <w:p w14:paraId="70BE1CFC" w14:textId="1EF087F7" w:rsidR="00A46DD5" w:rsidRPr="006D7303" w:rsidRDefault="00A46DD5" w:rsidP="00980B05">
      <w:pPr>
        <w:spacing w:line="480" w:lineRule="auto"/>
        <w:jc w:val="right"/>
        <w:rPr>
          <w:rFonts w:ascii="Book Antiqua" w:hAnsi="Book Antiqua"/>
          <w:i/>
          <w:iCs/>
        </w:rPr>
      </w:pPr>
      <w:r w:rsidRPr="006D7303">
        <w:rPr>
          <w:rFonts w:ascii="Book Antiqua" w:hAnsi="Book Antiqua"/>
          <w:i/>
          <w:iCs/>
        </w:rPr>
        <w:t xml:space="preserve">E-mail address: </w:t>
      </w:r>
      <w:hyperlink r:id="rId7" w:history="1">
        <w:r w:rsidRPr="006D7303">
          <w:rPr>
            <w:rStyle w:val="Hyperlink"/>
            <w:rFonts w:ascii="Book Antiqua" w:hAnsi="Book Antiqua"/>
            <w:i/>
            <w:iCs/>
          </w:rPr>
          <w:t>b.garlick@yorksj.ac.uk</w:t>
        </w:r>
      </w:hyperlink>
    </w:p>
    <w:sectPr w:rsidR="00A46DD5" w:rsidRPr="006D730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2B16E" w14:textId="77777777" w:rsidR="00612CD1" w:rsidRDefault="00612CD1" w:rsidP="00402B8E">
      <w:pPr>
        <w:spacing w:after="0" w:line="240" w:lineRule="auto"/>
      </w:pPr>
      <w:r>
        <w:separator/>
      </w:r>
    </w:p>
  </w:endnote>
  <w:endnote w:type="continuationSeparator" w:id="0">
    <w:p w14:paraId="48789F3B" w14:textId="77777777" w:rsidR="00612CD1" w:rsidRDefault="00612CD1" w:rsidP="0040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407650"/>
      <w:docPartObj>
        <w:docPartGallery w:val="Page Numbers (Bottom of Page)"/>
        <w:docPartUnique/>
      </w:docPartObj>
    </w:sdtPr>
    <w:sdtEndPr>
      <w:rPr>
        <w:rStyle w:val="PageNumber"/>
      </w:rPr>
    </w:sdtEndPr>
    <w:sdtContent>
      <w:p w14:paraId="288B77B5" w14:textId="7D2B5AB0" w:rsidR="006D7303" w:rsidRDefault="006D7303" w:rsidP="00620E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385115" w14:textId="77777777" w:rsidR="006D7303" w:rsidRDefault="006D7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4876610"/>
      <w:docPartObj>
        <w:docPartGallery w:val="Page Numbers (Bottom of Page)"/>
        <w:docPartUnique/>
      </w:docPartObj>
    </w:sdtPr>
    <w:sdtEndPr>
      <w:rPr>
        <w:rStyle w:val="PageNumber"/>
      </w:rPr>
    </w:sdtEndPr>
    <w:sdtContent>
      <w:p w14:paraId="5C8D044C" w14:textId="09419BFD" w:rsidR="006D7303" w:rsidRDefault="006D7303" w:rsidP="00620E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E028E1" w14:textId="77777777" w:rsidR="006D7303" w:rsidRDefault="006D7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FDFF3" w14:textId="77777777" w:rsidR="00DB7B26" w:rsidRDefault="00DB7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8E7BC" w14:textId="77777777" w:rsidR="00612CD1" w:rsidRDefault="00612CD1" w:rsidP="00402B8E">
      <w:pPr>
        <w:spacing w:after="0" w:line="240" w:lineRule="auto"/>
      </w:pPr>
      <w:r>
        <w:separator/>
      </w:r>
    </w:p>
  </w:footnote>
  <w:footnote w:type="continuationSeparator" w:id="0">
    <w:p w14:paraId="36CBD542" w14:textId="77777777" w:rsidR="00612CD1" w:rsidRDefault="00612CD1" w:rsidP="00402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E006" w14:textId="678D4823" w:rsidR="00DB7B26" w:rsidRDefault="00DB7B26">
    <w:pPr>
      <w:pStyle w:val="Header"/>
    </w:pPr>
    <w:r>
      <w:rPr>
        <w:noProof/>
      </w:rPr>
      <w:pict w14:anchorId="73B0F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Calibri&quot;;font-size:1pt" string="Accepted for publication on 1/7/19"/>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D0173" w14:textId="24A429F8" w:rsidR="00DB7B26" w:rsidRDefault="00DB7B26">
    <w:pPr>
      <w:pStyle w:val="Header"/>
    </w:pPr>
    <w:r>
      <w:rPr>
        <w:noProof/>
      </w:rPr>
      <w:pict w14:anchorId="63252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1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Calibri&quot;;font-size:1pt" string="Accepted for publication on 1/7/19"/>
        </v:shape>
      </w:pict>
    </w:r>
    <w:r>
      <w:t>Accepted Version</w:t>
    </w:r>
    <w:r>
      <w:tab/>
      <w:t>July 2019</w:t>
    </w:r>
    <w:r>
      <w:tab/>
      <w:t>B Garlick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68A0" w14:textId="608F19D5" w:rsidR="00DB7B26" w:rsidRDefault="00DB7B26">
    <w:pPr>
      <w:pStyle w:val="Header"/>
    </w:pPr>
    <w:r>
      <w:rPr>
        <w:noProof/>
      </w:rPr>
      <w:pict w14:anchorId="5548A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3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Calibri&quot;;font-size:1pt" string="Accepted for publication on 1/7/19"/>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B6818"/>
    <w:multiLevelType w:val="hybridMultilevel"/>
    <w:tmpl w:val="424C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B6EF9"/>
    <w:multiLevelType w:val="hybridMultilevel"/>
    <w:tmpl w:val="2CDAFD30"/>
    <w:lvl w:ilvl="0" w:tplc="D8ACB8A8">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96A0E"/>
    <w:multiLevelType w:val="hybridMultilevel"/>
    <w:tmpl w:val="DB8A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94BD4"/>
    <w:multiLevelType w:val="hybridMultilevel"/>
    <w:tmpl w:val="AAC4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03BEA"/>
    <w:multiLevelType w:val="hybridMultilevel"/>
    <w:tmpl w:val="9F8C5464"/>
    <w:lvl w:ilvl="0" w:tplc="D8ACB8A8">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D5"/>
    <w:rsid w:val="00026379"/>
    <w:rsid w:val="0004352B"/>
    <w:rsid w:val="000D49CE"/>
    <w:rsid w:val="000E1D5E"/>
    <w:rsid w:val="000E7E6E"/>
    <w:rsid w:val="000F7059"/>
    <w:rsid w:val="001518C8"/>
    <w:rsid w:val="001523FA"/>
    <w:rsid w:val="0019676D"/>
    <w:rsid w:val="001C0FD4"/>
    <w:rsid w:val="001F3DB2"/>
    <w:rsid w:val="002052E1"/>
    <w:rsid w:val="00206ADB"/>
    <w:rsid w:val="002207A0"/>
    <w:rsid w:val="0022165E"/>
    <w:rsid w:val="00225C8F"/>
    <w:rsid w:val="00263ED9"/>
    <w:rsid w:val="002779B8"/>
    <w:rsid w:val="0029524A"/>
    <w:rsid w:val="002A0CA8"/>
    <w:rsid w:val="002D2FDF"/>
    <w:rsid w:val="00302716"/>
    <w:rsid w:val="0038151E"/>
    <w:rsid w:val="00397EEF"/>
    <w:rsid w:val="003F68B1"/>
    <w:rsid w:val="0040168F"/>
    <w:rsid w:val="00402B8E"/>
    <w:rsid w:val="00444659"/>
    <w:rsid w:val="00456F5A"/>
    <w:rsid w:val="00460D42"/>
    <w:rsid w:val="00486972"/>
    <w:rsid w:val="004B129C"/>
    <w:rsid w:val="004D1143"/>
    <w:rsid w:val="004D1446"/>
    <w:rsid w:val="0051387E"/>
    <w:rsid w:val="00561E96"/>
    <w:rsid w:val="005654BB"/>
    <w:rsid w:val="005655FC"/>
    <w:rsid w:val="00573E11"/>
    <w:rsid w:val="005B0388"/>
    <w:rsid w:val="0060677E"/>
    <w:rsid w:val="00612CD1"/>
    <w:rsid w:val="00622119"/>
    <w:rsid w:val="006B1865"/>
    <w:rsid w:val="006B4540"/>
    <w:rsid w:val="006D7303"/>
    <w:rsid w:val="006F7437"/>
    <w:rsid w:val="00710385"/>
    <w:rsid w:val="00730742"/>
    <w:rsid w:val="007358B0"/>
    <w:rsid w:val="00737E94"/>
    <w:rsid w:val="00740690"/>
    <w:rsid w:val="00746B2E"/>
    <w:rsid w:val="00751E09"/>
    <w:rsid w:val="007A089F"/>
    <w:rsid w:val="007A307A"/>
    <w:rsid w:val="007F398D"/>
    <w:rsid w:val="00845179"/>
    <w:rsid w:val="00853A24"/>
    <w:rsid w:val="00890686"/>
    <w:rsid w:val="008B0539"/>
    <w:rsid w:val="008B53E9"/>
    <w:rsid w:val="008C20CE"/>
    <w:rsid w:val="008E2E45"/>
    <w:rsid w:val="008E5CCC"/>
    <w:rsid w:val="00950655"/>
    <w:rsid w:val="00980B05"/>
    <w:rsid w:val="00982643"/>
    <w:rsid w:val="00993408"/>
    <w:rsid w:val="009949C2"/>
    <w:rsid w:val="009A21CF"/>
    <w:rsid w:val="009B3D56"/>
    <w:rsid w:val="009C1A82"/>
    <w:rsid w:val="009E6306"/>
    <w:rsid w:val="00A01F89"/>
    <w:rsid w:val="00A10B9C"/>
    <w:rsid w:val="00A3487B"/>
    <w:rsid w:val="00A460E6"/>
    <w:rsid w:val="00A46DD5"/>
    <w:rsid w:val="00A91B7E"/>
    <w:rsid w:val="00AC7F5C"/>
    <w:rsid w:val="00B41159"/>
    <w:rsid w:val="00B50BD1"/>
    <w:rsid w:val="00B919E6"/>
    <w:rsid w:val="00B93233"/>
    <w:rsid w:val="00BE212C"/>
    <w:rsid w:val="00BF04F1"/>
    <w:rsid w:val="00C22EA8"/>
    <w:rsid w:val="00C60689"/>
    <w:rsid w:val="00CB4C5A"/>
    <w:rsid w:val="00CC5C87"/>
    <w:rsid w:val="00D320DA"/>
    <w:rsid w:val="00D35A9B"/>
    <w:rsid w:val="00D71CFC"/>
    <w:rsid w:val="00DB183B"/>
    <w:rsid w:val="00DB1856"/>
    <w:rsid w:val="00DB4476"/>
    <w:rsid w:val="00DB7B26"/>
    <w:rsid w:val="00E10621"/>
    <w:rsid w:val="00E34328"/>
    <w:rsid w:val="00E50608"/>
    <w:rsid w:val="00E60B39"/>
    <w:rsid w:val="00E87DBD"/>
    <w:rsid w:val="00E944DE"/>
    <w:rsid w:val="00EC540E"/>
    <w:rsid w:val="00EE4EC8"/>
    <w:rsid w:val="00F061B8"/>
    <w:rsid w:val="00F12206"/>
    <w:rsid w:val="00F17222"/>
    <w:rsid w:val="00F325BC"/>
    <w:rsid w:val="00F32FD0"/>
    <w:rsid w:val="00F415EA"/>
    <w:rsid w:val="00F53575"/>
    <w:rsid w:val="00F5609D"/>
    <w:rsid w:val="00F668B8"/>
    <w:rsid w:val="00F74545"/>
    <w:rsid w:val="00F83E68"/>
    <w:rsid w:val="00F940F0"/>
    <w:rsid w:val="00F96E95"/>
    <w:rsid w:val="00FA61AE"/>
    <w:rsid w:val="00FC7039"/>
    <w:rsid w:val="00FC7894"/>
    <w:rsid w:val="00FF18BA"/>
    <w:rsid w:val="00FF49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4B9846"/>
  <w15:chartTrackingRefBased/>
  <w15:docId w15:val="{E6B4B2D8-520B-4EAF-9641-A0396CAB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71C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5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DD5"/>
    <w:rPr>
      <w:color w:val="0563C1" w:themeColor="hyperlink"/>
      <w:u w:val="single"/>
    </w:rPr>
  </w:style>
  <w:style w:type="character" w:styleId="UnresolvedMention">
    <w:name w:val="Unresolved Mention"/>
    <w:basedOn w:val="DefaultParagraphFont"/>
    <w:uiPriority w:val="99"/>
    <w:semiHidden/>
    <w:unhideWhenUsed/>
    <w:rsid w:val="00A46DD5"/>
    <w:rPr>
      <w:color w:val="605E5C"/>
      <w:shd w:val="clear" w:color="auto" w:fill="E1DFDD"/>
    </w:rPr>
  </w:style>
  <w:style w:type="character" w:customStyle="1" w:styleId="Heading2Char">
    <w:name w:val="Heading 2 Char"/>
    <w:basedOn w:val="DefaultParagraphFont"/>
    <w:link w:val="Heading2"/>
    <w:uiPriority w:val="9"/>
    <w:rsid w:val="00D71C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454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91B7E"/>
    <w:pPr>
      <w:ind w:left="720"/>
      <w:contextualSpacing/>
    </w:pPr>
  </w:style>
  <w:style w:type="paragraph" w:styleId="Header">
    <w:name w:val="header"/>
    <w:basedOn w:val="Normal"/>
    <w:link w:val="HeaderChar"/>
    <w:uiPriority w:val="99"/>
    <w:unhideWhenUsed/>
    <w:rsid w:val="00402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B8E"/>
  </w:style>
  <w:style w:type="paragraph" w:styleId="Footer">
    <w:name w:val="footer"/>
    <w:basedOn w:val="Normal"/>
    <w:link w:val="FooterChar"/>
    <w:uiPriority w:val="99"/>
    <w:unhideWhenUsed/>
    <w:rsid w:val="00402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B8E"/>
  </w:style>
  <w:style w:type="character" w:styleId="PageNumber">
    <w:name w:val="page number"/>
    <w:basedOn w:val="DefaultParagraphFont"/>
    <w:uiPriority w:val="99"/>
    <w:semiHidden/>
    <w:unhideWhenUsed/>
    <w:rsid w:val="006D7303"/>
  </w:style>
  <w:style w:type="character" w:styleId="CommentReference">
    <w:name w:val="annotation reference"/>
    <w:basedOn w:val="DefaultParagraphFont"/>
    <w:uiPriority w:val="99"/>
    <w:semiHidden/>
    <w:unhideWhenUsed/>
    <w:rsid w:val="00F415EA"/>
    <w:rPr>
      <w:sz w:val="16"/>
      <w:szCs w:val="16"/>
    </w:rPr>
  </w:style>
  <w:style w:type="paragraph" w:styleId="CommentText">
    <w:name w:val="annotation text"/>
    <w:basedOn w:val="Normal"/>
    <w:link w:val="CommentTextChar"/>
    <w:uiPriority w:val="99"/>
    <w:semiHidden/>
    <w:unhideWhenUsed/>
    <w:rsid w:val="00F415EA"/>
    <w:pPr>
      <w:spacing w:line="240" w:lineRule="auto"/>
    </w:pPr>
    <w:rPr>
      <w:sz w:val="20"/>
      <w:szCs w:val="20"/>
    </w:rPr>
  </w:style>
  <w:style w:type="character" w:customStyle="1" w:styleId="CommentTextChar">
    <w:name w:val="Comment Text Char"/>
    <w:basedOn w:val="DefaultParagraphFont"/>
    <w:link w:val="CommentText"/>
    <w:uiPriority w:val="99"/>
    <w:semiHidden/>
    <w:rsid w:val="00F415EA"/>
    <w:rPr>
      <w:sz w:val="20"/>
      <w:szCs w:val="20"/>
    </w:rPr>
  </w:style>
  <w:style w:type="paragraph" w:styleId="CommentSubject">
    <w:name w:val="annotation subject"/>
    <w:basedOn w:val="CommentText"/>
    <w:next w:val="CommentText"/>
    <w:link w:val="CommentSubjectChar"/>
    <w:uiPriority w:val="99"/>
    <w:semiHidden/>
    <w:unhideWhenUsed/>
    <w:rsid w:val="00F415EA"/>
    <w:rPr>
      <w:b/>
      <w:bCs/>
    </w:rPr>
  </w:style>
  <w:style w:type="character" w:customStyle="1" w:styleId="CommentSubjectChar">
    <w:name w:val="Comment Subject Char"/>
    <w:basedOn w:val="CommentTextChar"/>
    <w:link w:val="CommentSubject"/>
    <w:uiPriority w:val="99"/>
    <w:semiHidden/>
    <w:rsid w:val="00F415EA"/>
    <w:rPr>
      <w:b/>
      <w:bCs/>
      <w:sz w:val="20"/>
      <w:szCs w:val="20"/>
    </w:rPr>
  </w:style>
  <w:style w:type="paragraph" w:styleId="BalloonText">
    <w:name w:val="Balloon Text"/>
    <w:basedOn w:val="Normal"/>
    <w:link w:val="BalloonTextChar"/>
    <w:uiPriority w:val="99"/>
    <w:semiHidden/>
    <w:unhideWhenUsed/>
    <w:rsid w:val="00F41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garlick@yorksj.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Garlick</dc:creator>
  <cp:keywords/>
  <dc:description/>
  <cp:lastModifiedBy>Benjamin Garlick</cp:lastModifiedBy>
  <cp:revision>4</cp:revision>
  <dcterms:created xsi:type="dcterms:W3CDTF">2019-07-01T08:11:00Z</dcterms:created>
  <dcterms:modified xsi:type="dcterms:W3CDTF">2019-09-26T11:02:00Z</dcterms:modified>
</cp:coreProperties>
</file>