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5E5C6" w14:textId="77777777" w:rsidR="008A3C75" w:rsidRDefault="004D24B2">
      <w:pPr>
        <w:spacing w:line="360" w:lineRule="auto"/>
        <w:jc w:val="both"/>
        <w:rPr>
          <w:rFonts w:ascii="Arial" w:eastAsia="Arial" w:hAnsi="Arial" w:cs="Arial"/>
          <w:sz w:val="24"/>
          <w:szCs w:val="24"/>
          <w:highlight w:val="white"/>
        </w:rPr>
      </w:pPr>
      <w:bookmarkStart w:id="0" w:name="_GoBack"/>
      <w:bookmarkEnd w:id="0"/>
      <w:r>
        <w:rPr>
          <w:rFonts w:ascii="Arial" w:eastAsia="Arial" w:hAnsi="Arial" w:cs="Arial"/>
          <w:b/>
          <w:sz w:val="24"/>
          <w:szCs w:val="24"/>
        </w:rPr>
        <w:t xml:space="preserve">Introduction </w:t>
      </w:r>
    </w:p>
    <w:p w14:paraId="3E4CA9CE" w14:textId="77777777" w:rsidR="008A3C75" w:rsidRDefault="004D24B2">
      <w:pPr>
        <w:spacing w:line="360" w:lineRule="auto"/>
        <w:jc w:val="both"/>
        <w:rPr>
          <w:rFonts w:ascii="Arial" w:eastAsia="Arial" w:hAnsi="Arial" w:cs="Arial"/>
          <w:sz w:val="24"/>
          <w:szCs w:val="24"/>
        </w:rPr>
      </w:pPr>
      <w:bookmarkStart w:id="1" w:name="_gjdgxs" w:colFirst="0" w:colLast="0"/>
      <w:bookmarkEnd w:id="1"/>
      <w:r>
        <w:rPr>
          <w:rFonts w:ascii="Arial" w:eastAsia="Arial" w:hAnsi="Arial" w:cs="Arial"/>
          <w:sz w:val="24"/>
          <w:szCs w:val="24"/>
          <w:highlight w:val="white"/>
        </w:rPr>
        <w:t>The global High</w:t>
      </w:r>
      <w:r>
        <w:rPr>
          <w:rFonts w:ascii="Arial" w:eastAsia="Arial" w:hAnsi="Arial" w:cs="Arial"/>
          <w:sz w:val="24"/>
          <w:szCs w:val="24"/>
        </w:rPr>
        <w:t>er Education (HE) community has been under pressure from Governments to meet financial and quality targets and adopt a managerial doctrine of value for money in mass education (Watson &amp; Bolden, 1999; Deem and Brehony, 2005). In the UK Academic staff are being forced to upskill with research outputs, doctorate qualifications and Teacher Fellow (TF) accreditation (Boliver, 2015), but represents a trend of global significance.  Whether this will be effective is uncertain, but it is already impacting on employee engagement of academic members of staff and enhancement teaching practice is uncertain (Parsons et al., 2012; Spowart</w:t>
      </w:r>
      <w:r>
        <w:t xml:space="preserve">, </w:t>
      </w:r>
      <w:r>
        <w:rPr>
          <w:rFonts w:ascii="Arial" w:eastAsia="Arial" w:hAnsi="Arial" w:cs="Arial"/>
          <w:sz w:val="24"/>
          <w:szCs w:val="24"/>
        </w:rPr>
        <w:t xml:space="preserve">et al, 2017). </w:t>
      </w:r>
    </w:p>
    <w:p w14:paraId="1E1B2B9D" w14:textId="77777777" w:rsidR="008A3C75" w:rsidRDefault="004D24B2">
      <w:pPr>
        <w:spacing w:line="360" w:lineRule="auto"/>
        <w:jc w:val="both"/>
        <w:rPr>
          <w:rFonts w:ascii="Arial" w:eastAsia="Arial" w:hAnsi="Arial" w:cs="Arial"/>
          <w:sz w:val="24"/>
          <w:szCs w:val="24"/>
          <w:highlight w:val="white"/>
        </w:rPr>
      </w:pPr>
      <w:bookmarkStart w:id="2" w:name="_30j0zll" w:colFirst="0" w:colLast="0"/>
      <w:bookmarkEnd w:id="2"/>
      <w:r>
        <w:rPr>
          <w:rFonts w:ascii="Arial" w:eastAsia="Arial" w:hAnsi="Arial" w:cs="Arial"/>
          <w:sz w:val="24"/>
          <w:szCs w:val="24"/>
        </w:rPr>
        <w:t xml:space="preserve">For more than 30 years neoliberalism has emerged as the dominant ideology and hegemonic force throughout western civilisation, projecting a prevalent ‘common sense’ discourse, driving systemic cultural change and shaping national government policies (Harvey, 2005; Torres, 2013; Torres and Jones, 2013).  </w:t>
      </w:r>
      <w:r>
        <w:rPr>
          <w:rFonts w:ascii="Arial" w:eastAsia="Arial" w:hAnsi="Arial" w:cs="Arial"/>
          <w:sz w:val="24"/>
          <w:szCs w:val="24"/>
          <w:highlight w:val="white"/>
        </w:rPr>
        <w:t>It has been the dominant voice of change (Brandenburg &amp; de Wit, 2011) realigning and augmenting an educational system that focuses on increasing national competitiveness, commercialism, free markets, economic wealth and property rights and redefining  students as customers (de Wit, 2002; Harvey, 2005; Knight, 2015).</w:t>
      </w:r>
      <w:r>
        <w:rPr>
          <w:rFonts w:ascii="Arial" w:eastAsia="Arial" w:hAnsi="Arial" w:cs="Arial"/>
          <w:sz w:val="24"/>
          <w:szCs w:val="24"/>
        </w:rPr>
        <w:t xml:space="preserve"> This has had a momentous and radical impact on redesigning Higher Education Institutions (HEIs) globally (Marginson, 1997; Angus </w:t>
      </w:r>
      <w:r>
        <w:rPr>
          <w:rFonts w:ascii="Arial" w:eastAsia="Arial" w:hAnsi="Arial" w:cs="Arial"/>
          <w:sz w:val="24"/>
          <w:szCs w:val="24"/>
          <w:highlight w:val="white"/>
        </w:rPr>
        <w:t>2004) realigning the educational narrative and building tensions with traditional values based on cultural exchange and mutual understanding (de Wit, 2002; Harvey, 2005; Knight, 2015).</w:t>
      </w:r>
    </w:p>
    <w:p w14:paraId="1364EF78" w14:textId="77777777" w:rsidR="008A3C75" w:rsidRDefault="004D24B2">
      <w:pPr>
        <w:spacing w:line="360" w:lineRule="auto"/>
        <w:jc w:val="both"/>
        <w:rPr>
          <w:rFonts w:ascii="Arial" w:eastAsia="Arial" w:hAnsi="Arial" w:cs="Arial"/>
          <w:sz w:val="24"/>
          <w:szCs w:val="24"/>
        </w:rPr>
      </w:pPr>
      <w:r>
        <w:rPr>
          <w:rFonts w:ascii="Arial" w:eastAsia="Arial" w:hAnsi="Arial" w:cs="Arial"/>
          <w:sz w:val="24"/>
          <w:szCs w:val="24"/>
        </w:rPr>
        <w:t xml:space="preserve">Such economic and market imperatives </w:t>
      </w:r>
      <w:r>
        <w:rPr>
          <w:rFonts w:ascii="Arial" w:eastAsia="Arial" w:hAnsi="Arial" w:cs="Arial"/>
          <w:sz w:val="24"/>
          <w:szCs w:val="24"/>
          <w:highlight w:val="white"/>
        </w:rPr>
        <w:t>have had a considerable impact on HEIs, the curriculum and those who work within them,</w:t>
      </w:r>
      <w:r>
        <w:rPr>
          <w:rFonts w:ascii="Arial" w:eastAsia="Arial" w:hAnsi="Arial" w:cs="Arial"/>
          <w:sz w:val="24"/>
          <w:szCs w:val="24"/>
        </w:rPr>
        <w:t xml:space="preserve"> reconstructing universities from educational and </w:t>
      </w:r>
      <w:r>
        <w:rPr>
          <w:rFonts w:ascii="Arial" w:eastAsia="Arial" w:hAnsi="Arial" w:cs="Arial"/>
          <w:sz w:val="24"/>
          <w:szCs w:val="24"/>
          <w:highlight w:val="white"/>
        </w:rPr>
        <w:t xml:space="preserve">cultural enablers to corporate entities that focus on competitiveness and rivalry as opposed to a cooperative approach to an international environment (Huisman &amp; van der Wende, </w:t>
      </w:r>
      <w:r>
        <w:rPr>
          <w:rFonts w:ascii="Arial" w:eastAsia="Arial" w:hAnsi="Arial" w:cs="Arial"/>
          <w:sz w:val="24"/>
          <w:szCs w:val="24"/>
        </w:rPr>
        <w:t>2005</w:t>
      </w:r>
      <w:r>
        <w:rPr>
          <w:rFonts w:ascii="Arial" w:eastAsia="Arial" w:hAnsi="Arial" w:cs="Arial"/>
          <w:sz w:val="24"/>
          <w:szCs w:val="24"/>
          <w:highlight w:val="white"/>
        </w:rPr>
        <w:t>; Knight, 2015). Driven by a managerialist agenda academics now work in a more bureaucratic and consumerist environment (Kolsaker, 2014). Such circumstances have raised debate about the nature of academic professionalism (Gibbs, 2010; Dunning, 2019) and the demands that are placed on staff and their performance (Kaur et al., 2013; Ryan, 2013) generating greater emphasis on enhancing teaching quality and student (customer) experience at the same time as cutting costs and raising  expectations of research contributions. Teacher Fellow (TF) accreditation is one example of</w:t>
      </w:r>
      <w:r>
        <w:rPr>
          <w:rFonts w:ascii="Arial" w:eastAsia="Arial" w:hAnsi="Arial" w:cs="Arial"/>
          <w:sz w:val="24"/>
          <w:szCs w:val="24"/>
        </w:rPr>
        <w:t xml:space="preserve"> how the </w:t>
      </w:r>
      <w:r>
        <w:rPr>
          <w:rFonts w:ascii="Arial" w:eastAsia="Arial" w:hAnsi="Arial" w:cs="Arial"/>
          <w:sz w:val="24"/>
          <w:szCs w:val="24"/>
        </w:rPr>
        <w:lastRenderedPageBreak/>
        <w:t xml:space="preserve">sector is attempting to develop the quality of teaching and learning, with the aim of building professional competencies through the imposition of a generic competency framework (CF) to provide a standardisation of the accreditation process.  </w:t>
      </w:r>
    </w:p>
    <w:p w14:paraId="2243825F" w14:textId="77777777" w:rsidR="008A3C75" w:rsidRDefault="004D24B2">
      <w:pPr>
        <w:spacing w:line="360" w:lineRule="auto"/>
        <w:jc w:val="both"/>
        <w:rPr>
          <w:rFonts w:ascii="Arial" w:eastAsia="Arial" w:hAnsi="Arial" w:cs="Arial"/>
          <w:sz w:val="24"/>
          <w:szCs w:val="24"/>
          <w:highlight w:val="white"/>
        </w:rPr>
      </w:pPr>
      <w:r>
        <w:rPr>
          <w:rFonts w:ascii="Arial" w:eastAsia="Arial" w:hAnsi="Arial" w:cs="Arial"/>
          <w:sz w:val="24"/>
          <w:szCs w:val="24"/>
          <w:highlight w:val="white"/>
        </w:rPr>
        <w:t xml:space="preserve">The aim of this paper is to explore the impact CFs as standardisation can have on the </w:t>
      </w:r>
      <w:r>
        <w:rPr>
          <w:rFonts w:ascii="Arial" w:eastAsia="Arial" w:hAnsi="Arial" w:cs="Arial"/>
          <w:sz w:val="24"/>
          <w:szCs w:val="24"/>
        </w:rPr>
        <w:t xml:space="preserve">employee engagement (EE) </w:t>
      </w:r>
      <w:r>
        <w:rPr>
          <w:rFonts w:ascii="Arial" w:eastAsia="Arial" w:hAnsi="Arial" w:cs="Arial"/>
          <w:sz w:val="24"/>
          <w:szCs w:val="24"/>
          <w:highlight w:val="white"/>
        </w:rPr>
        <w:t xml:space="preserve">of academic staff within HE through </w:t>
      </w:r>
      <w:r>
        <w:rPr>
          <w:rFonts w:ascii="Arial" w:eastAsia="Arial" w:hAnsi="Arial" w:cs="Arial"/>
          <w:sz w:val="24"/>
          <w:szCs w:val="24"/>
        </w:rPr>
        <w:t>their employment as managerial tools.</w:t>
      </w:r>
      <w:r>
        <w:rPr>
          <w:rFonts w:ascii="Arial" w:eastAsia="Arial" w:hAnsi="Arial" w:cs="Arial"/>
          <w:sz w:val="24"/>
          <w:szCs w:val="24"/>
          <w:highlight w:val="white"/>
        </w:rPr>
        <w:t xml:space="preserve"> At a time of </w:t>
      </w:r>
      <w:r>
        <w:rPr>
          <w:rFonts w:ascii="Arial" w:eastAsia="Arial" w:hAnsi="Arial" w:cs="Arial"/>
          <w:sz w:val="24"/>
          <w:szCs w:val="24"/>
        </w:rPr>
        <w:t>profound changes in both purpose and pedagogical practice as well as the turbulence provided by the Covid 19 crisis, we seek to explore these key concepts to enable insights to be developed and inform HRD practice.</w:t>
      </w:r>
    </w:p>
    <w:p w14:paraId="12ED3DB2" w14:textId="77777777" w:rsidR="008A3C75" w:rsidRDefault="004D24B2">
      <w:pPr>
        <w:spacing w:line="360" w:lineRule="auto"/>
        <w:jc w:val="both"/>
        <w:rPr>
          <w:rFonts w:ascii="Arial" w:eastAsia="Arial" w:hAnsi="Arial" w:cs="Arial"/>
          <w:sz w:val="24"/>
          <w:szCs w:val="24"/>
        </w:rPr>
      </w:pPr>
      <w:r>
        <w:rPr>
          <w:rFonts w:ascii="Arial" w:eastAsia="Arial" w:hAnsi="Arial" w:cs="Arial"/>
          <w:sz w:val="24"/>
          <w:szCs w:val="24"/>
          <w:highlight w:val="white"/>
        </w:rPr>
        <w:t>The paper begins by highlighting the current HE climate including backgrounds of managerialism, professionalism and pedagogy, then moves to developing a theoretical understanding of CF including the nature of the Teaching Excellence Framework outlining the principal elements of EE and the critical background factors and antecedents that can influence success.     The work concludes by providing a conceptual model surfacing the individual and organisational backgrounds and antecedents that influence HE staff engagement in professional</w:t>
      </w:r>
      <w:r>
        <w:rPr>
          <w:rFonts w:ascii="Arial" w:eastAsia="Arial" w:hAnsi="Arial" w:cs="Arial"/>
          <w:sz w:val="24"/>
          <w:szCs w:val="24"/>
        </w:rPr>
        <w:t xml:space="preserve"> development within the HE and thereby provides insight into how HRD can employ EE and CF more effectively to champion professional development within the sector.</w:t>
      </w:r>
    </w:p>
    <w:p w14:paraId="32649E92" w14:textId="77777777" w:rsidR="008A3C75" w:rsidRDefault="008A3C75">
      <w:pPr>
        <w:spacing w:line="240" w:lineRule="auto"/>
        <w:jc w:val="both"/>
        <w:rPr>
          <w:rFonts w:ascii="Arial" w:eastAsia="Arial" w:hAnsi="Arial" w:cs="Arial"/>
          <w:b/>
          <w:sz w:val="24"/>
          <w:szCs w:val="24"/>
        </w:rPr>
      </w:pPr>
    </w:p>
    <w:p w14:paraId="592416C3" w14:textId="77777777" w:rsidR="008A3C75" w:rsidRDefault="004D24B2">
      <w:pPr>
        <w:spacing w:line="240" w:lineRule="auto"/>
        <w:jc w:val="both"/>
        <w:rPr>
          <w:rFonts w:ascii="Arial" w:eastAsia="Arial" w:hAnsi="Arial" w:cs="Arial"/>
          <w:b/>
          <w:sz w:val="24"/>
          <w:szCs w:val="24"/>
        </w:rPr>
      </w:pPr>
      <w:r>
        <w:rPr>
          <w:rFonts w:ascii="Arial" w:eastAsia="Arial" w:hAnsi="Arial" w:cs="Arial"/>
          <w:b/>
          <w:sz w:val="24"/>
          <w:szCs w:val="24"/>
        </w:rPr>
        <w:t xml:space="preserve">HE Climate &amp; Managerialism </w:t>
      </w:r>
    </w:p>
    <w:p w14:paraId="588A1ADE" w14:textId="77777777" w:rsidR="008A3C75" w:rsidRDefault="004D24B2">
      <w:pPr>
        <w:spacing w:line="360" w:lineRule="auto"/>
        <w:jc w:val="both"/>
        <w:rPr>
          <w:rFonts w:ascii="Arial" w:eastAsia="Arial" w:hAnsi="Arial" w:cs="Arial"/>
          <w:sz w:val="24"/>
          <w:szCs w:val="24"/>
        </w:rPr>
      </w:pPr>
      <w:r>
        <w:rPr>
          <w:rFonts w:ascii="Arial" w:eastAsia="Arial" w:hAnsi="Arial" w:cs="Arial"/>
          <w:sz w:val="24"/>
          <w:szCs w:val="24"/>
        </w:rPr>
        <w:t xml:space="preserve">Over the last 50 years there has been much debate in HE regarding the attempt to create greater regulation of the sector, such as Government White (1972, 1991, 2011, 2016) and Green Papers (2003, 2015, 2017), and legislation such as the Higher Education and Research Act, 2017 (Education England, 1997; Leach, 2019). Different Governments have intervened in various ways which has caused changes in the HE sector to be mercurial in nature. In a desire to improve the sector, a market environment has been created with regard to tuition fees, research income </w:t>
      </w:r>
      <w:r>
        <w:rPr>
          <w:rFonts w:ascii="Arial" w:eastAsia="Arial" w:hAnsi="Arial" w:cs="Arial"/>
          <w:sz w:val="24"/>
          <w:szCs w:val="24"/>
          <w:highlight w:val="white"/>
        </w:rPr>
        <w:t>(</w:t>
      </w:r>
      <w:r>
        <w:rPr>
          <w:rFonts w:ascii="Arial" w:eastAsia="Arial" w:hAnsi="Arial" w:cs="Arial"/>
          <w:sz w:val="24"/>
          <w:szCs w:val="24"/>
        </w:rPr>
        <w:t>HEFCE</w:t>
      </w:r>
      <w:r>
        <w:rPr>
          <w:rFonts w:ascii="Arial" w:eastAsia="Arial" w:hAnsi="Arial" w:cs="Arial"/>
          <w:sz w:val="24"/>
          <w:szCs w:val="24"/>
          <w:highlight w:val="white"/>
        </w:rPr>
        <w:t xml:space="preserve">, 2014), </w:t>
      </w:r>
      <w:r>
        <w:rPr>
          <w:rFonts w:ascii="Arial" w:eastAsia="Arial" w:hAnsi="Arial" w:cs="Arial"/>
          <w:sz w:val="24"/>
          <w:szCs w:val="24"/>
        </w:rPr>
        <w:t xml:space="preserve">and teaching standards. In order to remain competitive universities have </w:t>
      </w:r>
      <w:r>
        <w:rPr>
          <w:rFonts w:ascii="Arial" w:eastAsia="Arial" w:hAnsi="Arial" w:cs="Arial"/>
          <w:sz w:val="24"/>
          <w:szCs w:val="24"/>
          <w:highlight w:val="white"/>
        </w:rPr>
        <w:t>increased</w:t>
      </w:r>
      <w:r>
        <w:rPr>
          <w:rFonts w:ascii="Arial" w:eastAsia="Arial" w:hAnsi="Arial" w:cs="Arial"/>
          <w:sz w:val="24"/>
          <w:szCs w:val="24"/>
        </w:rPr>
        <w:t xml:space="preserve"> emphasis on the quality of teaching and student experience. Consequently, Universities require staff to gain doctorate qualifications, engage in more research and become professionally accredited as Teacher Fellows </w:t>
      </w:r>
      <w:r>
        <w:rPr>
          <w:rFonts w:ascii="Arial" w:eastAsia="Arial" w:hAnsi="Arial" w:cs="Arial"/>
          <w:sz w:val="24"/>
          <w:szCs w:val="24"/>
          <w:highlight w:val="white"/>
        </w:rPr>
        <w:t>through the implementation of the UKPSF (UK Professional Standards Framework) (HEA, 2015</w:t>
      </w:r>
      <w:r>
        <w:rPr>
          <w:rFonts w:ascii="Arial" w:eastAsia="Arial" w:hAnsi="Arial" w:cs="Arial"/>
          <w:b/>
          <w:sz w:val="24"/>
          <w:szCs w:val="24"/>
          <w:highlight w:val="white"/>
        </w:rPr>
        <w:t xml:space="preserve">; </w:t>
      </w:r>
      <w:r>
        <w:rPr>
          <w:rFonts w:ascii="Arial" w:eastAsia="Arial" w:hAnsi="Arial" w:cs="Arial"/>
          <w:sz w:val="24"/>
          <w:szCs w:val="24"/>
          <w:highlight w:val="white"/>
        </w:rPr>
        <w:t xml:space="preserve">Thornton, 2014). </w:t>
      </w:r>
      <w:r>
        <w:rPr>
          <w:rFonts w:ascii="Arial" w:eastAsia="Arial" w:hAnsi="Arial" w:cs="Arial"/>
          <w:sz w:val="24"/>
          <w:szCs w:val="24"/>
        </w:rPr>
        <w:t xml:space="preserve">This in turn has </w:t>
      </w:r>
      <w:r>
        <w:rPr>
          <w:rFonts w:ascii="Arial" w:eastAsia="Arial" w:hAnsi="Arial" w:cs="Arial"/>
          <w:sz w:val="24"/>
          <w:szCs w:val="24"/>
        </w:rPr>
        <w:lastRenderedPageBreak/>
        <w:t>caused stress levels and performance in academic roles to be of considerable concern (Kaur et al., 2013; Ryan, 2013).</w:t>
      </w:r>
    </w:p>
    <w:p w14:paraId="4535A34B" w14:textId="3EE5A0A3" w:rsidR="008A3C75" w:rsidRDefault="004D24B2">
      <w:pPr>
        <w:spacing w:line="360" w:lineRule="auto"/>
        <w:jc w:val="both"/>
        <w:rPr>
          <w:rFonts w:ascii="Arial" w:eastAsia="Arial" w:hAnsi="Arial" w:cs="Arial"/>
          <w:sz w:val="24"/>
          <w:szCs w:val="24"/>
          <w:highlight w:val="white"/>
        </w:rPr>
      </w:pPr>
      <w:r>
        <w:rPr>
          <w:rFonts w:ascii="Arial" w:eastAsia="Arial" w:hAnsi="Arial" w:cs="Arial"/>
          <w:sz w:val="24"/>
          <w:szCs w:val="24"/>
        </w:rPr>
        <w:t>The Government</w:t>
      </w:r>
      <w:r w:rsidR="0016363D">
        <w:rPr>
          <w:rFonts w:ascii="Arial" w:eastAsia="Arial" w:hAnsi="Arial" w:cs="Arial"/>
          <w:sz w:val="24"/>
          <w:szCs w:val="24"/>
        </w:rPr>
        <w:t>’s</w:t>
      </w:r>
      <w:r>
        <w:rPr>
          <w:rFonts w:ascii="Arial" w:eastAsia="Arial" w:hAnsi="Arial" w:cs="Arial"/>
          <w:sz w:val="24"/>
          <w:szCs w:val="24"/>
        </w:rPr>
        <w:t xml:space="preserve"> </w:t>
      </w:r>
      <w:r w:rsidR="0016363D">
        <w:rPr>
          <w:rFonts w:ascii="Arial" w:eastAsia="Arial" w:hAnsi="Arial" w:cs="Arial"/>
          <w:sz w:val="24"/>
          <w:szCs w:val="24"/>
        </w:rPr>
        <w:t xml:space="preserve">financial squeeze resulted </w:t>
      </w:r>
      <w:r>
        <w:rPr>
          <w:rFonts w:ascii="Arial" w:eastAsia="Arial" w:hAnsi="Arial" w:cs="Arial"/>
          <w:sz w:val="24"/>
          <w:szCs w:val="24"/>
        </w:rPr>
        <w:t>i</w:t>
      </w:r>
      <w:r w:rsidR="0016363D">
        <w:rPr>
          <w:rFonts w:ascii="Arial" w:eastAsia="Arial" w:hAnsi="Arial" w:cs="Arial"/>
          <w:sz w:val="24"/>
          <w:szCs w:val="24"/>
        </w:rPr>
        <w:t xml:space="preserve">n </w:t>
      </w:r>
      <w:r>
        <w:rPr>
          <w:rFonts w:ascii="Arial" w:eastAsia="Arial" w:hAnsi="Arial" w:cs="Arial"/>
          <w:sz w:val="24"/>
          <w:szCs w:val="24"/>
        </w:rPr>
        <w:t>t</w:t>
      </w:r>
      <w:r>
        <w:rPr>
          <w:rFonts w:ascii="Arial" w:eastAsia="Arial" w:hAnsi="Arial" w:cs="Arial"/>
          <w:sz w:val="24"/>
          <w:szCs w:val="24"/>
          <w:highlight w:val="white"/>
        </w:rPr>
        <w:t>eaching budgets being cut by 40% in HEIs in England in 2010 and tuition fees rising to £9,000 per annum resulting in redundancies (</w:t>
      </w:r>
      <w:r>
        <w:rPr>
          <w:rFonts w:ascii="Arial" w:eastAsia="Arial" w:hAnsi="Arial" w:cs="Arial"/>
          <w:sz w:val="24"/>
          <w:szCs w:val="24"/>
        </w:rPr>
        <w:t>Prospects, 2014)</w:t>
      </w:r>
      <w:r>
        <w:rPr>
          <w:rFonts w:ascii="Arial" w:eastAsia="Arial" w:hAnsi="Arial" w:cs="Arial"/>
          <w:sz w:val="24"/>
          <w:szCs w:val="24"/>
          <w:highlight w:val="white"/>
        </w:rPr>
        <w:t xml:space="preserve">. In 2016/17, a third of academic staff were employed on fixed term contracts although the University and College Union (UCU) estimates it to be closer to a half (Loveday, 2018). </w:t>
      </w:r>
    </w:p>
    <w:p w14:paraId="35C65C9F" w14:textId="77777777" w:rsidR="008A3C75" w:rsidRDefault="004D24B2">
      <w:pPr>
        <w:spacing w:line="360" w:lineRule="auto"/>
        <w:jc w:val="both"/>
        <w:rPr>
          <w:rFonts w:ascii="Arial" w:eastAsia="Arial" w:hAnsi="Arial" w:cs="Arial"/>
          <w:sz w:val="24"/>
          <w:szCs w:val="24"/>
        </w:rPr>
      </w:pPr>
      <w:r>
        <w:rPr>
          <w:rFonts w:ascii="Arial" w:eastAsia="Arial" w:hAnsi="Arial" w:cs="Arial"/>
          <w:sz w:val="24"/>
          <w:szCs w:val="24"/>
        </w:rPr>
        <w:t>A rise in fees for courses has implications on the ‘value for money’ expectations by students which is underpinned and validated by managerialist tools such as National Student Satisfaction surveys. HEIs have not, so far, had to demonstrate professional standards in the same way that schools and the Further Education sector have had to do (Evans, 2011) although this does appear to be changing with the introduction of audits of research and teaching excellence (HERA, 2017). Student outcomes are affected by the teacher, and students do care about the quality of the teaching they receive (Gibbs, 2010), which is the essence of good pedagogical practices. Consequently, the HEA, universities, students, parents and the Government are interested in teaching quality and the necessary development of the intellectual capital of student facing staff.</w:t>
      </w:r>
    </w:p>
    <w:p w14:paraId="15DC1A94" w14:textId="77777777" w:rsidR="008A3C75" w:rsidRDefault="004D24B2">
      <w:pPr>
        <w:spacing w:line="360" w:lineRule="auto"/>
        <w:jc w:val="both"/>
        <w:rPr>
          <w:rFonts w:ascii="Arial" w:eastAsia="Arial" w:hAnsi="Arial" w:cs="Arial"/>
          <w:sz w:val="24"/>
          <w:szCs w:val="24"/>
        </w:rPr>
      </w:pPr>
      <w:r>
        <w:rPr>
          <w:rFonts w:ascii="Arial" w:eastAsia="Arial" w:hAnsi="Arial" w:cs="Arial"/>
          <w:sz w:val="24"/>
          <w:szCs w:val="24"/>
        </w:rPr>
        <w:t xml:space="preserve">Students and parents are also interested in the performance of this education market and official statistics are made easily accessible to enable comparisons and judgements to be made. For example, the Higher Education Statistics Agency (HESA) provides information on students, courses and qualifications, graduate outcomes and income and expenditure of HEIs (HESA, 2011). HESA data is also used to compile the annual performance indicators which provide comparative data on the performance of HEIs in widening participation, student retention, learning and teaching outcomes, research output and employment of graduates often referred to as league tables (ibid.). Other bodies such as the Universities and Colleges Admissions Service (UCAS) and the Student Loans Company (SLC) also collect data on other aspects of higher education. The National Student Survey (NSS) provides data of final year students’ experience of their course and since September 2012, all UK HEIs have been required to publish a standard set of data on their websites known as the Key Information Sets (KIS) (Gibbs, 2012). </w:t>
      </w:r>
    </w:p>
    <w:p w14:paraId="37F458F0" w14:textId="77777777" w:rsidR="008A3C75" w:rsidRDefault="004D24B2">
      <w:pPr>
        <w:spacing w:line="360" w:lineRule="auto"/>
        <w:jc w:val="both"/>
        <w:rPr>
          <w:rFonts w:ascii="Arial" w:eastAsia="Arial" w:hAnsi="Arial" w:cs="Arial"/>
          <w:sz w:val="24"/>
          <w:szCs w:val="24"/>
        </w:rPr>
      </w:pPr>
      <w:r>
        <w:rPr>
          <w:rFonts w:ascii="Arial" w:eastAsia="Arial" w:hAnsi="Arial" w:cs="Arial"/>
          <w:sz w:val="24"/>
          <w:szCs w:val="24"/>
        </w:rPr>
        <w:t xml:space="preserve">Such data indicates that the sector is moving more to one of consumers of education in a competitive market raising comments that the aim of the 2011 White paper was to </w:t>
      </w:r>
      <w:r>
        <w:rPr>
          <w:rFonts w:ascii="Arial" w:eastAsia="Arial" w:hAnsi="Arial" w:cs="Arial"/>
          <w:sz w:val="24"/>
          <w:szCs w:val="24"/>
        </w:rPr>
        <w:lastRenderedPageBreak/>
        <w:t xml:space="preserve">transform students into consumers from learners (Wolfrey, 2011) which has now been embodied in law in the Higher Education &amp; Research Act, 2017 (BIS, 2018). Wolfrey (2011) claims that improvement in teaching is framed in recommendations in the White Paper (2016), around amassing data about it but is lacking in detail and does not explain how class sizes will be reduced or how contact between academics and students might be improved or more resources directed into teaching. This changing status of learners and their relationship to teaching staff is a concern to academic staff regarding resources to deliver an effective service to students, suggesting the new institutions will be merely information providers rather than educators or even mere conduits of government propaganda (Jarvis, 2014).  </w:t>
      </w:r>
    </w:p>
    <w:p w14:paraId="3404B95E" w14:textId="77777777" w:rsidR="008A3C75" w:rsidRDefault="004D24B2">
      <w:pPr>
        <w:spacing w:line="360" w:lineRule="auto"/>
        <w:jc w:val="both"/>
        <w:rPr>
          <w:rFonts w:ascii="Arial" w:eastAsia="Arial" w:hAnsi="Arial" w:cs="Arial"/>
          <w:sz w:val="24"/>
          <w:szCs w:val="24"/>
        </w:rPr>
      </w:pPr>
      <w:r>
        <w:rPr>
          <w:rFonts w:ascii="Arial" w:eastAsia="Arial" w:hAnsi="Arial" w:cs="Arial"/>
          <w:sz w:val="24"/>
          <w:szCs w:val="24"/>
        </w:rPr>
        <w:t xml:space="preserve">The problem is that marketisation and economic performance criteria can devalue and undermine the totality of the learning experience and its intellectual, political and personal transformative effect with a focus towards social good, further undermining the professional role of the teacher and the nature of good pedagogical practice.  Such strategies can undermine the traditional pedagogical roles of tutors and universities, decreasing active learning and deter innovation in teaching practice (Naidoo and Williams 2005). It further undermines a pedagogy that brings society closer to promote social justice, one that recognises professional knowledge, values and attitudes as paramount. </w:t>
      </w:r>
    </w:p>
    <w:p w14:paraId="34481E3F" w14:textId="77777777" w:rsidR="008A3C75" w:rsidRDefault="004D24B2">
      <w:pPr>
        <w:spacing w:line="360" w:lineRule="auto"/>
        <w:jc w:val="both"/>
        <w:rPr>
          <w:rFonts w:ascii="Arial" w:eastAsia="Arial" w:hAnsi="Arial" w:cs="Arial"/>
          <w:sz w:val="24"/>
          <w:szCs w:val="24"/>
        </w:rPr>
      </w:pPr>
      <w:r>
        <w:rPr>
          <w:rFonts w:ascii="Arial" w:eastAsia="Arial" w:hAnsi="Arial" w:cs="Arial"/>
          <w:sz w:val="24"/>
          <w:szCs w:val="24"/>
        </w:rPr>
        <w:t xml:space="preserve">This has not been without consequence as the anxiety felt by academic staff brought about by an increasingly competitive environment and compliance through governance resulted in unprecedented strike action (Loveday, 2018).  Such factors clearly affect academic staff’s ability to engage in professional development (Thornton, 2014). </w:t>
      </w:r>
    </w:p>
    <w:p w14:paraId="4DBD1B39" w14:textId="77777777" w:rsidR="008A3C75" w:rsidRDefault="004D24B2">
      <w:pPr>
        <w:spacing w:line="360" w:lineRule="auto"/>
        <w:jc w:val="both"/>
        <w:rPr>
          <w:rFonts w:ascii="Arial" w:eastAsia="Arial" w:hAnsi="Arial" w:cs="Arial"/>
          <w:sz w:val="24"/>
          <w:szCs w:val="24"/>
        </w:rPr>
      </w:pPr>
      <w:r>
        <w:rPr>
          <w:rFonts w:ascii="Arial" w:eastAsia="Arial" w:hAnsi="Arial" w:cs="Arial"/>
          <w:b/>
          <w:sz w:val="24"/>
          <w:szCs w:val="24"/>
        </w:rPr>
        <w:t>Methodology</w:t>
      </w:r>
    </w:p>
    <w:p w14:paraId="6ACA265B" w14:textId="77777777" w:rsidR="008A3C75" w:rsidRDefault="004D24B2">
      <w:pPr>
        <w:spacing w:line="360" w:lineRule="auto"/>
        <w:jc w:val="both"/>
        <w:rPr>
          <w:rFonts w:ascii="Arial" w:eastAsia="Arial" w:hAnsi="Arial" w:cs="Arial"/>
          <w:sz w:val="24"/>
          <w:szCs w:val="24"/>
        </w:rPr>
      </w:pPr>
      <w:r>
        <w:rPr>
          <w:rFonts w:ascii="Arial" w:eastAsia="Arial" w:hAnsi="Arial" w:cs="Arial"/>
          <w:sz w:val="24"/>
          <w:szCs w:val="24"/>
        </w:rPr>
        <w:t>We employ Critical HRD (CHRD) following the tradition of critical management studies (Alvesson and Wilmott, 1996), CHRD provides a critical conceptual framework that acknowledges managements social and political power highlighting the needs for moral defensibility and social justice (Fenwick, 2004).  CHRD provides an alternate interpretivist epistemological approach (Valentin, 2005) that fosters insights, provides critique and creates transformative redefinitions of the lived HRD experience; exposing messy and complex issues (Sambrook, 2007) in training and development, talent management, organizational and work based learning and wellbeing.</w:t>
      </w:r>
    </w:p>
    <w:p w14:paraId="682E6A4A" w14:textId="77777777" w:rsidR="008A3C75" w:rsidRDefault="004D24B2">
      <w:pPr>
        <w:spacing w:line="360" w:lineRule="auto"/>
        <w:jc w:val="both"/>
        <w:rPr>
          <w:rFonts w:ascii="Arial" w:eastAsia="Arial" w:hAnsi="Arial" w:cs="Arial"/>
          <w:sz w:val="24"/>
          <w:szCs w:val="24"/>
        </w:rPr>
      </w:pPr>
      <w:r>
        <w:rPr>
          <w:rFonts w:ascii="Arial" w:eastAsia="Arial" w:hAnsi="Arial" w:cs="Arial"/>
          <w:sz w:val="24"/>
          <w:szCs w:val="24"/>
        </w:rPr>
        <w:lastRenderedPageBreak/>
        <w:t>A challenging approach moving beyond performative leaning, but essential if HRD is to retain its relevance (Short, et al., 2003).</w:t>
      </w:r>
    </w:p>
    <w:p w14:paraId="57B09530" w14:textId="77777777" w:rsidR="008A3C75" w:rsidRDefault="004D24B2">
      <w:pPr>
        <w:spacing w:line="360" w:lineRule="auto"/>
        <w:jc w:val="both"/>
        <w:rPr>
          <w:rFonts w:ascii="Arial" w:eastAsia="Arial" w:hAnsi="Arial" w:cs="Arial"/>
          <w:b/>
          <w:sz w:val="24"/>
          <w:szCs w:val="24"/>
          <w:highlight w:val="white"/>
        </w:rPr>
      </w:pPr>
      <w:r>
        <w:rPr>
          <w:rFonts w:ascii="Arial" w:eastAsia="Arial" w:hAnsi="Arial" w:cs="Arial"/>
          <w:b/>
          <w:sz w:val="24"/>
          <w:szCs w:val="24"/>
          <w:highlight w:val="white"/>
        </w:rPr>
        <w:t>Competency Frameworks</w:t>
      </w:r>
    </w:p>
    <w:p w14:paraId="2C583964" w14:textId="77777777" w:rsidR="008A3C75" w:rsidRDefault="004D24B2">
      <w:pPr>
        <w:spacing w:line="360" w:lineRule="auto"/>
        <w:jc w:val="both"/>
        <w:rPr>
          <w:rFonts w:ascii="Arial" w:eastAsia="Arial" w:hAnsi="Arial" w:cs="Arial"/>
          <w:sz w:val="24"/>
          <w:szCs w:val="24"/>
          <w:highlight w:val="white"/>
        </w:rPr>
      </w:pPr>
      <w:r>
        <w:rPr>
          <w:rFonts w:ascii="Arial" w:eastAsia="Arial" w:hAnsi="Arial" w:cs="Arial"/>
          <w:sz w:val="24"/>
          <w:szCs w:val="24"/>
          <w:highlight w:val="white"/>
        </w:rPr>
        <w:t xml:space="preserve">CF aim to reinforce competency-based practices which are management tool for people selection, retention, and development. Competency can be seen as knowledge, skills and attitudes that enable effective performance of a given occupation (Klein et al., 2004). CF identify these skills, knowledge, behaviours, personal characteristics and motivations associated with competency, within a given role.  Setting them within a framework and adopting a systemic measuring device enables expectations of individual competency to be articulated and aligned with the organisation’s strategic objectives (Briggs, 2012). It also enables the organisation to identify development challenges for their staff.  </w:t>
      </w:r>
    </w:p>
    <w:p w14:paraId="4F9E7AD5" w14:textId="77777777" w:rsidR="008A3C75" w:rsidRDefault="004D24B2">
      <w:pPr>
        <w:spacing w:line="360" w:lineRule="auto"/>
        <w:jc w:val="both"/>
        <w:rPr>
          <w:rFonts w:ascii="Arial" w:eastAsia="Arial" w:hAnsi="Arial" w:cs="Arial"/>
          <w:sz w:val="24"/>
          <w:szCs w:val="24"/>
          <w:highlight w:val="white"/>
        </w:rPr>
      </w:pPr>
      <w:r>
        <w:rPr>
          <w:rFonts w:ascii="Arial" w:eastAsia="Arial" w:hAnsi="Arial" w:cs="Arial"/>
          <w:sz w:val="24"/>
          <w:szCs w:val="24"/>
          <w:highlight w:val="white"/>
        </w:rPr>
        <w:t>Selznick (1949) &amp; Sullivan (2000) identified that CFs can link to professional status, therefore if an employee wants to enhance their professional status, they are likely to be more motivated to enhance their capabilities, proficiency, motivation and performance which in turn enhances organisational success. Therefore, effective EE is essential but so is providing opportunities for professional development (Valentin, 2014; Fairlie, 2011).   In relation to creating HEI programmes to develop competence, Lester (2009, p10) defines capability as “conventional competence; academic ability, discipline-based knowledge and where appropriate occupational or professional competence” opening the potential for the UK government to introduce professional ‘teacher fellow’ accreditation and frameworks for academic compliance.</w:t>
      </w:r>
    </w:p>
    <w:p w14:paraId="0DDB1E7D" w14:textId="0A506F26" w:rsidR="008A3C75" w:rsidRDefault="004D24B2">
      <w:pPr>
        <w:spacing w:line="360" w:lineRule="auto"/>
        <w:jc w:val="both"/>
        <w:rPr>
          <w:rFonts w:ascii="Arial" w:eastAsia="Arial" w:hAnsi="Arial" w:cs="Arial"/>
          <w:sz w:val="24"/>
          <w:szCs w:val="24"/>
        </w:rPr>
      </w:pPr>
      <w:r>
        <w:rPr>
          <w:rFonts w:ascii="Arial" w:eastAsia="Arial" w:hAnsi="Arial" w:cs="Arial"/>
          <w:sz w:val="24"/>
          <w:szCs w:val="24"/>
        </w:rPr>
        <w:t>For example, the Royal College of Physicians and Surgeons of Canada introduced CANMEDS</w:t>
      </w:r>
      <w:r>
        <w:rPr>
          <w:rFonts w:ascii="Arial" w:eastAsia="Arial" w:hAnsi="Arial" w:cs="Arial"/>
          <w:i/>
          <w:sz w:val="24"/>
          <w:szCs w:val="24"/>
        </w:rPr>
        <w:t xml:space="preserve"> </w:t>
      </w:r>
      <w:r>
        <w:rPr>
          <w:rFonts w:ascii="Arial" w:eastAsia="Arial" w:hAnsi="Arial" w:cs="Arial"/>
          <w:sz w:val="24"/>
          <w:szCs w:val="24"/>
        </w:rPr>
        <w:t xml:space="preserve">in 1990 </w:t>
      </w:r>
      <w:r>
        <w:rPr>
          <w:rFonts w:ascii="Arial" w:eastAsia="Arial" w:hAnsi="Arial" w:cs="Arial"/>
          <w:i/>
          <w:sz w:val="24"/>
          <w:szCs w:val="24"/>
        </w:rPr>
        <w:t>“a national, needs based, outcome oriented, CF”</w:t>
      </w:r>
      <w:r>
        <w:rPr>
          <w:rFonts w:ascii="Arial" w:eastAsia="Arial" w:hAnsi="Arial" w:cs="Arial"/>
          <w:sz w:val="24"/>
          <w:szCs w:val="24"/>
        </w:rPr>
        <w:t xml:space="preserve"> (Frank &amp; Danoff, 2007, p 642), offering parallels to UK HEIs driving accountability and professional compliance. However, 11 years after implementation, it was recommended that effective change management strategies should be employed to support this process and that outcomes-based education was challenging and required deeper cultural paradigm shifts (ibid. 2007). This was echoed in the UK at the University of Huddersfield, where effective change management principles and consultation were seen as important success factors for implementation of the UKPSF (Thornton, 2014), demonstrating the need for greater understanding of the nature of the profession, the institution and the uniqueness of higher education participants. </w:t>
      </w:r>
    </w:p>
    <w:p w14:paraId="2A2D6479" w14:textId="3DDE5B67" w:rsidR="008A3C75" w:rsidRPr="00EB7484" w:rsidRDefault="004D24B2">
      <w:pPr>
        <w:spacing w:line="360" w:lineRule="auto"/>
        <w:jc w:val="both"/>
        <w:rPr>
          <w:rFonts w:ascii="Arial" w:eastAsia="Arial" w:hAnsi="Arial" w:cs="Arial"/>
          <w:color w:val="00B050"/>
          <w:sz w:val="24"/>
          <w:szCs w:val="24"/>
        </w:rPr>
      </w:pPr>
      <w:r>
        <w:rPr>
          <w:rFonts w:ascii="Arial" w:eastAsia="Arial" w:hAnsi="Arial" w:cs="Arial"/>
          <w:b/>
          <w:sz w:val="24"/>
          <w:szCs w:val="24"/>
          <w:highlight w:val="white"/>
        </w:rPr>
        <w:lastRenderedPageBreak/>
        <w:t>Teaching Excellence Framework</w:t>
      </w:r>
      <w:r w:rsidR="00291BD8">
        <w:rPr>
          <w:rFonts w:ascii="Arial" w:eastAsia="Arial" w:hAnsi="Arial" w:cs="Arial"/>
          <w:b/>
          <w:sz w:val="24"/>
          <w:szCs w:val="24"/>
        </w:rPr>
        <w:t xml:space="preserve"> (TEF</w:t>
      </w:r>
    </w:p>
    <w:p w14:paraId="2A743F3D" w14:textId="77777777" w:rsidR="008A3C75" w:rsidRDefault="004D24B2">
      <w:pPr>
        <w:spacing w:line="360" w:lineRule="auto"/>
        <w:jc w:val="both"/>
        <w:rPr>
          <w:rFonts w:ascii="Arial" w:eastAsia="Arial" w:hAnsi="Arial" w:cs="Arial"/>
          <w:sz w:val="24"/>
          <w:szCs w:val="24"/>
        </w:rPr>
      </w:pPr>
      <w:r>
        <w:rPr>
          <w:rFonts w:ascii="Arial" w:eastAsia="Arial" w:hAnsi="Arial" w:cs="Arial"/>
          <w:sz w:val="24"/>
          <w:szCs w:val="24"/>
        </w:rPr>
        <w:t xml:space="preserve">Teacher Fellow accreditation is a CF compatible with the training model of Continued Professional Development (CPD), a standards-based view of teacher development </w:t>
      </w:r>
      <w:r>
        <w:rPr>
          <w:rFonts w:ascii="Arial" w:eastAsia="Arial" w:hAnsi="Arial" w:cs="Arial"/>
          <w:i/>
          <w:sz w:val="24"/>
          <w:szCs w:val="24"/>
        </w:rPr>
        <w:t>“where teachers strive to demonstrate particular skills specified in a nationally agreed standard. The model supports a high degree of central control, often veiled as quality assurance, where the focus is firmly on coherence and standardisation”</w:t>
      </w:r>
      <w:r>
        <w:rPr>
          <w:rFonts w:ascii="Arial" w:eastAsia="Arial" w:hAnsi="Arial" w:cs="Arial"/>
          <w:sz w:val="24"/>
          <w:szCs w:val="24"/>
        </w:rPr>
        <w:t xml:space="preserve"> (Kennedy, 2005 p237). Professional accreditation is achieved through assessment of a set of professional competencies using the UKPSF framework for Teacher Fellow (TF) recognition. It describes the competencies and values expected of University staff (HEA, 2012). These professional standards came about as part of HE reforms proposed in the DfES White Paper “The Future of Higher Education” (2003).  </w:t>
      </w:r>
    </w:p>
    <w:p w14:paraId="48AAD35D" w14:textId="31738A0C" w:rsidR="008A3C75" w:rsidRPr="00EB7484" w:rsidRDefault="004D24B2">
      <w:pPr>
        <w:spacing w:line="360" w:lineRule="auto"/>
        <w:jc w:val="both"/>
        <w:rPr>
          <w:rFonts w:ascii="Arial" w:eastAsia="Arial" w:hAnsi="Arial" w:cs="Arial"/>
          <w:color w:val="00B050"/>
          <w:sz w:val="24"/>
          <w:szCs w:val="24"/>
        </w:rPr>
      </w:pPr>
      <w:r w:rsidRPr="00EB7484">
        <w:rPr>
          <w:rFonts w:ascii="Arial" w:eastAsia="Arial" w:hAnsi="Arial" w:cs="Arial"/>
          <w:color w:val="00B050"/>
          <w:sz w:val="24"/>
          <w:szCs w:val="24"/>
        </w:rPr>
        <w:t>TEF was introduced following the Higher Education &amp; Research Act, 2017 and aimed to establish new regulatory governance arrangements enabling HE to become more equipped to meet the needs of students and responsive market forces (DBIS, 2016).  The focus is towards transparency by providing more extensive information on the quality of HE provisions so as to better inform students’ choices regarding where, what and how to study.  Furthermore</w:t>
      </w:r>
      <w:r w:rsidR="00A751C2" w:rsidRPr="00EB7484">
        <w:rPr>
          <w:rFonts w:ascii="Arial" w:eastAsia="Arial" w:hAnsi="Arial" w:cs="Arial"/>
          <w:color w:val="00B050"/>
          <w:sz w:val="24"/>
          <w:szCs w:val="24"/>
        </w:rPr>
        <w:t>,</w:t>
      </w:r>
      <w:r w:rsidRPr="00EB7484">
        <w:rPr>
          <w:rFonts w:ascii="Arial" w:eastAsia="Arial" w:hAnsi="Arial" w:cs="Arial"/>
          <w:color w:val="00B050"/>
          <w:sz w:val="24"/>
          <w:szCs w:val="24"/>
        </w:rPr>
        <w:t xml:space="preserve"> the framework aims to recognise</w:t>
      </w:r>
      <w:r w:rsidR="00867378" w:rsidRPr="00EB7484">
        <w:rPr>
          <w:rFonts w:ascii="Arial" w:eastAsia="Arial" w:hAnsi="Arial" w:cs="Arial"/>
          <w:color w:val="00B050"/>
          <w:sz w:val="24"/>
          <w:szCs w:val="24"/>
        </w:rPr>
        <w:t xml:space="preserve"> </w:t>
      </w:r>
      <w:r w:rsidRPr="00EB7484">
        <w:rPr>
          <w:rFonts w:ascii="Arial" w:eastAsia="Arial" w:hAnsi="Arial" w:cs="Arial"/>
          <w:color w:val="00B050"/>
          <w:sz w:val="24"/>
          <w:szCs w:val="24"/>
        </w:rPr>
        <w:t>and reward excellent teaching and thereby raise the quality of teaching (DBIS, 2015) and the esteem of the HE teaching profession</w:t>
      </w:r>
      <w:r w:rsidR="00867378" w:rsidRPr="00EB7484">
        <w:rPr>
          <w:rFonts w:ascii="Arial" w:eastAsia="Arial" w:hAnsi="Arial" w:cs="Arial"/>
          <w:color w:val="00B050"/>
          <w:sz w:val="24"/>
          <w:szCs w:val="24"/>
        </w:rPr>
        <w:t xml:space="preserve"> and fi</w:t>
      </w:r>
      <w:r w:rsidRPr="00EB7484">
        <w:rPr>
          <w:rFonts w:ascii="Arial" w:eastAsia="Arial" w:hAnsi="Arial" w:cs="Arial"/>
          <w:color w:val="00B050"/>
          <w:sz w:val="24"/>
          <w:szCs w:val="24"/>
        </w:rPr>
        <w:t>nally, enabl</w:t>
      </w:r>
      <w:r w:rsidR="00A751C2" w:rsidRPr="00EB7484">
        <w:rPr>
          <w:rFonts w:ascii="Arial" w:eastAsia="Arial" w:hAnsi="Arial" w:cs="Arial"/>
          <w:color w:val="00B050"/>
          <w:sz w:val="24"/>
          <w:szCs w:val="24"/>
        </w:rPr>
        <w:t>e</w:t>
      </w:r>
      <w:r w:rsidRPr="00EB7484">
        <w:rPr>
          <w:rFonts w:ascii="Arial" w:eastAsia="Arial" w:hAnsi="Arial" w:cs="Arial"/>
          <w:color w:val="00B050"/>
          <w:sz w:val="24"/>
          <w:szCs w:val="24"/>
        </w:rPr>
        <w:t xml:space="preserve"> HE to better meet the needs of employers, business, industry and the professions (HEFCE, 2016)</w:t>
      </w:r>
      <w:r w:rsidR="00E7568F" w:rsidRPr="00EB7484">
        <w:rPr>
          <w:rFonts w:ascii="Arial" w:eastAsia="Arial" w:hAnsi="Arial" w:cs="Arial"/>
          <w:color w:val="00B050"/>
          <w:sz w:val="24"/>
          <w:szCs w:val="24"/>
        </w:rPr>
        <w:t>.</w:t>
      </w:r>
    </w:p>
    <w:p w14:paraId="5C7B6635" w14:textId="77777777" w:rsidR="008A3C75" w:rsidRDefault="004D24B2">
      <w:pPr>
        <w:spacing w:line="360" w:lineRule="auto"/>
        <w:jc w:val="both"/>
        <w:rPr>
          <w:rFonts w:ascii="Arial" w:eastAsia="Arial" w:hAnsi="Arial" w:cs="Arial"/>
          <w:sz w:val="24"/>
          <w:szCs w:val="24"/>
          <w:highlight w:val="white"/>
        </w:rPr>
      </w:pPr>
      <w:r>
        <w:rPr>
          <w:rFonts w:ascii="Arial" w:eastAsia="Arial" w:hAnsi="Arial" w:cs="Arial"/>
          <w:sz w:val="24"/>
          <w:szCs w:val="24"/>
        </w:rPr>
        <w:t>There has been much criticism of the TEF and its neoliberalist ideology background that projects a more managerial and functional approach to assessing teaching quality (Bainbridge, Gaitanidis, &amp; Hoult, 2018; Canning, 2019; O’Leary &amp; Wood, 2018) and there are even doubts about the accuracy of the later TEF2 as a measure of teaching quality (Barkas et al., 2019; Gunn, 2018; Royal Statistical Society, 2019) with suggestions that such assessments are divorced from the realities of HE teaching (Gillard, 2018) and from professional teaching practice. For example, in terms of the effects on academic staff, TEF calls for Assessors to look for evidence which might include “</w:t>
      </w:r>
      <w:r>
        <w:rPr>
          <w:rFonts w:ascii="Arial" w:eastAsia="Arial" w:hAnsi="Arial" w:cs="Arial"/>
          <w:i/>
          <w:sz w:val="24"/>
          <w:szCs w:val="24"/>
        </w:rPr>
        <w:t>initial and CPD for teaching and academic support staff”</w:t>
      </w:r>
      <w:r>
        <w:rPr>
          <w:rFonts w:ascii="Arial" w:eastAsia="Arial" w:hAnsi="Arial" w:cs="Arial"/>
          <w:sz w:val="24"/>
          <w:szCs w:val="24"/>
        </w:rPr>
        <w:t xml:space="preserve"> (BIS, 2016 p.13) </w:t>
      </w:r>
      <w:r>
        <w:rPr>
          <w:rFonts w:ascii="Arial" w:eastAsia="Arial" w:hAnsi="Arial" w:cs="Arial"/>
          <w:i/>
          <w:sz w:val="24"/>
          <w:szCs w:val="24"/>
        </w:rPr>
        <w:t xml:space="preserve"> </w:t>
      </w:r>
      <w:r>
        <w:rPr>
          <w:rFonts w:ascii="Arial" w:eastAsia="Arial" w:hAnsi="Arial" w:cs="Arial"/>
          <w:sz w:val="24"/>
          <w:szCs w:val="24"/>
        </w:rPr>
        <w:t xml:space="preserve">but can also include reward and recognition, promotion and progression opportunities, and levels of experience and contractual status of staff involved in teaching. Even though </w:t>
      </w:r>
      <w:r>
        <w:rPr>
          <w:rFonts w:ascii="Arial" w:eastAsia="Arial" w:hAnsi="Arial" w:cs="Arial"/>
          <w:sz w:val="24"/>
          <w:szCs w:val="24"/>
          <w:highlight w:val="white"/>
        </w:rPr>
        <w:t xml:space="preserve">TEF is currently voluntary, it </w:t>
      </w:r>
      <w:r>
        <w:rPr>
          <w:rFonts w:ascii="Arial" w:eastAsia="Arial" w:hAnsi="Arial" w:cs="Arial"/>
          <w:sz w:val="24"/>
          <w:szCs w:val="24"/>
          <w:highlight w:val="white"/>
        </w:rPr>
        <w:lastRenderedPageBreak/>
        <w:t>provides a league table of participants and therefore provides a benchmark that exerts influence on how HEIs are perceived by their diverse stakeholder communities. </w:t>
      </w:r>
    </w:p>
    <w:p w14:paraId="050CEDC7" w14:textId="4AC4C7CA" w:rsidR="008A3C75" w:rsidRDefault="004D24B2">
      <w:pPr>
        <w:spacing w:line="360" w:lineRule="auto"/>
        <w:jc w:val="both"/>
        <w:rPr>
          <w:rFonts w:ascii="Arial" w:eastAsia="Arial" w:hAnsi="Arial" w:cs="Arial"/>
          <w:sz w:val="24"/>
          <w:szCs w:val="24"/>
          <w:highlight w:val="white"/>
        </w:rPr>
      </w:pPr>
      <w:r>
        <w:rPr>
          <w:rFonts w:ascii="Arial" w:eastAsia="Arial" w:hAnsi="Arial" w:cs="Arial"/>
          <w:sz w:val="24"/>
          <w:szCs w:val="24"/>
        </w:rPr>
        <w:t xml:space="preserve">The above exposes the macro context relevant to HE, emphasising the pivotal role the Government and its agents play in shaping the sector’s response in terms of competition, funding, emphasis on generic teaching standards and pressures to gain more qualifications, stimulating a 400% increase in institutions embracing staff development through HEA accredited CPD schemes (HEA, 2015). However, the claims for its real contribution to staff development and practice varies widely and that the accuracy of its assessment of teaching impact, is limited (Kennedy, 2005).   What is certain is that the combined effect of these factors has put the sector under considerable pressure and produced tensions between research and teaching. All these factors can clearly affect the mindset and reactions of staff </w:t>
      </w:r>
      <w:r>
        <w:rPr>
          <w:rFonts w:ascii="Arial" w:eastAsia="Arial" w:hAnsi="Arial" w:cs="Arial"/>
          <w:sz w:val="24"/>
          <w:szCs w:val="24"/>
          <w:highlight w:val="white"/>
        </w:rPr>
        <w:t xml:space="preserve">to their work environment, work demands, sense of security and stress levels (Kinman &amp; Wray, 2013; Bolden, et al., 2014; Miller, 2014; Loveday, 2018). </w:t>
      </w:r>
    </w:p>
    <w:p w14:paraId="5C0A9BB2" w14:textId="77777777" w:rsidR="008A3C75" w:rsidRDefault="004D24B2">
      <w:pPr>
        <w:spacing w:line="240" w:lineRule="auto"/>
        <w:jc w:val="both"/>
        <w:rPr>
          <w:rFonts w:ascii="Arial" w:eastAsia="Arial" w:hAnsi="Arial" w:cs="Arial"/>
          <w:b/>
          <w:sz w:val="24"/>
          <w:szCs w:val="24"/>
        </w:rPr>
      </w:pPr>
      <w:r>
        <w:rPr>
          <w:rFonts w:ascii="Arial" w:eastAsia="Arial" w:hAnsi="Arial" w:cs="Arial"/>
          <w:b/>
          <w:sz w:val="24"/>
          <w:szCs w:val="24"/>
        </w:rPr>
        <w:t>A means of promoting professionalism</w:t>
      </w:r>
    </w:p>
    <w:p w14:paraId="1E03E28B" w14:textId="77777777" w:rsidR="008A3C75" w:rsidRDefault="004D24B2">
      <w:pPr>
        <w:spacing w:line="360" w:lineRule="auto"/>
        <w:jc w:val="both"/>
        <w:rPr>
          <w:rFonts w:ascii="Arial" w:eastAsia="Arial" w:hAnsi="Arial" w:cs="Arial"/>
          <w:b/>
          <w:sz w:val="24"/>
          <w:szCs w:val="24"/>
        </w:rPr>
      </w:pPr>
      <w:r>
        <w:rPr>
          <w:rFonts w:ascii="Arial" w:eastAsia="Arial" w:hAnsi="Arial" w:cs="Arial"/>
          <w:sz w:val="24"/>
          <w:szCs w:val="24"/>
          <w:highlight w:val="white"/>
        </w:rPr>
        <w:t xml:space="preserve">Professionalism is a complex, multidimensional and constantly evolving concept originally seen as a performance-based competency, set within a discipline, an exclusive field, where professional practitioners adhered to specific codes of conduct and possessed specialist knowledge (Foucault, 2008). </w:t>
      </w:r>
      <w:r>
        <w:rPr>
          <w:rFonts w:ascii="Arial" w:eastAsia="Arial" w:hAnsi="Arial" w:cs="Arial"/>
          <w:sz w:val="24"/>
          <w:szCs w:val="24"/>
        </w:rPr>
        <w:t>Teacher professionalism is not a simple or static concept: it is dynamic, constantly changing;</w:t>
      </w:r>
      <w:r>
        <w:rPr>
          <w:rFonts w:ascii="Arial" w:eastAsia="Arial" w:hAnsi="Arial" w:cs="Arial"/>
          <w:i/>
          <w:sz w:val="24"/>
          <w:szCs w:val="24"/>
        </w:rPr>
        <w:t xml:space="preserve"> “being redefined in different ways and at different times to serve different interests” </w:t>
      </w:r>
      <w:r>
        <w:rPr>
          <w:rFonts w:ascii="Arial" w:eastAsia="Arial" w:hAnsi="Arial" w:cs="Arial"/>
          <w:sz w:val="24"/>
          <w:szCs w:val="24"/>
        </w:rPr>
        <w:t>Helsby (1999, p. 93).</w:t>
      </w:r>
    </w:p>
    <w:p w14:paraId="1616B109" w14:textId="77777777" w:rsidR="008A3C75" w:rsidRDefault="004D24B2">
      <w:pPr>
        <w:spacing w:line="360" w:lineRule="auto"/>
        <w:jc w:val="both"/>
        <w:rPr>
          <w:rFonts w:ascii="Arial" w:eastAsia="Arial" w:hAnsi="Arial" w:cs="Arial"/>
          <w:sz w:val="24"/>
          <w:szCs w:val="24"/>
        </w:rPr>
      </w:pPr>
      <w:r>
        <w:rPr>
          <w:rFonts w:ascii="Arial" w:eastAsia="Arial" w:hAnsi="Arial" w:cs="Arial"/>
          <w:sz w:val="24"/>
          <w:szCs w:val="24"/>
        </w:rPr>
        <w:t xml:space="preserve">Professionality is an </w:t>
      </w:r>
      <w:r>
        <w:rPr>
          <w:rFonts w:ascii="Arial" w:eastAsia="Arial" w:hAnsi="Arial" w:cs="Arial"/>
          <w:i/>
          <w:sz w:val="24"/>
          <w:szCs w:val="24"/>
        </w:rPr>
        <w:t>“ideologically-, attitudinally-, intellectually-, and epistemologically-based stance on the part of an individual, in relation to the practice of the profession to which they belong</w:t>
      </w:r>
      <w:r>
        <w:rPr>
          <w:rFonts w:ascii="Arial" w:eastAsia="Arial" w:hAnsi="Arial" w:cs="Arial"/>
          <w:sz w:val="24"/>
          <w:szCs w:val="24"/>
        </w:rPr>
        <w:t xml:space="preserve">” (Evans, 2002b, pp. 6-7), metaphorically it can be seen as crossing a threshold (Meyer and Land, 2005), transformative, irreversible and even professionally troublesome, shaping an actors disposition </w:t>
      </w:r>
      <w:r>
        <w:rPr>
          <w:rFonts w:ascii="Arial" w:eastAsia="Arial" w:hAnsi="Arial" w:cs="Arial"/>
          <w:i/>
          <w:sz w:val="24"/>
          <w:szCs w:val="24"/>
        </w:rPr>
        <w:t xml:space="preserve">‘seeing things in new ways’ </w:t>
      </w:r>
      <w:r>
        <w:rPr>
          <w:rFonts w:ascii="Arial" w:eastAsia="Arial" w:hAnsi="Arial" w:cs="Arial"/>
          <w:sz w:val="24"/>
          <w:szCs w:val="24"/>
        </w:rPr>
        <w:t>(Ibid, p1)</w:t>
      </w:r>
      <w:r>
        <w:rPr>
          <w:rFonts w:ascii="Arial" w:eastAsia="Arial" w:hAnsi="Arial" w:cs="Arial"/>
          <w:i/>
          <w:sz w:val="24"/>
          <w:szCs w:val="24"/>
        </w:rPr>
        <w:t xml:space="preserve"> </w:t>
      </w:r>
      <w:r>
        <w:rPr>
          <w:rFonts w:ascii="Arial" w:eastAsia="Arial" w:hAnsi="Arial" w:cs="Arial"/>
          <w:sz w:val="24"/>
          <w:szCs w:val="24"/>
          <w:highlight w:val="white"/>
        </w:rPr>
        <w:t>infl</w:t>
      </w:r>
      <w:r>
        <w:rPr>
          <w:rFonts w:ascii="Arial" w:eastAsia="Arial" w:hAnsi="Arial" w:cs="Arial"/>
          <w:sz w:val="24"/>
          <w:szCs w:val="24"/>
        </w:rPr>
        <w:t xml:space="preserve">uencing the core of their professional practice and can expose alignment issues in personal and organisational values. </w:t>
      </w:r>
    </w:p>
    <w:p w14:paraId="7F926521" w14:textId="77777777" w:rsidR="008A3C75" w:rsidRDefault="004D24B2">
      <w:pPr>
        <w:spacing w:line="360" w:lineRule="auto"/>
        <w:jc w:val="both"/>
        <w:rPr>
          <w:rFonts w:ascii="Arial" w:eastAsia="Arial" w:hAnsi="Arial" w:cs="Arial"/>
          <w:sz w:val="24"/>
          <w:szCs w:val="24"/>
        </w:rPr>
      </w:pPr>
      <w:r>
        <w:rPr>
          <w:rFonts w:ascii="Arial" w:eastAsia="Arial" w:hAnsi="Arial" w:cs="Arial"/>
          <w:sz w:val="24"/>
          <w:szCs w:val="24"/>
          <w:highlight w:val="white"/>
        </w:rPr>
        <w:t xml:space="preserve">Professionalism is not merely an instrumental value tick-box exercise (Fish and de Cossart, 2006) and in reality, it can be a nebulous yet important journey.   If the nature of professionalism goes beyond the application of specific technical skills in the execution of teaching interventions, this surely must run somewhat counter to the agenda of </w:t>
      </w:r>
      <w:r>
        <w:rPr>
          <w:rFonts w:ascii="Arial" w:eastAsia="Arial" w:hAnsi="Arial" w:cs="Arial"/>
          <w:sz w:val="24"/>
          <w:szCs w:val="24"/>
          <w:highlight w:val="white"/>
        </w:rPr>
        <w:lastRenderedPageBreak/>
        <w:t xml:space="preserve">students as cash cows and a market environment for education. Raising the call that </w:t>
      </w:r>
      <w:r>
        <w:rPr>
          <w:rFonts w:ascii="Arial" w:eastAsia="Arial" w:hAnsi="Arial" w:cs="Arial"/>
          <w:i/>
          <w:sz w:val="24"/>
          <w:szCs w:val="24"/>
          <w:highlight w:val="white"/>
        </w:rPr>
        <w:t>“a</w:t>
      </w:r>
      <w:r>
        <w:rPr>
          <w:rFonts w:ascii="Arial" w:eastAsia="Arial" w:hAnsi="Arial" w:cs="Arial"/>
          <w:i/>
          <w:sz w:val="24"/>
          <w:szCs w:val="24"/>
        </w:rPr>
        <w:t>utonomy has evidently given way to accountability”</w:t>
      </w:r>
      <w:r>
        <w:rPr>
          <w:rFonts w:ascii="Arial" w:eastAsia="Arial" w:hAnsi="Arial" w:cs="Arial"/>
          <w:sz w:val="24"/>
          <w:szCs w:val="24"/>
        </w:rPr>
        <w:t xml:space="preserve"> (Hoyle and Wallace, 2005, p. 100), and that de-professionalisation, rather than professionalism, has been the outcome of marketisation (Evans, 2008).</w:t>
      </w:r>
    </w:p>
    <w:p w14:paraId="2E3EB267" w14:textId="77777777" w:rsidR="008A3C75" w:rsidRDefault="004D24B2">
      <w:pPr>
        <w:spacing w:line="240" w:lineRule="auto"/>
        <w:jc w:val="both"/>
        <w:rPr>
          <w:rFonts w:ascii="Arial" w:eastAsia="Arial" w:hAnsi="Arial" w:cs="Arial"/>
          <w:b/>
          <w:sz w:val="24"/>
          <w:szCs w:val="24"/>
        </w:rPr>
      </w:pPr>
      <w:r>
        <w:rPr>
          <w:rFonts w:ascii="Arial" w:eastAsia="Arial" w:hAnsi="Arial" w:cs="Arial"/>
          <w:b/>
          <w:sz w:val="24"/>
          <w:szCs w:val="24"/>
        </w:rPr>
        <w:t>Employee Engagement</w:t>
      </w:r>
    </w:p>
    <w:p w14:paraId="364EE65F" w14:textId="77777777" w:rsidR="008A3C75" w:rsidRDefault="004D24B2">
      <w:pPr>
        <w:spacing w:line="360" w:lineRule="auto"/>
        <w:jc w:val="both"/>
        <w:rPr>
          <w:rFonts w:ascii="Arial" w:eastAsia="Arial" w:hAnsi="Arial" w:cs="Arial"/>
          <w:sz w:val="24"/>
          <w:szCs w:val="24"/>
        </w:rPr>
      </w:pPr>
      <w:bookmarkStart w:id="3" w:name="_1fob9te" w:colFirst="0" w:colLast="0"/>
      <w:bookmarkEnd w:id="3"/>
      <w:r>
        <w:rPr>
          <w:rFonts w:ascii="Arial" w:eastAsia="Arial" w:hAnsi="Arial" w:cs="Arial"/>
          <w:sz w:val="24"/>
          <w:szCs w:val="24"/>
        </w:rPr>
        <w:t>Engagement the term was coined by Kahn (1990) with the construct of personal engagement, but with little agreement for an overarching conceptual model (Shuck, 2011).  Focusing on studies relevant to HRD (Valentin,1990; Shuck, 2011; Chalofsky, 2010) Kahn suggested that people “</w:t>
      </w:r>
      <w:r>
        <w:rPr>
          <w:rFonts w:ascii="Arial" w:eastAsia="Arial" w:hAnsi="Arial" w:cs="Arial"/>
          <w:i/>
          <w:sz w:val="24"/>
          <w:szCs w:val="24"/>
        </w:rPr>
        <w:t xml:space="preserve">use varying degrees of their selves, physically, cognitively and emotionally, in work role performances” </w:t>
      </w:r>
      <w:r>
        <w:rPr>
          <w:rFonts w:ascii="Arial" w:eastAsia="Arial" w:hAnsi="Arial" w:cs="Arial"/>
          <w:sz w:val="24"/>
          <w:szCs w:val="24"/>
        </w:rPr>
        <w:t xml:space="preserve">(p692) which has deep implications for their work and personal experiences.  </w:t>
      </w:r>
    </w:p>
    <w:p w14:paraId="0BE892E5" w14:textId="5F72C7CF" w:rsidR="008A3C75" w:rsidRPr="00EB7484" w:rsidRDefault="004D24B2">
      <w:pPr>
        <w:spacing w:line="360" w:lineRule="auto"/>
        <w:jc w:val="both"/>
        <w:rPr>
          <w:rFonts w:ascii="Arial" w:eastAsia="Arial" w:hAnsi="Arial" w:cs="Arial"/>
          <w:color w:val="00B050"/>
          <w:sz w:val="24"/>
          <w:szCs w:val="24"/>
        </w:rPr>
      </w:pPr>
      <w:r>
        <w:rPr>
          <w:rFonts w:ascii="Arial" w:eastAsia="Arial" w:hAnsi="Arial" w:cs="Arial"/>
          <w:sz w:val="24"/>
          <w:szCs w:val="24"/>
        </w:rPr>
        <w:t xml:space="preserve">People engaged or disengaged, based on the assumption that the more of their selves that a person puts into their work, the happier they are with their role fit and the better their performance.  </w:t>
      </w:r>
      <w:r w:rsidRPr="00EB7484">
        <w:rPr>
          <w:rFonts w:ascii="Arial" w:eastAsia="Arial" w:hAnsi="Arial" w:cs="Arial"/>
          <w:color w:val="00B050"/>
          <w:sz w:val="24"/>
          <w:szCs w:val="24"/>
        </w:rPr>
        <w:t>However, it is inevitable that sometimes individuals will not fully commit to or may even withdraw from their roles.  Khan (1990) identified three conditions that influence an individual’s ability to engage or disengage in their employment</w:t>
      </w:r>
      <w:r w:rsidR="000E2B72" w:rsidRPr="00EB7484">
        <w:rPr>
          <w:rFonts w:ascii="Arial" w:eastAsia="Arial" w:hAnsi="Arial" w:cs="Arial"/>
          <w:color w:val="00B050"/>
          <w:sz w:val="24"/>
          <w:szCs w:val="24"/>
        </w:rPr>
        <w:t>;</w:t>
      </w:r>
      <w:r w:rsidRPr="00EB7484">
        <w:rPr>
          <w:rFonts w:ascii="Arial" w:eastAsia="Arial" w:hAnsi="Arial" w:cs="Arial"/>
          <w:color w:val="00B050"/>
          <w:sz w:val="24"/>
          <w:szCs w:val="24"/>
        </w:rPr>
        <w:t xml:space="preserve"> namely their feeling</w:t>
      </w:r>
      <w:r w:rsidR="00BE0999" w:rsidRPr="00EB7484">
        <w:rPr>
          <w:rFonts w:ascii="Arial" w:eastAsia="Arial" w:hAnsi="Arial" w:cs="Arial"/>
          <w:color w:val="00B050"/>
          <w:sz w:val="24"/>
          <w:szCs w:val="24"/>
        </w:rPr>
        <w:t>s of</w:t>
      </w:r>
      <w:r w:rsidRPr="00EB7484">
        <w:rPr>
          <w:rFonts w:ascii="Arial" w:eastAsia="Arial" w:hAnsi="Arial" w:cs="Arial"/>
          <w:color w:val="00B050"/>
          <w:sz w:val="24"/>
          <w:szCs w:val="24"/>
        </w:rPr>
        <w:t xml:space="preserve"> meaningfulness</w:t>
      </w:r>
      <w:r w:rsidR="00867378" w:rsidRPr="00EB7484">
        <w:rPr>
          <w:rFonts w:ascii="Arial" w:eastAsia="Arial" w:hAnsi="Arial" w:cs="Arial"/>
          <w:color w:val="00B050"/>
          <w:sz w:val="24"/>
          <w:szCs w:val="24"/>
        </w:rPr>
        <w:t>,</w:t>
      </w:r>
      <w:r w:rsidRPr="00EB7484">
        <w:rPr>
          <w:rFonts w:ascii="Arial" w:eastAsia="Arial" w:hAnsi="Arial" w:cs="Arial"/>
          <w:color w:val="00B050"/>
          <w:sz w:val="24"/>
          <w:szCs w:val="24"/>
        </w:rPr>
        <w:t xml:space="preserve"> personal safety and availability. </w:t>
      </w:r>
      <w:r w:rsidR="00867378" w:rsidRPr="00EB7484">
        <w:rPr>
          <w:rFonts w:ascii="Arial" w:eastAsia="Arial" w:hAnsi="Arial" w:cs="Arial"/>
          <w:color w:val="00B050"/>
          <w:sz w:val="24"/>
          <w:szCs w:val="24"/>
        </w:rPr>
        <w:t>This s</w:t>
      </w:r>
      <w:r w:rsidRPr="00EB7484">
        <w:rPr>
          <w:rFonts w:ascii="Arial" w:eastAsia="Arial" w:hAnsi="Arial" w:cs="Arial"/>
          <w:color w:val="00B050"/>
          <w:sz w:val="24"/>
          <w:szCs w:val="24"/>
        </w:rPr>
        <w:t>uggest</w:t>
      </w:r>
      <w:r w:rsidR="00867378" w:rsidRPr="00EB7484">
        <w:rPr>
          <w:rFonts w:ascii="Arial" w:eastAsia="Arial" w:hAnsi="Arial" w:cs="Arial"/>
          <w:color w:val="00B050"/>
          <w:sz w:val="24"/>
          <w:szCs w:val="24"/>
        </w:rPr>
        <w:t>s</w:t>
      </w:r>
      <w:r w:rsidRPr="00EB7484">
        <w:rPr>
          <w:rFonts w:ascii="Arial" w:eastAsia="Arial" w:hAnsi="Arial" w:cs="Arial"/>
          <w:color w:val="00B050"/>
          <w:sz w:val="24"/>
          <w:szCs w:val="24"/>
        </w:rPr>
        <w:t xml:space="preserve"> that individuals unconsciously ask themselves three questions that influence their commitment to a task namely; how meaningful is it for me to fully engage in the task, how safe is it to do so and how available am I to do so? </w:t>
      </w:r>
    </w:p>
    <w:p w14:paraId="7458207F" w14:textId="77777777" w:rsidR="008A3C75" w:rsidRDefault="004D24B2">
      <w:pPr>
        <w:spacing w:line="360" w:lineRule="auto"/>
        <w:jc w:val="both"/>
        <w:rPr>
          <w:rFonts w:ascii="Arial" w:eastAsia="Arial" w:hAnsi="Arial" w:cs="Arial"/>
          <w:sz w:val="24"/>
          <w:szCs w:val="24"/>
        </w:rPr>
      </w:pPr>
      <w:r>
        <w:rPr>
          <w:rFonts w:ascii="Arial" w:eastAsia="Arial" w:hAnsi="Arial" w:cs="Arial"/>
          <w:sz w:val="24"/>
          <w:szCs w:val="24"/>
        </w:rPr>
        <w:t xml:space="preserve">Each of the three conditions is shaped by particular influences, </w:t>
      </w:r>
      <w:r>
        <w:rPr>
          <w:rFonts w:ascii="Arial" w:eastAsia="Arial" w:hAnsi="Arial" w:cs="Arial"/>
          <w:i/>
          <w:sz w:val="24"/>
          <w:szCs w:val="24"/>
        </w:rPr>
        <w:t>“meaningfulness was associated with work elements that created incentives or disincentives to personally engage”</w:t>
      </w:r>
      <w:r>
        <w:rPr>
          <w:rFonts w:ascii="Arial" w:eastAsia="Arial" w:hAnsi="Arial" w:cs="Arial"/>
          <w:sz w:val="24"/>
          <w:szCs w:val="24"/>
        </w:rPr>
        <w:t xml:space="preserve"> (Kahn, 1990, p703). During this process “</w:t>
      </w:r>
      <w:r>
        <w:rPr>
          <w:rFonts w:ascii="Arial" w:eastAsia="Arial" w:hAnsi="Arial" w:cs="Arial"/>
          <w:i/>
          <w:sz w:val="24"/>
          <w:szCs w:val="24"/>
        </w:rPr>
        <w:t xml:space="preserve">employees added value and significance to their work… as well as received feedback about their value and significance to an organisation” </w:t>
      </w:r>
      <w:r>
        <w:rPr>
          <w:rFonts w:ascii="Arial" w:eastAsia="Arial" w:hAnsi="Arial" w:cs="Arial"/>
          <w:sz w:val="24"/>
          <w:szCs w:val="24"/>
        </w:rPr>
        <w:t>(Shuck, 2011, p308</w:t>
      </w:r>
      <w:r>
        <w:rPr>
          <w:rFonts w:ascii="Arial" w:eastAsia="Arial" w:hAnsi="Arial" w:cs="Arial"/>
          <w:i/>
          <w:sz w:val="24"/>
          <w:szCs w:val="24"/>
        </w:rPr>
        <w:t xml:space="preserve">). </w:t>
      </w:r>
      <w:r>
        <w:rPr>
          <w:rFonts w:ascii="Arial" w:eastAsia="Arial" w:hAnsi="Arial" w:cs="Arial"/>
          <w:sz w:val="24"/>
          <w:szCs w:val="24"/>
        </w:rPr>
        <w:t xml:space="preserve">Psychological safety related to </w:t>
      </w:r>
      <w:r>
        <w:rPr>
          <w:rFonts w:ascii="Arial" w:eastAsia="Arial" w:hAnsi="Arial" w:cs="Arial"/>
          <w:i/>
          <w:sz w:val="24"/>
          <w:szCs w:val="24"/>
        </w:rPr>
        <w:t xml:space="preserve">“nonthreatening, predictable and consistent” </w:t>
      </w:r>
      <w:r>
        <w:rPr>
          <w:rFonts w:ascii="Arial" w:eastAsia="Arial" w:hAnsi="Arial" w:cs="Arial"/>
          <w:sz w:val="24"/>
          <w:szCs w:val="24"/>
        </w:rPr>
        <w:t>(p703)</w:t>
      </w:r>
      <w:r>
        <w:rPr>
          <w:rFonts w:ascii="Arial" w:eastAsia="Arial" w:hAnsi="Arial" w:cs="Arial"/>
          <w:i/>
          <w:sz w:val="24"/>
          <w:szCs w:val="24"/>
        </w:rPr>
        <w:t xml:space="preserve"> </w:t>
      </w:r>
      <w:r>
        <w:rPr>
          <w:rFonts w:ascii="Arial" w:eastAsia="Arial" w:hAnsi="Arial" w:cs="Arial"/>
          <w:sz w:val="24"/>
          <w:szCs w:val="24"/>
        </w:rPr>
        <w:t xml:space="preserve">social systems, whereas psychological availability related to individual preoccupations that distracted them from their task and role. Resources impacting on engagement can be both tangible (budgets or supplies) or intangible such as opportunities for learning and skill development (Czarnowsky, 2008). </w:t>
      </w:r>
    </w:p>
    <w:p w14:paraId="73E3A903" w14:textId="77777777" w:rsidR="008A3C75" w:rsidRDefault="004D24B2">
      <w:pPr>
        <w:spacing w:line="360" w:lineRule="auto"/>
        <w:jc w:val="both"/>
        <w:rPr>
          <w:rFonts w:ascii="Arial" w:eastAsia="Arial" w:hAnsi="Arial" w:cs="Arial"/>
          <w:sz w:val="24"/>
          <w:szCs w:val="24"/>
        </w:rPr>
      </w:pPr>
      <w:r>
        <w:rPr>
          <w:rFonts w:ascii="Arial" w:eastAsia="Arial" w:hAnsi="Arial" w:cs="Arial"/>
          <w:sz w:val="24"/>
          <w:szCs w:val="24"/>
        </w:rPr>
        <w:t xml:space="preserve">Good EE can enhance organisational performance and individual well-being (Bailey et al., 2017) enhancing individual and collective morale, commitment to individual job role </w:t>
      </w:r>
      <w:r>
        <w:rPr>
          <w:rFonts w:ascii="Arial" w:eastAsia="Arial" w:hAnsi="Arial" w:cs="Arial"/>
          <w:sz w:val="24"/>
          <w:szCs w:val="24"/>
        </w:rPr>
        <w:lastRenderedPageBreak/>
        <w:t xml:space="preserve">and task performance, teamwork engagement (Costa et al. 2014) and collective organisational engagement (Barrick et al. 2015).  Therefore, EE is a predictor of positive organisational performance and demonstrates the two-way relationship between employer and employee that can build a strong employee emotional attachment to their organisation and the importance of their contribution, thereby enhancing greater enthusiasm (Markos and Sridevi, 2010). </w:t>
      </w:r>
    </w:p>
    <w:p w14:paraId="7FD7C21C" w14:textId="77777777" w:rsidR="008A3C75" w:rsidRDefault="004D24B2">
      <w:pPr>
        <w:spacing w:line="360" w:lineRule="auto"/>
        <w:jc w:val="both"/>
        <w:rPr>
          <w:rFonts w:ascii="Arial" w:eastAsia="Arial" w:hAnsi="Arial" w:cs="Arial"/>
          <w:sz w:val="24"/>
          <w:szCs w:val="24"/>
        </w:rPr>
      </w:pPr>
      <w:r>
        <w:rPr>
          <w:rFonts w:ascii="Arial" w:eastAsia="Arial" w:hAnsi="Arial" w:cs="Arial"/>
          <w:sz w:val="24"/>
          <w:szCs w:val="24"/>
        </w:rPr>
        <w:t xml:space="preserve">Shuck &amp; Wollard (2011) defined EE specifically for the field of HRD </w:t>
      </w:r>
      <w:r>
        <w:rPr>
          <w:rFonts w:ascii="Arial" w:eastAsia="Arial" w:hAnsi="Arial" w:cs="Arial"/>
          <w:i/>
          <w:sz w:val="24"/>
          <w:szCs w:val="24"/>
        </w:rPr>
        <w:t>“as a cognitive, emotional and behavioural state directed toward desired organizational outcomes”</w:t>
      </w:r>
      <w:r>
        <w:rPr>
          <w:rFonts w:ascii="Arial" w:eastAsia="Arial" w:hAnsi="Arial" w:cs="Arial"/>
          <w:sz w:val="24"/>
          <w:szCs w:val="24"/>
        </w:rPr>
        <w:t xml:space="preserve"> (p.316) suggesting a complex and multidimensional perspective that can be challenging for the development of a clear framework for emerging engagement models (Shuck, 2011).</w:t>
      </w:r>
    </w:p>
    <w:p w14:paraId="133EAD47" w14:textId="68C22217" w:rsidR="008A3C75" w:rsidRDefault="004D24B2">
      <w:pPr>
        <w:spacing w:line="360" w:lineRule="auto"/>
        <w:jc w:val="both"/>
        <w:rPr>
          <w:rFonts w:ascii="Arial" w:eastAsia="Arial" w:hAnsi="Arial" w:cs="Arial"/>
          <w:sz w:val="24"/>
          <w:szCs w:val="24"/>
        </w:rPr>
      </w:pPr>
      <w:r>
        <w:rPr>
          <w:rFonts w:ascii="Arial" w:eastAsia="Arial" w:hAnsi="Arial" w:cs="Arial"/>
          <w:sz w:val="24"/>
          <w:szCs w:val="24"/>
        </w:rPr>
        <w:t xml:space="preserve">EE can be enhanced through a range of employee development activities including; personal, professional and managerial development, skills, professional qualifications, induction programmes, work shadowing, job rotation, secondments, career planning, formal training, on-the-job learning and building communities of practice (Valentin, 2014).  </w:t>
      </w:r>
      <w:r w:rsidR="00EF20F8" w:rsidRPr="00EB7484">
        <w:rPr>
          <w:rFonts w:ascii="Arial" w:eastAsia="Arial" w:hAnsi="Arial" w:cs="Arial"/>
          <w:color w:val="00B050"/>
          <w:sz w:val="24"/>
          <w:szCs w:val="24"/>
        </w:rPr>
        <w:t>G</w:t>
      </w:r>
      <w:r w:rsidR="00922B79" w:rsidRPr="00EB7484">
        <w:rPr>
          <w:rFonts w:ascii="Arial" w:eastAsia="Arial" w:hAnsi="Arial" w:cs="Arial"/>
          <w:color w:val="00B050"/>
          <w:sz w:val="24"/>
          <w:szCs w:val="24"/>
        </w:rPr>
        <w:t xml:space="preserve">enerally </w:t>
      </w:r>
      <w:r w:rsidRPr="00EB7484">
        <w:rPr>
          <w:rFonts w:ascii="Arial" w:eastAsia="Arial" w:hAnsi="Arial" w:cs="Arial"/>
          <w:color w:val="00B050"/>
          <w:sz w:val="24"/>
          <w:szCs w:val="24"/>
        </w:rPr>
        <w:t>individuals are enthusiastic about opportunities to train and share knowledge and experience</w:t>
      </w:r>
      <w:r w:rsidR="00922B79" w:rsidRPr="00EB7484">
        <w:rPr>
          <w:rFonts w:ascii="Arial" w:eastAsia="Arial" w:hAnsi="Arial" w:cs="Arial"/>
          <w:color w:val="00B050"/>
          <w:sz w:val="24"/>
          <w:szCs w:val="24"/>
        </w:rPr>
        <w:t xml:space="preserve"> (ibid.)</w:t>
      </w:r>
      <w:r w:rsidRPr="00EB7484">
        <w:rPr>
          <w:rFonts w:ascii="Arial" w:eastAsia="Arial" w:hAnsi="Arial" w:cs="Arial"/>
          <w:color w:val="00B050"/>
          <w:sz w:val="24"/>
          <w:szCs w:val="24"/>
        </w:rPr>
        <w:t xml:space="preserve">, but </w:t>
      </w:r>
      <w:r w:rsidR="00BE0999" w:rsidRPr="00EB7484">
        <w:rPr>
          <w:rFonts w:ascii="Arial" w:eastAsia="Arial" w:hAnsi="Arial" w:cs="Arial"/>
          <w:color w:val="00B050"/>
          <w:sz w:val="24"/>
          <w:szCs w:val="24"/>
        </w:rPr>
        <w:t xml:space="preserve">there </w:t>
      </w:r>
      <w:r w:rsidRPr="00EB7484">
        <w:rPr>
          <w:rFonts w:ascii="Arial" w:eastAsia="Arial" w:hAnsi="Arial" w:cs="Arial"/>
          <w:color w:val="00B050"/>
          <w:sz w:val="24"/>
          <w:szCs w:val="24"/>
        </w:rPr>
        <w:t>are barriers, including relevance of training or dislike of online delivery</w:t>
      </w:r>
      <w:r w:rsidR="00922B79" w:rsidRPr="00EB7484">
        <w:rPr>
          <w:rFonts w:ascii="Arial" w:eastAsia="Arial" w:hAnsi="Arial" w:cs="Arial"/>
          <w:color w:val="00B050"/>
          <w:sz w:val="24"/>
          <w:szCs w:val="24"/>
        </w:rPr>
        <w:t>,</w:t>
      </w:r>
      <w:r w:rsidRPr="00EB7484">
        <w:rPr>
          <w:rFonts w:ascii="Arial" w:eastAsia="Arial" w:hAnsi="Arial" w:cs="Arial"/>
          <w:color w:val="00B050"/>
          <w:sz w:val="24"/>
          <w:szCs w:val="24"/>
        </w:rPr>
        <w:t xml:space="preserve"> but also lack of general support from managers, time and resources availab</w:t>
      </w:r>
      <w:r w:rsidR="00867378" w:rsidRPr="00EB7484">
        <w:rPr>
          <w:rFonts w:ascii="Arial" w:eastAsia="Arial" w:hAnsi="Arial" w:cs="Arial"/>
          <w:color w:val="00B050"/>
          <w:sz w:val="24"/>
          <w:szCs w:val="24"/>
        </w:rPr>
        <w:t>le</w:t>
      </w:r>
      <w:r w:rsidRPr="00EB7484">
        <w:rPr>
          <w:rFonts w:ascii="Arial" w:eastAsia="Arial" w:hAnsi="Arial" w:cs="Arial"/>
          <w:color w:val="00B050"/>
          <w:sz w:val="24"/>
          <w:szCs w:val="24"/>
        </w:rPr>
        <w:t>, recognition and professional development opportunities and importantly the opportunities to apply skills in the workplace.  However, relational and professional themes such as provision of open and two-way dialogue, engaging leadership styles, progressive career development, coaching and mentoring, supportive work colleagues, and the supportive role of managers, all contributed to creating a climate for collaborative engagement and promoted professional development</w:t>
      </w:r>
      <w:r w:rsidRPr="008F72B4">
        <w:rPr>
          <w:rFonts w:ascii="Arial" w:eastAsia="Arial" w:hAnsi="Arial" w:cs="Arial"/>
          <w:color w:val="FF0000"/>
          <w:sz w:val="24"/>
          <w:szCs w:val="24"/>
        </w:rPr>
        <w:t xml:space="preserve"> </w:t>
      </w:r>
      <w:r>
        <w:rPr>
          <w:rFonts w:ascii="Arial" w:eastAsia="Arial" w:hAnsi="Arial" w:cs="Arial"/>
          <w:sz w:val="24"/>
          <w:szCs w:val="24"/>
        </w:rPr>
        <w:t xml:space="preserve">(ibid. p9-10). </w:t>
      </w:r>
    </w:p>
    <w:p w14:paraId="668A2F11" w14:textId="38CD4FCA" w:rsidR="008A3C75" w:rsidRDefault="004D24B2">
      <w:pPr>
        <w:spacing w:line="360" w:lineRule="auto"/>
        <w:jc w:val="both"/>
        <w:rPr>
          <w:rFonts w:ascii="Arial" w:eastAsia="Arial" w:hAnsi="Arial" w:cs="Arial"/>
          <w:sz w:val="24"/>
          <w:szCs w:val="24"/>
        </w:rPr>
      </w:pPr>
      <w:r>
        <w:rPr>
          <w:rFonts w:ascii="Arial" w:eastAsia="Arial" w:hAnsi="Arial" w:cs="Arial"/>
          <w:sz w:val="24"/>
          <w:szCs w:val="24"/>
        </w:rPr>
        <w:t xml:space="preserve">Shuck &amp; Rose (2013) suggested focus should be more on developing the </w:t>
      </w:r>
      <w:r w:rsidRPr="00922B79">
        <w:rPr>
          <w:rFonts w:ascii="Arial" w:eastAsia="Arial" w:hAnsi="Arial" w:cs="Arial"/>
          <w:i/>
          <w:iCs/>
          <w:sz w:val="24"/>
          <w:szCs w:val="24"/>
        </w:rPr>
        <w:t>conditions</w:t>
      </w:r>
      <w:r>
        <w:rPr>
          <w:rFonts w:ascii="Arial" w:eastAsia="Arial" w:hAnsi="Arial" w:cs="Arial"/>
          <w:sz w:val="24"/>
          <w:szCs w:val="24"/>
        </w:rPr>
        <w:t xml:space="preserve"> that nurture performance rather than leveraging outcomes, reframing </w:t>
      </w:r>
      <w:r>
        <w:rPr>
          <w:rFonts w:ascii="Arial" w:eastAsia="Arial" w:hAnsi="Arial" w:cs="Arial"/>
          <w:i/>
          <w:sz w:val="24"/>
          <w:szCs w:val="24"/>
        </w:rPr>
        <w:t>“engagement within the context of meaning and purpose”</w:t>
      </w:r>
      <w:r>
        <w:rPr>
          <w:rFonts w:ascii="Arial" w:eastAsia="Arial" w:hAnsi="Arial" w:cs="Arial"/>
          <w:sz w:val="24"/>
          <w:szCs w:val="24"/>
        </w:rPr>
        <w:t xml:space="preserve"> exploring </w:t>
      </w:r>
      <w:r>
        <w:rPr>
          <w:rFonts w:ascii="Arial" w:eastAsia="Arial" w:hAnsi="Arial" w:cs="Arial"/>
          <w:i/>
          <w:sz w:val="24"/>
          <w:szCs w:val="24"/>
        </w:rPr>
        <w:t xml:space="preserve">“the conditions that cultivate the development of engagement” </w:t>
      </w:r>
      <w:r>
        <w:rPr>
          <w:rFonts w:ascii="Arial" w:eastAsia="Arial" w:hAnsi="Arial" w:cs="Arial"/>
          <w:sz w:val="24"/>
          <w:szCs w:val="24"/>
        </w:rPr>
        <w:t>(p341). They proposed that “</w:t>
      </w:r>
      <w:r>
        <w:rPr>
          <w:rFonts w:ascii="Arial" w:eastAsia="Arial" w:hAnsi="Arial" w:cs="Arial"/>
          <w:i/>
          <w:sz w:val="24"/>
          <w:szCs w:val="24"/>
        </w:rPr>
        <w:t>the concurrent expression of cognitive, affective and physical energies into one’s work performance represents the hallmark of engagement in HRD”</w:t>
      </w:r>
      <w:r>
        <w:rPr>
          <w:rFonts w:ascii="Arial" w:eastAsia="Arial" w:hAnsi="Arial" w:cs="Arial"/>
          <w:sz w:val="24"/>
          <w:szCs w:val="24"/>
        </w:rPr>
        <w:t xml:space="preserve"> (p344), where individuals construct their own conducive environment and interpret its meaning, a position that has relevance for </w:t>
      </w:r>
      <w:r w:rsidR="00922B79">
        <w:rPr>
          <w:rFonts w:ascii="Arial" w:eastAsia="Arial" w:hAnsi="Arial" w:cs="Arial"/>
          <w:sz w:val="24"/>
          <w:szCs w:val="24"/>
        </w:rPr>
        <w:t xml:space="preserve">HE </w:t>
      </w:r>
      <w:r>
        <w:rPr>
          <w:rFonts w:ascii="Arial" w:eastAsia="Arial" w:hAnsi="Arial" w:cs="Arial"/>
          <w:sz w:val="24"/>
          <w:szCs w:val="24"/>
        </w:rPr>
        <w:t xml:space="preserve">professionals.  </w:t>
      </w:r>
    </w:p>
    <w:p w14:paraId="5E3C9ACE" w14:textId="023D9FAD" w:rsidR="008A3C75" w:rsidRPr="00EB7484" w:rsidRDefault="004D24B2">
      <w:pPr>
        <w:spacing w:line="360" w:lineRule="auto"/>
        <w:jc w:val="both"/>
        <w:rPr>
          <w:rFonts w:ascii="Arial" w:eastAsia="Arial" w:hAnsi="Arial" w:cs="Arial"/>
          <w:color w:val="00B050"/>
          <w:sz w:val="24"/>
          <w:szCs w:val="24"/>
        </w:rPr>
      </w:pPr>
      <w:r w:rsidRPr="00EB7484">
        <w:rPr>
          <w:rFonts w:ascii="Arial" w:eastAsia="Arial" w:hAnsi="Arial" w:cs="Arial"/>
          <w:color w:val="00B050"/>
          <w:sz w:val="24"/>
          <w:szCs w:val="24"/>
        </w:rPr>
        <w:lastRenderedPageBreak/>
        <w:t xml:space="preserve">Engagement is more than the motivational constructs of commitment and job satisfaction as the employee’s perspective and personal disposition is added into the mix.  </w:t>
      </w:r>
      <w:r w:rsidR="008651AC" w:rsidRPr="00EB7484">
        <w:rPr>
          <w:rFonts w:ascii="Arial" w:eastAsia="Arial" w:hAnsi="Arial" w:cs="Arial"/>
          <w:color w:val="00B050"/>
          <w:sz w:val="24"/>
          <w:szCs w:val="24"/>
        </w:rPr>
        <w:t xml:space="preserve">Job </w:t>
      </w:r>
      <w:r w:rsidRPr="00EB7484">
        <w:rPr>
          <w:rFonts w:ascii="Arial" w:eastAsia="Arial" w:hAnsi="Arial" w:cs="Arial"/>
          <w:color w:val="00B050"/>
          <w:sz w:val="24"/>
          <w:szCs w:val="24"/>
        </w:rPr>
        <w:t>tasks need to be challenging</w:t>
      </w:r>
      <w:r w:rsidR="008651AC" w:rsidRPr="00EB7484">
        <w:rPr>
          <w:rFonts w:ascii="Arial" w:eastAsia="Arial" w:hAnsi="Arial" w:cs="Arial"/>
          <w:color w:val="00B050"/>
          <w:sz w:val="24"/>
          <w:szCs w:val="24"/>
        </w:rPr>
        <w:t xml:space="preserve"> and stimulating for academics to promote self-efficacy and experiential mastery (Barkhuizen &amp; Rothmann, 2006) and the promotion of </w:t>
      </w:r>
      <w:r w:rsidRPr="00EB7484">
        <w:rPr>
          <w:rFonts w:ascii="Arial" w:eastAsia="Arial" w:hAnsi="Arial" w:cs="Arial"/>
          <w:color w:val="00B050"/>
          <w:sz w:val="24"/>
          <w:szCs w:val="24"/>
        </w:rPr>
        <w:t xml:space="preserve">self-efficacy and affirmation of practice </w:t>
      </w:r>
      <w:r w:rsidR="008651AC" w:rsidRPr="00EB7484">
        <w:rPr>
          <w:rFonts w:ascii="Arial" w:eastAsia="Arial" w:hAnsi="Arial" w:cs="Arial"/>
          <w:color w:val="00B050"/>
          <w:sz w:val="24"/>
          <w:szCs w:val="24"/>
        </w:rPr>
        <w:t>need to be deeply</w:t>
      </w:r>
      <w:r w:rsidRPr="00EB7484">
        <w:rPr>
          <w:rFonts w:ascii="Arial" w:eastAsia="Arial" w:hAnsi="Arial" w:cs="Arial"/>
          <w:color w:val="00B050"/>
          <w:sz w:val="24"/>
          <w:szCs w:val="24"/>
        </w:rPr>
        <w:t xml:space="preserve"> embedded in the Teacher Fellow Scheme (Shaw, 2018).</w:t>
      </w:r>
    </w:p>
    <w:p w14:paraId="560BC5CC" w14:textId="77777777" w:rsidR="008A3C75" w:rsidRDefault="004D24B2">
      <w:pPr>
        <w:spacing w:line="360" w:lineRule="auto"/>
        <w:jc w:val="both"/>
        <w:rPr>
          <w:rFonts w:ascii="Arial" w:eastAsia="Arial" w:hAnsi="Arial" w:cs="Arial"/>
          <w:sz w:val="24"/>
          <w:szCs w:val="24"/>
        </w:rPr>
      </w:pPr>
      <w:r>
        <w:rPr>
          <w:rFonts w:ascii="Arial" w:eastAsia="Arial" w:hAnsi="Arial" w:cs="Arial"/>
          <w:sz w:val="24"/>
          <w:szCs w:val="24"/>
        </w:rPr>
        <w:t>Such engagement can be operationalised</w:t>
      </w:r>
      <w:r>
        <w:rPr>
          <w:rFonts w:ascii="Arial" w:eastAsia="Arial" w:hAnsi="Arial" w:cs="Arial"/>
          <w:i/>
          <w:sz w:val="24"/>
          <w:szCs w:val="24"/>
        </w:rPr>
        <w:t xml:space="preserve"> “as a psychological motivational-state variable representing the experience of work through a cognitive-affective lens”</w:t>
      </w:r>
      <w:r>
        <w:rPr>
          <w:rFonts w:ascii="Arial" w:eastAsia="Arial" w:hAnsi="Arial" w:cs="Arial"/>
          <w:sz w:val="24"/>
          <w:szCs w:val="24"/>
        </w:rPr>
        <w:t xml:space="preserve"> (Shuck &amp; Rose, 2013, p344). The cognitive-affective lens determines the individual’s context of ‘</w:t>
      </w:r>
      <w:r>
        <w:rPr>
          <w:rFonts w:ascii="Arial" w:eastAsia="Arial" w:hAnsi="Arial" w:cs="Arial"/>
          <w:i/>
          <w:sz w:val="24"/>
          <w:szCs w:val="24"/>
        </w:rPr>
        <w:t>engagement of condition’</w:t>
      </w:r>
      <w:r>
        <w:rPr>
          <w:rFonts w:ascii="Arial" w:eastAsia="Arial" w:hAnsi="Arial" w:cs="Arial"/>
          <w:sz w:val="24"/>
          <w:szCs w:val="24"/>
        </w:rPr>
        <w:t xml:space="preserve"> which is dependent on their interpretation of meaning and purpose. In the context of meaning, if a learning opportunity is perceived as a meaningful experience as compared to a meaningless one, an individual will devote energy and attention to it, it will take on personal significance. </w:t>
      </w:r>
    </w:p>
    <w:p w14:paraId="3B237C8B" w14:textId="23072943" w:rsidR="00E952E1" w:rsidRPr="00EC6DFF" w:rsidRDefault="008F72B4">
      <w:pPr>
        <w:spacing w:line="360" w:lineRule="auto"/>
        <w:jc w:val="both"/>
        <w:rPr>
          <w:rFonts w:ascii="Arial" w:eastAsia="Arial" w:hAnsi="Arial" w:cs="Arial"/>
          <w:sz w:val="24"/>
          <w:szCs w:val="24"/>
        </w:rPr>
      </w:pPr>
      <w:r w:rsidRPr="00EC6DFF">
        <w:rPr>
          <w:rFonts w:ascii="Arial" w:eastAsia="Arial" w:hAnsi="Arial" w:cs="Arial"/>
          <w:sz w:val="24"/>
          <w:szCs w:val="24"/>
        </w:rPr>
        <w:t>I</w:t>
      </w:r>
      <w:r w:rsidR="004D24B2" w:rsidRPr="00EC6DFF">
        <w:rPr>
          <w:rFonts w:ascii="Arial" w:eastAsia="Arial" w:hAnsi="Arial" w:cs="Arial"/>
          <w:sz w:val="24"/>
          <w:szCs w:val="24"/>
        </w:rPr>
        <w:t xml:space="preserve">ndividuals </w:t>
      </w:r>
      <w:r w:rsidRPr="00EC6DFF">
        <w:rPr>
          <w:rFonts w:ascii="Arial" w:eastAsia="Arial" w:hAnsi="Arial" w:cs="Arial"/>
          <w:sz w:val="24"/>
          <w:szCs w:val="24"/>
        </w:rPr>
        <w:t xml:space="preserve">tend to </w:t>
      </w:r>
      <w:r w:rsidR="004D24B2" w:rsidRPr="00EC6DFF">
        <w:rPr>
          <w:rFonts w:ascii="Arial" w:eastAsia="Arial" w:hAnsi="Arial" w:cs="Arial"/>
          <w:sz w:val="24"/>
          <w:szCs w:val="24"/>
        </w:rPr>
        <w:t xml:space="preserve">reflect </w:t>
      </w:r>
      <w:r w:rsidR="00E952E1" w:rsidRPr="00EC6DFF">
        <w:rPr>
          <w:rFonts w:ascii="Arial" w:eastAsia="Arial" w:hAnsi="Arial" w:cs="Arial"/>
          <w:sz w:val="24"/>
          <w:szCs w:val="24"/>
        </w:rPr>
        <w:t xml:space="preserve">on </w:t>
      </w:r>
      <w:r w:rsidR="004D24B2" w:rsidRPr="00EC6DFF">
        <w:rPr>
          <w:rFonts w:ascii="Arial" w:eastAsia="Arial" w:hAnsi="Arial" w:cs="Arial"/>
          <w:sz w:val="24"/>
          <w:szCs w:val="24"/>
        </w:rPr>
        <w:t xml:space="preserve">their courses of action, based on </w:t>
      </w:r>
      <w:r w:rsidR="00E952E1" w:rsidRPr="00EC6DFF">
        <w:rPr>
          <w:rFonts w:ascii="Arial" w:eastAsia="Arial" w:hAnsi="Arial" w:cs="Arial"/>
          <w:sz w:val="24"/>
          <w:szCs w:val="24"/>
        </w:rPr>
        <w:t xml:space="preserve">their personal </w:t>
      </w:r>
      <w:r w:rsidR="0052013A" w:rsidRPr="00EC6DFF">
        <w:rPr>
          <w:rFonts w:ascii="Arial" w:eastAsia="Arial" w:hAnsi="Arial" w:cs="Arial"/>
          <w:sz w:val="24"/>
          <w:szCs w:val="24"/>
        </w:rPr>
        <w:t>expectancy</w:t>
      </w:r>
      <w:r w:rsidR="00E952E1" w:rsidRPr="00EC6DFF">
        <w:rPr>
          <w:rFonts w:ascii="Arial" w:eastAsia="Arial" w:hAnsi="Arial" w:cs="Arial"/>
          <w:sz w:val="24"/>
          <w:szCs w:val="24"/>
        </w:rPr>
        <w:t xml:space="preserve"> </w:t>
      </w:r>
      <w:r w:rsidR="0052013A" w:rsidRPr="00EC6DFF">
        <w:rPr>
          <w:rFonts w:ascii="Arial" w:eastAsia="Arial" w:hAnsi="Arial" w:cs="Arial"/>
          <w:sz w:val="24"/>
          <w:szCs w:val="24"/>
        </w:rPr>
        <w:t xml:space="preserve">(Vroom, 1964) </w:t>
      </w:r>
      <w:r w:rsidR="00E952E1" w:rsidRPr="00EC6DFF">
        <w:rPr>
          <w:rFonts w:ascii="Arial" w:eastAsia="Arial" w:hAnsi="Arial" w:cs="Arial"/>
          <w:sz w:val="24"/>
          <w:szCs w:val="24"/>
        </w:rPr>
        <w:t xml:space="preserve">regarding reward (status, efficiency or improved relationships) </w:t>
      </w:r>
      <w:r w:rsidR="00EC6DFF" w:rsidRPr="00EC6DFF">
        <w:rPr>
          <w:rFonts w:ascii="Arial" w:eastAsia="Arial" w:hAnsi="Arial" w:cs="Arial"/>
          <w:sz w:val="24"/>
          <w:szCs w:val="24"/>
        </w:rPr>
        <w:t>versus the</w:t>
      </w:r>
      <w:r w:rsidR="00E952E1" w:rsidRPr="00EC6DFF">
        <w:rPr>
          <w:rFonts w:ascii="Arial" w:eastAsia="Arial" w:hAnsi="Arial" w:cs="Arial"/>
          <w:sz w:val="24"/>
          <w:szCs w:val="24"/>
        </w:rPr>
        <w:t xml:space="preserve"> investment</w:t>
      </w:r>
      <w:r w:rsidR="00EC6DFF" w:rsidRPr="00EC6DFF">
        <w:rPr>
          <w:rFonts w:ascii="Arial" w:eastAsia="Arial" w:hAnsi="Arial" w:cs="Arial"/>
          <w:sz w:val="24"/>
          <w:szCs w:val="24"/>
        </w:rPr>
        <w:t>,</w:t>
      </w:r>
      <w:r w:rsidR="00E952E1" w:rsidRPr="00EC6DFF">
        <w:rPr>
          <w:rFonts w:ascii="Arial" w:eastAsia="Arial" w:hAnsi="Arial" w:cs="Arial"/>
          <w:sz w:val="24"/>
          <w:szCs w:val="24"/>
        </w:rPr>
        <w:t xml:space="preserve"> their </w:t>
      </w:r>
      <w:r w:rsidR="0013366C" w:rsidRPr="00EC6DFF">
        <w:rPr>
          <w:rFonts w:ascii="Arial" w:eastAsia="Arial" w:hAnsi="Arial" w:cs="Arial"/>
          <w:sz w:val="24"/>
          <w:szCs w:val="24"/>
        </w:rPr>
        <w:t>time and effort</w:t>
      </w:r>
      <w:r w:rsidR="00E952E1" w:rsidRPr="00EC6DFF">
        <w:rPr>
          <w:rFonts w:ascii="Arial" w:eastAsia="Arial" w:hAnsi="Arial" w:cs="Arial"/>
          <w:sz w:val="24"/>
          <w:szCs w:val="24"/>
        </w:rPr>
        <w:t xml:space="preserve"> </w:t>
      </w:r>
      <w:r w:rsidR="00895402" w:rsidRPr="00EC6DFF">
        <w:rPr>
          <w:rFonts w:ascii="Arial" w:eastAsia="Arial" w:hAnsi="Arial" w:cs="Arial"/>
          <w:sz w:val="24"/>
          <w:szCs w:val="24"/>
        </w:rPr>
        <w:t>which combined reinforces the</w:t>
      </w:r>
      <w:r w:rsidR="00E952E1" w:rsidRPr="00EC6DFF">
        <w:rPr>
          <w:rFonts w:ascii="Arial" w:eastAsia="Arial" w:hAnsi="Arial" w:cs="Arial"/>
          <w:sz w:val="24"/>
          <w:szCs w:val="24"/>
        </w:rPr>
        <w:t xml:space="preserve"> significance of what they are asked to achieve (Chalofsky, 2010; Fairlie, 2011).   </w:t>
      </w:r>
      <w:r w:rsidR="00EC6DFF">
        <w:rPr>
          <w:rFonts w:ascii="Arial" w:eastAsia="Arial" w:hAnsi="Arial" w:cs="Arial"/>
          <w:sz w:val="24"/>
          <w:szCs w:val="24"/>
        </w:rPr>
        <w:t>The value they ascribe is</w:t>
      </w:r>
      <w:r w:rsidR="00E952E1" w:rsidRPr="00EC6DFF">
        <w:rPr>
          <w:rFonts w:ascii="Arial" w:eastAsia="Arial" w:hAnsi="Arial" w:cs="Arial"/>
          <w:sz w:val="24"/>
          <w:szCs w:val="24"/>
        </w:rPr>
        <w:t xml:space="preserve"> depend</w:t>
      </w:r>
      <w:r w:rsidR="00EC6DFF">
        <w:rPr>
          <w:rFonts w:ascii="Arial" w:eastAsia="Arial" w:hAnsi="Arial" w:cs="Arial"/>
          <w:sz w:val="24"/>
          <w:szCs w:val="24"/>
        </w:rPr>
        <w:t xml:space="preserve">ent </w:t>
      </w:r>
      <w:r w:rsidR="00E952E1" w:rsidRPr="00EC6DFF">
        <w:rPr>
          <w:rFonts w:ascii="Arial" w:eastAsia="Arial" w:hAnsi="Arial" w:cs="Arial"/>
          <w:sz w:val="24"/>
          <w:szCs w:val="24"/>
        </w:rPr>
        <w:t>on their subjective value system which is influence by their</w:t>
      </w:r>
      <w:r w:rsidR="00895402" w:rsidRPr="00EC6DFF">
        <w:rPr>
          <w:rFonts w:ascii="Arial" w:eastAsia="Arial" w:hAnsi="Arial" w:cs="Arial"/>
          <w:sz w:val="24"/>
          <w:szCs w:val="24"/>
        </w:rPr>
        <w:t xml:space="preserve"> </w:t>
      </w:r>
      <w:r w:rsidR="00EC6DFF">
        <w:rPr>
          <w:rFonts w:ascii="Arial" w:eastAsia="Arial" w:hAnsi="Arial" w:cs="Arial"/>
          <w:sz w:val="24"/>
          <w:szCs w:val="24"/>
        </w:rPr>
        <w:t>personal</w:t>
      </w:r>
      <w:r w:rsidR="00E952E1" w:rsidRPr="00EC6DFF">
        <w:rPr>
          <w:rFonts w:ascii="Arial" w:eastAsia="Arial" w:hAnsi="Arial" w:cs="Arial"/>
          <w:sz w:val="24"/>
          <w:szCs w:val="24"/>
        </w:rPr>
        <w:t xml:space="preserve"> </w:t>
      </w:r>
      <w:r w:rsidR="00EC6DFF">
        <w:rPr>
          <w:rFonts w:ascii="Arial" w:eastAsia="Arial" w:hAnsi="Arial" w:cs="Arial"/>
          <w:sz w:val="24"/>
          <w:szCs w:val="24"/>
        </w:rPr>
        <w:t>beliefs and</w:t>
      </w:r>
      <w:r w:rsidR="00895402" w:rsidRPr="00EC6DFF">
        <w:rPr>
          <w:rFonts w:ascii="Arial" w:eastAsia="Arial" w:hAnsi="Arial" w:cs="Arial"/>
          <w:sz w:val="24"/>
          <w:szCs w:val="24"/>
        </w:rPr>
        <w:t xml:space="preserve"> through the interactions with others.</w:t>
      </w:r>
      <w:r w:rsidR="0052013A" w:rsidRPr="00EC6DFF">
        <w:rPr>
          <w:rFonts w:ascii="Arial" w:eastAsia="Arial" w:hAnsi="Arial" w:cs="Arial"/>
          <w:sz w:val="24"/>
          <w:szCs w:val="24"/>
        </w:rPr>
        <w:t xml:space="preserve">  This can be problematic</w:t>
      </w:r>
      <w:r w:rsidR="00D6014D">
        <w:rPr>
          <w:rFonts w:ascii="Arial" w:eastAsia="Arial" w:hAnsi="Arial" w:cs="Arial"/>
          <w:sz w:val="24"/>
          <w:szCs w:val="24"/>
        </w:rPr>
        <w:t xml:space="preserve"> in HE</w:t>
      </w:r>
      <w:r w:rsidR="0052013A" w:rsidRPr="00EC6DFF">
        <w:rPr>
          <w:rFonts w:ascii="Arial" w:eastAsia="Arial" w:hAnsi="Arial" w:cs="Arial"/>
          <w:sz w:val="24"/>
          <w:szCs w:val="24"/>
        </w:rPr>
        <w:t xml:space="preserve"> creating a tension </w:t>
      </w:r>
      <w:r w:rsidR="00D6014D">
        <w:rPr>
          <w:rFonts w:ascii="Arial" w:eastAsia="Arial" w:hAnsi="Arial" w:cs="Arial"/>
          <w:sz w:val="24"/>
          <w:szCs w:val="24"/>
        </w:rPr>
        <w:t>between</w:t>
      </w:r>
      <w:r w:rsidR="0052013A" w:rsidRPr="00EC6DFF">
        <w:rPr>
          <w:rFonts w:ascii="Arial" w:eastAsia="Arial" w:hAnsi="Arial" w:cs="Arial"/>
          <w:sz w:val="24"/>
          <w:szCs w:val="24"/>
        </w:rPr>
        <w:t xml:space="preserve"> personal professional educational ideals with functional targets outcomes. </w:t>
      </w:r>
    </w:p>
    <w:p w14:paraId="29A40421" w14:textId="7A0DCF73" w:rsidR="008A3C75" w:rsidRDefault="004D24B2">
      <w:pPr>
        <w:spacing w:line="360" w:lineRule="auto"/>
        <w:jc w:val="both"/>
        <w:rPr>
          <w:rFonts w:ascii="Arial" w:eastAsia="Arial" w:hAnsi="Arial" w:cs="Arial"/>
          <w:sz w:val="24"/>
          <w:szCs w:val="24"/>
        </w:rPr>
      </w:pPr>
      <w:r>
        <w:rPr>
          <w:rFonts w:ascii="Arial" w:eastAsia="Arial" w:hAnsi="Arial" w:cs="Arial"/>
          <w:sz w:val="24"/>
          <w:szCs w:val="24"/>
        </w:rPr>
        <w:t>Purpose is found when work is made up of meaningful activities, however this can be unique, as individuals can construct their own sense of purpose relevant to them. Therefore, engagement is driven to some extent by activities and behaviours that have perceived purpose. Purpose consists of pressures, demands and intrinsic motivation, amounting to the intention to achieve something, and engagement could be the consequence of an evaluation of purpose</w:t>
      </w:r>
      <w:r w:rsidR="00DE0B55">
        <w:rPr>
          <w:rFonts w:ascii="Arial" w:eastAsia="Arial" w:hAnsi="Arial" w:cs="Arial"/>
          <w:sz w:val="24"/>
          <w:szCs w:val="24"/>
        </w:rPr>
        <w:t xml:space="preserve"> </w:t>
      </w:r>
      <w:r>
        <w:rPr>
          <w:rFonts w:ascii="Arial" w:eastAsia="Arial" w:hAnsi="Arial" w:cs="Arial"/>
          <w:sz w:val="24"/>
          <w:szCs w:val="24"/>
        </w:rPr>
        <w:t xml:space="preserve">(Shuck &amp; Rose, 2013). </w:t>
      </w:r>
    </w:p>
    <w:p w14:paraId="63EC2C85" w14:textId="77777777" w:rsidR="0059714D" w:rsidRDefault="004D24B2" w:rsidP="0052013A">
      <w:pPr>
        <w:spacing w:line="360" w:lineRule="auto"/>
        <w:jc w:val="both"/>
        <w:rPr>
          <w:rFonts w:ascii="Arial" w:eastAsia="Arial" w:hAnsi="Arial" w:cs="Arial"/>
          <w:sz w:val="24"/>
          <w:szCs w:val="24"/>
        </w:rPr>
      </w:pPr>
      <w:r>
        <w:rPr>
          <w:rFonts w:ascii="Arial" w:eastAsia="Arial" w:hAnsi="Arial" w:cs="Arial"/>
          <w:sz w:val="24"/>
          <w:szCs w:val="24"/>
        </w:rPr>
        <w:t xml:space="preserve">To foster engagement for UKPSF recognition, it is important to understand the background conditions that drive or inhibit success as well as the foreground processes that are employed to achieve the outcomes to be attained (Figure. 1), understanding this dynamic is critical in achieving success.  Likewise, it is critical to have a clear understanding of the outcomes to be attained, a criticism that has been suggested of HE CPD provision (Clegg, 1999).  </w:t>
      </w:r>
    </w:p>
    <w:p w14:paraId="143F2262" w14:textId="1A8C866B" w:rsidR="008A3C75" w:rsidRDefault="0052013A">
      <w:pPr>
        <w:spacing w:line="360" w:lineRule="auto"/>
        <w:jc w:val="both"/>
        <w:rPr>
          <w:rFonts w:ascii="Arial" w:eastAsia="Arial" w:hAnsi="Arial" w:cs="Arial"/>
          <w:sz w:val="24"/>
          <w:szCs w:val="24"/>
        </w:rPr>
      </w:pPr>
      <w:r>
        <w:rPr>
          <w:rFonts w:ascii="Arial" w:eastAsia="Arial" w:hAnsi="Arial" w:cs="Arial"/>
          <w:sz w:val="24"/>
          <w:szCs w:val="24"/>
        </w:rPr>
        <w:lastRenderedPageBreak/>
        <w:t xml:space="preserve">Professionality is an </w:t>
      </w:r>
      <w:r>
        <w:rPr>
          <w:rFonts w:ascii="Arial" w:eastAsia="Arial" w:hAnsi="Arial" w:cs="Arial"/>
          <w:i/>
          <w:sz w:val="24"/>
          <w:szCs w:val="24"/>
        </w:rPr>
        <w:t>“ideologically-, attitudinally-, intellectually-, and epistemologically-based stance on the part of an individual, in relation to the practice of the profession to which they belong</w:t>
      </w:r>
      <w:r>
        <w:rPr>
          <w:rFonts w:ascii="Arial" w:eastAsia="Arial" w:hAnsi="Arial" w:cs="Arial"/>
          <w:sz w:val="24"/>
          <w:szCs w:val="24"/>
        </w:rPr>
        <w:t xml:space="preserve">” (Evans, 2002b, pp. 6-7), metaphorically it can be seen as crossing a threshold (Meyer and Land, 2005), transformative, irreversible and even professionally troublesome, shaping an actors disposition </w:t>
      </w:r>
      <w:r>
        <w:rPr>
          <w:rFonts w:ascii="Arial" w:eastAsia="Arial" w:hAnsi="Arial" w:cs="Arial"/>
          <w:i/>
          <w:sz w:val="24"/>
          <w:szCs w:val="24"/>
        </w:rPr>
        <w:t xml:space="preserve">‘seeing things in new ways’ </w:t>
      </w:r>
      <w:r>
        <w:rPr>
          <w:rFonts w:ascii="Arial" w:eastAsia="Arial" w:hAnsi="Arial" w:cs="Arial"/>
          <w:sz w:val="24"/>
          <w:szCs w:val="24"/>
        </w:rPr>
        <w:t>(Ibid, p1)</w:t>
      </w:r>
      <w:r>
        <w:rPr>
          <w:rFonts w:ascii="Arial" w:eastAsia="Arial" w:hAnsi="Arial" w:cs="Arial"/>
          <w:i/>
          <w:sz w:val="24"/>
          <w:szCs w:val="24"/>
        </w:rPr>
        <w:t xml:space="preserve"> </w:t>
      </w:r>
      <w:r>
        <w:rPr>
          <w:rFonts w:ascii="Arial" w:eastAsia="Arial" w:hAnsi="Arial" w:cs="Arial"/>
          <w:sz w:val="24"/>
          <w:szCs w:val="24"/>
          <w:highlight w:val="white"/>
        </w:rPr>
        <w:t>infl</w:t>
      </w:r>
      <w:r>
        <w:rPr>
          <w:rFonts w:ascii="Arial" w:eastAsia="Arial" w:hAnsi="Arial" w:cs="Arial"/>
          <w:sz w:val="24"/>
          <w:szCs w:val="24"/>
        </w:rPr>
        <w:t xml:space="preserve">uencing the core of their professional practice and can expose alignment issues in personal and organisational values. </w:t>
      </w:r>
    </w:p>
    <w:p w14:paraId="5516CC83" w14:textId="77777777" w:rsidR="008A3C75" w:rsidRDefault="004D24B2">
      <w:pPr>
        <w:spacing w:line="360" w:lineRule="auto"/>
        <w:jc w:val="both"/>
        <w:rPr>
          <w:rFonts w:ascii="Arial" w:eastAsia="Arial" w:hAnsi="Arial" w:cs="Arial"/>
          <w:sz w:val="24"/>
          <w:szCs w:val="24"/>
        </w:rPr>
      </w:pPr>
      <w:r>
        <w:rPr>
          <w:rFonts w:ascii="Arial" w:eastAsia="Arial" w:hAnsi="Arial" w:cs="Arial"/>
          <w:noProof/>
          <w:sz w:val="24"/>
          <w:szCs w:val="24"/>
        </w:rPr>
        <mc:AlternateContent>
          <mc:Choice Requires="wpg">
            <w:drawing>
              <wp:inline distT="0" distB="0" distL="0" distR="0" wp14:anchorId="3332BE46" wp14:editId="3CBA425F">
                <wp:extent cx="5486400" cy="594360"/>
                <wp:effectExtent l="0" t="0" r="0" b="0"/>
                <wp:docPr id="1" name="Group 1"/>
                <wp:cNvGraphicFramePr/>
                <a:graphic xmlns:a="http://schemas.openxmlformats.org/drawingml/2006/main">
                  <a:graphicData uri="http://schemas.microsoft.com/office/word/2010/wordprocessingGroup">
                    <wpg:wgp>
                      <wpg:cNvGrpSpPr/>
                      <wpg:grpSpPr>
                        <a:xfrm>
                          <a:off x="0" y="0"/>
                          <a:ext cx="5486400" cy="594360"/>
                          <a:chOff x="0" y="0"/>
                          <a:chExt cx="5486400" cy="594360"/>
                        </a:xfrm>
                      </wpg:grpSpPr>
                      <wpg:grpSp>
                        <wpg:cNvPr id="2" name="Group 2"/>
                        <wpg:cNvGrpSpPr/>
                        <wpg:grpSpPr>
                          <a:xfrm>
                            <a:off x="0" y="0"/>
                            <a:ext cx="5486400" cy="594360"/>
                            <a:chOff x="0" y="0"/>
                            <a:chExt cx="5486400" cy="594360"/>
                          </a:xfrm>
                        </wpg:grpSpPr>
                        <wps:wsp>
                          <wps:cNvPr id="3" name="Rectangle 3"/>
                          <wps:cNvSpPr/>
                          <wps:spPr>
                            <a:xfrm>
                              <a:off x="0" y="0"/>
                              <a:ext cx="5486400" cy="594350"/>
                            </a:xfrm>
                            <a:prstGeom prst="rect">
                              <a:avLst/>
                            </a:prstGeom>
                            <a:noFill/>
                            <a:ln>
                              <a:noFill/>
                            </a:ln>
                          </wps:spPr>
                          <wps:txbx>
                            <w:txbxContent>
                              <w:p w14:paraId="335620AF" w14:textId="77777777" w:rsidR="002F393B" w:rsidRDefault="002F393B">
                                <w:pPr>
                                  <w:spacing w:after="0" w:line="240" w:lineRule="auto"/>
                                  <w:textDirection w:val="btLr"/>
                                </w:pPr>
                              </w:p>
                            </w:txbxContent>
                          </wps:txbx>
                          <wps:bodyPr spcFirstLastPara="1" wrap="square" lIns="91425" tIns="91425" rIns="91425" bIns="91425" anchor="ctr" anchorCtr="0">
                            <a:noAutofit/>
                          </wps:bodyPr>
                        </wps:wsp>
                        <wps:wsp>
                          <wps:cNvPr id="4" name="Rectangle: Rounded Corners 4"/>
                          <wps:cNvSpPr/>
                          <wps:spPr>
                            <a:xfrm>
                              <a:off x="75160" y="0"/>
                              <a:ext cx="1441251" cy="594360"/>
                            </a:xfrm>
                            <a:prstGeom prst="roundRect">
                              <a:avLst>
                                <a:gd name="adj" fmla="val 10000"/>
                              </a:avLst>
                            </a:prstGeom>
                            <a:solidFill>
                              <a:srgbClr val="599BD5"/>
                            </a:solidFill>
                            <a:ln w="12700" cap="flat" cmpd="sng">
                              <a:solidFill>
                                <a:schemeClr val="lt1"/>
                              </a:solidFill>
                              <a:prstDash val="solid"/>
                              <a:miter lim="800000"/>
                              <a:headEnd type="none" w="sm" len="sm"/>
                              <a:tailEnd type="none" w="sm" len="sm"/>
                            </a:ln>
                          </wps:spPr>
                          <wps:txbx>
                            <w:txbxContent>
                              <w:p w14:paraId="06773CAE" w14:textId="77777777" w:rsidR="002F393B" w:rsidRDefault="002F393B">
                                <w:pPr>
                                  <w:spacing w:after="0" w:line="240" w:lineRule="auto"/>
                                  <w:textDirection w:val="btLr"/>
                                </w:pPr>
                              </w:p>
                            </w:txbxContent>
                          </wps:txbx>
                          <wps:bodyPr spcFirstLastPara="1" wrap="square" lIns="91425" tIns="91425" rIns="91425" bIns="91425" anchor="ctr" anchorCtr="0">
                            <a:noAutofit/>
                          </wps:bodyPr>
                        </wps:wsp>
                        <wps:wsp>
                          <wps:cNvPr id="5" name="Text Box 5"/>
                          <wps:cNvSpPr txBox="1"/>
                          <wps:spPr>
                            <a:xfrm>
                              <a:off x="92568" y="17408"/>
                              <a:ext cx="1406435" cy="559544"/>
                            </a:xfrm>
                            <a:prstGeom prst="rect">
                              <a:avLst/>
                            </a:prstGeom>
                            <a:noFill/>
                            <a:ln>
                              <a:noFill/>
                            </a:ln>
                          </wps:spPr>
                          <wps:txbx>
                            <w:txbxContent>
                              <w:p w14:paraId="17746828" w14:textId="77777777" w:rsidR="002F393B" w:rsidRDefault="002F393B">
                                <w:pPr>
                                  <w:spacing w:after="0" w:line="215" w:lineRule="auto"/>
                                  <w:jc w:val="center"/>
                                  <w:textDirection w:val="btLr"/>
                                </w:pPr>
                                <w:r>
                                  <w:rPr>
                                    <w:b/>
                                    <w:color w:val="000000"/>
                                    <w:sz w:val="24"/>
                                  </w:rPr>
                                  <w:t>Conditions enabling engagement</w:t>
                                </w:r>
                              </w:p>
                            </w:txbxContent>
                          </wps:txbx>
                          <wps:bodyPr spcFirstLastPara="1" wrap="square" lIns="45700" tIns="45700" rIns="45700" bIns="45700" anchor="ctr" anchorCtr="0">
                            <a:noAutofit/>
                          </wps:bodyPr>
                        </wps:wsp>
                        <wps:wsp>
                          <wps:cNvPr id="6" name="Arrow: Right 6"/>
                          <wps:cNvSpPr/>
                          <wps:spPr>
                            <a:xfrm>
                              <a:off x="1659136" y="118464"/>
                              <a:ext cx="302575" cy="357430"/>
                            </a:xfrm>
                            <a:prstGeom prst="rightArrow">
                              <a:avLst>
                                <a:gd name="adj1" fmla="val 60000"/>
                                <a:gd name="adj2" fmla="val 50000"/>
                              </a:avLst>
                            </a:prstGeom>
                            <a:solidFill>
                              <a:srgbClr val="B3CAE7"/>
                            </a:solidFill>
                            <a:ln>
                              <a:noFill/>
                            </a:ln>
                          </wps:spPr>
                          <wps:txbx>
                            <w:txbxContent>
                              <w:p w14:paraId="2CCA355F" w14:textId="77777777" w:rsidR="002F393B" w:rsidRDefault="002F393B">
                                <w:pPr>
                                  <w:spacing w:after="0" w:line="240" w:lineRule="auto"/>
                                  <w:textDirection w:val="btLr"/>
                                </w:pPr>
                              </w:p>
                            </w:txbxContent>
                          </wps:txbx>
                          <wps:bodyPr spcFirstLastPara="1" wrap="square" lIns="91425" tIns="91425" rIns="91425" bIns="91425" anchor="ctr" anchorCtr="0">
                            <a:noAutofit/>
                          </wps:bodyPr>
                        </wps:wsp>
                        <wps:wsp>
                          <wps:cNvPr id="7" name="Text Box 7"/>
                          <wps:cNvSpPr txBox="1"/>
                          <wps:spPr>
                            <a:xfrm>
                              <a:off x="1659136" y="189950"/>
                              <a:ext cx="211803" cy="214458"/>
                            </a:xfrm>
                            <a:prstGeom prst="rect">
                              <a:avLst/>
                            </a:prstGeom>
                            <a:noFill/>
                            <a:ln>
                              <a:noFill/>
                            </a:ln>
                          </wps:spPr>
                          <wps:txbx>
                            <w:txbxContent>
                              <w:p w14:paraId="7570A804" w14:textId="77777777" w:rsidR="002F393B" w:rsidRDefault="002F393B">
                                <w:pPr>
                                  <w:spacing w:after="0" w:line="215" w:lineRule="auto"/>
                                  <w:jc w:val="center"/>
                                  <w:textDirection w:val="btLr"/>
                                </w:pPr>
                              </w:p>
                            </w:txbxContent>
                          </wps:txbx>
                          <wps:bodyPr spcFirstLastPara="1" wrap="square" lIns="0" tIns="0" rIns="0" bIns="0" anchor="ctr" anchorCtr="0">
                            <a:noAutofit/>
                          </wps:bodyPr>
                        </wps:wsp>
                        <wps:wsp>
                          <wps:cNvPr id="8" name="Rectangle: Rounded Corners 8"/>
                          <wps:cNvSpPr/>
                          <wps:spPr>
                            <a:xfrm>
                              <a:off x="2087309" y="0"/>
                              <a:ext cx="1441251" cy="594360"/>
                            </a:xfrm>
                            <a:prstGeom prst="roundRect">
                              <a:avLst>
                                <a:gd name="adj" fmla="val 10000"/>
                              </a:avLst>
                            </a:prstGeom>
                            <a:solidFill>
                              <a:srgbClr val="599BD5"/>
                            </a:solidFill>
                            <a:ln w="12700" cap="flat" cmpd="sng">
                              <a:solidFill>
                                <a:schemeClr val="lt1"/>
                              </a:solidFill>
                              <a:prstDash val="solid"/>
                              <a:miter lim="800000"/>
                              <a:headEnd type="none" w="sm" len="sm"/>
                              <a:tailEnd type="none" w="sm" len="sm"/>
                            </a:ln>
                          </wps:spPr>
                          <wps:txbx>
                            <w:txbxContent>
                              <w:p w14:paraId="2A1B004E" w14:textId="77777777" w:rsidR="002F393B" w:rsidRDefault="002F393B">
                                <w:pPr>
                                  <w:spacing w:after="0" w:line="240" w:lineRule="auto"/>
                                  <w:textDirection w:val="btLr"/>
                                </w:pPr>
                              </w:p>
                            </w:txbxContent>
                          </wps:txbx>
                          <wps:bodyPr spcFirstLastPara="1" wrap="square" lIns="91425" tIns="91425" rIns="91425" bIns="91425" anchor="ctr" anchorCtr="0">
                            <a:noAutofit/>
                          </wps:bodyPr>
                        </wps:wsp>
                        <wps:wsp>
                          <wps:cNvPr id="9" name="Text Box 9"/>
                          <wps:cNvSpPr txBox="1"/>
                          <wps:spPr>
                            <a:xfrm>
                              <a:off x="2104717" y="17408"/>
                              <a:ext cx="1406435" cy="559544"/>
                            </a:xfrm>
                            <a:prstGeom prst="rect">
                              <a:avLst/>
                            </a:prstGeom>
                            <a:noFill/>
                            <a:ln>
                              <a:noFill/>
                            </a:ln>
                          </wps:spPr>
                          <wps:txbx>
                            <w:txbxContent>
                              <w:p w14:paraId="122BDA5F" w14:textId="77777777" w:rsidR="002F393B" w:rsidRDefault="002F393B">
                                <w:pPr>
                                  <w:spacing w:after="0" w:line="215" w:lineRule="auto"/>
                                  <w:jc w:val="center"/>
                                  <w:textDirection w:val="btLr"/>
                                </w:pPr>
                                <w:r>
                                  <w:rPr>
                                    <w:b/>
                                    <w:color w:val="000000"/>
                                    <w:sz w:val="24"/>
                                  </w:rPr>
                                  <w:t>Process of engagement</w:t>
                                </w:r>
                              </w:p>
                            </w:txbxContent>
                          </wps:txbx>
                          <wps:bodyPr spcFirstLastPara="1" wrap="square" lIns="45700" tIns="45700" rIns="45700" bIns="45700" anchor="ctr" anchorCtr="0">
                            <a:noAutofit/>
                          </wps:bodyPr>
                        </wps:wsp>
                        <wps:wsp>
                          <wps:cNvPr id="10" name="Arrow: Right 10"/>
                          <wps:cNvSpPr/>
                          <wps:spPr>
                            <a:xfrm>
                              <a:off x="3635720" y="118464"/>
                              <a:ext cx="227179" cy="357430"/>
                            </a:xfrm>
                            <a:prstGeom prst="rightArrow">
                              <a:avLst>
                                <a:gd name="adj1" fmla="val 60000"/>
                                <a:gd name="adj2" fmla="val 50000"/>
                              </a:avLst>
                            </a:prstGeom>
                            <a:solidFill>
                              <a:srgbClr val="B3CAE7"/>
                            </a:solidFill>
                            <a:ln>
                              <a:noFill/>
                            </a:ln>
                          </wps:spPr>
                          <wps:txbx>
                            <w:txbxContent>
                              <w:p w14:paraId="40BB5737" w14:textId="77777777" w:rsidR="002F393B" w:rsidRDefault="002F393B">
                                <w:pPr>
                                  <w:spacing w:after="0" w:line="240" w:lineRule="auto"/>
                                  <w:textDirection w:val="btLr"/>
                                </w:pPr>
                              </w:p>
                            </w:txbxContent>
                          </wps:txbx>
                          <wps:bodyPr spcFirstLastPara="1" wrap="square" lIns="91425" tIns="91425" rIns="91425" bIns="91425" anchor="ctr" anchorCtr="0">
                            <a:noAutofit/>
                          </wps:bodyPr>
                        </wps:wsp>
                        <wps:wsp>
                          <wps:cNvPr id="11" name="Text Box 11"/>
                          <wps:cNvSpPr txBox="1"/>
                          <wps:spPr>
                            <a:xfrm>
                              <a:off x="3635720" y="189950"/>
                              <a:ext cx="159025" cy="214458"/>
                            </a:xfrm>
                            <a:prstGeom prst="rect">
                              <a:avLst/>
                            </a:prstGeom>
                            <a:noFill/>
                            <a:ln>
                              <a:noFill/>
                            </a:ln>
                          </wps:spPr>
                          <wps:txbx>
                            <w:txbxContent>
                              <w:p w14:paraId="202461DC" w14:textId="77777777" w:rsidR="002F393B" w:rsidRDefault="002F393B">
                                <w:pPr>
                                  <w:spacing w:after="0" w:line="215" w:lineRule="auto"/>
                                  <w:jc w:val="center"/>
                                  <w:textDirection w:val="btLr"/>
                                </w:pPr>
                              </w:p>
                            </w:txbxContent>
                          </wps:txbx>
                          <wps:bodyPr spcFirstLastPara="1" wrap="square" lIns="0" tIns="0" rIns="0" bIns="0" anchor="ctr" anchorCtr="0">
                            <a:noAutofit/>
                          </wps:bodyPr>
                        </wps:wsp>
                        <wps:wsp>
                          <wps:cNvPr id="12" name="Rectangle: Rounded Corners 12"/>
                          <wps:cNvSpPr/>
                          <wps:spPr>
                            <a:xfrm>
                              <a:off x="3957200" y="0"/>
                              <a:ext cx="1441251" cy="594360"/>
                            </a:xfrm>
                            <a:prstGeom prst="roundRect">
                              <a:avLst>
                                <a:gd name="adj" fmla="val 10000"/>
                              </a:avLst>
                            </a:prstGeom>
                            <a:solidFill>
                              <a:srgbClr val="599BD5"/>
                            </a:solidFill>
                            <a:ln w="12700" cap="flat" cmpd="sng">
                              <a:solidFill>
                                <a:schemeClr val="lt1"/>
                              </a:solidFill>
                              <a:prstDash val="solid"/>
                              <a:miter lim="800000"/>
                              <a:headEnd type="none" w="sm" len="sm"/>
                              <a:tailEnd type="none" w="sm" len="sm"/>
                            </a:ln>
                          </wps:spPr>
                          <wps:txbx>
                            <w:txbxContent>
                              <w:p w14:paraId="38FD65D5" w14:textId="77777777" w:rsidR="002F393B" w:rsidRDefault="002F393B">
                                <w:pPr>
                                  <w:spacing w:after="0" w:line="240" w:lineRule="auto"/>
                                  <w:textDirection w:val="btLr"/>
                                </w:pPr>
                              </w:p>
                            </w:txbxContent>
                          </wps:txbx>
                          <wps:bodyPr spcFirstLastPara="1" wrap="square" lIns="91425" tIns="91425" rIns="91425" bIns="91425" anchor="ctr" anchorCtr="0">
                            <a:noAutofit/>
                          </wps:bodyPr>
                        </wps:wsp>
                        <wps:wsp>
                          <wps:cNvPr id="13" name="Text Box 13"/>
                          <wps:cNvSpPr txBox="1"/>
                          <wps:spPr>
                            <a:xfrm>
                              <a:off x="3974608" y="17408"/>
                              <a:ext cx="1406435" cy="559544"/>
                            </a:xfrm>
                            <a:prstGeom prst="rect">
                              <a:avLst/>
                            </a:prstGeom>
                            <a:noFill/>
                            <a:ln>
                              <a:noFill/>
                            </a:ln>
                          </wps:spPr>
                          <wps:txbx>
                            <w:txbxContent>
                              <w:p w14:paraId="4A9DF0BA" w14:textId="77777777" w:rsidR="002F393B" w:rsidRDefault="002F393B">
                                <w:pPr>
                                  <w:spacing w:after="0" w:line="215" w:lineRule="auto"/>
                                  <w:jc w:val="center"/>
                                  <w:textDirection w:val="btLr"/>
                                </w:pPr>
                                <w:r>
                                  <w:rPr>
                                    <w:b/>
                                    <w:color w:val="000000"/>
                                    <w:sz w:val="24"/>
                                  </w:rPr>
                                  <w:t>Outcomes</w:t>
                                </w:r>
                              </w:p>
                            </w:txbxContent>
                          </wps:txbx>
                          <wps:bodyPr spcFirstLastPara="1" wrap="square" lIns="45700" tIns="45700" rIns="45700" bIns="45700" anchor="ctr" anchorCtr="0">
                            <a:noAutofit/>
                          </wps:bodyPr>
                        </wps:wsp>
                      </wpg:grpSp>
                    </wpg:wgp>
                  </a:graphicData>
                </a:graphic>
              </wp:inline>
            </w:drawing>
          </mc:Choice>
          <mc:Fallback>
            <w:pict>
              <v:group w14:anchorId="3332BE46" id="_x0000_s1026" style="width:6in;height:46.8pt;mso-position-horizontal-relative:char;mso-position-vertical-relative:line" coordsize="54864,5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">
                <v:group id="Group 2" o:spid="_x0000_s1027" style="position:absolute;width:54864;height:5943" coordsize="54864,5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width:54864;height:5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335620AF" w14:textId="77777777" w:rsidR="002F393B" w:rsidRDefault="002F393B">
                          <w:pPr>
                            <w:spacing w:after="0" w:line="240" w:lineRule="auto"/>
                            <w:textDirection w:val="btLr"/>
                          </w:pPr>
                        </w:p>
                      </w:txbxContent>
                    </v:textbox>
                  </v:rect>
                  <v:roundrect id="Rectangle: Rounded Corners 4" o:spid="_x0000_s1029" style="position:absolute;left:751;width:14413;height:594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" fillcolor="#599bd5" strokecolor="white [3201]" strokeweight="1pt">
                    <v:stroke startarrowwidth="narrow" startarrowlength="short" endarrowwidth="narrow" endarrowlength="short" joinstyle="miter"/>
                    <v:textbox inset="2.53958mm,2.53958mm,2.53958mm,2.53958mm">
                      <w:txbxContent>
                        <w:p w14:paraId="06773CAE" w14:textId="77777777" w:rsidR="002F393B" w:rsidRDefault="002F393B">
                          <w:pPr>
                            <w:spacing w:after="0" w:line="240" w:lineRule="auto"/>
                            <w:textDirection w:val="btLr"/>
                          </w:pPr>
                        </w:p>
                      </w:txbxContent>
                    </v:textbox>
                  </v:roundrect>
                  <v:shapetype id="_x0000_t202" coordsize="21600,21600" o:spt="202" path="m,l,21600r21600,l21600,xe">
                    <v:stroke joinstyle="miter"/>
                    <v:path gradientshapeok="t" o:connecttype="rect"/>
                  </v:shapetype>
                  <v:shape id="Text Box 5" o:spid="_x0000_s1030" type="#_x0000_t202" style="position:absolute;left:925;top:174;width:14065;height:5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" filled="f" stroked="f">
                    <v:textbox inset="1.2694mm,1.2694mm,1.2694mm,1.2694mm">
                      <w:txbxContent>
                        <w:p w14:paraId="17746828" w14:textId="77777777" w:rsidR="002F393B" w:rsidRDefault="002F393B">
                          <w:pPr>
                            <w:spacing w:after="0" w:line="215" w:lineRule="auto"/>
                            <w:jc w:val="center"/>
                            <w:textDirection w:val="btLr"/>
                          </w:pPr>
                          <w:r>
                            <w:rPr>
                              <w:b/>
                              <w:color w:val="000000"/>
                              <w:sz w:val="24"/>
                            </w:rPr>
                            <w:t>Conditions enabling engagement</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 o:spid="_x0000_s1031" type="#_x0000_t13" style="position:absolute;left:16591;top:1184;width:3026;height:3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" adj="10800,4320" fillcolor="#b3cae7" stroked="f">
                    <v:textbox inset="2.53958mm,2.53958mm,2.53958mm,2.53958mm">
                      <w:txbxContent>
                        <w:p w14:paraId="2CCA355F" w14:textId="77777777" w:rsidR="002F393B" w:rsidRDefault="002F393B">
                          <w:pPr>
                            <w:spacing w:after="0" w:line="240" w:lineRule="auto"/>
                            <w:textDirection w:val="btLr"/>
                          </w:pPr>
                        </w:p>
                      </w:txbxContent>
                    </v:textbox>
                  </v:shape>
                  <v:shape id="Text Box 7" o:spid="_x0000_s1032" type="#_x0000_t202" style="position:absolute;left:16591;top:1899;width:2118;height:2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" filled="f" stroked="f">
                    <v:textbox inset="0,0,0,0">
                      <w:txbxContent>
                        <w:p w14:paraId="7570A804" w14:textId="77777777" w:rsidR="002F393B" w:rsidRDefault="002F393B">
                          <w:pPr>
                            <w:spacing w:after="0" w:line="215" w:lineRule="auto"/>
                            <w:jc w:val="center"/>
                            <w:textDirection w:val="btLr"/>
                          </w:pPr>
                        </w:p>
                      </w:txbxContent>
                    </v:textbox>
                  </v:shape>
                  <v:roundrect id="Rectangle: Rounded Corners 8" o:spid="_x0000_s1033" style="position:absolute;left:20873;width:14412;height:594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" fillcolor="#599bd5" strokecolor="white [3201]" strokeweight="1pt">
                    <v:stroke startarrowwidth="narrow" startarrowlength="short" endarrowwidth="narrow" endarrowlength="short" joinstyle="miter"/>
                    <v:textbox inset="2.53958mm,2.53958mm,2.53958mm,2.53958mm">
                      <w:txbxContent>
                        <w:p w14:paraId="2A1B004E" w14:textId="77777777" w:rsidR="002F393B" w:rsidRDefault="002F393B">
                          <w:pPr>
                            <w:spacing w:after="0" w:line="240" w:lineRule="auto"/>
                            <w:textDirection w:val="btLr"/>
                          </w:pPr>
                        </w:p>
                      </w:txbxContent>
                    </v:textbox>
                  </v:roundrect>
                  <v:shape id="Text Box 9" o:spid="_x0000_s1034" type="#_x0000_t202" style="position:absolute;left:21047;top:174;width:14064;height:5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" filled="f" stroked="f">
                    <v:textbox inset="1.2694mm,1.2694mm,1.2694mm,1.2694mm">
                      <w:txbxContent>
                        <w:p w14:paraId="122BDA5F" w14:textId="77777777" w:rsidR="002F393B" w:rsidRDefault="002F393B">
                          <w:pPr>
                            <w:spacing w:after="0" w:line="215" w:lineRule="auto"/>
                            <w:jc w:val="center"/>
                            <w:textDirection w:val="btLr"/>
                          </w:pPr>
                          <w:r>
                            <w:rPr>
                              <w:b/>
                              <w:color w:val="000000"/>
                              <w:sz w:val="24"/>
                            </w:rPr>
                            <w:t>Process of engagement</w:t>
                          </w:r>
                        </w:p>
                      </w:txbxContent>
                    </v:textbox>
                  </v:shape>
                  <v:shape id="Arrow: Right 10" o:spid="_x0000_s1035" type="#_x0000_t13" style="position:absolute;left:36357;top:1184;width:2271;height:3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" adj="10800,4320" fillcolor="#b3cae7" stroked="f">
                    <v:textbox inset="2.53958mm,2.53958mm,2.53958mm,2.53958mm">
                      <w:txbxContent>
                        <w:p w14:paraId="40BB5737" w14:textId="77777777" w:rsidR="002F393B" w:rsidRDefault="002F393B">
                          <w:pPr>
                            <w:spacing w:after="0" w:line="240" w:lineRule="auto"/>
                            <w:textDirection w:val="btLr"/>
                          </w:pPr>
                        </w:p>
                      </w:txbxContent>
                    </v:textbox>
                  </v:shape>
                  <v:shape id="Text Box 11" o:spid="_x0000_s1036" type="#_x0000_t202" style="position:absolute;left:36357;top:1899;width:1590;height:2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" filled="f" stroked="f">
                    <v:textbox inset="0,0,0,0">
                      <w:txbxContent>
                        <w:p w14:paraId="202461DC" w14:textId="77777777" w:rsidR="002F393B" w:rsidRDefault="002F393B">
                          <w:pPr>
                            <w:spacing w:after="0" w:line="215" w:lineRule="auto"/>
                            <w:jc w:val="center"/>
                            <w:textDirection w:val="btLr"/>
                          </w:pPr>
                        </w:p>
                      </w:txbxContent>
                    </v:textbox>
                  </v:shape>
                  <v:roundrect id="Rectangle: Rounded Corners 12" o:spid="_x0000_s1037" style="position:absolute;left:39572;width:14412;height:594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" fillcolor="#599bd5" strokecolor="white [3201]" strokeweight="1pt">
                    <v:stroke startarrowwidth="narrow" startarrowlength="short" endarrowwidth="narrow" endarrowlength="short" joinstyle="miter"/>
                    <v:textbox inset="2.53958mm,2.53958mm,2.53958mm,2.53958mm">
                      <w:txbxContent>
                        <w:p w14:paraId="38FD65D5" w14:textId="77777777" w:rsidR="002F393B" w:rsidRDefault="002F393B">
                          <w:pPr>
                            <w:spacing w:after="0" w:line="240" w:lineRule="auto"/>
                            <w:textDirection w:val="btLr"/>
                          </w:pPr>
                        </w:p>
                      </w:txbxContent>
                    </v:textbox>
                  </v:roundrect>
                  <v:shape id="Text Box 13" o:spid="_x0000_s1038" type="#_x0000_t202" style="position:absolute;left:39746;top:174;width:14064;height:5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" filled="f" stroked="f">
                    <v:textbox inset="1.2694mm,1.2694mm,1.2694mm,1.2694mm">
                      <w:txbxContent>
                        <w:p w14:paraId="4A9DF0BA" w14:textId="77777777" w:rsidR="002F393B" w:rsidRDefault="002F393B">
                          <w:pPr>
                            <w:spacing w:after="0" w:line="215" w:lineRule="auto"/>
                            <w:jc w:val="center"/>
                            <w:textDirection w:val="btLr"/>
                          </w:pPr>
                          <w:r>
                            <w:rPr>
                              <w:b/>
                              <w:color w:val="000000"/>
                              <w:sz w:val="24"/>
                            </w:rPr>
                            <w:t>Outcomes</w:t>
                          </w:r>
                        </w:p>
                      </w:txbxContent>
                    </v:textbox>
                  </v:shape>
                </v:group>
                <w10:anchorlock/>
              </v:group>
            </w:pict>
          </mc:Fallback>
        </mc:AlternateContent>
      </w:r>
    </w:p>
    <w:p w14:paraId="66B09F4B" w14:textId="77777777" w:rsidR="008A3C75" w:rsidRDefault="004D24B2">
      <w:pPr>
        <w:pBdr>
          <w:top w:val="nil"/>
          <w:left w:val="nil"/>
          <w:bottom w:val="nil"/>
          <w:right w:val="nil"/>
          <w:between w:val="nil"/>
        </w:pBdr>
        <w:spacing w:after="200" w:line="240" w:lineRule="auto"/>
        <w:rPr>
          <w:rFonts w:ascii="Arial" w:eastAsia="Arial" w:hAnsi="Arial" w:cs="Arial"/>
          <w:b/>
          <w:color w:val="000000"/>
          <w:sz w:val="20"/>
          <w:szCs w:val="20"/>
        </w:rPr>
      </w:pPr>
      <w:bookmarkStart w:id="4" w:name="_3znysh7" w:colFirst="0" w:colLast="0"/>
      <w:bookmarkEnd w:id="4"/>
      <w:r>
        <w:rPr>
          <w:rFonts w:ascii="Arial" w:eastAsia="Arial" w:hAnsi="Arial" w:cs="Arial"/>
          <w:b/>
          <w:color w:val="000000"/>
          <w:sz w:val="20"/>
          <w:szCs w:val="20"/>
        </w:rPr>
        <w:t>Figure 1 – Model for Employee Engagement</w:t>
      </w:r>
    </w:p>
    <w:p w14:paraId="20DBFB0E" w14:textId="77777777" w:rsidR="008A3C75" w:rsidRDefault="004D24B2">
      <w:pPr>
        <w:spacing w:line="360" w:lineRule="auto"/>
        <w:jc w:val="both"/>
        <w:rPr>
          <w:rFonts w:ascii="Arial" w:eastAsia="Arial" w:hAnsi="Arial" w:cs="Arial"/>
          <w:b/>
          <w:sz w:val="24"/>
          <w:szCs w:val="24"/>
        </w:rPr>
      </w:pPr>
      <w:r>
        <w:rPr>
          <w:rFonts w:ascii="Arial" w:eastAsia="Arial" w:hAnsi="Arial" w:cs="Arial"/>
          <w:b/>
          <w:sz w:val="24"/>
          <w:szCs w:val="24"/>
        </w:rPr>
        <w:t>Role of the Manager</w:t>
      </w:r>
    </w:p>
    <w:p w14:paraId="323B16C3" w14:textId="77777777" w:rsidR="008A3C75" w:rsidRDefault="004D24B2">
      <w:pPr>
        <w:spacing w:line="360" w:lineRule="auto"/>
        <w:jc w:val="both"/>
        <w:rPr>
          <w:rFonts w:ascii="Arial" w:eastAsia="Arial" w:hAnsi="Arial" w:cs="Arial"/>
          <w:sz w:val="24"/>
          <w:szCs w:val="24"/>
        </w:rPr>
      </w:pPr>
      <w:r>
        <w:rPr>
          <w:rFonts w:ascii="Arial" w:eastAsia="Arial" w:hAnsi="Arial" w:cs="Arial"/>
          <w:sz w:val="24"/>
          <w:szCs w:val="24"/>
        </w:rPr>
        <w:t>Managers play a crucial role in devising and implementing strategies that shape organisational culture (Cusack 2010), and performance systems and CF are important tools to support this.   The selection and application of appropriate CF is crucial in enhancing, focusing and aligning individual performance to support organisational objectives.   However, staff perception of manager commitment to and value of such frameworks also plays a critical role in gaining staff buy-in (Shaw 2018); if participation is only at a superficial level then it is unlikely to influence organisational culture (de Lancer and Holzer, 2001) or it may even have adverse effects.</w:t>
      </w:r>
    </w:p>
    <w:p w14:paraId="1FE5060B" w14:textId="77777777" w:rsidR="008A3C75" w:rsidRDefault="008A3C75">
      <w:pPr>
        <w:shd w:val="clear" w:color="auto" w:fill="FFFFFF"/>
        <w:spacing w:after="0" w:line="240" w:lineRule="auto"/>
        <w:jc w:val="both"/>
        <w:rPr>
          <w:rFonts w:ascii="Arial" w:eastAsia="Arial" w:hAnsi="Arial" w:cs="Arial"/>
          <w:sz w:val="24"/>
          <w:szCs w:val="24"/>
        </w:rPr>
      </w:pPr>
    </w:p>
    <w:p w14:paraId="30258740" w14:textId="77777777" w:rsidR="008A3C75" w:rsidRDefault="004D24B2">
      <w:pPr>
        <w:spacing w:line="360" w:lineRule="auto"/>
        <w:jc w:val="both"/>
        <w:rPr>
          <w:rFonts w:ascii="Arial" w:eastAsia="Arial" w:hAnsi="Arial" w:cs="Arial"/>
          <w:sz w:val="24"/>
          <w:szCs w:val="24"/>
        </w:rPr>
      </w:pPr>
      <w:r>
        <w:rPr>
          <w:rFonts w:ascii="Arial" w:eastAsia="Arial" w:hAnsi="Arial" w:cs="Arial"/>
          <w:sz w:val="24"/>
          <w:szCs w:val="24"/>
        </w:rPr>
        <w:t>In HE, local managers are critical in championing professional culture (Broadnax and Conway 2001; Kaslow et al. 2004; Hennerby &amp; Joyce, 2011) shaping an ethos that encourages flexibility, adaptability and readiness (Quinn and Rohrbaugh 1981; Pandey, et al 2007) builds commitment, involvement and job satisfaction (Pandey and Stazyk 2008) and engenders an open and collaborative environment to foster good pedological practice (Yang and Hsieh, 2006).  </w:t>
      </w:r>
    </w:p>
    <w:p w14:paraId="2AC25F05" w14:textId="77777777" w:rsidR="008A3C75" w:rsidRDefault="004D24B2">
      <w:pPr>
        <w:spacing w:line="360" w:lineRule="auto"/>
        <w:jc w:val="both"/>
        <w:rPr>
          <w:rFonts w:ascii="Arial" w:eastAsia="Arial" w:hAnsi="Arial" w:cs="Arial"/>
          <w:b/>
          <w:sz w:val="24"/>
          <w:szCs w:val="24"/>
        </w:rPr>
      </w:pPr>
      <w:r>
        <w:rPr>
          <w:rFonts w:ascii="Arial" w:eastAsia="Arial" w:hAnsi="Arial" w:cs="Arial"/>
          <w:b/>
          <w:sz w:val="24"/>
          <w:szCs w:val="24"/>
        </w:rPr>
        <w:t>Motivators for Employee Engagement in HE</w:t>
      </w:r>
    </w:p>
    <w:p w14:paraId="7DC40234" w14:textId="77777777" w:rsidR="008A3C75" w:rsidRDefault="004D24B2">
      <w:pPr>
        <w:spacing w:line="360" w:lineRule="auto"/>
        <w:jc w:val="both"/>
        <w:rPr>
          <w:rFonts w:ascii="Arial" w:eastAsia="Arial" w:hAnsi="Arial" w:cs="Arial"/>
          <w:sz w:val="24"/>
          <w:szCs w:val="24"/>
        </w:rPr>
      </w:pPr>
      <w:r>
        <w:rPr>
          <w:rFonts w:ascii="Arial" w:eastAsia="Arial" w:hAnsi="Arial" w:cs="Arial"/>
          <w:sz w:val="24"/>
          <w:szCs w:val="24"/>
        </w:rPr>
        <w:t xml:space="preserve">King, (2004), working across 31 UK HEIs, identified the top 3 categories of CPD namely: discussion with colleagues, supporting other colleagues and networking with other institutions. She also identified barriers to doing CPD, with individuals citing; limited time, too much emphasis on research, funding allocation and lack of personal interest and lack </w:t>
      </w:r>
      <w:r>
        <w:rPr>
          <w:rFonts w:ascii="Arial" w:eastAsia="Arial" w:hAnsi="Arial" w:cs="Arial"/>
          <w:sz w:val="24"/>
          <w:szCs w:val="24"/>
        </w:rPr>
        <w:lastRenderedPageBreak/>
        <w:t>of management encouragement.  Further, some educationalists considered CPD to be done by attending formal courses whereas others preferred informal learning such as interaction with others and emulating peers they thought were effective, reinforcing the significances of peer relationships and sense of community to promote professional growth and success in the UKPSF (Thornton, 2014; Shaw, 2018; Kershaw-Solomon, 2019).</w:t>
      </w:r>
    </w:p>
    <w:p w14:paraId="6395785A" w14:textId="6FA99BBC" w:rsidR="008A3C75" w:rsidRPr="00E7568F" w:rsidRDefault="004D24B2">
      <w:pPr>
        <w:spacing w:line="360" w:lineRule="auto"/>
        <w:jc w:val="both"/>
        <w:rPr>
          <w:rFonts w:ascii="Arial" w:eastAsia="Arial" w:hAnsi="Arial" w:cs="Arial"/>
          <w:color w:val="00B050"/>
          <w:sz w:val="24"/>
          <w:szCs w:val="24"/>
        </w:rPr>
      </w:pPr>
      <w:r>
        <w:rPr>
          <w:rFonts w:ascii="Arial" w:eastAsia="Arial" w:hAnsi="Arial" w:cs="Arial"/>
          <w:sz w:val="24"/>
          <w:szCs w:val="24"/>
        </w:rPr>
        <w:t>Hobson (2010) proposed guiding principles to assess new teachers’ competency to practice</w:t>
      </w:r>
      <w:r>
        <w:rPr>
          <w:rFonts w:ascii="Arial" w:eastAsia="Arial" w:hAnsi="Arial" w:cs="Arial"/>
          <w:color w:val="FF0000"/>
          <w:sz w:val="24"/>
          <w:szCs w:val="24"/>
        </w:rPr>
        <w:t xml:space="preserve">, </w:t>
      </w:r>
      <w:r w:rsidRPr="00E7568F">
        <w:rPr>
          <w:rFonts w:ascii="Arial" w:eastAsia="Arial" w:hAnsi="Arial" w:cs="Arial"/>
          <w:color w:val="00B050"/>
          <w:sz w:val="24"/>
          <w:szCs w:val="24"/>
        </w:rPr>
        <w:t>in addition to the assessment</w:t>
      </w:r>
      <w:r w:rsidR="004B786C">
        <w:rPr>
          <w:rFonts w:ascii="Arial" w:eastAsia="Arial" w:hAnsi="Arial" w:cs="Arial"/>
          <w:color w:val="00B050"/>
          <w:sz w:val="24"/>
          <w:szCs w:val="24"/>
        </w:rPr>
        <w:t>,</w:t>
      </w:r>
      <w:r w:rsidR="00867378" w:rsidRPr="00E7568F">
        <w:rPr>
          <w:rFonts w:ascii="Arial" w:eastAsia="Arial" w:hAnsi="Arial" w:cs="Arial"/>
          <w:color w:val="00B050"/>
          <w:sz w:val="24"/>
          <w:szCs w:val="24"/>
        </w:rPr>
        <w:t xml:space="preserve"> </w:t>
      </w:r>
      <w:r w:rsidR="004B786C" w:rsidRPr="00E7568F">
        <w:rPr>
          <w:rFonts w:ascii="Arial" w:eastAsia="Arial" w:hAnsi="Arial" w:cs="Arial"/>
          <w:color w:val="00B050"/>
          <w:sz w:val="24"/>
          <w:szCs w:val="24"/>
        </w:rPr>
        <w:t>the process</w:t>
      </w:r>
      <w:r w:rsidRPr="00E7568F">
        <w:rPr>
          <w:rFonts w:ascii="Arial" w:eastAsia="Arial" w:hAnsi="Arial" w:cs="Arial"/>
          <w:color w:val="00B050"/>
          <w:sz w:val="24"/>
          <w:szCs w:val="24"/>
        </w:rPr>
        <w:t xml:space="preserve"> should be valid, reliable</w:t>
      </w:r>
      <w:r w:rsidR="00867378" w:rsidRPr="00E7568F">
        <w:rPr>
          <w:rFonts w:ascii="Arial" w:eastAsia="Arial" w:hAnsi="Arial" w:cs="Arial"/>
          <w:color w:val="00B050"/>
          <w:sz w:val="24"/>
          <w:szCs w:val="24"/>
        </w:rPr>
        <w:t>,</w:t>
      </w:r>
      <w:r w:rsidRPr="00E7568F">
        <w:rPr>
          <w:rFonts w:ascii="Arial" w:eastAsia="Arial" w:hAnsi="Arial" w:cs="Arial"/>
          <w:color w:val="00B050"/>
          <w:sz w:val="24"/>
          <w:szCs w:val="24"/>
        </w:rPr>
        <w:t xml:space="preserve"> cost-effective and realistic, the framework outcomes must be meaningful and the assessment and evaluation process should be further linked to and promote future professional development and learning opportunities.  Finally, participants must be treated as responsible professionals and treated courteously during the process.</w:t>
      </w:r>
    </w:p>
    <w:p w14:paraId="78371173" w14:textId="77777777" w:rsidR="008A3C75" w:rsidRDefault="004D24B2">
      <w:pPr>
        <w:shd w:val="clear" w:color="auto" w:fill="FFFFFF"/>
        <w:spacing w:after="0" w:line="360" w:lineRule="auto"/>
        <w:jc w:val="both"/>
        <w:rPr>
          <w:rFonts w:ascii="Arial" w:eastAsia="Arial" w:hAnsi="Arial" w:cs="Arial"/>
          <w:sz w:val="24"/>
          <w:szCs w:val="24"/>
        </w:rPr>
      </w:pPr>
      <w:r>
        <w:rPr>
          <w:rFonts w:ascii="Arial" w:eastAsia="Arial" w:hAnsi="Arial" w:cs="Arial"/>
          <w:sz w:val="24"/>
          <w:szCs w:val="24"/>
        </w:rPr>
        <w:t>However, assessments should also be fair and transparent, so they become effective motivators and benchmarks in promoting personal growth (Crane, 2012; Kershaw-Solomon, 2019).  This includes having independent assessors (Lum, 2013) to be seen to make appropriate judgements based on how the assessment unfolds and provide timely supportive feedback (Kaslow et al., 2004),  thereby creating an assessment system that builds a productive relationship between those being assessed and those assessing, which has high relevance where staff feel fearful (Cusack, 2010) but also the need to build a collegiate learning environment.</w:t>
      </w:r>
    </w:p>
    <w:p w14:paraId="73A5532C" w14:textId="77777777" w:rsidR="008A3C75" w:rsidRDefault="008A3C75">
      <w:pPr>
        <w:shd w:val="clear" w:color="auto" w:fill="FFFFFF"/>
        <w:spacing w:after="0" w:line="360" w:lineRule="auto"/>
        <w:jc w:val="both"/>
        <w:rPr>
          <w:rFonts w:ascii="Arial" w:eastAsia="Arial" w:hAnsi="Arial" w:cs="Arial"/>
          <w:sz w:val="24"/>
          <w:szCs w:val="24"/>
        </w:rPr>
      </w:pPr>
    </w:p>
    <w:p w14:paraId="2874BC7E" w14:textId="77777777" w:rsidR="008A3C75" w:rsidRDefault="004D24B2">
      <w:pPr>
        <w:spacing w:line="360" w:lineRule="auto"/>
        <w:jc w:val="both"/>
        <w:rPr>
          <w:rFonts w:ascii="Arial" w:eastAsia="Arial" w:hAnsi="Arial" w:cs="Arial"/>
          <w:sz w:val="24"/>
          <w:szCs w:val="24"/>
        </w:rPr>
      </w:pPr>
      <w:r>
        <w:rPr>
          <w:rFonts w:ascii="Arial" w:eastAsia="Arial" w:hAnsi="Arial" w:cs="Arial"/>
          <w:sz w:val="24"/>
          <w:szCs w:val="24"/>
        </w:rPr>
        <w:t>It was highlighted that CPD is an ill-defined and haphazard process (Clegg, 1999) and whilst early career academics do engage with the UKPSF as part of institutional training, they rarely progressed to the higher levels. Further many teaching staff regarded CPD as a peripheral activity, secondary to research (Macfarlane, 2015) and not a primary form of pedagogical engagement (Parsons et al., 2012; Spowart, et al, 2016), treating it as a tick box exercise, highlighting the need for more meaningful collegial engagement.</w:t>
      </w:r>
    </w:p>
    <w:p w14:paraId="216FEAD8" w14:textId="581AB00D" w:rsidR="008A3C75" w:rsidRPr="00EB7484" w:rsidRDefault="004D24B2">
      <w:pPr>
        <w:spacing w:line="360" w:lineRule="auto"/>
        <w:jc w:val="both"/>
        <w:rPr>
          <w:rFonts w:ascii="Arial" w:eastAsia="Arial" w:hAnsi="Arial" w:cs="Arial"/>
          <w:color w:val="00B050"/>
          <w:sz w:val="24"/>
          <w:szCs w:val="24"/>
        </w:rPr>
      </w:pPr>
      <w:r w:rsidRPr="00EB7484">
        <w:rPr>
          <w:rFonts w:ascii="Arial" w:eastAsia="Arial" w:hAnsi="Arial" w:cs="Arial"/>
          <w:color w:val="00B050"/>
          <w:sz w:val="24"/>
          <w:szCs w:val="24"/>
        </w:rPr>
        <w:t>Consequently, these combined principles should be seen as prerequisites for effective implementation for CPD, CF and professional TF assessment. The key factors fall into three broad areas, firstly, the environment surrounding these organisational processes</w:t>
      </w:r>
      <w:r w:rsidR="00BE0999" w:rsidRPr="00EB7484">
        <w:rPr>
          <w:rFonts w:ascii="Arial" w:eastAsia="Arial" w:hAnsi="Arial" w:cs="Arial"/>
          <w:color w:val="00B050"/>
          <w:sz w:val="24"/>
          <w:szCs w:val="24"/>
        </w:rPr>
        <w:t xml:space="preserve">; </w:t>
      </w:r>
      <w:r w:rsidRPr="00EB7484">
        <w:rPr>
          <w:rFonts w:ascii="Arial" w:eastAsia="Arial" w:hAnsi="Arial" w:cs="Arial"/>
          <w:color w:val="00B050"/>
          <w:sz w:val="24"/>
          <w:szCs w:val="24"/>
        </w:rPr>
        <w:t xml:space="preserve">the recognition </w:t>
      </w:r>
      <w:r w:rsidR="00BE0999" w:rsidRPr="00EB7484">
        <w:rPr>
          <w:rFonts w:ascii="Arial" w:eastAsia="Arial" w:hAnsi="Arial" w:cs="Arial"/>
          <w:color w:val="00B050"/>
          <w:sz w:val="24"/>
          <w:szCs w:val="24"/>
        </w:rPr>
        <w:t>that</w:t>
      </w:r>
      <w:r w:rsidRPr="00EB7484">
        <w:rPr>
          <w:rFonts w:ascii="Arial" w:eastAsia="Arial" w:hAnsi="Arial" w:cs="Arial"/>
          <w:color w:val="00B050"/>
          <w:sz w:val="24"/>
          <w:szCs w:val="24"/>
        </w:rPr>
        <w:t xml:space="preserve"> organisational culture and importantly sub-cultures impact on learning and performance (Schein, 1993; Lucas and Kline, 2008), </w:t>
      </w:r>
      <w:r w:rsidR="00BE0999" w:rsidRPr="00EB7484">
        <w:rPr>
          <w:rFonts w:ascii="Arial" w:eastAsia="Arial" w:hAnsi="Arial" w:cs="Arial"/>
          <w:color w:val="00B050"/>
          <w:sz w:val="24"/>
          <w:szCs w:val="24"/>
        </w:rPr>
        <w:t>as well as</w:t>
      </w:r>
      <w:r w:rsidR="00867378" w:rsidRPr="00EB7484">
        <w:rPr>
          <w:rFonts w:ascii="Arial" w:eastAsia="Arial" w:hAnsi="Arial" w:cs="Arial"/>
          <w:color w:val="00B050"/>
          <w:sz w:val="24"/>
          <w:szCs w:val="24"/>
        </w:rPr>
        <w:t xml:space="preserve"> </w:t>
      </w:r>
      <w:r w:rsidR="000E0FC0" w:rsidRPr="00EB7484">
        <w:rPr>
          <w:rFonts w:ascii="Arial" w:eastAsia="Arial" w:hAnsi="Arial" w:cs="Arial"/>
          <w:color w:val="00B050"/>
          <w:sz w:val="24"/>
          <w:szCs w:val="24"/>
        </w:rPr>
        <w:t xml:space="preserve">the </w:t>
      </w:r>
      <w:r w:rsidRPr="00EB7484">
        <w:rPr>
          <w:rFonts w:ascii="Arial" w:eastAsia="Arial" w:hAnsi="Arial" w:cs="Arial"/>
          <w:color w:val="00B050"/>
          <w:sz w:val="24"/>
          <w:szCs w:val="24"/>
        </w:rPr>
        <w:t xml:space="preserve">nature of the </w:t>
      </w:r>
      <w:r w:rsidRPr="00EB7484">
        <w:rPr>
          <w:rFonts w:ascii="Arial" w:eastAsia="Arial" w:hAnsi="Arial" w:cs="Arial"/>
          <w:color w:val="00B050"/>
          <w:sz w:val="24"/>
          <w:szCs w:val="24"/>
        </w:rPr>
        <w:lastRenderedPageBreak/>
        <w:t>professional development (Frank &amp; Danoff, 2007; Thornton, 2014)</w:t>
      </w:r>
      <w:r w:rsidR="00BE0999" w:rsidRPr="00EB7484">
        <w:rPr>
          <w:rFonts w:ascii="Arial" w:eastAsia="Arial" w:hAnsi="Arial" w:cs="Arial"/>
          <w:color w:val="00B050"/>
          <w:sz w:val="24"/>
          <w:szCs w:val="24"/>
        </w:rPr>
        <w:t xml:space="preserve"> and professionalism</w:t>
      </w:r>
      <w:r w:rsidRPr="00EB7484">
        <w:rPr>
          <w:rFonts w:ascii="Arial" w:eastAsia="Arial" w:hAnsi="Arial" w:cs="Arial"/>
          <w:color w:val="00B050"/>
          <w:sz w:val="24"/>
          <w:szCs w:val="24"/>
        </w:rPr>
        <w:t>.  This include</w:t>
      </w:r>
      <w:r w:rsidR="00BE0999" w:rsidRPr="00EB7484">
        <w:rPr>
          <w:rFonts w:ascii="Arial" w:eastAsia="Arial" w:hAnsi="Arial" w:cs="Arial"/>
          <w:color w:val="00B050"/>
          <w:sz w:val="24"/>
          <w:szCs w:val="24"/>
        </w:rPr>
        <w:t>s</w:t>
      </w:r>
      <w:r w:rsidRPr="00EB7484">
        <w:rPr>
          <w:rFonts w:ascii="Arial" w:eastAsia="Arial" w:hAnsi="Arial" w:cs="Arial"/>
          <w:color w:val="00B050"/>
          <w:sz w:val="24"/>
          <w:szCs w:val="24"/>
        </w:rPr>
        <w:t xml:space="preserve"> the </w:t>
      </w:r>
      <w:r w:rsidR="00BE0999" w:rsidRPr="00EB7484">
        <w:rPr>
          <w:rFonts w:ascii="Arial" w:eastAsia="Arial" w:hAnsi="Arial" w:cs="Arial"/>
          <w:color w:val="00B050"/>
          <w:sz w:val="24"/>
          <w:szCs w:val="24"/>
        </w:rPr>
        <w:t xml:space="preserve">key </w:t>
      </w:r>
      <w:r w:rsidRPr="00EB7484">
        <w:rPr>
          <w:rFonts w:ascii="Arial" w:eastAsia="Arial" w:hAnsi="Arial" w:cs="Arial"/>
          <w:color w:val="00B050"/>
          <w:sz w:val="24"/>
          <w:szCs w:val="24"/>
        </w:rPr>
        <w:t xml:space="preserve">role of managers in influencing culture and championing change (Cusack, 2010; Hennerby &amp; Joyce, 2011; Shaw, 2018) </w:t>
      </w:r>
      <w:r w:rsidR="00E7568F" w:rsidRPr="00EB7484">
        <w:rPr>
          <w:rFonts w:ascii="Arial" w:eastAsia="Arial" w:hAnsi="Arial" w:cs="Arial"/>
          <w:color w:val="00B050"/>
          <w:sz w:val="24"/>
          <w:szCs w:val="24"/>
        </w:rPr>
        <w:t>including</w:t>
      </w:r>
      <w:r w:rsidR="00BE0999" w:rsidRPr="00EB7484">
        <w:rPr>
          <w:rFonts w:ascii="Arial" w:eastAsia="Arial" w:hAnsi="Arial" w:cs="Arial"/>
          <w:color w:val="00B050"/>
          <w:sz w:val="24"/>
          <w:szCs w:val="24"/>
        </w:rPr>
        <w:t xml:space="preserve"> how</w:t>
      </w:r>
      <w:r w:rsidRPr="00EB7484">
        <w:rPr>
          <w:rFonts w:ascii="Arial" w:eastAsia="Arial" w:hAnsi="Arial" w:cs="Arial"/>
          <w:color w:val="00B050"/>
          <w:sz w:val="24"/>
          <w:szCs w:val="24"/>
        </w:rPr>
        <w:t xml:space="preserve"> the</w:t>
      </w:r>
      <w:r w:rsidR="00E7568F" w:rsidRPr="00EB7484">
        <w:rPr>
          <w:rFonts w:ascii="Arial" w:eastAsia="Arial" w:hAnsi="Arial" w:cs="Arial"/>
          <w:color w:val="00B050"/>
          <w:sz w:val="24"/>
          <w:szCs w:val="24"/>
        </w:rPr>
        <w:t>y</w:t>
      </w:r>
      <w:r w:rsidRPr="00EB7484">
        <w:rPr>
          <w:rFonts w:ascii="Arial" w:eastAsia="Arial" w:hAnsi="Arial" w:cs="Arial"/>
          <w:color w:val="00B050"/>
          <w:sz w:val="24"/>
          <w:szCs w:val="24"/>
        </w:rPr>
        <w:t xml:space="preserve"> employ</w:t>
      </w:r>
      <w:r w:rsidR="00BE0999" w:rsidRPr="00EB7484">
        <w:rPr>
          <w:rFonts w:ascii="Arial" w:eastAsia="Arial" w:hAnsi="Arial" w:cs="Arial"/>
          <w:color w:val="00B050"/>
          <w:sz w:val="24"/>
          <w:szCs w:val="24"/>
        </w:rPr>
        <w:t xml:space="preserve"> and commit to</w:t>
      </w:r>
      <w:r w:rsidRPr="00EB7484">
        <w:rPr>
          <w:rFonts w:ascii="Arial" w:eastAsia="Arial" w:hAnsi="Arial" w:cs="Arial"/>
          <w:color w:val="00B050"/>
          <w:sz w:val="24"/>
          <w:szCs w:val="24"/>
        </w:rPr>
        <w:t xml:space="preserve"> change management strategies (Frank &amp; Danoff, 2007; Thornton, 2014).</w:t>
      </w:r>
    </w:p>
    <w:p w14:paraId="5D91155E" w14:textId="1ABE7749" w:rsidR="008A3C75" w:rsidRPr="00EB7484" w:rsidRDefault="004D24B2">
      <w:pPr>
        <w:spacing w:line="360" w:lineRule="auto"/>
        <w:jc w:val="both"/>
        <w:rPr>
          <w:rFonts w:ascii="Arial" w:eastAsia="Arial" w:hAnsi="Arial" w:cs="Arial"/>
          <w:color w:val="00B050"/>
          <w:sz w:val="24"/>
          <w:szCs w:val="24"/>
        </w:rPr>
      </w:pPr>
      <w:r w:rsidRPr="00EB7484">
        <w:rPr>
          <w:rFonts w:ascii="Arial" w:eastAsia="Arial" w:hAnsi="Arial" w:cs="Arial"/>
          <w:color w:val="00B050"/>
          <w:sz w:val="24"/>
          <w:szCs w:val="24"/>
        </w:rPr>
        <w:t>Secondly, the process itself</w:t>
      </w:r>
      <w:r w:rsidR="007574FE" w:rsidRPr="00EB7484">
        <w:rPr>
          <w:rFonts w:ascii="Arial" w:eastAsia="Arial" w:hAnsi="Arial" w:cs="Arial"/>
          <w:color w:val="00B050"/>
          <w:sz w:val="24"/>
          <w:szCs w:val="24"/>
        </w:rPr>
        <w:t>;</w:t>
      </w:r>
      <w:r w:rsidRPr="00EB7484">
        <w:rPr>
          <w:rFonts w:ascii="Arial" w:eastAsia="Arial" w:hAnsi="Arial" w:cs="Arial"/>
          <w:color w:val="00B050"/>
          <w:sz w:val="24"/>
          <w:szCs w:val="24"/>
        </w:rPr>
        <w:t xml:space="preserve"> for example the employment of humanistic and discourse practices fashioning supportive peer to peer communities of practice and exchange</w:t>
      </w:r>
      <w:r w:rsidR="00867378" w:rsidRPr="00EB7484">
        <w:rPr>
          <w:rFonts w:ascii="Arial" w:eastAsia="Arial" w:hAnsi="Arial" w:cs="Arial"/>
          <w:color w:val="00B050"/>
          <w:sz w:val="24"/>
          <w:szCs w:val="24"/>
        </w:rPr>
        <w:t>ment</w:t>
      </w:r>
      <w:r w:rsidRPr="00EB7484">
        <w:rPr>
          <w:rFonts w:ascii="Arial" w:eastAsia="Arial" w:hAnsi="Arial" w:cs="Arial"/>
          <w:color w:val="00B050"/>
          <w:sz w:val="24"/>
          <w:szCs w:val="24"/>
        </w:rPr>
        <w:t xml:space="preserve"> (Wenger et al.,1998; King, 2004) </w:t>
      </w:r>
      <w:r w:rsidR="00E7568F" w:rsidRPr="00EB7484">
        <w:rPr>
          <w:rFonts w:ascii="Arial" w:eastAsia="Arial" w:hAnsi="Arial" w:cs="Arial"/>
          <w:color w:val="00B050"/>
          <w:sz w:val="24"/>
          <w:szCs w:val="24"/>
        </w:rPr>
        <w:t>that</w:t>
      </w:r>
      <w:r w:rsidRPr="00EB7484">
        <w:rPr>
          <w:rFonts w:ascii="Arial" w:eastAsia="Arial" w:hAnsi="Arial" w:cs="Arial"/>
          <w:color w:val="00B050"/>
          <w:sz w:val="24"/>
          <w:szCs w:val="24"/>
        </w:rPr>
        <w:t xml:space="preserve"> encourage further learning and development.  The process must ensure holistic assessment not just skills and knowledge but taking account  attitudes and context (Dreyfus &amp; Dreyfus, 1986) and shaping professional disposition</w:t>
      </w:r>
      <w:r w:rsidR="00867378" w:rsidRPr="00EB7484">
        <w:rPr>
          <w:rFonts w:ascii="Arial" w:eastAsia="Arial" w:hAnsi="Arial" w:cs="Arial"/>
          <w:color w:val="00B050"/>
          <w:sz w:val="24"/>
          <w:szCs w:val="24"/>
        </w:rPr>
        <w:t>. T</w:t>
      </w:r>
      <w:r w:rsidRPr="00EB7484">
        <w:rPr>
          <w:rFonts w:ascii="Arial" w:eastAsia="Arial" w:hAnsi="Arial" w:cs="Arial"/>
          <w:color w:val="00B050"/>
          <w:sz w:val="24"/>
          <w:szCs w:val="24"/>
        </w:rPr>
        <w:t>his also include</w:t>
      </w:r>
      <w:r w:rsidR="00867378" w:rsidRPr="00EB7484">
        <w:rPr>
          <w:rFonts w:ascii="Arial" w:eastAsia="Arial" w:hAnsi="Arial" w:cs="Arial"/>
          <w:color w:val="00B050"/>
          <w:sz w:val="24"/>
          <w:szCs w:val="24"/>
        </w:rPr>
        <w:t>s</w:t>
      </w:r>
      <w:r w:rsidRPr="00EB7484">
        <w:rPr>
          <w:rFonts w:ascii="Arial" w:eastAsia="Arial" w:hAnsi="Arial" w:cs="Arial"/>
          <w:color w:val="00B050"/>
          <w:sz w:val="24"/>
          <w:szCs w:val="24"/>
        </w:rPr>
        <w:t xml:space="preserve"> understanding mature capability (Lester, 2009; Lester &amp; Chapman, 2008)</w:t>
      </w:r>
      <w:r w:rsidR="00956FC5" w:rsidRPr="00EB7484">
        <w:rPr>
          <w:rFonts w:ascii="Arial" w:eastAsia="Arial" w:hAnsi="Arial" w:cs="Arial"/>
          <w:color w:val="00B050"/>
          <w:sz w:val="24"/>
          <w:szCs w:val="24"/>
        </w:rPr>
        <w:t>,</w:t>
      </w:r>
      <w:r w:rsidRPr="00EB7484">
        <w:rPr>
          <w:rFonts w:ascii="Arial" w:eastAsia="Arial" w:hAnsi="Arial" w:cs="Arial"/>
          <w:color w:val="00B050"/>
          <w:sz w:val="24"/>
          <w:szCs w:val="24"/>
        </w:rPr>
        <w:t>the valid use of value judgements by expert practitioners (Kaslow et al., 2004)</w:t>
      </w:r>
      <w:r w:rsidR="00956FC5" w:rsidRPr="00EB7484">
        <w:rPr>
          <w:rFonts w:ascii="Arial" w:eastAsia="Arial" w:hAnsi="Arial" w:cs="Arial"/>
          <w:color w:val="00B050"/>
          <w:sz w:val="24"/>
          <w:szCs w:val="24"/>
        </w:rPr>
        <w:t xml:space="preserve"> and</w:t>
      </w:r>
      <w:r w:rsidRPr="00EB7484">
        <w:rPr>
          <w:rFonts w:ascii="Arial" w:eastAsia="Arial" w:hAnsi="Arial" w:cs="Arial"/>
          <w:color w:val="00B050"/>
          <w:sz w:val="24"/>
          <w:szCs w:val="24"/>
        </w:rPr>
        <w:t xml:space="preserve"> the ability to operationalise a balanced practical wisdom, phronesis (Schwartz and Sharpe 2010).</w:t>
      </w:r>
    </w:p>
    <w:p w14:paraId="21ED9A22" w14:textId="7C264D95" w:rsidR="008A3C75" w:rsidRPr="00EB7484" w:rsidRDefault="004D24B2">
      <w:pPr>
        <w:spacing w:line="360" w:lineRule="auto"/>
        <w:jc w:val="both"/>
        <w:rPr>
          <w:rFonts w:ascii="Arial" w:eastAsia="Arial" w:hAnsi="Arial" w:cs="Arial"/>
          <w:color w:val="00B050"/>
          <w:sz w:val="24"/>
          <w:szCs w:val="24"/>
        </w:rPr>
      </w:pPr>
      <w:r w:rsidRPr="00EB7484">
        <w:rPr>
          <w:rFonts w:ascii="Arial" w:eastAsia="Arial" w:hAnsi="Arial" w:cs="Arial"/>
          <w:color w:val="00B050"/>
          <w:sz w:val="24"/>
          <w:szCs w:val="24"/>
        </w:rPr>
        <w:t xml:space="preserve">Finally, the relationship between the practitioner and the assessor </w:t>
      </w:r>
      <w:r w:rsidR="00857FF6" w:rsidRPr="00EB7484">
        <w:rPr>
          <w:rFonts w:ascii="Arial" w:eastAsia="Arial" w:hAnsi="Arial" w:cs="Arial"/>
          <w:color w:val="00B050"/>
          <w:sz w:val="24"/>
          <w:szCs w:val="24"/>
        </w:rPr>
        <w:t>(</w:t>
      </w:r>
      <w:r w:rsidRPr="00EB7484">
        <w:rPr>
          <w:rFonts w:ascii="Arial" w:eastAsia="Arial" w:hAnsi="Arial" w:cs="Arial"/>
          <w:color w:val="00B050"/>
          <w:sz w:val="24"/>
          <w:szCs w:val="24"/>
        </w:rPr>
        <w:t>Wollard &amp; Shuck 2011), identified 41 EE antecedents made up of constructs, strategies and conditions; 23 of which were empirically driven and 18 conceptual</w:t>
      </w:r>
      <w:r w:rsidR="00867378" w:rsidRPr="00EB7484">
        <w:rPr>
          <w:rFonts w:ascii="Arial" w:eastAsia="Arial" w:hAnsi="Arial" w:cs="Arial"/>
          <w:color w:val="00B050"/>
          <w:sz w:val="24"/>
          <w:szCs w:val="24"/>
        </w:rPr>
        <w:t>. T</w:t>
      </w:r>
      <w:r w:rsidRPr="00EB7484">
        <w:rPr>
          <w:rFonts w:ascii="Arial" w:eastAsia="Arial" w:hAnsi="Arial" w:cs="Arial"/>
          <w:color w:val="00B050"/>
          <w:sz w:val="24"/>
          <w:szCs w:val="24"/>
        </w:rPr>
        <w:t xml:space="preserve">hese antecedents were further grouped by application into individual (20) and organisational (21) (p433). Individual antecedents are applied directly to or by individual employees and provide the fundamental foundation that affects individual EE and organisational-level antecedents, that are applied across an organisation and therefore operate as a systemic background promoting or inhibiting EE. </w:t>
      </w:r>
    </w:p>
    <w:p w14:paraId="333EBBCE" w14:textId="77777777" w:rsidR="008A3C75" w:rsidRDefault="004D24B2">
      <w:pPr>
        <w:shd w:val="clear" w:color="auto" w:fill="FFFFFF"/>
        <w:spacing w:after="0" w:line="360" w:lineRule="auto"/>
        <w:jc w:val="both"/>
        <w:rPr>
          <w:rFonts w:ascii="Arial" w:eastAsia="Arial" w:hAnsi="Arial" w:cs="Arial"/>
          <w:sz w:val="24"/>
          <w:szCs w:val="24"/>
        </w:rPr>
      </w:pPr>
      <w:r>
        <w:rPr>
          <w:rFonts w:ascii="Arial" w:eastAsia="Arial" w:hAnsi="Arial" w:cs="Arial"/>
          <w:sz w:val="24"/>
          <w:szCs w:val="24"/>
        </w:rPr>
        <w:t xml:space="preserve">Bailey et al. (2017) identified five groups of factors namely: engagement: psychological states; job design; leadership; organisational and team; and organisational interventions. They further identified engagement to be positively associated to individual morale, task performance, extra-role performance and organisational performance.   Bailey et al. (2017) and Wollard &amp; Shuck (2011) findings are incorporated into Table 1 outlining below, the synergies of these antecedents, EE, CF and CPD.  </w:t>
      </w:r>
    </w:p>
    <w:p w14:paraId="08B7A32F" w14:textId="77777777" w:rsidR="008A3C75" w:rsidRDefault="008A3C75">
      <w:pPr>
        <w:spacing w:after="0" w:line="240" w:lineRule="auto"/>
        <w:rPr>
          <w:rFonts w:ascii="Arial" w:eastAsia="Arial" w:hAnsi="Arial" w:cs="Arial"/>
          <w:b/>
          <w:sz w:val="24"/>
          <w:szCs w:val="24"/>
        </w:rPr>
        <w:sectPr w:rsidR="008A3C75">
          <w:footerReference w:type="default" r:id="rId6"/>
          <w:pgSz w:w="11906" w:h="16838"/>
          <w:pgMar w:top="1440" w:right="1440" w:bottom="1440" w:left="1440" w:header="709" w:footer="709" w:gutter="0"/>
          <w:pgNumType w:start="0"/>
          <w:cols w:space="720" w:equalWidth="0">
            <w:col w:w="9360"/>
          </w:cols>
        </w:sectPr>
      </w:pPr>
    </w:p>
    <w:p w14:paraId="07FBF148" w14:textId="75351D6C" w:rsidR="008A3C75" w:rsidRDefault="004D24B2">
      <w:pPr>
        <w:pBdr>
          <w:top w:val="nil"/>
          <w:left w:val="nil"/>
          <w:bottom w:val="nil"/>
          <w:right w:val="nil"/>
          <w:between w:val="nil"/>
        </w:pBdr>
        <w:spacing w:after="120" w:line="240" w:lineRule="auto"/>
        <w:rPr>
          <w:rFonts w:ascii="Arial" w:eastAsia="Arial" w:hAnsi="Arial" w:cs="Arial"/>
          <w:b/>
          <w:color w:val="000000"/>
          <w:sz w:val="2"/>
          <w:szCs w:val="2"/>
        </w:rPr>
      </w:pPr>
      <w:bookmarkStart w:id="5" w:name="_2et92p0" w:colFirst="0" w:colLast="0"/>
      <w:bookmarkEnd w:id="5"/>
      <w:r>
        <w:rPr>
          <w:rFonts w:ascii="Arial" w:eastAsia="Arial" w:hAnsi="Arial" w:cs="Arial"/>
          <w:b/>
          <w:color w:val="000000"/>
          <w:sz w:val="24"/>
          <w:szCs w:val="24"/>
        </w:rPr>
        <w:lastRenderedPageBreak/>
        <w:t xml:space="preserve">Table </w:t>
      </w:r>
      <w:r w:rsidR="00A742FB">
        <w:rPr>
          <w:rFonts w:ascii="Arial" w:eastAsia="Arial" w:hAnsi="Arial" w:cs="Arial"/>
          <w:b/>
          <w:color w:val="000000"/>
          <w:sz w:val="24"/>
          <w:szCs w:val="24"/>
        </w:rPr>
        <w:t>1 –</w:t>
      </w:r>
      <w:r>
        <w:rPr>
          <w:rFonts w:ascii="Arial" w:eastAsia="Arial" w:hAnsi="Arial" w:cs="Arial"/>
          <w:b/>
          <w:color w:val="000000"/>
          <w:sz w:val="24"/>
          <w:szCs w:val="24"/>
        </w:rPr>
        <w:t xml:space="preserve"> Comparison of Professional Development and Engagement Antecedents and Backgrounds</w:t>
      </w:r>
      <w:r>
        <w:rPr>
          <w:rFonts w:ascii="Arial" w:eastAsia="Arial" w:hAnsi="Arial" w:cs="Arial"/>
          <w:b/>
          <w:color w:val="000000"/>
          <w:sz w:val="24"/>
          <w:szCs w:val="24"/>
        </w:rPr>
        <w:br/>
      </w:r>
    </w:p>
    <w:tbl>
      <w:tblPr>
        <w:tblStyle w:val="a"/>
        <w:tblW w:w="15735" w:type="dxa"/>
        <w:tblInd w:w="-1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0"/>
        <w:gridCol w:w="4110"/>
        <w:gridCol w:w="5245"/>
      </w:tblGrid>
      <w:tr w:rsidR="008A3C75" w14:paraId="3192CA36" w14:textId="77777777" w:rsidTr="00D612D5">
        <w:tc>
          <w:tcPr>
            <w:tcW w:w="6380" w:type="dxa"/>
            <w:tcBorders>
              <w:top w:val="single" w:sz="4" w:space="0" w:color="000000"/>
              <w:left w:val="single" w:sz="4" w:space="0" w:color="000000"/>
              <w:bottom w:val="single" w:sz="4" w:space="0" w:color="000000"/>
              <w:right w:val="single" w:sz="4" w:space="0" w:color="000000"/>
            </w:tcBorders>
            <w:shd w:val="clear" w:color="auto" w:fill="F2F2F2"/>
          </w:tcPr>
          <w:p w14:paraId="67641B44" w14:textId="77777777" w:rsidR="008A3C75" w:rsidRDefault="004D24B2">
            <w:pPr>
              <w:jc w:val="center"/>
              <w:rPr>
                <w:rFonts w:ascii="Arial" w:eastAsia="Arial" w:hAnsi="Arial" w:cs="Arial"/>
                <w:b/>
              </w:rPr>
            </w:pPr>
            <w:r>
              <w:rPr>
                <w:rFonts w:ascii="Arial" w:eastAsia="Arial" w:hAnsi="Arial" w:cs="Arial"/>
                <w:b/>
              </w:rPr>
              <w:t>Antecedents &amp; backgrounds for effective design &amp; implementation of CF &amp; CPD</w:t>
            </w:r>
          </w:p>
        </w:tc>
        <w:tc>
          <w:tcPr>
            <w:tcW w:w="4110" w:type="dxa"/>
            <w:tcBorders>
              <w:top w:val="single" w:sz="4" w:space="0" w:color="000000"/>
              <w:left w:val="single" w:sz="4" w:space="0" w:color="000000"/>
              <w:bottom w:val="single" w:sz="4" w:space="0" w:color="000000"/>
              <w:right w:val="single" w:sz="4" w:space="0" w:color="000000"/>
            </w:tcBorders>
            <w:shd w:val="clear" w:color="auto" w:fill="F2F2F2"/>
          </w:tcPr>
          <w:p w14:paraId="0676DDD1" w14:textId="77777777" w:rsidR="008A3C75" w:rsidRDefault="004D24B2">
            <w:pPr>
              <w:jc w:val="center"/>
              <w:rPr>
                <w:rFonts w:ascii="Arial" w:eastAsia="Arial" w:hAnsi="Arial" w:cs="Arial"/>
                <w:b/>
              </w:rPr>
            </w:pPr>
            <w:r>
              <w:rPr>
                <w:rFonts w:ascii="Arial" w:eastAsia="Arial" w:hAnsi="Arial" w:cs="Arial"/>
                <w:b/>
              </w:rPr>
              <w:t>Individual antecedents &amp; backgrounds of EE</w:t>
            </w:r>
          </w:p>
          <w:p w14:paraId="192853CD" w14:textId="77777777" w:rsidR="008A3C75" w:rsidRDefault="004D24B2">
            <w:pPr>
              <w:jc w:val="center"/>
              <w:rPr>
                <w:rFonts w:ascii="Arial" w:eastAsia="Arial" w:hAnsi="Arial" w:cs="Arial"/>
              </w:rPr>
            </w:pPr>
            <w:r>
              <w:rPr>
                <w:rFonts w:ascii="Arial" w:eastAsia="Arial" w:hAnsi="Arial" w:cs="Arial"/>
              </w:rPr>
              <w:t>(Wollard &amp; Shuck, 2011)</w:t>
            </w:r>
          </w:p>
        </w:tc>
        <w:tc>
          <w:tcPr>
            <w:tcW w:w="5245" w:type="dxa"/>
            <w:tcBorders>
              <w:top w:val="single" w:sz="4" w:space="0" w:color="000000"/>
              <w:left w:val="single" w:sz="4" w:space="0" w:color="000000"/>
              <w:bottom w:val="single" w:sz="4" w:space="0" w:color="000000"/>
              <w:right w:val="single" w:sz="4" w:space="0" w:color="000000"/>
            </w:tcBorders>
            <w:shd w:val="clear" w:color="auto" w:fill="F2F2F2"/>
          </w:tcPr>
          <w:p w14:paraId="3B238DC7" w14:textId="77777777" w:rsidR="008A3C75" w:rsidRDefault="004D24B2">
            <w:pPr>
              <w:jc w:val="center"/>
              <w:rPr>
                <w:rFonts w:ascii="Arial" w:eastAsia="Arial" w:hAnsi="Arial" w:cs="Arial"/>
                <w:b/>
              </w:rPr>
            </w:pPr>
            <w:r>
              <w:rPr>
                <w:rFonts w:ascii="Arial" w:eastAsia="Arial" w:hAnsi="Arial" w:cs="Arial"/>
                <w:b/>
              </w:rPr>
              <w:t>Organisational antecedents &amp; backgrounds of EE</w:t>
            </w:r>
          </w:p>
          <w:p w14:paraId="5E02EEDF" w14:textId="77777777" w:rsidR="008A3C75" w:rsidRDefault="004D24B2">
            <w:pPr>
              <w:jc w:val="center"/>
              <w:rPr>
                <w:rFonts w:ascii="Arial" w:eastAsia="Arial" w:hAnsi="Arial" w:cs="Arial"/>
                <w:b/>
              </w:rPr>
            </w:pPr>
            <w:r>
              <w:rPr>
                <w:rFonts w:ascii="Arial" w:eastAsia="Arial" w:hAnsi="Arial" w:cs="Arial"/>
              </w:rPr>
              <w:t>(Wollard &amp; Shuck, 2011)</w:t>
            </w:r>
          </w:p>
        </w:tc>
      </w:tr>
      <w:tr w:rsidR="008A3C75" w14:paraId="29590752" w14:textId="77777777" w:rsidTr="00D612D5">
        <w:tc>
          <w:tcPr>
            <w:tcW w:w="6380" w:type="dxa"/>
            <w:tcBorders>
              <w:top w:val="single" w:sz="4" w:space="0" w:color="000000"/>
              <w:left w:val="single" w:sz="4" w:space="0" w:color="000000"/>
              <w:bottom w:val="single" w:sz="4" w:space="0" w:color="000000"/>
              <w:right w:val="single" w:sz="4" w:space="0" w:color="000000"/>
            </w:tcBorders>
          </w:tcPr>
          <w:p w14:paraId="6764545A" w14:textId="77777777" w:rsidR="008A3C75" w:rsidRDefault="004D24B2">
            <w:pPr>
              <w:jc w:val="both"/>
              <w:rPr>
                <w:rFonts w:ascii="Arial" w:eastAsia="Arial" w:hAnsi="Arial" w:cs="Arial"/>
                <w:sz w:val="22"/>
                <w:szCs w:val="22"/>
              </w:rPr>
            </w:pPr>
            <w:r>
              <w:rPr>
                <w:rFonts w:ascii="Arial" w:eastAsia="Arial" w:hAnsi="Arial" w:cs="Arial"/>
                <w:sz w:val="22"/>
                <w:szCs w:val="22"/>
              </w:rPr>
              <w:t>Working within the culture of the organisation (Frank &amp; Danoff, 2007)</w:t>
            </w:r>
          </w:p>
        </w:tc>
        <w:tc>
          <w:tcPr>
            <w:tcW w:w="4110" w:type="dxa"/>
            <w:tcBorders>
              <w:top w:val="single" w:sz="4" w:space="0" w:color="000000"/>
              <w:left w:val="single" w:sz="4" w:space="0" w:color="000000"/>
              <w:bottom w:val="single" w:sz="4" w:space="0" w:color="000000"/>
              <w:right w:val="single" w:sz="4" w:space="0" w:color="000000"/>
            </w:tcBorders>
          </w:tcPr>
          <w:p w14:paraId="0F04FFA1" w14:textId="77777777" w:rsidR="008A3C75" w:rsidRDefault="008A3C75">
            <w:pPr>
              <w:jc w:val="both"/>
              <w:rPr>
                <w:rFonts w:ascii="Arial" w:eastAsia="Arial" w:hAnsi="Arial" w:cs="Arial"/>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4DCF6B6D" w14:textId="77777777" w:rsidR="008A3C75" w:rsidRDefault="004D24B2">
            <w:pPr>
              <w:rPr>
                <w:rFonts w:ascii="Arial" w:eastAsia="Arial" w:hAnsi="Arial" w:cs="Arial"/>
                <w:sz w:val="22"/>
                <w:szCs w:val="22"/>
              </w:rPr>
            </w:pPr>
            <w:r>
              <w:rPr>
                <w:rFonts w:ascii="Arial" w:eastAsia="Arial" w:hAnsi="Arial" w:cs="Arial"/>
                <w:sz w:val="22"/>
                <w:szCs w:val="22"/>
              </w:rPr>
              <w:t>Authentic corporate culture*; Mission &amp; Vision; Supportive organisational culture*; Perception of workplace safety*</w:t>
            </w:r>
          </w:p>
        </w:tc>
      </w:tr>
      <w:tr w:rsidR="008A3C75" w14:paraId="47283C15" w14:textId="77777777" w:rsidTr="00D612D5">
        <w:tc>
          <w:tcPr>
            <w:tcW w:w="6380" w:type="dxa"/>
            <w:tcBorders>
              <w:top w:val="single" w:sz="4" w:space="0" w:color="000000"/>
              <w:left w:val="single" w:sz="4" w:space="0" w:color="000000"/>
              <w:bottom w:val="single" w:sz="4" w:space="0" w:color="000000"/>
              <w:right w:val="single" w:sz="4" w:space="0" w:color="000000"/>
            </w:tcBorders>
          </w:tcPr>
          <w:p w14:paraId="577A9CA5" w14:textId="77777777" w:rsidR="008A3C75" w:rsidRDefault="004D24B2">
            <w:pPr>
              <w:rPr>
                <w:rFonts w:ascii="Arial" w:eastAsia="Arial" w:hAnsi="Arial" w:cs="Arial"/>
                <w:sz w:val="22"/>
                <w:szCs w:val="22"/>
              </w:rPr>
            </w:pPr>
            <w:r>
              <w:rPr>
                <w:rFonts w:ascii="Arial" w:eastAsia="Arial" w:hAnsi="Arial" w:cs="Arial"/>
                <w:sz w:val="22"/>
                <w:szCs w:val="22"/>
              </w:rPr>
              <w:t>Embedding a culture of professional development (Thornton 2014) and competence (Roberts et al., 2005)</w:t>
            </w:r>
          </w:p>
        </w:tc>
        <w:tc>
          <w:tcPr>
            <w:tcW w:w="4110" w:type="dxa"/>
            <w:tcBorders>
              <w:top w:val="single" w:sz="4" w:space="0" w:color="000000"/>
              <w:left w:val="single" w:sz="4" w:space="0" w:color="000000"/>
              <w:bottom w:val="single" w:sz="4" w:space="0" w:color="000000"/>
              <w:right w:val="single" w:sz="4" w:space="0" w:color="000000"/>
            </w:tcBorders>
          </w:tcPr>
          <w:p w14:paraId="15D84734" w14:textId="77777777" w:rsidR="008A3C75" w:rsidRDefault="004D24B2">
            <w:pPr>
              <w:rPr>
                <w:rFonts w:ascii="Arial" w:eastAsia="Arial" w:hAnsi="Arial" w:cs="Arial"/>
                <w:sz w:val="22"/>
                <w:szCs w:val="22"/>
              </w:rPr>
            </w:pPr>
            <w:r>
              <w:rPr>
                <w:rFonts w:ascii="Arial" w:eastAsia="Arial" w:hAnsi="Arial" w:cs="Arial"/>
                <w:sz w:val="22"/>
                <w:szCs w:val="22"/>
              </w:rPr>
              <w:t>Link individual and organisational goals*</w:t>
            </w:r>
          </w:p>
        </w:tc>
        <w:tc>
          <w:tcPr>
            <w:tcW w:w="5245" w:type="dxa"/>
            <w:tcBorders>
              <w:top w:val="single" w:sz="4" w:space="0" w:color="000000"/>
              <w:left w:val="single" w:sz="4" w:space="0" w:color="000000"/>
              <w:bottom w:val="single" w:sz="4" w:space="0" w:color="000000"/>
              <w:right w:val="single" w:sz="4" w:space="0" w:color="000000"/>
            </w:tcBorders>
          </w:tcPr>
          <w:p w14:paraId="25304087" w14:textId="77777777" w:rsidR="008A3C75" w:rsidRDefault="004D24B2">
            <w:pPr>
              <w:rPr>
                <w:rFonts w:ascii="Arial" w:eastAsia="Arial" w:hAnsi="Arial" w:cs="Arial"/>
                <w:sz w:val="22"/>
                <w:szCs w:val="22"/>
              </w:rPr>
            </w:pPr>
            <w:r>
              <w:rPr>
                <w:rFonts w:ascii="Arial" w:eastAsia="Arial" w:hAnsi="Arial" w:cs="Arial"/>
                <w:sz w:val="22"/>
                <w:szCs w:val="22"/>
              </w:rPr>
              <w:t>Supportive organisational culture*; Perception of workplace safety*</w:t>
            </w:r>
          </w:p>
        </w:tc>
      </w:tr>
      <w:tr w:rsidR="008A3C75" w14:paraId="2FF8D3FB" w14:textId="77777777" w:rsidTr="00D612D5">
        <w:tc>
          <w:tcPr>
            <w:tcW w:w="6380" w:type="dxa"/>
            <w:tcBorders>
              <w:top w:val="single" w:sz="4" w:space="0" w:color="000000"/>
              <w:left w:val="single" w:sz="4" w:space="0" w:color="000000"/>
              <w:bottom w:val="single" w:sz="4" w:space="0" w:color="000000"/>
              <w:right w:val="single" w:sz="4" w:space="0" w:color="000000"/>
            </w:tcBorders>
          </w:tcPr>
          <w:p w14:paraId="6D95BE94" w14:textId="77777777" w:rsidR="008A3C75" w:rsidRDefault="004D24B2">
            <w:pPr>
              <w:rPr>
                <w:rFonts w:ascii="Arial" w:eastAsia="Arial" w:hAnsi="Arial" w:cs="Arial"/>
                <w:sz w:val="22"/>
                <w:szCs w:val="22"/>
              </w:rPr>
            </w:pPr>
            <w:r>
              <w:rPr>
                <w:rFonts w:ascii="Arial" w:eastAsia="Arial" w:hAnsi="Arial" w:cs="Arial"/>
                <w:sz w:val="22"/>
                <w:szCs w:val="22"/>
              </w:rPr>
              <w:t xml:space="preserve">“Mature capability” is “the ability to engage with and shape contexts so that competence is exercised effectively” (Lester, 2009); “experiential learning to gain the capacity to respond intuitively to complex situations” (Crane et al., 2012 p810). </w:t>
            </w:r>
          </w:p>
        </w:tc>
        <w:tc>
          <w:tcPr>
            <w:tcW w:w="4110" w:type="dxa"/>
            <w:tcBorders>
              <w:top w:val="single" w:sz="4" w:space="0" w:color="000000"/>
              <w:left w:val="single" w:sz="4" w:space="0" w:color="000000"/>
              <w:bottom w:val="single" w:sz="4" w:space="0" w:color="000000"/>
              <w:right w:val="single" w:sz="4" w:space="0" w:color="000000"/>
            </w:tcBorders>
          </w:tcPr>
          <w:p w14:paraId="24BD2283" w14:textId="77777777" w:rsidR="008A3C75" w:rsidRDefault="004D24B2">
            <w:pPr>
              <w:rPr>
                <w:rFonts w:ascii="Arial" w:eastAsia="Arial" w:hAnsi="Arial" w:cs="Arial"/>
                <w:sz w:val="22"/>
                <w:szCs w:val="22"/>
              </w:rPr>
            </w:pPr>
            <w:r>
              <w:rPr>
                <w:rFonts w:ascii="Arial" w:eastAsia="Arial" w:hAnsi="Arial" w:cs="Arial"/>
                <w:sz w:val="22"/>
                <w:szCs w:val="22"/>
              </w:rPr>
              <w:t>Feelings of choice and control; Absorption*; Curiosity; Dedication*; Vigour*; Willingness to direct personal energies</w:t>
            </w:r>
          </w:p>
        </w:tc>
        <w:tc>
          <w:tcPr>
            <w:tcW w:w="5245" w:type="dxa"/>
            <w:tcBorders>
              <w:top w:val="single" w:sz="4" w:space="0" w:color="000000"/>
              <w:left w:val="single" w:sz="4" w:space="0" w:color="000000"/>
              <w:bottom w:val="single" w:sz="4" w:space="0" w:color="000000"/>
              <w:right w:val="single" w:sz="4" w:space="0" w:color="000000"/>
            </w:tcBorders>
          </w:tcPr>
          <w:p w14:paraId="06E1C10D" w14:textId="77777777" w:rsidR="008A3C75" w:rsidRDefault="004D24B2">
            <w:pPr>
              <w:rPr>
                <w:rFonts w:ascii="Arial" w:eastAsia="Arial" w:hAnsi="Arial" w:cs="Arial"/>
                <w:sz w:val="22"/>
                <w:szCs w:val="22"/>
              </w:rPr>
            </w:pPr>
            <w:r>
              <w:rPr>
                <w:rFonts w:ascii="Arial" w:eastAsia="Arial" w:hAnsi="Arial" w:cs="Arial"/>
                <w:sz w:val="22"/>
                <w:szCs w:val="22"/>
              </w:rPr>
              <w:t>Level of task challenge*; Talent management; Opportunities for learning</w:t>
            </w:r>
          </w:p>
          <w:p w14:paraId="1DB7D1D0" w14:textId="77777777" w:rsidR="008A3C75" w:rsidRDefault="008A3C75">
            <w:pPr>
              <w:rPr>
                <w:rFonts w:ascii="Arial" w:eastAsia="Arial" w:hAnsi="Arial" w:cs="Arial"/>
                <w:sz w:val="22"/>
                <w:szCs w:val="22"/>
              </w:rPr>
            </w:pPr>
          </w:p>
        </w:tc>
      </w:tr>
      <w:tr w:rsidR="008A3C75" w14:paraId="1966F5D9" w14:textId="77777777" w:rsidTr="00D612D5">
        <w:tc>
          <w:tcPr>
            <w:tcW w:w="6380" w:type="dxa"/>
            <w:tcBorders>
              <w:top w:val="single" w:sz="4" w:space="0" w:color="000000"/>
              <w:left w:val="single" w:sz="4" w:space="0" w:color="000000"/>
              <w:bottom w:val="single" w:sz="4" w:space="0" w:color="000000"/>
              <w:right w:val="single" w:sz="4" w:space="0" w:color="000000"/>
            </w:tcBorders>
          </w:tcPr>
          <w:p w14:paraId="77E91F98" w14:textId="77777777" w:rsidR="008A3C75" w:rsidRDefault="004D24B2">
            <w:pPr>
              <w:rPr>
                <w:rFonts w:ascii="Arial" w:eastAsia="Arial" w:hAnsi="Arial" w:cs="Arial"/>
                <w:sz w:val="22"/>
                <w:szCs w:val="22"/>
              </w:rPr>
            </w:pPr>
            <w:r>
              <w:rPr>
                <w:rFonts w:ascii="Arial" w:eastAsia="Arial" w:hAnsi="Arial" w:cs="Arial"/>
                <w:sz w:val="22"/>
                <w:szCs w:val="22"/>
              </w:rPr>
              <w:t>Role of managers in influencing the culture (Cusack, 2010) and championing change (Kaslow et al., 2004; Hennerby &amp; Joyce, 2011; Shaw, 2018; Kershaw-Solomon, 2019)</w:t>
            </w:r>
          </w:p>
        </w:tc>
        <w:tc>
          <w:tcPr>
            <w:tcW w:w="4110" w:type="dxa"/>
            <w:tcBorders>
              <w:top w:val="single" w:sz="4" w:space="0" w:color="000000"/>
              <w:left w:val="single" w:sz="4" w:space="0" w:color="000000"/>
              <w:bottom w:val="single" w:sz="4" w:space="0" w:color="000000"/>
              <w:right w:val="single" w:sz="4" w:space="0" w:color="000000"/>
            </w:tcBorders>
          </w:tcPr>
          <w:p w14:paraId="456DFB23" w14:textId="77777777" w:rsidR="008A3C75" w:rsidRDefault="004D24B2">
            <w:pPr>
              <w:rPr>
                <w:rFonts w:ascii="Arial" w:eastAsia="Arial" w:hAnsi="Arial" w:cs="Arial"/>
                <w:sz w:val="22"/>
                <w:szCs w:val="22"/>
              </w:rPr>
            </w:pPr>
            <w:r>
              <w:rPr>
                <w:rFonts w:ascii="Arial" w:eastAsia="Arial" w:hAnsi="Arial" w:cs="Arial"/>
                <w:sz w:val="22"/>
                <w:szCs w:val="22"/>
              </w:rPr>
              <w:t>Perceived organisational support*</w:t>
            </w:r>
          </w:p>
        </w:tc>
        <w:tc>
          <w:tcPr>
            <w:tcW w:w="5245" w:type="dxa"/>
            <w:tcBorders>
              <w:top w:val="single" w:sz="4" w:space="0" w:color="000000"/>
              <w:left w:val="single" w:sz="4" w:space="0" w:color="000000"/>
              <w:bottom w:val="single" w:sz="4" w:space="0" w:color="000000"/>
              <w:right w:val="single" w:sz="4" w:space="0" w:color="000000"/>
            </w:tcBorders>
          </w:tcPr>
          <w:p w14:paraId="27483D5E" w14:textId="77777777" w:rsidR="008A3C75" w:rsidRDefault="004D24B2">
            <w:pPr>
              <w:jc w:val="both"/>
              <w:rPr>
                <w:rFonts w:ascii="Arial" w:eastAsia="Arial" w:hAnsi="Arial" w:cs="Arial"/>
                <w:sz w:val="22"/>
                <w:szCs w:val="22"/>
              </w:rPr>
            </w:pPr>
            <w:r>
              <w:rPr>
                <w:rFonts w:ascii="Arial" w:eastAsia="Arial" w:hAnsi="Arial" w:cs="Arial"/>
                <w:sz w:val="22"/>
                <w:szCs w:val="22"/>
              </w:rPr>
              <w:t>Leadership; Manager expectations*; Manager self-efficacy*; Perception of workplace safety*</w:t>
            </w:r>
          </w:p>
        </w:tc>
      </w:tr>
      <w:tr w:rsidR="008A3C75" w14:paraId="0A02F045" w14:textId="77777777" w:rsidTr="00D612D5">
        <w:tc>
          <w:tcPr>
            <w:tcW w:w="6380" w:type="dxa"/>
            <w:tcBorders>
              <w:top w:val="single" w:sz="4" w:space="0" w:color="000000"/>
              <w:left w:val="single" w:sz="4" w:space="0" w:color="000000"/>
              <w:bottom w:val="single" w:sz="4" w:space="0" w:color="000000"/>
              <w:right w:val="single" w:sz="4" w:space="0" w:color="000000"/>
            </w:tcBorders>
          </w:tcPr>
          <w:p w14:paraId="1DF2503D" w14:textId="77777777" w:rsidR="008A3C75" w:rsidRDefault="004D24B2">
            <w:pPr>
              <w:rPr>
                <w:rFonts w:ascii="Arial" w:eastAsia="Arial" w:hAnsi="Arial" w:cs="Arial"/>
                <w:sz w:val="22"/>
                <w:szCs w:val="22"/>
              </w:rPr>
            </w:pPr>
            <w:r>
              <w:rPr>
                <w:rFonts w:ascii="Arial" w:eastAsia="Arial" w:hAnsi="Arial" w:cs="Arial"/>
                <w:sz w:val="22"/>
                <w:szCs w:val="22"/>
              </w:rPr>
              <w:t>Effective change management strategies (Thornton, 2014)</w:t>
            </w:r>
          </w:p>
        </w:tc>
        <w:tc>
          <w:tcPr>
            <w:tcW w:w="4110" w:type="dxa"/>
            <w:tcBorders>
              <w:top w:val="single" w:sz="4" w:space="0" w:color="000000"/>
              <w:left w:val="single" w:sz="4" w:space="0" w:color="000000"/>
              <w:bottom w:val="single" w:sz="4" w:space="0" w:color="000000"/>
              <w:right w:val="single" w:sz="4" w:space="0" w:color="000000"/>
            </w:tcBorders>
          </w:tcPr>
          <w:p w14:paraId="73FCF5CB" w14:textId="77777777" w:rsidR="008A3C75" w:rsidRDefault="004D24B2">
            <w:pPr>
              <w:rPr>
                <w:rFonts w:ascii="Arial" w:eastAsia="Arial" w:hAnsi="Arial" w:cs="Arial"/>
                <w:sz w:val="22"/>
                <w:szCs w:val="22"/>
              </w:rPr>
            </w:pPr>
            <w:r>
              <w:rPr>
                <w:rFonts w:ascii="Arial" w:eastAsia="Arial" w:hAnsi="Arial" w:cs="Arial"/>
                <w:sz w:val="22"/>
                <w:szCs w:val="22"/>
              </w:rPr>
              <w:t>Feelings of choice and control; Perceived organisational support</w:t>
            </w:r>
          </w:p>
        </w:tc>
        <w:tc>
          <w:tcPr>
            <w:tcW w:w="5245" w:type="dxa"/>
            <w:tcBorders>
              <w:top w:val="single" w:sz="4" w:space="0" w:color="000000"/>
              <w:left w:val="single" w:sz="4" w:space="0" w:color="000000"/>
              <w:bottom w:val="single" w:sz="4" w:space="0" w:color="000000"/>
              <w:right w:val="single" w:sz="4" w:space="0" w:color="000000"/>
            </w:tcBorders>
          </w:tcPr>
          <w:p w14:paraId="4A6E7172" w14:textId="77777777" w:rsidR="008A3C75" w:rsidRDefault="004D24B2">
            <w:pPr>
              <w:rPr>
                <w:rFonts w:ascii="Arial" w:eastAsia="Arial" w:hAnsi="Arial" w:cs="Arial"/>
                <w:sz w:val="22"/>
                <w:szCs w:val="22"/>
              </w:rPr>
            </w:pPr>
            <w:r>
              <w:rPr>
                <w:rFonts w:ascii="Arial" w:eastAsia="Arial" w:hAnsi="Arial" w:cs="Arial"/>
                <w:sz w:val="22"/>
                <w:szCs w:val="22"/>
              </w:rPr>
              <w:t>Supportive organisational culture*; Perception of workplace safety*; Leadership; Manager expectations*</w:t>
            </w:r>
          </w:p>
        </w:tc>
      </w:tr>
      <w:tr w:rsidR="008A3C75" w14:paraId="1C5BCBBA" w14:textId="77777777" w:rsidTr="00D612D5">
        <w:tc>
          <w:tcPr>
            <w:tcW w:w="6380" w:type="dxa"/>
            <w:tcBorders>
              <w:top w:val="single" w:sz="4" w:space="0" w:color="000000"/>
              <w:left w:val="single" w:sz="4" w:space="0" w:color="000000"/>
              <w:bottom w:val="single" w:sz="4" w:space="0" w:color="000000"/>
              <w:right w:val="single" w:sz="4" w:space="0" w:color="000000"/>
            </w:tcBorders>
          </w:tcPr>
          <w:p w14:paraId="2DC82FFB" w14:textId="77777777" w:rsidR="008A3C75" w:rsidRDefault="004D24B2">
            <w:pPr>
              <w:rPr>
                <w:rFonts w:ascii="Arial" w:eastAsia="Arial" w:hAnsi="Arial" w:cs="Arial"/>
                <w:sz w:val="22"/>
                <w:szCs w:val="22"/>
              </w:rPr>
            </w:pPr>
            <w:r>
              <w:rPr>
                <w:rFonts w:ascii="Arial" w:eastAsia="Arial" w:hAnsi="Arial" w:cs="Arial"/>
                <w:sz w:val="22"/>
                <w:szCs w:val="22"/>
              </w:rPr>
              <w:t>Rewards and benefits such as encouragement, promotion, status (King, 2004)</w:t>
            </w:r>
          </w:p>
        </w:tc>
        <w:tc>
          <w:tcPr>
            <w:tcW w:w="4110" w:type="dxa"/>
            <w:tcBorders>
              <w:top w:val="single" w:sz="4" w:space="0" w:color="000000"/>
              <w:left w:val="single" w:sz="4" w:space="0" w:color="000000"/>
              <w:bottom w:val="single" w:sz="4" w:space="0" w:color="000000"/>
              <w:right w:val="single" w:sz="4" w:space="0" w:color="000000"/>
            </w:tcBorders>
          </w:tcPr>
          <w:p w14:paraId="73E56A66" w14:textId="77777777" w:rsidR="008A3C75" w:rsidRDefault="008A3C75">
            <w:pPr>
              <w:rPr>
                <w:rFonts w:ascii="Arial" w:eastAsia="Arial" w:hAnsi="Arial" w:cs="Arial"/>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432FD06D" w14:textId="77777777" w:rsidR="008A3C75" w:rsidRDefault="004D24B2">
            <w:pPr>
              <w:rPr>
                <w:rFonts w:ascii="Arial" w:eastAsia="Arial" w:hAnsi="Arial" w:cs="Arial"/>
                <w:sz w:val="22"/>
                <w:szCs w:val="22"/>
              </w:rPr>
            </w:pPr>
            <w:r>
              <w:rPr>
                <w:rFonts w:ascii="Arial" w:eastAsia="Arial" w:hAnsi="Arial" w:cs="Arial"/>
                <w:sz w:val="22"/>
                <w:szCs w:val="22"/>
              </w:rPr>
              <w:t>Hygiene factors; Rewards*; Encouragement; Feedback</w:t>
            </w:r>
          </w:p>
        </w:tc>
      </w:tr>
      <w:tr w:rsidR="008A3C75" w14:paraId="164BA1A7" w14:textId="77777777" w:rsidTr="00D612D5">
        <w:trPr>
          <w:trHeight w:val="277"/>
        </w:trPr>
        <w:tc>
          <w:tcPr>
            <w:tcW w:w="6380" w:type="dxa"/>
            <w:tcBorders>
              <w:top w:val="single" w:sz="4" w:space="0" w:color="000000"/>
              <w:left w:val="single" w:sz="4" w:space="0" w:color="000000"/>
              <w:bottom w:val="single" w:sz="4" w:space="0" w:color="000000"/>
              <w:right w:val="single" w:sz="4" w:space="0" w:color="000000"/>
            </w:tcBorders>
          </w:tcPr>
          <w:p w14:paraId="08A36827" w14:textId="77777777" w:rsidR="008A3C75" w:rsidRDefault="004D24B2">
            <w:pPr>
              <w:jc w:val="both"/>
              <w:rPr>
                <w:rFonts w:ascii="Arial" w:eastAsia="Arial" w:hAnsi="Arial" w:cs="Arial"/>
                <w:sz w:val="22"/>
                <w:szCs w:val="22"/>
              </w:rPr>
            </w:pPr>
            <w:r>
              <w:rPr>
                <w:rFonts w:ascii="Arial" w:eastAsia="Arial" w:hAnsi="Arial" w:cs="Arial"/>
                <w:sz w:val="22"/>
                <w:szCs w:val="22"/>
              </w:rPr>
              <w:t>Utilising communities of practice (Wenger et al., 1998); Bailey et al (2017); Shaw (2018); Kershaw-Solomon, (2019).</w:t>
            </w:r>
          </w:p>
        </w:tc>
        <w:tc>
          <w:tcPr>
            <w:tcW w:w="4110" w:type="dxa"/>
            <w:tcBorders>
              <w:top w:val="single" w:sz="4" w:space="0" w:color="000000"/>
              <w:left w:val="single" w:sz="4" w:space="0" w:color="000000"/>
              <w:bottom w:val="single" w:sz="4" w:space="0" w:color="000000"/>
              <w:right w:val="single" w:sz="4" w:space="0" w:color="000000"/>
            </w:tcBorders>
          </w:tcPr>
          <w:p w14:paraId="7FDF61E0" w14:textId="77777777" w:rsidR="008A3C75" w:rsidRDefault="008A3C75">
            <w:pPr>
              <w:rPr>
                <w:rFonts w:ascii="Arial" w:eastAsia="Arial" w:hAnsi="Arial" w:cs="Arial"/>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37BADA0B" w14:textId="77777777" w:rsidR="008A3C75" w:rsidRDefault="008A3C75">
            <w:pPr>
              <w:rPr>
                <w:rFonts w:ascii="Arial" w:eastAsia="Arial" w:hAnsi="Arial" w:cs="Arial"/>
                <w:sz w:val="22"/>
                <w:szCs w:val="22"/>
              </w:rPr>
            </w:pPr>
          </w:p>
        </w:tc>
      </w:tr>
      <w:tr w:rsidR="008A3C75" w14:paraId="66BAC093" w14:textId="77777777" w:rsidTr="00D612D5">
        <w:tc>
          <w:tcPr>
            <w:tcW w:w="6380" w:type="dxa"/>
            <w:tcBorders>
              <w:top w:val="single" w:sz="4" w:space="0" w:color="000000"/>
              <w:left w:val="single" w:sz="4" w:space="0" w:color="000000"/>
              <w:bottom w:val="single" w:sz="4" w:space="0" w:color="000000"/>
              <w:right w:val="single" w:sz="4" w:space="0" w:color="000000"/>
            </w:tcBorders>
          </w:tcPr>
          <w:p w14:paraId="6E854C59" w14:textId="77777777" w:rsidR="008A3C75" w:rsidRDefault="004D24B2">
            <w:pPr>
              <w:jc w:val="both"/>
              <w:rPr>
                <w:rFonts w:ascii="Arial" w:eastAsia="Arial" w:hAnsi="Arial" w:cs="Arial"/>
                <w:sz w:val="22"/>
                <w:szCs w:val="22"/>
              </w:rPr>
            </w:pPr>
            <w:r>
              <w:rPr>
                <w:rFonts w:ascii="Arial" w:eastAsia="Arial" w:hAnsi="Arial" w:cs="Arial"/>
                <w:sz w:val="22"/>
                <w:szCs w:val="22"/>
              </w:rPr>
              <w:t>Valid, meaningful &amp; fair methods (Crane et al., 2012; Hobson, 2010)</w:t>
            </w:r>
          </w:p>
        </w:tc>
        <w:tc>
          <w:tcPr>
            <w:tcW w:w="4110" w:type="dxa"/>
            <w:tcBorders>
              <w:top w:val="single" w:sz="4" w:space="0" w:color="000000"/>
              <w:left w:val="single" w:sz="4" w:space="0" w:color="000000"/>
              <w:bottom w:val="single" w:sz="4" w:space="0" w:color="000000"/>
              <w:right w:val="single" w:sz="4" w:space="0" w:color="000000"/>
            </w:tcBorders>
          </w:tcPr>
          <w:p w14:paraId="0ACED385" w14:textId="77777777" w:rsidR="008A3C75" w:rsidRDefault="004D24B2">
            <w:pPr>
              <w:rPr>
                <w:rFonts w:ascii="Arial" w:eastAsia="Arial" w:hAnsi="Arial" w:cs="Arial"/>
                <w:sz w:val="22"/>
                <w:szCs w:val="22"/>
              </w:rPr>
            </w:pPr>
            <w:r>
              <w:rPr>
                <w:rFonts w:ascii="Arial" w:eastAsia="Arial" w:hAnsi="Arial" w:cs="Arial"/>
                <w:sz w:val="22"/>
                <w:szCs w:val="22"/>
              </w:rPr>
              <w:t>Involvement in meaningful work*</w:t>
            </w:r>
          </w:p>
        </w:tc>
        <w:tc>
          <w:tcPr>
            <w:tcW w:w="5245" w:type="dxa"/>
            <w:tcBorders>
              <w:top w:val="single" w:sz="4" w:space="0" w:color="000000"/>
              <w:left w:val="single" w:sz="4" w:space="0" w:color="000000"/>
              <w:bottom w:val="single" w:sz="4" w:space="0" w:color="000000"/>
              <w:right w:val="single" w:sz="4" w:space="0" w:color="000000"/>
            </w:tcBorders>
          </w:tcPr>
          <w:p w14:paraId="3B95390F" w14:textId="77777777" w:rsidR="008A3C75" w:rsidRDefault="008A3C75">
            <w:pPr>
              <w:rPr>
                <w:rFonts w:ascii="Arial" w:eastAsia="Arial" w:hAnsi="Arial" w:cs="Arial"/>
                <w:sz w:val="22"/>
                <w:szCs w:val="22"/>
              </w:rPr>
            </w:pPr>
          </w:p>
        </w:tc>
      </w:tr>
      <w:tr w:rsidR="008A3C75" w14:paraId="67005394" w14:textId="77777777" w:rsidTr="00D612D5">
        <w:tc>
          <w:tcPr>
            <w:tcW w:w="6380" w:type="dxa"/>
            <w:tcBorders>
              <w:top w:val="single" w:sz="4" w:space="0" w:color="000000"/>
              <w:left w:val="single" w:sz="4" w:space="0" w:color="000000"/>
              <w:bottom w:val="single" w:sz="4" w:space="0" w:color="000000"/>
              <w:right w:val="single" w:sz="4" w:space="0" w:color="000000"/>
            </w:tcBorders>
          </w:tcPr>
          <w:p w14:paraId="257AB639" w14:textId="77777777" w:rsidR="008A3C75" w:rsidRDefault="004D24B2">
            <w:pPr>
              <w:jc w:val="both"/>
              <w:rPr>
                <w:rFonts w:ascii="Arial" w:eastAsia="Arial" w:hAnsi="Arial" w:cs="Arial"/>
                <w:sz w:val="22"/>
                <w:szCs w:val="22"/>
              </w:rPr>
            </w:pPr>
            <w:r>
              <w:rPr>
                <w:rFonts w:ascii="Arial" w:eastAsia="Arial" w:hAnsi="Arial" w:cs="Arial"/>
                <w:sz w:val="22"/>
                <w:szCs w:val="22"/>
              </w:rPr>
              <w:t>Supportive &amp; respectful relationship with assessor (Hobson, 2010)</w:t>
            </w:r>
          </w:p>
        </w:tc>
        <w:tc>
          <w:tcPr>
            <w:tcW w:w="4110" w:type="dxa"/>
            <w:tcBorders>
              <w:top w:val="single" w:sz="4" w:space="0" w:color="000000"/>
              <w:left w:val="single" w:sz="4" w:space="0" w:color="000000"/>
              <w:bottom w:val="single" w:sz="4" w:space="0" w:color="000000"/>
              <w:right w:val="single" w:sz="4" w:space="0" w:color="000000"/>
            </w:tcBorders>
          </w:tcPr>
          <w:p w14:paraId="6FAD74FB" w14:textId="77777777" w:rsidR="008A3C75" w:rsidRDefault="008A3C75">
            <w:pPr>
              <w:rPr>
                <w:rFonts w:ascii="Arial" w:eastAsia="Arial" w:hAnsi="Arial" w:cs="Arial"/>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6C6DBDF0" w14:textId="77777777" w:rsidR="008A3C75" w:rsidRDefault="004D24B2">
            <w:pPr>
              <w:rPr>
                <w:rFonts w:ascii="Arial" w:eastAsia="Arial" w:hAnsi="Arial" w:cs="Arial"/>
                <w:sz w:val="22"/>
                <w:szCs w:val="22"/>
              </w:rPr>
            </w:pPr>
            <w:r>
              <w:rPr>
                <w:rFonts w:ascii="Arial" w:eastAsia="Arial" w:hAnsi="Arial" w:cs="Arial"/>
                <w:sz w:val="22"/>
                <w:szCs w:val="22"/>
              </w:rPr>
              <w:t>Supportive organisational climate*</w:t>
            </w:r>
          </w:p>
          <w:p w14:paraId="491C8AA9" w14:textId="77777777" w:rsidR="008A3C75" w:rsidRDefault="004D24B2">
            <w:pPr>
              <w:rPr>
                <w:rFonts w:ascii="Arial" w:eastAsia="Arial" w:hAnsi="Arial" w:cs="Arial"/>
                <w:sz w:val="22"/>
                <w:szCs w:val="22"/>
              </w:rPr>
            </w:pPr>
            <w:r>
              <w:rPr>
                <w:rFonts w:ascii="Arial" w:eastAsia="Arial" w:hAnsi="Arial" w:cs="Arial"/>
                <w:sz w:val="22"/>
                <w:szCs w:val="22"/>
              </w:rPr>
              <w:t>Feedback</w:t>
            </w:r>
          </w:p>
        </w:tc>
      </w:tr>
      <w:tr w:rsidR="008A3C75" w14:paraId="7D66EE15" w14:textId="77777777" w:rsidTr="00D612D5">
        <w:tc>
          <w:tcPr>
            <w:tcW w:w="6380" w:type="dxa"/>
            <w:tcBorders>
              <w:top w:val="single" w:sz="4" w:space="0" w:color="000000"/>
              <w:left w:val="single" w:sz="4" w:space="0" w:color="000000"/>
              <w:bottom w:val="single" w:sz="4" w:space="0" w:color="000000"/>
              <w:right w:val="single" w:sz="4" w:space="0" w:color="000000"/>
            </w:tcBorders>
          </w:tcPr>
          <w:p w14:paraId="12933AF9" w14:textId="77777777" w:rsidR="008A3C75" w:rsidRDefault="004D24B2">
            <w:pPr>
              <w:jc w:val="both"/>
              <w:rPr>
                <w:rFonts w:ascii="Arial" w:eastAsia="Arial" w:hAnsi="Arial" w:cs="Arial"/>
                <w:sz w:val="22"/>
                <w:szCs w:val="22"/>
              </w:rPr>
            </w:pPr>
            <w:r>
              <w:rPr>
                <w:rFonts w:ascii="Arial" w:eastAsia="Arial" w:hAnsi="Arial" w:cs="Arial"/>
                <w:sz w:val="22"/>
                <w:szCs w:val="22"/>
              </w:rPr>
              <w:t>Resources – time and priorities (Burr &amp; Girardi, 2002; King 2004)</w:t>
            </w:r>
          </w:p>
        </w:tc>
        <w:tc>
          <w:tcPr>
            <w:tcW w:w="4110" w:type="dxa"/>
            <w:tcBorders>
              <w:top w:val="single" w:sz="4" w:space="0" w:color="000000"/>
              <w:left w:val="single" w:sz="4" w:space="0" w:color="000000"/>
              <w:bottom w:val="single" w:sz="4" w:space="0" w:color="000000"/>
              <w:right w:val="single" w:sz="4" w:space="0" w:color="000000"/>
            </w:tcBorders>
          </w:tcPr>
          <w:p w14:paraId="354A0CA5" w14:textId="77777777" w:rsidR="008A3C75" w:rsidRDefault="004D24B2">
            <w:pPr>
              <w:rPr>
                <w:rFonts w:ascii="Arial" w:eastAsia="Arial" w:hAnsi="Arial" w:cs="Arial"/>
                <w:sz w:val="22"/>
                <w:szCs w:val="22"/>
              </w:rPr>
            </w:pPr>
            <w:r>
              <w:rPr>
                <w:rFonts w:ascii="Arial" w:eastAsia="Arial" w:hAnsi="Arial" w:cs="Arial"/>
                <w:sz w:val="22"/>
                <w:szCs w:val="22"/>
              </w:rPr>
              <w:t>Available to engage; Absorption*; Work/life balance*’; Value congruence*</w:t>
            </w:r>
          </w:p>
        </w:tc>
        <w:tc>
          <w:tcPr>
            <w:tcW w:w="5245" w:type="dxa"/>
            <w:tcBorders>
              <w:top w:val="single" w:sz="4" w:space="0" w:color="000000"/>
              <w:left w:val="single" w:sz="4" w:space="0" w:color="000000"/>
              <w:bottom w:val="single" w:sz="4" w:space="0" w:color="000000"/>
              <w:right w:val="single" w:sz="4" w:space="0" w:color="000000"/>
            </w:tcBorders>
          </w:tcPr>
          <w:p w14:paraId="74D3D388" w14:textId="77777777" w:rsidR="008A3C75" w:rsidRDefault="008A3C75">
            <w:pPr>
              <w:rPr>
                <w:rFonts w:ascii="Arial" w:eastAsia="Arial" w:hAnsi="Arial" w:cs="Arial"/>
                <w:sz w:val="22"/>
                <w:szCs w:val="22"/>
              </w:rPr>
            </w:pPr>
          </w:p>
        </w:tc>
      </w:tr>
    </w:tbl>
    <w:p w14:paraId="70C88833" w14:textId="77777777" w:rsidR="008A3C75" w:rsidRDefault="008A3C75">
      <w:pPr>
        <w:spacing w:after="0" w:line="240" w:lineRule="auto"/>
        <w:jc w:val="both"/>
        <w:rPr>
          <w:rFonts w:ascii="Arial" w:eastAsia="Arial" w:hAnsi="Arial" w:cs="Arial"/>
          <w:b/>
          <w:sz w:val="8"/>
          <w:szCs w:val="8"/>
        </w:rPr>
      </w:pPr>
    </w:p>
    <w:p w14:paraId="581DEE02" w14:textId="77777777" w:rsidR="008A3C75" w:rsidRDefault="004D24B2">
      <w:pPr>
        <w:spacing w:after="0" w:line="240" w:lineRule="auto"/>
        <w:jc w:val="both"/>
        <w:rPr>
          <w:rFonts w:ascii="Arial" w:eastAsia="Arial" w:hAnsi="Arial" w:cs="Arial"/>
          <w:b/>
          <w:sz w:val="24"/>
          <w:szCs w:val="24"/>
        </w:rPr>
        <w:sectPr w:rsidR="008A3C75" w:rsidSect="00D612D5">
          <w:footerReference w:type="default" r:id="rId7"/>
          <w:pgSz w:w="16838" w:h="11906" w:orient="landscape"/>
          <w:pgMar w:top="1440" w:right="2268" w:bottom="851" w:left="1560" w:header="709" w:footer="709" w:gutter="0"/>
          <w:cols w:space="720" w:equalWidth="0">
            <w:col w:w="9360"/>
          </w:cols>
          <w:docGrid w:linePitch="299"/>
        </w:sectPr>
      </w:pPr>
      <w:r>
        <w:rPr>
          <w:rFonts w:ascii="Arial" w:eastAsia="Arial" w:hAnsi="Arial" w:cs="Arial"/>
          <w:b/>
          <w:sz w:val="24"/>
          <w:szCs w:val="24"/>
        </w:rPr>
        <w:t>* Denotes antecedents have been empirically tested</w:t>
      </w:r>
      <w:r>
        <w:rPr>
          <w:rFonts w:ascii="Arial" w:eastAsia="Arial" w:hAnsi="Arial" w:cs="Arial"/>
          <w:sz w:val="24"/>
          <w:szCs w:val="24"/>
        </w:rPr>
        <w:t xml:space="preserve"> </w:t>
      </w:r>
    </w:p>
    <w:p w14:paraId="0F40A8B5" w14:textId="2B78E847" w:rsidR="008A3C75" w:rsidRDefault="004D24B2">
      <w:pPr>
        <w:pBdr>
          <w:top w:val="nil"/>
          <w:left w:val="nil"/>
          <w:bottom w:val="nil"/>
          <w:right w:val="nil"/>
          <w:between w:val="nil"/>
        </w:pBdr>
        <w:spacing w:before="120" w:after="0" w:line="360" w:lineRule="auto"/>
        <w:jc w:val="both"/>
        <w:rPr>
          <w:rFonts w:ascii="Arial" w:eastAsia="Arial" w:hAnsi="Arial" w:cs="Arial"/>
          <w:color w:val="000000"/>
          <w:sz w:val="24"/>
          <w:szCs w:val="24"/>
          <w:highlight w:val="white"/>
        </w:rPr>
      </w:pPr>
      <w:bookmarkStart w:id="6" w:name="_tyjcwt" w:colFirst="0" w:colLast="0"/>
      <w:bookmarkEnd w:id="6"/>
      <w:r>
        <w:rPr>
          <w:rFonts w:ascii="Arial" w:eastAsia="Arial" w:hAnsi="Arial" w:cs="Arial"/>
          <w:color w:val="000000"/>
          <w:sz w:val="24"/>
          <w:szCs w:val="24"/>
          <w:highlight w:val="white"/>
        </w:rPr>
        <w:lastRenderedPageBreak/>
        <w:t>Table 1 provides the theoretical foundation that indicates why employees are more or less engaged in both their work and organisation, from which one can project the conditions that are more likely to enhance adoption and organisational success.   Clear humanistic themes are evident both at individual and organisational levels, such as a supportive culture and workplace safety, feelings of choice and control, as well as the provision of opportunities for learning and personal growth.  These themes</w:t>
      </w:r>
      <w:r w:rsidR="003464E7">
        <w:rPr>
          <w:rFonts w:ascii="Arial" w:eastAsia="Arial" w:hAnsi="Arial" w:cs="Arial"/>
          <w:color w:val="000000"/>
          <w:sz w:val="24"/>
          <w:szCs w:val="24"/>
          <w:highlight w:val="white"/>
        </w:rPr>
        <w:t xml:space="preserve"> promote</w:t>
      </w:r>
      <w:r>
        <w:rPr>
          <w:rFonts w:ascii="Arial" w:eastAsia="Arial" w:hAnsi="Arial" w:cs="Arial"/>
          <w:color w:val="000000"/>
          <w:sz w:val="24"/>
          <w:szCs w:val="24"/>
          <w:highlight w:val="white"/>
        </w:rPr>
        <w:t xml:space="preserve"> good HRD and talent management practice</w:t>
      </w:r>
      <w:r w:rsidR="003464E7">
        <w:rPr>
          <w:rFonts w:ascii="Arial" w:eastAsia="Arial" w:hAnsi="Arial" w:cs="Arial"/>
          <w:color w:val="000000"/>
          <w:sz w:val="24"/>
          <w:szCs w:val="24"/>
          <w:highlight w:val="white"/>
        </w:rPr>
        <w:t>.  They</w:t>
      </w:r>
      <w:r>
        <w:rPr>
          <w:rFonts w:ascii="Arial" w:eastAsia="Arial" w:hAnsi="Arial" w:cs="Arial"/>
          <w:color w:val="000000"/>
          <w:sz w:val="24"/>
          <w:szCs w:val="24"/>
          <w:highlight w:val="white"/>
        </w:rPr>
        <w:t xml:space="preserve"> also </w:t>
      </w:r>
      <w:r w:rsidR="003464E7">
        <w:rPr>
          <w:rFonts w:ascii="Arial" w:eastAsia="Arial" w:hAnsi="Arial" w:cs="Arial"/>
          <w:color w:val="000000"/>
          <w:sz w:val="24"/>
          <w:szCs w:val="24"/>
          <w:highlight w:val="white"/>
        </w:rPr>
        <w:t xml:space="preserve">reinforce </w:t>
      </w:r>
      <w:r>
        <w:rPr>
          <w:rFonts w:ascii="Arial" w:eastAsia="Arial" w:hAnsi="Arial" w:cs="Arial"/>
          <w:color w:val="000000"/>
          <w:sz w:val="24"/>
          <w:szCs w:val="24"/>
          <w:highlight w:val="white"/>
        </w:rPr>
        <w:t xml:space="preserve">HE academic authentic professional identity </w:t>
      </w:r>
      <w:r w:rsidR="003464E7">
        <w:rPr>
          <w:rFonts w:ascii="Arial" w:eastAsia="Arial" w:hAnsi="Arial" w:cs="Arial"/>
          <w:color w:val="000000"/>
          <w:sz w:val="24"/>
          <w:szCs w:val="24"/>
          <w:highlight w:val="white"/>
        </w:rPr>
        <w:t xml:space="preserve">which is </w:t>
      </w:r>
      <w:r>
        <w:rPr>
          <w:rFonts w:ascii="Arial" w:eastAsia="Arial" w:hAnsi="Arial" w:cs="Arial"/>
          <w:color w:val="000000"/>
          <w:sz w:val="24"/>
          <w:szCs w:val="24"/>
          <w:highlight w:val="white"/>
        </w:rPr>
        <w:t xml:space="preserve">critical in shaping their personal and professional disposition and </w:t>
      </w:r>
      <w:r w:rsidR="003464E7">
        <w:rPr>
          <w:rFonts w:ascii="Arial" w:eastAsia="Arial" w:hAnsi="Arial" w:cs="Arial"/>
          <w:color w:val="000000"/>
          <w:sz w:val="24"/>
          <w:szCs w:val="24"/>
          <w:highlight w:val="white"/>
        </w:rPr>
        <w:t>support</w:t>
      </w:r>
      <w:r>
        <w:rPr>
          <w:rFonts w:ascii="Arial" w:eastAsia="Arial" w:hAnsi="Arial" w:cs="Arial"/>
          <w:color w:val="000000"/>
          <w:sz w:val="24"/>
          <w:szCs w:val="24"/>
          <w:highlight w:val="white"/>
        </w:rPr>
        <w:t xml:space="preserve"> student learning.  What is also apparent is that underpinning engagement, the role of the manager is crucial; the way they work with their teams including how they give feedback, engage and encourage people to grow their praxis. </w:t>
      </w:r>
    </w:p>
    <w:p w14:paraId="3E94E366" w14:textId="77777777" w:rsidR="008A3C75" w:rsidRDefault="008A3C75">
      <w:pPr>
        <w:shd w:val="clear" w:color="auto" w:fill="FFFFFF"/>
        <w:spacing w:after="0" w:line="360" w:lineRule="auto"/>
        <w:jc w:val="both"/>
        <w:rPr>
          <w:rFonts w:ascii="Arial" w:eastAsia="Arial" w:hAnsi="Arial" w:cs="Arial"/>
          <w:sz w:val="24"/>
          <w:szCs w:val="24"/>
          <w:highlight w:val="white"/>
        </w:rPr>
      </w:pPr>
    </w:p>
    <w:p w14:paraId="70E48A02" w14:textId="61D4088A" w:rsidR="008A3C75" w:rsidRDefault="003464E7">
      <w:pPr>
        <w:shd w:val="clear" w:color="auto" w:fill="FFFFFF"/>
        <w:spacing w:after="0" w:line="360" w:lineRule="auto"/>
        <w:jc w:val="both"/>
        <w:rPr>
          <w:rFonts w:ascii="Arial" w:eastAsia="Arial" w:hAnsi="Arial" w:cs="Arial"/>
          <w:sz w:val="24"/>
          <w:szCs w:val="24"/>
        </w:rPr>
      </w:pPr>
      <w:r>
        <w:rPr>
          <w:rFonts w:ascii="Arial" w:eastAsia="Arial" w:hAnsi="Arial" w:cs="Arial"/>
          <w:sz w:val="24"/>
          <w:szCs w:val="24"/>
        </w:rPr>
        <w:t>The</w:t>
      </w:r>
      <w:r w:rsidR="004D24B2">
        <w:rPr>
          <w:rFonts w:ascii="Arial" w:eastAsia="Arial" w:hAnsi="Arial" w:cs="Arial"/>
          <w:sz w:val="24"/>
          <w:szCs w:val="24"/>
        </w:rPr>
        <w:t xml:space="preserve"> paper bringing together the commonality of antecedents and background factors considered important for the design and implementation of CF and associated CPD and EE.  Many of the factors are strongly linked to findings from the successful implementation of CF and professional development activities, as well as being linked across more than one aspect of professional development. </w:t>
      </w:r>
    </w:p>
    <w:p w14:paraId="0A8F5349" w14:textId="77777777" w:rsidR="008A3C75" w:rsidRDefault="008A3C75">
      <w:pPr>
        <w:shd w:val="clear" w:color="auto" w:fill="FFFFFF"/>
        <w:spacing w:after="0" w:line="360" w:lineRule="auto"/>
        <w:jc w:val="both"/>
        <w:rPr>
          <w:rFonts w:ascii="Arial" w:eastAsia="Arial" w:hAnsi="Arial" w:cs="Arial"/>
          <w:sz w:val="24"/>
          <w:szCs w:val="24"/>
          <w:highlight w:val="white"/>
        </w:rPr>
      </w:pPr>
    </w:p>
    <w:p w14:paraId="377AC201" w14:textId="77777777" w:rsidR="008A3C75" w:rsidRPr="00DA644C" w:rsidRDefault="004D24B2">
      <w:pPr>
        <w:spacing w:line="240" w:lineRule="auto"/>
        <w:jc w:val="both"/>
        <w:rPr>
          <w:rFonts w:ascii="Arial" w:eastAsia="Arial" w:hAnsi="Arial" w:cs="Arial"/>
          <w:b/>
          <w:color w:val="FF0000"/>
          <w:sz w:val="24"/>
          <w:szCs w:val="24"/>
        </w:rPr>
      </w:pPr>
      <w:r w:rsidRPr="00DA644C">
        <w:rPr>
          <w:rFonts w:ascii="Arial" w:eastAsia="Arial" w:hAnsi="Arial" w:cs="Arial"/>
          <w:b/>
          <w:color w:val="FF0000"/>
          <w:sz w:val="24"/>
          <w:szCs w:val="24"/>
        </w:rPr>
        <w:t>Discussion</w:t>
      </w:r>
    </w:p>
    <w:p w14:paraId="1D9A93B7" w14:textId="65FFADE7" w:rsidR="002F393B" w:rsidRPr="00DA644C" w:rsidRDefault="00344D62" w:rsidP="002F393B">
      <w:pPr>
        <w:pBdr>
          <w:top w:val="nil"/>
          <w:left w:val="nil"/>
          <w:bottom w:val="nil"/>
          <w:right w:val="nil"/>
          <w:between w:val="nil"/>
        </w:pBdr>
        <w:spacing w:before="120" w:after="0" w:line="360" w:lineRule="auto"/>
        <w:jc w:val="both"/>
        <w:rPr>
          <w:rFonts w:ascii="Arial" w:eastAsia="Arial" w:hAnsi="Arial" w:cs="Arial"/>
          <w:color w:val="FF0000"/>
          <w:sz w:val="24"/>
          <w:szCs w:val="24"/>
        </w:rPr>
      </w:pPr>
      <w:r>
        <w:rPr>
          <w:rFonts w:ascii="Arial" w:eastAsia="Arial" w:hAnsi="Arial" w:cs="Arial"/>
          <w:color w:val="FF0000"/>
          <w:sz w:val="24"/>
          <w:szCs w:val="24"/>
        </w:rPr>
        <w:t xml:space="preserve">The </w:t>
      </w:r>
      <w:r w:rsidR="00692B14" w:rsidRPr="00DA644C">
        <w:rPr>
          <w:rFonts w:ascii="Arial" w:eastAsia="Arial" w:hAnsi="Arial" w:cs="Arial"/>
          <w:color w:val="FF0000"/>
          <w:sz w:val="24"/>
          <w:szCs w:val="24"/>
        </w:rPr>
        <w:t xml:space="preserve">UK </w:t>
      </w:r>
      <w:r w:rsidR="004D24B2" w:rsidRPr="00DA644C">
        <w:rPr>
          <w:rFonts w:ascii="Arial" w:eastAsia="Arial" w:hAnsi="Arial" w:cs="Arial"/>
          <w:color w:val="FF0000"/>
          <w:sz w:val="24"/>
          <w:szCs w:val="24"/>
        </w:rPr>
        <w:t xml:space="preserve">HE sector </w:t>
      </w:r>
      <w:r w:rsidR="00692B14" w:rsidRPr="00DA644C">
        <w:rPr>
          <w:rFonts w:ascii="Arial" w:eastAsia="Arial" w:hAnsi="Arial" w:cs="Arial"/>
          <w:color w:val="FF0000"/>
          <w:sz w:val="24"/>
          <w:szCs w:val="24"/>
        </w:rPr>
        <w:t>has undergone considerable change that has</w:t>
      </w:r>
      <w:r w:rsidR="004D24B2" w:rsidRPr="00DA644C">
        <w:rPr>
          <w:rFonts w:ascii="Arial" w:eastAsia="Arial" w:hAnsi="Arial" w:cs="Arial"/>
          <w:color w:val="FF0000"/>
          <w:sz w:val="24"/>
          <w:szCs w:val="24"/>
        </w:rPr>
        <w:t xml:space="preserve"> challenged traditional assumptions about the nature and purpose of </w:t>
      </w:r>
      <w:r w:rsidR="00692B14" w:rsidRPr="00DA644C">
        <w:rPr>
          <w:rFonts w:ascii="Arial" w:eastAsia="Arial" w:hAnsi="Arial" w:cs="Arial"/>
          <w:color w:val="FF0000"/>
          <w:sz w:val="24"/>
          <w:szCs w:val="24"/>
        </w:rPr>
        <w:t>higher education</w:t>
      </w:r>
      <w:r w:rsidR="004D24B2" w:rsidRPr="00DA644C">
        <w:rPr>
          <w:rFonts w:ascii="Arial" w:eastAsia="Arial" w:hAnsi="Arial" w:cs="Arial"/>
          <w:color w:val="FF0000"/>
          <w:sz w:val="24"/>
          <w:szCs w:val="24"/>
        </w:rPr>
        <w:t xml:space="preserve"> (Bargh, et al., 2000, 1996; Beverungen, et al., 2008; Khurana, 2007), moving away from ‘collegiate’</w:t>
      </w:r>
      <w:r w:rsidR="00E270F3" w:rsidRPr="00DA644C">
        <w:rPr>
          <w:rFonts w:ascii="Arial" w:eastAsia="Arial" w:hAnsi="Arial" w:cs="Arial"/>
          <w:color w:val="FF0000"/>
          <w:sz w:val="24"/>
          <w:szCs w:val="24"/>
        </w:rPr>
        <w:t xml:space="preserve"> learning and </w:t>
      </w:r>
      <w:r w:rsidR="004D24B2" w:rsidRPr="00DA644C">
        <w:rPr>
          <w:rFonts w:ascii="Arial" w:eastAsia="Arial" w:hAnsi="Arial" w:cs="Arial"/>
          <w:color w:val="FF0000"/>
          <w:sz w:val="24"/>
          <w:szCs w:val="24"/>
        </w:rPr>
        <w:t xml:space="preserve"> </w:t>
      </w:r>
      <w:r w:rsidR="00E270F3" w:rsidRPr="00DA644C">
        <w:rPr>
          <w:rFonts w:ascii="Arial" w:eastAsia="Arial" w:hAnsi="Arial" w:cs="Arial"/>
          <w:color w:val="FF0000"/>
          <w:sz w:val="24"/>
          <w:szCs w:val="24"/>
        </w:rPr>
        <w:t xml:space="preserve">normative values traditionally associated with academic work (Albert and Whetten, 2004; Macfarlane, 2005) </w:t>
      </w:r>
      <w:r w:rsidR="004D24B2" w:rsidRPr="00DA644C">
        <w:rPr>
          <w:rFonts w:ascii="Arial" w:eastAsia="Arial" w:hAnsi="Arial" w:cs="Arial"/>
          <w:color w:val="FF0000"/>
          <w:sz w:val="24"/>
          <w:szCs w:val="24"/>
        </w:rPr>
        <w:t xml:space="preserve">towards </w:t>
      </w:r>
      <w:r w:rsidR="00692B14" w:rsidRPr="00DA644C">
        <w:rPr>
          <w:rFonts w:ascii="Arial" w:eastAsia="Arial" w:hAnsi="Arial" w:cs="Arial"/>
          <w:color w:val="FF0000"/>
          <w:sz w:val="24"/>
          <w:szCs w:val="24"/>
        </w:rPr>
        <w:t>a</w:t>
      </w:r>
      <w:r w:rsidR="004D24B2" w:rsidRPr="00DA644C">
        <w:rPr>
          <w:rFonts w:ascii="Arial" w:eastAsia="Arial" w:hAnsi="Arial" w:cs="Arial"/>
          <w:color w:val="FF0000"/>
          <w:sz w:val="24"/>
          <w:szCs w:val="24"/>
        </w:rPr>
        <w:t xml:space="preserve"> </w:t>
      </w:r>
      <w:r w:rsidR="00692B14" w:rsidRPr="00DA644C">
        <w:rPr>
          <w:rFonts w:ascii="Arial" w:eastAsia="Arial" w:hAnsi="Arial" w:cs="Arial"/>
          <w:color w:val="FF0000"/>
          <w:sz w:val="24"/>
          <w:szCs w:val="24"/>
        </w:rPr>
        <w:t xml:space="preserve">hegemonic </w:t>
      </w:r>
      <w:r w:rsidR="004D24B2" w:rsidRPr="00DA644C">
        <w:rPr>
          <w:rFonts w:ascii="Arial" w:eastAsia="Arial" w:hAnsi="Arial" w:cs="Arial"/>
          <w:color w:val="FF0000"/>
          <w:sz w:val="24"/>
          <w:szCs w:val="24"/>
        </w:rPr>
        <w:t>neoliberal</w:t>
      </w:r>
      <w:r w:rsidR="00692B14" w:rsidRPr="00DA644C">
        <w:rPr>
          <w:rFonts w:ascii="Arial" w:eastAsia="Arial" w:hAnsi="Arial" w:cs="Arial"/>
          <w:color w:val="FF0000"/>
          <w:sz w:val="24"/>
          <w:szCs w:val="24"/>
        </w:rPr>
        <w:t>ist</w:t>
      </w:r>
      <w:r w:rsidR="004D24B2" w:rsidRPr="00DA644C">
        <w:rPr>
          <w:rFonts w:ascii="Arial" w:eastAsia="Arial" w:hAnsi="Arial" w:cs="Arial"/>
          <w:color w:val="FF0000"/>
          <w:sz w:val="24"/>
          <w:szCs w:val="24"/>
        </w:rPr>
        <w:t xml:space="preserve"> </w:t>
      </w:r>
      <w:r w:rsidR="00692B14" w:rsidRPr="00DA644C">
        <w:rPr>
          <w:rFonts w:ascii="Arial" w:eastAsia="Arial" w:hAnsi="Arial" w:cs="Arial"/>
          <w:color w:val="FF0000"/>
          <w:sz w:val="24"/>
          <w:szCs w:val="24"/>
        </w:rPr>
        <w:t>political</w:t>
      </w:r>
      <w:r w:rsidR="004D24B2" w:rsidRPr="00DA644C">
        <w:rPr>
          <w:rFonts w:ascii="Arial" w:eastAsia="Arial" w:hAnsi="Arial" w:cs="Arial"/>
          <w:color w:val="FF0000"/>
          <w:sz w:val="24"/>
          <w:szCs w:val="24"/>
        </w:rPr>
        <w:t xml:space="preserve"> </w:t>
      </w:r>
      <w:r w:rsidR="00692B14" w:rsidRPr="00DA644C">
        <w:rPr>
          <w:rFonts w:ascii="Arial" w:eastAsia="Arial" w:hAnsi="Arial" w:cs="Arial"/>
          <w:color w:val="FF0000"/>
          <w:sz w:val="24"/>
          <w:szCs w:val="24"/>
        </w:rPr>
        <w:t>agenda</w:t>
      </w:r>
      <w:r w:rsidR="004D24B2" w:rsidRPr="00DA644C">
        <w:rPr>
          <w:rFonts w:ascii="Arial" w:eastAsia="Arial" w:hAnsi="Arial" w:cs="Arial"/>
          <w:color w:val="FF0000"/>
          <w:sz w:val="24"/>
          <w:szCs w:val="24"/>
        </w:rPr>
        <w:t xml:space="preserve"> (Clark, 1998; Henkel, 1997; McNay, 1995; </w:t>
      </w:r>
      <w:r w:rsidR="00692B14" w:rsidRPr="00DA644C">
        <w:rPr>
          <w:rFonts w:ascii="Arial" w:eastAsia="Arial" w:hAnsi="Arial" w:cs="Arial"/>
          <w:color w:val="FF0000"/>
          <w:sz w:val="24"/>
          <w:szCs w:val="24"/>
        </w:rPr>
        <w:t xml:space="preserve">Harvey, 2007; </w:t>
      </w:r>
      <w:r w:rsidR="004D24B2" w:rsidRPr="00DA644C">
        <w:rPr>
          <w:rFonts w:ascii="Arial" w:eastAsia="Arial" w:hAnsi="Arial" w:cs="Arial"/>
          <w:color w:val="FF0000"/>
          <w:sz w:val="24"/>
          <w:szCs w:val="24"/>
        </w:rPr>
        <w:t xml:space="preserve">Miller, 2014). </w:t>
      </w:r>
      <w:r w:rsidR="00270B10" w:rsidRPr="00DA644C">
        <w:rPr>
          <w:rFonts w:ascii="Arial" w:eastAsia="Arial" w:hAnsi="Arial" w:cs="Arial"/>
          <w:color w:val="FF0000"/>
          <w:sz w:val="24"/>
          <w:szCs w:val="24"/>
        </w:rPr>
        <w:t xml:space="preserve"> </w:t>
      </w:r>
      <w:r w:rsidR="00D65E62" w:rsidRPr="00DA644C">
        <w:rPr>
          <w:rFonts w:ascii="Arial" w:eastAsia="Arial" w:hAnsi="Arial" w:cs="Arial"/>
          <w:color w:val="FF0000"/>
          <w:sz w:val="24"/>
          <w:szCs w:val="24"/>
        </w:rPr>
        <w:t>Elite forces of institutional capitalism (Useem, 1984) d</w:t>
      </w:r>
      <w:r w:rsidR="00270B10" w:rsidRPr="00DA644C">
        <w:rPr>
          <w:rFonts w:ascii="Arial" w:eastAsia="Arial" w:hAnsi="Arial" w:cs="Arial"/>
          <w:color w:val="FF0000"/>
          <w:sz w:val="24"/>
          <w:szCs w:val="24"/>
        </w:rPr>
        <w:t>riv</w:t>
      </w:r>
      <w:r w:rsidR="006545BA" w:rsidRPr="00DA644C">
        <w:rPr>
          <w:rFonts w:ascii="Arial" w:eastAsia="Arial" w:hAnsi="Arial" w:cs="Arial"/>
          <w:color w:val="FF0000"/>
          <w:sz w:val="24"/>
          <w:szCs w:val="24"/>
        </w:rPr>
        <w:t>es</w:t>
      </w:r>
      <w:r w:rsidR="00270B10" w:rsidRPr="00DA644C">
        <w:rPr>
          <w:rFonts w:ascii="Arial" w:eastAsia="Arial" w:hAnsi="Arial" w:cs="Arial"/>
          <w:color w:val="FF0000"/>
          <w:sz w:val="24"/>
          <w:szCs w:val="24"/>
        </w:rPr>
        <w:t xml:space="preserve"> </w:t>
      </w:r>
      <w:r w:rsidR="006545BA" w:rsidRPr="00DA644C">
        <w:rPr>
          <w:rFonts w:ascii="Arial" w:eastAsia="Arial" w:hAnsi="Arial" w:cs="Arial"/>
          <w:color w:val="FF0000"/>
          <w:sz w:val="24"/>
          <w:szCs w:val="24"/>
        </w:rPr>
        <w:t xml:space="preserve">curriculum </w:t>
      </w:r>
      <w:r w:rsidR="001C2DA9" w:rsidRPr="00DA644C">
        <w:rPr>
          <w:rFonts w:ascii="Arial" w:eastAsia="Arial" w:hAnsi="Arial" w:cs="Arial"/>
          <w:color w:val="FF0000"/>
          <w:sz w:val="24"/>
          <w:szCs w:val="24"/>
        </w:rPr>
        <w:t>marketi</w:t>
      </w:r>
      <w:r>
        <w:rPr>
          <w:rFonts w:ascii="Arial" w:eastAsia="Arial" w:hAnsi="Arial" w:cs="Arial"/>
          <w:color w:val="FF0000"/>
          <w:sz w:val="24"/>
          <w:szCs w:val="24"/>
        </w:rPr>
        <w:t>s</w:t>
      </w:r>
      <w:r w:rsidR="001C2DA9" w:rsidRPr="00DA644C">
        <w:rPr>
          <w:rFonts w:ascii="Arial" w:eastAsia="Arial" w:hAnsi="Arial" w:cs="Arial"/>
          <w:color w:val="FF0000"/>
          <w:sz w:val="24"/>
          <w:szCs w:val="24"/>
        </w:rPr>
        <w:t>ation</w:t>
      </w:r>
      <w:r w:rsidR="006545BA" w:rsidRPr="00DA644C">
        <w:rPr>
          <w:rFonts w:ascii="Arial" w:eastAsia="Arial" w:hAnsi="Arial" w:cs="Arial"/>
          <w:color w:val="FF0000"/>
          <w:sz w:val="24"/>
          <w:szCs w:val="24"/>
        </w:rPr>
        <w:t>,</w:t>
      </w:r>
      <w:r w:rsidR="00E270F3" w:rsidRPr="00DA644C">
        <w:rPr>
          <w:rFonts w:ascii="Arial" w:eastAsia="Arial" w:hAnsi="Arial" w:cs="Arial"/>
          <w:color w:val="FF0000"/>
          <w:sz w:val="24"/>
          <w:szCs w:val="24"/>
        </w:rPr>
        <w:t xml:space="preserve"> </w:t>
      </w:r>
      <w:r w:rsidR="00270B10" w:rsidRPr="00DA644C">
        <w:rPr>
          <w:rFonts w:ascii="Arial" w:eastAsia="Arial" w:hAnsi="Arial" w:cs="Arial"/>
          <w:color w:val="FF0000"/>
          <w:sz w:val="24"/>
          <w:szCs w:val="24"/>
        </w:rPr>
        <w:t xml:space="preserve">present education solely as a means to gain </w:t>
      </w:r>
      <w:r w:rsidR="00E270F3" w:rsidRPr="00DA644C">
        <w:rPr>
          <w:rFonts w:ascii="Arial" w:eastAsia="Arial" w:hAnsi="Arial" w:cs="Arial"/>
          <w:color w:val="FF0000"/>
          <w:sz w:val="24"/>
          <w:szCs w:val="24"/>
        </w:rPr>
        <w:t xml:space="preserve">efficiency and </w:t>
      </w:r>
      <w:r w:rsidR="00270B10" w:rsidRPr="00DA644C">
        <w:rPr>
          <w:rFonts w:ascii="Arial" w:eastAsia="Arial" w:hAnsi="Arial" w:cs="Arial"/>
          <w:color w:val="FF0000"/>
          <w:sz w:val="24"/>
          <w:szCs w:val="24"/>
        </w:rPr>
        <w:t>eco</w:t>
      </w:r>
      <w:r w:rsidR="00270B10" w:rsidRPr="00DA644C">
        <w:rPr>
          <w:rFonts w:ascii="Arial" w:eastAsia="Arial" w:hAnsi="Arial" w:cs="Arial"/>
          <w:color w:val="FF0000"/>
          <w:sz w:val="24"/>
          <w:szCs w:val="24"/>
        </w:rPr>
        <w:softHyphen/>
        <w:t>nomic advantage (Cruickshank, 2016; Giroux, 2013; Collini, 2012)</w:t>
      </w:r>
      <w:r w:rsidR="00C87300" w:rsidRPr="00DA644C">
        <w:rPr>
          <w:rFonts w:ascii="Arial" w:eastAsia="Arial" w:hAnsi="Arial" w:cs="Arial"/>
          <w:color w:val="FF0000"/>
          <w:sz w:val="24"/>
          <w:szCs w:val="24"/>
        </w:rPr>
        <w:t>.  In so doing it</w:t>
      </w:r>
      <w:r w:rsidR="001C2DA9" w:rsidRPr="00DA644C">
        <w:rPr>
          <w:rFonts w:ascii="Arial" w:eastAsia="Arial" w:hAnsi="Arial" w:cs="Arial"/>
          <w:color w:val="FF0000"/>
          <w:sz w:val="24"/>
          <w:szCs w:val="24"/>
        </w:rPr>
        <w:t xml:space="preserve"> arguably </w:t>
      </w:r>
      <w:r w:rsidR="00E270F3" w:rsidRPr="00DA644C">
        <w:rPr>
          <w:rFonts w:ascii="Arial" w:eastAsia="Arial" w:hAnsi="Arial" w:cs="Arial"/>
          <w:color w:val="FF0000"/>
          <w:sz w:val="24"/>
          <w:szCs w:val="24"/>
        </w:rPr>
        <w:t>promot</w:t>
      </w:r>
      <w:r w:rsidR="00D65E62" w:rsidRPr="00DA644C">
        <w:rPr>
          <w:rFonts w:ascii="Arial" w:eastAsia="Arial" w:hAnsi="Arial" w:cs="Arial"/>
          <w:color w:val="FF0000"/>
          <w:sz w:val="24"/>
          <w:szCs w:val="24"/>
        </w:rPr>
        <w:t>es</w:t>
      </w:r>
      <w:r w:rsidR="00E270F3" w:rsidRPr="00DA644C">
        <w:rPr>
          <w:rFonts w:ascii="Arial" w:eastAsia="Arial" w:hAnsi="Arial" w:cs="Arial"/>
          <w:color w:val="FF0000"/>
          <w:sz w:val="24"/>
          <w:szCs w:val="24"/>
        </w:rPr>
        <w:t xml:space="preserve"> </w:t>
      </w:r>
      <w:r w:rsidR="001C2DA9" w:rsidRPr="00DA644C">
        <w:rPr>
          <w:rFonts w:ascii="Arial" w:eastAsia="Arial" w:hAnsi="Arial" w:cs="Arial"/>
          <w:color w:val="FF0000"/>
          <w:sz w:val="24"/>
          <w:szCs w:val="24"/>
        </w:rPr>
        <w:t xml:space="preserve">a western </w:t>
      </w:r>
      <w:r w:rsidR="00D65E62" w:rsidRPr="00DA644C">
        <w:rPr>
          <w:rFonts w:ascii="Arial" w:eastAsia="Arial" w:hAnsi="Arial" w:cs="Arial"/>
          <w:color w:val="FF0000"/>
          <w:sz w:val="24"/>
          <w:szCs w:val="24"/>
        </w:rPr>
        <w:t xml:space="preserve">normative and </w:t>
      </w:r>
      <w:r w:rsidR="003B66E7" w:rsidRPr="00DA644C">
        <w:rPr>
          <w:rFonts w:ascii="Arial" w:eastAsia="Arial" w:hAnsi="Arial" w:cs="Arial"/>
          <w:color w:val="FF0000"/>
          <w:sz w:val="24"/>
          <w:szCs w:val="24"/>
        </w:rPr>
        <w:t xml:space="preserve">instrumental </w:t>
      </w:r>
      <w:r w:rsidR="001C2DA9" w:rsidRPr="00DA644C">
        <w:rPr>
          <w:rFonts w:ascii="Arial" w:eastAsia="Arial" w:hAnsi="Arial" w:cs="Arial"/>
          <w:color w:val="FF0000"/>
          <w:sz w:val="24"/>
          <w:szCs w:val="24"/>
        </w:rPr>
        <w:t xml:space="preserve">model that has many </w:t>
      </w:r>
      <w:r w:rsidR="00E270F3" w:rsidRPr="00DA644C">
        <w:rPr>
          <w:rFonts w:ascii="Arial" w:eastAsia="Arial" w:hAnsi="Arial" w:cs="Arial"/>
          <w:color w:val="FF0000"/>
          <w:sz w:val="24"/>
          <w:szCs w:val="24"/>
        </w:rPr>
        <w:t xml:space="preserve">societal </w:t>
      </w:r>
      <w:r w:rsidR="00D65E62" w:rsidRPr="00DA644C">
        <w:rPr>
          <w:rFonts w:ascii="Arial" w:eastAsia="Arial" w:hAnsi="Arial" w:cs="Arial"/>
          <w:color w:val="FF0000"/>
          <w:sz w:val="24"/>
          <w:szCs w:val="24"/>
        </w:rPr>
        <w:t xml:space="preserve">and philosophical </w:t>
      </w:r>
      <w:r w:rsidR="001C2DA9" w:rsidRPr="00DA644C">
        <w:rPr>
          <w:rFonts w:ascii="Arial" w:eastAsia="Arial" w:hAnsi="Arial" w:cs="Arial"/>
          <w:color w:val="FF0000"/>
          <w:sz w:val="24"/>
          <w:szCs w:val="24"/>
        </w:rPr>
        <w:t>flaws (</w:t>
      </w:r>
      <w:r w:rsidR="00E270F3" w:rsidRPr="00DA644C">
        <w:rPr>
          <w:rFonts w:ascii="Arial" w:eastAsia="Arial" w:hAnsi="Arial" w:cs="Arial"/>
          <w:color w:val="FF0000"/>
          <w:sz w:val="24"/>
          <w:szCs w:val="24"/>
        </w:rPr>
        <w:t>Bennis and O’Toole, 2005; Simpson, 2011)</w:t>
      </w:r>
      <w:r w:rsidR="00C87300" w:rsidRPr="00DA644C">
        <w:rPr>
          <w:rFonts w:ascii="Arial" w:eastAsia="Arial" w:hAnsi="Arial" w:cs="Arial"/>
          <w:color w:val="FF0000"/>
          <w:sz w:val="24"/>
          <w:szCs w:val="24"/>
        </w:rPr>
        <w:t xml:space="preserve"> </w:t>
      </w:r>
      <w:r w:rsidR="00EE32E8" w:rsidRPr="00DA644C">
        <w:rPr>
          <w:rFonts w:ascii="Arial" w:eastAsia="Arial" w:hAnsi="Arial" w:cs="Arial"/>
          <w:color w:val="FF0000"/>
          <w:sz w:val="24"/>
          <w:szCs w:val="24"/>
        </w:rPr>
        <w:t xml:space="preserve">one </w:t>
      </w:r>
      <w:r w:rsidR="00C87300" w:rsidRPr="00DA644C">
        <w:rPr>
          <w:rFonts w:ascii="Arial" w:eastAsia="Arial" w:hAnsi="Arial" w:cs="Arial"/>
          <w:color w:val="FF0000"/>
          <w:sz w:val="24"/>
          <w:szCs w:val="24"/>
        </w:rPr>
        <w:t xml:space="preserve">that side-tracks values </w:t>
      </w:r>
      <w:r w:rsidR="004D24B2" w:rsidRPr="00DA644C">
        <w:rPr>
          <w:rFonts w:ascii="Arial" w:eastAsia="Arial" w:hAnsi="Arial" w:cs="Arial"/>
          <w:color w:val="FF0000"/>
          <w:sz w:val="24"/>
          <w:szCs w:val="24"/>
        </w:rPr>
        <w:t>of collegiality</w:t>
      </w:r>
      <w:r w:rsidR="00C87300" w:rsidRPr="00DA644C">
        <w:rPr>
          <w:rFonts w:ascii="Arial" w:eastAsia="Arial" w:hAnsi="Arial" w:cs="Arial"/>
          <w:color w:val="FF0000"/>
          <w:sz w:val="24"/>
          <w:szCs w:val="24"/>
        </w:rPr>
        <w:t xml:space="preserve">, critical thinking, </w:t>
      </w:r>
      <w:r w:rsidR="004D24B2" w:rsidRPr="00DA644C">
        <w:rPr>
          <w:rFonts w:ascii="Arial" w:eastAsia="Arial" w:hAnsi="Arial" w:cs="Arial"/>
          <w:color w:val="FF0000"/>
          <w:sz w:val="24"/>
          <w:szCs w:val="24"/>
        </w:rPr>
        <w:t>scholarship and academic citizenship (Bolden, et al., 2014; MacFarlane, 2007)</w:t>
      </w:r>
      <w:r w:rsidR="002F393B" w:rsidRPr="00DA644C">
        <w:rPr>
          <w:rFonts w:ascii="Arial" w:eastAsia="Arial" w:hAnsi="Arial" w:cs="Arial"/>
          <w:color w:val="FF0000"/>
          <w:sz w:val="24"/>
          <w:szCs w:val="24"/>
        </w:rPr>
        <w:t xml:space="preserve"> </w:t>
      </w:r>
      <w:r w:rsidR="006545BA" w:rsidRPr="00DA644C">
        <w:rPr>
          <w:rFonts w:ascii="Arial" w:eastAsia="Arial" w:hAnsi="Arial" w:cs="Arial"/>
          <w:color w:val="FF0000"/>
          <w:sz w:val="24"/>
          <w:szCs w:val="24"/>
        </w:rPr>
        <w:t xml:space="preserve">promoting </w:t>
      </w:r>
      <w:r w:rsidR="002F393B" w:rsidRPr="00DA644C">
        <w:rPr>
          <w:rFonts w:ascii="Arial" w:eastAsia="Arial" w:hAnsi="Arial" w:cs="Arial"/>
          <w:color w:val="FF0000"/>
          <w:sz w:val="24"/>
          <w:szCs w:val="24"/>
        </w:rPr>
        <w:t xml:space="preserve">education as a </w:t>
      </w:r>
      <w:r w:rsidR="006545BA" w:rsidRPr="00DA644C">
        <w:rPr>
          <w:rFonts w:ascii="Arial" w:eastAsia="Arial" w:hAnsi="Arial" w:cs="Arial"/>
          <w:color w:val="FF0000"/>
          <w:sz w:val="24"/>
          <w:szCs w:val="24"/>
        </w:rPr>
        <w:t xml:space="preserve">knowledge </w:t>
      </w:r>
      <w:r w:rsidR="002F393B" w:rsidRPr="00DA644C">
        <w:rPr>
          <w:rFonts w:ascii="Arial" w:eastAsia="Arial" w:hAnsi="Arial" w:cs="Arial"/>
          <w:color w:val="FF0000"/>
          <w:sz w:val="24"/>
          <w:szCs w:val="24"/>
        </w:rPr>
        <w:t xml:space="preserve">banking process (Freire, 1970) </w:t>
      </w:r>
      <w:r w:rsidR="006545BA" w:rsidRPr="00DA644C">
        <w:rPr>
          <w:rFonts w:ascii="Arial" w:eastAsia="Arial" w:hAnsi="Arial" w:cs="Arial"/>
          <w:color w:val="FF0000"/>
          <w:sz w:val="24"/>
          <w:szCs w:val="24"/>
        </w:rPr>
        <w:t xml:space="preserve">and </w:t>
      </w:r>
      <w:r w:rsidR="002F393B" w:rsidRPr="00DA644C">
        <w:rPr>
          <w:rFonts w:ascii="Arial" w:eastAsia="Arial" w:hAnsi="Arial" w:cs="Arial"/>
          <w:color w:val="FF0000"/>
          <w:sz w:val="24"/>
          <w:szCs w:val="24"/>
        </w:rPr>
        <w:t xml:space="preserve">students </w:t>
      </w:r>
      <w:r>
        <w:rPr>
          <w:rFonts w:ascii="Arial" w:eastAsia="Arial" w:hAnsi="Arial" w:cs="Arial"/>
          <w:color w:val="FF0000"/>
          <w:sz w:val="24"/>
          <w:szCs w:val="24"/>
        </w:rPr>
        <w:t xml:space="preserve">as </w:t>
      </w:r>
      <w:r w:rsidR="006545BA" w:rsidRPr="00DA644C">
        <w:rPr>
          <w:rFonts w:ascii="Arial" w:eastAsia="Arial" w:hAnsi="Arial" w:cs="Arial"/>
          <w:color w:val="FF0000"/>
          <w:sz w:val="24"/>
          <w:szCs w:val="24"/>
        </w:rPr>
        <w:t xml:space="preserve">trained </w:t>
      </w:r>
      <w:r w:rsidR="002F393B" w:rsidRPr="00DA644C">
        <w:rPr>
          <w:rFonts w:ascii="Arial" w:eastAsia="Arial" w:hAnsi="Arial" w:cs="Arial"/>
          <w:color w:val="FF0000"/>
          <w:sz w:val="24"/>
          <w:szCs w:val="24"/>
        </w:rPr>
        <w:t>receptacle</w:t>
      </w:r>
      <w:r>
        <w:rPr>
          <w:rFonts w:ascii="Arial" w:eastAsia="Arial" w:hAnsi="Arial" w:cs="Arial"/>
          <w:color w:val="FF0000"/>
          <w:sz w:val="24"/>
          <w:szCs w:val="24"/>
        </w:rPr>
        <w:t>s</w:t>
      </w:r>
      <w:r w:rsidR="002F393B" w:rsidRPr="00DA644C">
        <w:rPr>
          <w:rFonts w:ascii="Arial" w:eastAsia="Arial" w:hAnsi="Arial" w:cs="Arial"/>
          <w:color w:val="FF0000"/>
          <w:sz w:val="24"/>
          <w:szCs w:val="24"/>
        </w:rPr>
        <w:t xml:space="preserve">.  </w:t>
      </w:r>
    </w:p>
    <w:p w14:paraId="6572F6E0" w14:textId="77777777" w:rsidR="004B27E8" w:rsidRDefault="00360F90" w:rsidP="005A032B">
      <w:pPr>
        <w:pBdr>
          <w:top w:val="nil"/>
          <w:left w:val="nil"/>
          <w:bottom w:val="nil"/>
          <w:right w:val="nil"/>
          <w:between w:val="nil"/>
        </w:pBdr>
        <w:spacing w:before="120" w:after="0" w:line="360" w:lineRule="auto"/>
        <w:jc w:val="both"/>
        <w:rPr>
          <w:rFonts w:ascii="Arial" w:eastAsia="Arial" w:hAnsi="Arial" w:cs="Arial"/>
          <w:color w:val="FF0000"/>
          <w:sz w:val="24"/>
          <w:szCs w:val="24"/>
        </w:rPr>
      </w:pPr>
      <w:r w:rsidRPr="00DA644C">
        <w:rPr>
          <w:rFonts w:ascii="Arial" w:eastAsia="Arial" w:hAnsi="Arial" w:cs="Arial"/>
          <w:color w:val="FF0000"/>
          <w:sz w:val="24"/>
          <w:szCs w:val="24"/>
        </w:rPr>
        <w:lastRenderedPageBreak/>
        <w:t>The TEF audit culture aims to ensure professional deliver</w:t>
      </w:r>
      <w:r w:rsidR="00EE32E8" w:rsidRPr="00DA644C">
        <w:rPr>
          <w:rFonts w:ascii="Arial" w:eastAsia="Arial" w:hAnsi="Arial" w:cs="Arial"/>
          <w:color w:val="FF0000"/>
          <w:sz w:val="24"/>
          <w:szCs w:val="24"/>
        </w:rPr>
        <w:t>y</w:t>
      </w:r>
      <w:r w:rsidRPr="00DA644C">
        <w:rPr>
          <w:rFonts w:ascii="Arial" w:eastAsia="Arial" w:hAnsi="Arial" w:cs="Arial"/>
          <w:color w:val="FF0000"/>
          <w:sz w:val="24"/>
          <w:szCs w:val="24"/>
        </w:rPr>
        <w:t xml:space="preserve"> of </w:t>
      </w:r>
      <w:r w:rsidR="00ED5C24" w:rsidRPr="00DA644C">
        <w:rPr>
          <w:rFonts w:ascii="Arial" w:eastAsia="Arial" w:hAnsi="Arial" w:cs="Arial"/>
          <w:color w:val="FF0000"/>
          <w:sz w:val="24"/>
          <w:szCs w:val="24"/>
        </w:rPr>
        <w:t xml:space="preserve">consistent </w:t>
      </w:r>
      <w:r w:rsidR="00FB2FF1" w:rsidRPr="00DA644C">
        <w:rPr>
          <w:rFonts w:ascii="Arial" w:eastAsia="Arial" w:hAnsi="Arial" w:cs="Arial"/>
          <w:color w:val="FF0000"/>
          <w:sz w:val="24"/>
          <w:szCs w:val="24"/>
        </w:rPr>
        <w:t>excellen</w:t>
      </w:r>
      <w:r w:rsidR="00FB2FF1">
        <w:rPr>
          <w:rFonts w:ascii="Arial" w:eastAsia="Arial" w:hAnsi="Arial" w:cs="Arial"/>
          <w:color w:val="FF0000"/>
          <w:sz w:val="24"/>
          <w:szCs w:val="24"/>
        </w:rPr>
        <w:t>t</w:t>
      </w:r>
      <w:r w:rsidR="00FB2FF1" w:rsidRPr="00DA644C">
        <w:rPr>
          <w:rFonts w:ascii="Arial" w:eastAsia="Arial" w:hAnsi="Arial" w:cs="Arial"/>
          <w:color w:val="FF0000"/>
          <w:sz w:val="24"/>
          <w:szCs w:val="24"/>
        </w:rPr>
        <w:t xml:space="preserve"> </w:t>
      </w:r>
      <w:r w:rsidRPr="00DA644C">
        <w:rPr>
          <w:rFonts w:ascii="Arial" w:eastAsia="Arial" w:hAnsi="Arial" w:cs="Arial"/>
          <w:color w:val="FF0000"/>
          <w:sz w:val="24"/>
          <w:szCs w:val="24"/>
        </w:rPr>
        <w:t xml:space="preserve">teaching outputs, but in </w:t>
      </w:r>
      <w:r w:rsidR="00ED5C24" w:rsidRPr="00DA644C">
        <w:rPr>
          <w:rFonts w:ascii="Arial" w:eastAsia="Arial" w:hAnsi="Arial" w:cs="Arial"/>
          <w:color w:val="FF0000"/>
          <w:sz w:val="24"/>
          <w:szCs w:val="24"/>
        </w:rPr>
        <w:t>reality</w:t>
      </w:r>
      <w:r w:rsidRPr="00DA644C">
        <w:rPr>
          <w:rFonts w:ascii="Arial" w:eastAsia="Arial" w:hAnsi="Arial" w:cs="Arial"/>
          <w:color w:val="FF0000"/>
          <w:sz w:val="24"/>
          <w:szCs w:val="24"/>
        </w:rPr>
        <w:t xml:space="preserve"> TEF is detached from the representation of </w:t>
      </w:r>
      <w:r w:rsidR="000676F6" w:rsidRPr="00DA644C">
        <w:rPr>
          <w:rFonts w:ascii="Arial" w:eastAsia="Arial" w:hAnsi="Arial" w:cs="Arial"/>
          <w:color w:val="FF0000"/>
          <w:sz w:val="24"/>
          <w:szCs w:val="24"/>
        </w:rPr>
        <w:t xml:space="preserve">actual </w:t>
      </w:r>
      <w:r w:rsidRPr="00DA644C">
        <w:rPr>
          <w:rFonts w:ascii="Arial" w:eastAsia="Arial" w:hAnsi="Arial" w:cs="Arial"/>
          <w:color w:val="FF0000"/>
          <w:sz w:val="24"/>
          <w:szCs w:val="24"/>
        </w:rPr>
        <w:t>teaching practice</w:t>
      </w:r>
      <w:r w:rsidR="00FB2FF1">
        <w:rPr>
          <w:rFonts w:ascii="Arial" w:eastAsia="Arial" w:hAnsi="Arial" w:cs="Arial"/>
          <w:color w:val="FF0000"/>
          <w:sz w:val="24"/>
          <w:szCs w:val="24"/>
        </w:rPr>
        <w:t>,</w:t>
      </w:r>
      <w:r w:rsidRPr="00DA644C">
        <w:rPr>
          <w:rFonts w:ascii="Arial" w:eastAsia="Arial" w:hAnsi="Arial" w:cs="Arial"/>
          <w:color w:val="FF0000"/>
          <w:sz w:val="24"/>
          <w:szCs w:val="24"/>
        </w:rPr>
        <w:t xml:space="preserve"> </w:t>
      </w:r>
      <w:bookmarkStart w:id="7" w:name="_Hlk49931597"/>
      <w:r w:rsidRPr="00DA644C">
        <w:rPr>
          <w:rFonts w:ascii="Arial" w:eastAsia="Arial" w:hAnsi="Arial" w:cs="Arial"/>
          <w:color w:val="FF0000"/>
          <w:sz w:val="24"/>
          <w:szCs w:val="24"/>
        </w:rPr>
        <w:t xml:space="preserve">only receiving </w:t>
      </w:r>
      <w:r w:rsidR="00EE32E8" w:rsidRPr="00DA644C">
        <w:rPr>
          <w:rFonts w:ascii="Arial" w:eastAsia="Arial" w:hAnsi="Arial" w:cs="Arial"/>
          <w:color w:val="FF0000"/>
          <w:sz w:val="24"/>
          <w:szCs w:val="24"/>
        </w:rPr>
        <w:t>second-hand</w:t>
      </w:r>
      <w:r w:rsidRPr="00DA644C">
        <w:rPr>
          <w:rFonts w:ascii="Arial" w:eastAsia="Arial" w:hAnsi="Arial" w:cs="Arial"/>
          <w:color w:val="FF0000"/>
          <w:sz w:val="24"/>
          <w:szCs w:val="24"/>
        </w:rPr>
        <w:t xml:space="preserve"> accounts of practice (Healey et al., 2014)</w:t>
      </w:r>
      <w:r w:rsidR="004B27E8">
        <w:rPr>
          <w:rFonts w:ascii="Arial" w:eastAsia="Arial" w:hAnsi="Arial" w:cs="Arial"/>
          <w:color w:val="FF0000"/>
          <w:sz w:val="24"/>
          <w:szCs w:val="24"/>
        </w:rPr>
        <w:t xml:space="preserve">.  </w:t>
      </w:r>
      <w:r w:rsidR="004B27E8" w:rsidRPr="004B27E8">
        <w:rPr>
          <w:rFonts w:ascii="Arial" w:eastAsia="Arial" w:hAnsi="Arial" w:cs="Arial"/>
          <w:color w:val="00B0F0"/>
          <w:sz w:val="24"/>
          <w:szCs w:val="24"/>
        </w:rPr>
        <w:t xml:space="preserve">Further, it can be seen as an unsubtle and weak measurement of teaching quality as </w:t>
      </w:r>
      <w:r w:rsidR="004B27E8">
        <w:rPr>
          <w:rFonts w:ascii="Arial" w:eastAsia="Arial" w:hAnsi="Arial" w:cs="Arial"/>
          <w:color w:val="00B0F0"/>
          <w:sz w:val="24"/>
          <w:szCs w:val="24"/>
        </w:rPr>
        <w:t xml:space="preserve">it </w:t>
      </w:r>
      <w:r w:rsidR="004B27E8" w:rsidRPr="004B27E8">
        <w:rPr>
          <w:rFonts w:ascii="Arial" w:eastAsia="Arial" w:hAnsi="Arial" w:cs="Arial"/>
          <w:color w:val="00B0F0"/>
          <w:sz w:val="24"/>
          <w:szCs w:val="24"/>
        </w:rPr>
        <w:t>is subjectivity applied across a diverse range of disciplines, levels, departments and faculties (Canning, 2019).</w:t>
      </w:r>
      <w:r w:rsidR="004B27E8" w:rsidRPr="00DA644C">
        <w:rPr>
          <w:rFonts w:ascii="Arial" w:eastAsia="Arial" w:hAnsi="Arial" w:cs="Arial"/>
          <w:color w:val="FF0000"/>
          <w:sz w:val="24"/>
          <w:szCs w:val="24"/>
        </w:rPr>
        <w:t xml:space="preserve">  </w:t>
      </w:r>
      <w:bookmarkEnd w:id="7"/>
    </w:p>
    <w:p w14:paraId="1D24510B" w14:textId="02C799B3" w:rsidR="0044142D" w:rsidRPr="00112B79" w:rsidRDefault="00BD1278" w:rsidP="005A032B">
      <w:pPr>
        <w:pBdr>
          <w:top w:val="nil"/>
          <w:left w:val="nil"/>
          <w:bottom w:val="nil"/>
          <w:right w:val="nil"/>
          <w:between w:val="nil"/>
        </w:pBdr>
        <w:spacing w:before="120" w:after="0" w:line="360" w:lineRule="auto"/>
        <w:jc w:val="both"/>
        <w:rPr>
          <w:rFonts w:ascii="Arial" w:eastAsia="Arial" w:hAnsi="Arial" w:cs="Arial"/>
          <w:color w:val="00B0F0"/>
          <w:sz w:val="24"/>
          <w:szCs w:val="24"/>
        </w:rPr>
      </w:pPr>
      <w:r w:rsidRPr="00112B79">
        <w:rPr>
          <w:rFonts w:ascii="Arial" w:eastAsia="Arial" w:hAnsi="Arial" w:cs="Arial"/>
          <w:color w:val="00B0F0"/>
          <w:sz w:val="24"/>
          <w:szCs w:val="24"/>
        </w:rPr>
        <w:t xml:space="preserve">TEF outcomes have difficulty in </w:t>
      </w:r>
      <w:r w:rsidR="00C035DD" w:rsidRPr="00112B79">
        <w:rPr>
          <w:rFonts w:ascii="Arial" w:eastAsia="Arial" w:hAnsi="Arial" w:cs="Arial"/>
          <w:color w:val="00B0F0"/>
          <w:sz w:val="24"/>
          <w:szCs w:val="24"/>
        </w:rPr>
        <w:t xml:space="preserve">making </w:t>
      </w:r>
      <w:r w:rsidRPr="00112B79">
        <w:rPr>
          <w:rFonts w:ascii="Arial" w:eastAsia="Arial" w:hAnsi="Arial" w:cs="Arial"/>
          <w:color w:val="00B0F0"/>
          <w:sz w:val="24"/>
          <w:szCs w:val="24"/>
        </w:rPr>
        <w:t xml:space="preserve">meaningful </w:t>
      </w:r>
      <w:r w:rsidR="00C035DD" w:rsidRPr="00112B79">
        <w:rPr>
          <w:rFonts w:ascii="Arial" w:eastAsia="Arial" w:hAnsi="Arial" w:cs="Arial"/>
          <w:color w:val="00B0F0"/>
          <w:sz w:val="24"/>
          <w:szCs w:val="24"/>
        </w:rPr>
        <w:t>assessments</w:t>
      </w:r>
      <w:r w:rsidR="004B27E8" w:rsidRPr="00112B79">
        <w:rPr>
          <w:rFonts w:ascii="Arial" w:eastAsia="Arial" w:hAnsi="Arial" w:cs="Arial"/>
          <w:color w:val="00B0F0"/>
          <w:sz w:val="24"/>
          <w:szCs w:val="24"/>
        </w:rPr>
        <w:t xml:space="preserve"> of learning transference</w:t>
      </w:r>
      <w:r w:rsidR="00D52A06" w:rsidRPr="00112B79">
        <w:rPr>
          <w:rFonts w:ascii="Arial" w:eastAsia="Arial" w:hAnsi="Arial" w:cs="Arial"/>
          <w:color w:val="00B0F0"/>
          <w:sz w:val="24"/>
          <w:szCs w:val="24"/>
        </w:rPr>
        <w:t>;</w:t>
      </w:r>
      <w:r w:rsidR="00C035DD" w:rsidRPr="00112B79">
        <w:rPr>
          <w:rFonts w:ascii="Arial" w:eastAsia="Arial" w:hAnsi="Arial" w:cs="Arial"/>
          <w:color w:val="00B0F0"/>
          <w:sz w:val="24"/>
          <w:szCs w:val="24"/>
        </w:rPr>
        <w:t xml:space="preserve"> </w:t>
      </w:r>
      <w:r w:rsidR="00834214" w:rsidRPr="00112B79">
        <w:rPr>
          <w:rFonts w:ascii="Arial" w:eastAsia="Arial" w:hAnsi="Arial" w:cs="Arial"/>
          <w:color w:val="00B0F0"/>
          <w:sz w:val="24"/>
          <w:szCs w:val="24"/>
        </w:rPr>
        <w:t xml:space="preserve">for </w:t>
      </w:r>
      <w:r w:rsidR="00112B79" w:rsidRPr="00112B79">
        <w:rPr>
          <w:rFonts w:ascii="Arial" w:eastAsia="Arial" w:hAnsi="Arial" w:cs="Arial"/>
          <w:color w:val="00B0F0"/>
          <w:sz w:val="24"/>
          <w:szCs w:val="24"/>
        </w:rPr>
        <w:t>example,</w:t>
      </w:r>
      <w:r w:rsidRPr="00112B79">
        <w:rPr>
          <w:rFonts w:ascii="Arial" w:eastAsia="Arial" w:hAnsi="Arial" w:cs="Arial"/>
          <w:color w:val="00B0F0"/>
          <w:sz w:val="24"/>
          <w:szCs w:val="24"/>
        </w:rPr>
        <w:t xml:space="preserve"> shaping </w:t>
      </w:r>
      <w:r w:rsidR="00C035DD" w:rsidRPr="00112B79">
        <w:rPr>
          <w:rFonts w:ascii="Arial" w:eastAsia="Arial" w:hAnsi="Arial" w:cs="Arial"/>
          <w:color w:val="00B0F0"/>
          <w:sz w:val="24"/>
          <w:szCs w:val="24"/>
        </w:rPr>
        <w:t>an</w:t>
      </w:r>
      <w:r w:rsidRPr="00112B79">
        <w:rPr>
          <w:rFonts w:ascii="Arial" w:eastAsia="Arial" w:hAnsi="Arial" w:cs="Arial"/>
          <w:color w:val="00B0F0"/>
          <w:sz w:val="24"/>
          <w:szCs w:val="24"/>
        </w:rPr>
        <w:t xml:space="preserve"> intellectual disposition</w:t>
      </w:r>
      <w:r w:rsidR="00C035DD" w:rsidRPr="00112B79">
        <w:rPr>
          <w:rFonts w:ascii="Arial" w:eastAsia="Arial" w:hAnsi="Arial" w:cs="Arial"/>
          <w:color w:val="00B0F0"/>
          <w:sz w:val="24"/>
          <w:szCs w:val="24"/>
        </w:rPr>
        <w:t xml:space="preserve">, capacity </w:t>
      </w:r>
      <w:r w:rsidR="006E3C56" w:rsidRPr="00112B79">
        <w:rPr>
          <w:rFonts w:ascii="Arial" w:eastAsia="Arial" w:hAnsi="Arial" w:cs="Arial"/>
          <w:color w:val="00B0F0"/>
          <w:sz w:val="24"/>
          <w:szCs w:val="24"/>
        </w:rPr>
        <w:t xml:space="preserve">or </w:t>
      </w:r>
      <w:r w:rsidR="00C035DD" w:rsidRPr="00112B79">
        <w:rPr>
          <w:rFonts w:ascii="Arial" w:eastAsia="Arial" w:hAnsi="Arial" w:cs="Arial"/>
          <w:color w:val="00B0F0"/>
          <w:sz w:val="24"/>
          <w:szCs w:val="24"/>
        </w:rPr>
        <w:t xml:space="preserve">professional </w:t>
      </w:r>
      <w:r w:rsidR="006E3C56" w:rsidRPr="00112B79">
        <w:rPr>
          <w:rFonts w:ascii="Arial" w:eastAsia="Arial" w:hAnsi="Arial" w:cs="Arial"/>
          <w:color w:val="00B0F0"/>
          <w:sz w:val="24"/>
          <w:szCs w:val="24"/>
        </w:rPr>
        <w:t>craftsmanship (</w:t>
      </w:r>
      <w:r w:rsidR="00E90D66" w:rsidRPr="00112B79">
        <w:rPr>
          <w:rFonts w:ascii="Arial" w:eastAsia="Arial" w:hAnsi="Arial" w:cs="Arial"/>
          <w:color w:val="00B0F0"/>
          <w:sz w:val="24"/>
          <w:szCs w:val="24"/>
        </w:rPr>
        <w:t xml:space="preserve">Gold, and Bratton, 2014) </w:t>
      </w:r>
      <w:r w:rsidR="00C035DD" w:rsidRPr="00112B79">
        <w:rPr>
          <w:rFonts w:ascii="Arial" w:eastAsia="Arial" w:hAnsi="Arial" w:cs="Arial"/>
          <w:color w:val="00B0F0"/>
          <w:sz w:val="24"/>
          <w:szCs w:val="24"/>
        </w:rPr>
        <w:t>or enabl</w:t>
      </w:r>
      <w:r w:rsidR="00D52A06" w:rsidRPr="00112B79">
        <w:rPr>
          <w:rFonts w:ascii="Arial" w:eastAsia="Arial" w:hAnsi="Arial" w:cs="Arial"/>
          <w:color w:val="00B0F0"/>
          <w:sz w:val="24"/>
          <w:szCs w:val="24"/>
        </w:rPr>
        <w:t>ing</w:t>
      </w:r>
      <w:r w:rsidR="00C035DD" w:rsidRPr="00112B79">
        <w:rPr>
          <w:rFonts w:ascii="Arial" w:eastAsia="Arial" w:hAnsi="Arial" w:cs="Arial"/>
          <w:color w:val="00B0F0"/>
          <w:sz w:val="24"/>
          <w:szCs w:val="24"/>
        </w:rPr>
        <w:t xml:space="preserve"> reflexive </w:t>
      </w:r>
      <w:r w:rsidRPr="00112B79">
        <w:rPr>
          <w:rFonts w:ascii="Arial" w:eastAsia="Arial" w:hAnsi="Arial" w:cs="Arial"/>
          <w:color w:val="00B0F0"/>
          <w:sz w:val="24"/>
          <w:szCs w:val="24"/>
        </w:rPr>
        <w:t>habit</w:t>
      </w:r>
      <w:r w:rsidR="00C035DD" w:rsidRPr="00112B79">
        <w:rPr>
          <w:rFonts w:ascii="Arial" w:eastAsia="Arial" w:hAnsi="Arial" w:cs="Arial"/>
          <w:color w:val="00B0F0"/>
          <w:sz w:val="24"/>
          <w:szCs w:val="24"/>
        </w:rPr>
        <w:t>s, or ignit</w:t>
      </w:r>
      <w:r w:rsidR="00D52A06" w:rsidRPr="00112B79">
        <w:rPr>
          <w:rFonts w:ascii="Arial" w:eastAsia="Arial" w:hAnsi="Arial" w:cs="Arial"/>
          <w:color w:val="00B0F0"/>
          <w:sz w:val="24"/>
          <w:szCs w:val="24"/>
        </w:rPr>
        <w:t>ing</w:t>
      </w:r>
      <w:r w:rsidR="00C035DD" w:rsidRPr="00112B79">
        <w:rPr>
          <w:rFonts w:ascii="Arial" w:eastAsia="Arial" w:hAnsi="Arial" w:cs="Arial"/>
          <w:color w:val="00B0F0"/>
          <w:sz w:val="24"/>
          <w:szCs w:val="24"/>
        </w:rPr>
        <w:t xml:space="preserve"> political citizenship </w:t>
      </w:r>
      <w:r w:rsidR="0044142D" w:rsidRPr="00112B79">
        <w:rPr>
          <w:rFonts w:ascii="Arial" w:eastAsia="Arial" w:hAnsi="Arial" w:cs="Arial"/>
          <w:color w:val="00B0F0"/>
          <w:sz w:val="24"/>
          <w:szCs w:val="24"/>
        </w:rPr>
        <w:t>and</w:t>
      </w:r>
      <w:r w:rsidR="00C035DD" w:rsidRPr="00112B79">
        <w:rPr>
          <w:rFonts w:ascii="Arial" w:eastAsia="Arial" w:hAnsi="Arial" w:cs="Arial"/>
          <w:color w:val="00B0F0"/>
          <w:sz w:val="24"/>
          <w:szCs w:val="24"/>
        </w:rPr>
        <w:t xml:space="preserve"> the connection between education and freedom (Greene, 1982)</w:t>
      </w:r>
      <w:r w:rsidR="0044142D" w:rsidRPr="00112B79">
        <w:rPr>
          <w:rFonts w:ascii="Arial" w:eastAsia="Arial" w:hAnsi="Arial" w:cs="Arial"/>
          <w:color w:val="00B0F0"/>
          <w:sz w:val="24"/>
          <w:szCs w:val="24"/>
        </w:rPr>
        <w:t xml:space="preserve">. Critics suggest </w:t>
      </w:r>
      <w:r w:rsidR="00C035DD" w:rsidRPr="00112B79">
        <w:rPr>
          <w:rFonts w:ascii="Arial" w:eastAsia="Arial" w:hAnsi="Arial" w:cs="Arial"/>
          <w:color w:val="00B0F0"/>
          <w:sz w:val="24"/>
          <w:szCs w:val="24"/>
        </w:rPr>
        <w:t xml:space="preserve">its focus to </w:t>
      </w:r>
      <w:r w:rsidR="0044142D" w:rsidRPr="00112B79">
        <w:rPr>
          <w:rFonts w:ascii="Arial" w:eastAsia="Arial" w:hAnsi="Arial" w:cs="Arial"/>
          <w:color w:val="00B0F0"/>
          <w:sz w:val="24"/>
          <w:szCs w:val="24"/>
        </w:rPr>
        <w:t xml:space="preserve">functional </w:t>
      </w:r>
      <w:r w:rsidR="00C035DD" w:rsidRPr="00112B79">
        <w:rPr>
          <w:rFonts w:ascii="Arial" w:eastAsia="Arial" w:hAnsi="Arial" w:cs="Arial"/>
          <w:color w:val="00B0F0"/>
          <w:sz w:val="24"/>
          <w:szCs w:val="24"/>
        </w:rPr>
        <w:t xml:space="preserve">employment </w:t>
      </w:r>
      <w:r w:rsidR="0044142D" w:rsidRPr="00112B79">
        <w:rPr>
          <w:rFonts w:ascii="Arial" w:eastAsia="Arial" w:hAnsi="Arial" w:cs="Arial"/>
          <w:color w:val="00B0F0"/>
          <w:sz w:val="24"/>
          <w:szCs w:val="24"/>
        </w:rPr>
        <w:t>is</w:t>
      </w:r>
      <w:r w:rsidR="00C035DD" w:rsidRPr="00112B79">
        <w:rPr>
          <w:rFonts w:ascii="Arial" w:eastAsia="Arial" w:hAnsi="Arial" w:cs="Arial"/>
          <w:color w:val="00B0F0"/>
          <w:sz w:val="24"/>
          <w:szCs w:val="24"/>
        </w:rPr>
        <w:t xml:space="preserve"> more likely promotes political ambivalence and complacency (Brown 2003, 15). </w:t>
      </w:r>
      <w:r w:rsidR="00112B79">
        <w:rPr>
          <w:rFonts w:ascii="Arial" w:eastAsia="Arial" w:hAnsi="Arial" w:cs="Arial"/>
          <w:color w:val="00B0F0"/>
          <w:sz w:val="24"/>
          <w:szCs w:val="24"/>
        </w:rPr>
        <w:t xml:space="preserve"> Further the HE provision is </w:t>
      </w:r>
      <w:r w:rsidRPr="00112B79">
        <w:rPr>
          <w:rFonts w:ascii="Arial" w:eastAsia="Arial" w:hAnsi="Arial" w:cs="Arial"/>
          <w:color w:val="00B0F0"/>
          <w:sz w:val="24"/>
          <w:szCs w:val="24"/>
        </w:rPr>
        <w:t xml:space="preserve">an interdependent </w:t>
      </w:r>
      <w:r w:rsidR="0044142D" w:rsidRPr="00112B79">
        <w:rPr>
          <w:rFonts w:ascii="Arial" w:eastAsia="Arial" w:hAnsi="Arial" w:cs="Arial"/>
          <w:color w:val="00B0F0"/>
          <w:sz w:val="24"/>
          <w:szCs w:val="24"/>
        </w:rPr>
        <w:t xml:space="preserve">heutagogic </w:t>
      </w:r>
      <w:r w:rsidRPr="00112B79">
        <w:rPr>
          <w:rFonts w:ascii="Arial" w:eastAsia="Arial" w:hAnsi="Arial" w:cs="Arial"/>
          <w:color w:val="00B0F0"/>
          <w:sz w:val="24"/>
          <w:szCs w:val="24"/>
        </w:rPr>
        <w:t>web of learning experience</w:t>
      </w:r>
      <w:r w:rsidR="00834214" w:rsidRPr="00112B79">
        <w:rPr>
          <w:rFonts w:ascii="Arial" w:eastAsia="Arial" w:hAnsi="Arial" w:cs="Arial"/>
          <w:color w:val="00B0F0"/>
          <w:sz w:val="24"/>
          <w:szCs w:val="24"/>
        </w:rPr>
        <w:t>s</w:t>
      </w:r>
      <w:r w:rsidR="0044142D" w:rsidRPr="00112B79">
        <w:rPr>
          <w:rFonts w:ascii="Arial" w:eastAsia="Arial" w:hAnsi="Arial" w:cs="Arial"/>
          <w:color w:val="00B0F0"/>
          <w:sz w:val="24"/>
          <w:szCs w:val="24"/>
        </w:rPr>
        <w:t xml:space="preserve"> </w:t>
      </w:r>
      <w:r w:rsidR="007B3819">
        <w:rPr>
          <w:rFonts w:ascii="Arial" w:eastAsia="Arial" w:hAnsi="Arial" w:cs="Arial"/>
          <w:color w:val="00B0F0"/>
          <w:sz w:val="24"/>
          <w:szCs w:val="24"/>
        </w:rPr>
        <w:t xml:space="preserve">one </w:t>
      </w:r>
      <w:r w:rsidR="0044142D" w:rsidRPr="00112B79">
        <w:rPr>
          <w:rFonts w:ascii="Arial" w:eastAsia="Arial" w:hAnsi="Arial" w:cs="Arial"/>
          <w:color w:val="00B0F0"/>
          <w:sz w:val="24"/>
          <w:szCs w:val="24"/>
        </w:rPr>
        <w:t>that aim to inspire autonomous and self-determined learning in students and staff</w:t>
      </w:r>
      <w:r w:rsidR="00112B79" w:rsidRPr="00112B79">
        <w:rPr>
          <w:rFonts w:ascii="Arial" w:eastAsia="Arial" w:hAnsi="Arial" w:cs="Arial"/>
          <w:color w:val="00B0F0"/>
          <w:sz w:val="24"/>
          <w:szCs w:val="24"/>
        </w:rPr>
        <w:t xml:space="preserve">, therefore pining down a specific learning </w:t>
      </w:r>
      <w:r w:rsidR="007B3819">
        <w:rPr>
          <w:rFonts w:ascii="Arial" w:eastAsia="Arial" w:hAnsi="Arial" w:cs="Arial"/>
          <w:color w:val="00B0F0"/>
          <w:sz w:val="24"/>
          <w:szCs w:val="24"/>
        </w:rPr>
        <w:t>event is</w:t>
      </w:r>
      <w:r w:rsidR="007B3819" w:rsidRPr="00112B79">
        <w:rPr>
          <w:rFonts w:ascii="Arial" w:eastAsia="Arial" w:hAnsi="Arial" w:cs="Arial"/>
          <w:color w:val="00B0F0"/>
          <w:sz w:val="24"/>
          <w:szCs w:val="24"/>
        </w:rPr>
        <w:t xml:space="preserve"> </w:t>
      </w:r>
      <w:r w:rsidR="00112B79" w:rsidRPr="00112B79">
        <w:rPr>
          <w:rFonts w:ascii="Arial" w:eastAsia="Arial" w:hAnsi="Arial" w:cs="Arial"/>
          <w:color w:val="00B0F0"/>
          <w:sz w:val="24"/>
          <w:szCs w:val="24"/>
        </w:rPr>
        <w:t>problematic</w:t>
      </w:r>
      <w:r w:rsidR="0044142D" w:rsidRPr="00112B79">
        <w:rPr>
          <w:rFonts w:ascii="Arial" w:eastAsia="Arial" w:hAnsi="Arial" w:cs="Arial"/>
          <w:color w:val="00B0F0"/>
          <w:sz w:val="24"/>
          <w:szCs w:val="24"/>
        </w:rPr>
        <w:t>.</w:t>
      </w:r>
    </w:p>
    <w:p w14:paraId="22CEB4C8" w14:textId="29B895A4" w:rsidR="00EA006C" w:rsidRPr="00DA644C" w:rsidRDefault="007663CC" w:rsidP="00EA006C">
      <w:pPr>
        <w:pBdr>
          <w:top w:val="nil"/>
          <w:left w:val="nil"/>
          <w:bottom w:val="nil"/>
          <w:right w:val="nil"/>
          <w:between w:val="nil"/>
        </w:pBdr>
        <w:spacing w:before="120" w:after="0" w:line="360" w:lineRule="auto"/>
        <w:jc w:val="both"/>
        <w:rPr>
          <w:rFonts w:ascii="Arial" w:eastAsia="Arial" w:hAnsi="Arial" w:cs="Arial"/>
          <w:color w:val="FF0000"/>
          <w:sz w:val="24"/>
          <w:szCs w:val="24"/>
        </w:rPr>
      </w:pPr>
      <w:r w:rsidRPr="00DA644C">
        <w:rPr>
          <w:rFonts w:ascii="Arial" w:eastAsia="Arial" w:hAnsi="Arial" w:cs="Arial"/>
          <w:color w:val="FF0000"/>
          <w:sz w:val="24"/>
          <w:szCs w:val="24"/>
        </w:rPr>
        <w:t>An</w:t>
      </w:r>
      <w:r w:rsidR="000676F6" w:rsidRPr="00DA644C">
        <w:rPr>
          <w:rFonts w:ascii="Arial" w:eastAsia="Arial" w:hAnsi="Arial" w:cs="Arial"/>
          <w:color w:val="FF0000"/>
          <w:sz w:val="24"/>
          <w:szCs w:val="24"/>
        </w:rPr>
        <w:t xml:space="preserve"> audit regime</w:t>
      </w:r>
      <w:r w:rsidRPr="00DA644C">
        <w:rPr>
          <w:rFonts w:ascii="Arial" w:eastAsia="Arial" w:hAnsi="Arial" w:cs="Arial"/>
          <w:color w:val="FF0000"/>
          <w:sz w:val="24"/>
          <w:szCs w:val="24"/>
        </w:rPr>
        <w:t xml:space="preserve"> can</w:t>
      </w:r>
      <w:r w:rsidR="00360F90" w:rsidRPr="00DA644C">
        <w:rPr>
          <w:rFonts w:ascii="Arial" w:eastAsia="Arial" w:hAnsi="Arial" w:cs="Arial"/>
          <w:color w:val="FF0000"/>
          <w:sz w:val="24"/>
          <w:szCs w:val="24"/>
        </w:rPr>
        <w:t xml:space="preserve"> increase stress in a workplace </w:t>
      </w:r>
      <w:r w:rsidRPr="00DA644C">
        <w:rPr>
          <w:rFonts w:ascii="Arial" w:eastAsia="Arial" w:hAnsi="Arial" w:cs="Arial"/>
          <w:color w:val="FF0000"/>
          <w:sz w:val="24"/>
          <w:szCs w:val="24"/>
        </w:rPr>
        <w:t xml:space="preserve">particularly by the pressure </w:t>
      </w:r>
      <w:r w:rsidR="00360F90" w:rsidRPr="00DA644C">
        <w:rPr>
          <w:rFonts w:ascii="Arial" w:eastAsia="Arial" w:hAnsi="Arial" w:cs="Arial"/>
          <w:color w:val="FF0000"/>
          <w:sz w:val="24"/>
          <w:szCs w:val="24"/>
        </w:rPr>
        <w:t xml:space="preserve">generated by a dominant culture </w:t>
      </w:r>
      <w:r w:rsidRPr="00DA644C">
        <w:rPr>
          <w:rFonts w:ascii="Arial" w:eastAsia="Arial" w:hAnsi="Arial" w:cs="Arial"/>
          <w:color w:val="FF0000"/>
          <w:sz w:val="24"/>
          <w:szCs w:val="24"/>
        </w:rPr>
        <w:t>of targets</w:t>
      </w:r>
      <w:r w:rsidR="00360F90" w:rsidRPr="00DA644C">
        <w:rPr>
          <w:rFonts w:ascii="Arial" w:eastAsia="Arial" w:hAnsi="Arial" w:cs="Arial"/>
          <w:color w:val="FF0000"/>
          <w:sz w:val="24"/>
          <w:szCs w:val="24"/>
        </w:rPr>
        <w:t xml:space="preserve"> </w:t>
      </w:r>
      <w:r w:rsidR="00E90D66" w:rsidRPr="00DA644C">
        <w:rPr>
          <w:rFonts w:ascii="Arial" w:eastAsia="Arial" w:hAnsi="Arial" w:cs="Arial"/>
          <w:color w:val="FF0000"/>
          <w:sz w:val="24"/>
          <w:szCs w:val="24"/>
        </w:rPr>
        <w:t>(Barcan, 2013)</w:t>
      </w:r>
      <w:r w:rsidRPr="00DA644C">
        <w:rPr>
          <w:rFonts w:ascii="Arial" w:eastAsia="Arial" w:hAnsi="Arial" w:cs="Arial"/>
          <w:color w:val="FF0000"/>
          <w:sz w:val="24"/>
          <w:szCs w:val="24"/>
        </w:rPr>
        <w:t xml:space="preserve"> reporting </w:t>
      </w:r>
      <w:r w:rsidR="00ED66FF">
        <w:rPr>
          <w:rFonts w:ascii="Arial" w:eastAsia="Arial" w:hAnsi="Arial" w:cs="Arial"/>
          <w:color w:val="FF0000"/>
          <w:sz w:val="24"/>
          <w:szCs w:val="24"/>
        </w:rPr>
        <w:t>of which can</w:t>
      </w:r>
      <w:r w:rsidR="00ED66FF" w:rsidRPr="00DA644C">
        <w:rPr>
          <w:rFonts w:ascii="Arial" w:eastAsia="Arial" w:hAnsi="Arial" w:cs="Arial"/>
          <w:color w:val="FF0000"/>
          <w:sz w:val="24"/>
          <w:szCs w:val="24"/>
        </w:rPr>
        <w:t xml:space="preserve"> </w:t>
      </w:r>
      <w:r w:rsidR="00BD1278" w:rsidRPr="00DA644C">
        <w:rPr>
          <w:rFonts w:ascii="Arial" w:eastAsia="Arial" w:hAnsi="Arial" w:cs="Arial"/>
          <w:color w:val="FF0000"/>
          <w:sz w:val="24"/>
          <w:szCs w:val="24"/>
        </w:rPr>
        <w:t>shap</w:t>
      </w:r>
      <w:r w:rsidRPr="00DA644C">
        <w:rPr>
          <w:rFonts w:ascii="Arial" w:eastAsia="Arial" w:hAnsi="Arial" w:cs="Arial"/>
          <w:color w:val="FF0000"/>
          <w:sz w:val="24"/>
          <w:szCs w:val="24"/>
        </w:rPr>
        <w:t>e</w:t>
      </w:r>
      <w:r w:rsidR="00BD1278" w:rsidRPr="00DA644C">
        <w:rPr>
          <w:rFonts w:ascii="Arial" w:eastAsia="Arial" w:hAnsi="Arial" w:cs="Arial"/>
          <w:color w:val="FF0000"/>
          <w:sz w:val="24"/>
          <w:szCs w:val="24"/>
        </w:rPr>
        <w:t xml:space="preserve"> </w:t>
      </w:r>
      <w:r w:rsidR="000676F6" w:rsidRPr="00DA644C">
        <w:rPr>
          <w:rFonts w:ascii="Arial" w:eastAsia="Arial" w:hAnsi="Arial" w:cs="Arial"/>
          <w:color w:val="FF0000"/>
          <w:sz w:val="24"/>
          <w:szCs w:val="24"/>
        </w:rPr>
        <w:t>teaching polic</w:t>
      </w:r>
      <w:r w:rsidR="00BD1278" w:rsidRPr="00DA644C">
        <w:rPr>
          <w:rFonts w:ascii="Arial" w:eastAsia="Arial" w:hAnsi="Arial" w:cs="Arial"/>
          <w:color w:val="FF0000"/>
          <w:sz w:val="24"/>
          <w:szCs w:val="24"/>
        </w:rPr>
        <w:t>ies that</w:t>
      </w:r>
      <w:r w:rsidR="000676F6" w:rsidRPr="00DA644C">
        <w:rPr>
          <w:rFonts w:ascii="Arial" w:eastAsia="Arial" w:hAnsi="Arial" w:cs="Arial"/>
          <w:color w:val="FF0000"/>
          <w:sz w:val="24"/>
          <w:szCs w:val="24"/>
        </w:rPr>
        <w:t xml:space="preserve"> conflict directly with student and staff relationships (Healey, 2000)</w:t>
      </w:r>
      <w:r w:rsidRPr="00DA644C">
        <w:rPr>
          <w:rFonts w:ascii="Arial" w:eastAsia="Arial" w:hAnsi="Arial" w:cs="Arial"/>
          <w:color w:val="FF0000"/>
          <w:sz w:val="24"/>
          <w:szCs w:val="24"/>
        </w:rPr>
        <w:t>.  Such a regime can</w:t>
      </w:r>
      <w:r w:rsidR="00BD1278" w:rsidRPr="00DA644C">
        <w:rPr>
          <w:rFonts w:ascii="Arial" w:eastAsia="Arial" w:hAnsi="Arial" w:cs="Arial"/>
          <w:color w:val="FF0000"/>
          <w:sz w:val="24"/>
          <w:szCs w:val="24"/>
        </w:rPr>
        <w:t xml:space="preserve"> undermine the </w:t>
      </w:r>
      <w:r w:rsidRPr="00DA644C">
        <w:rPr>
          <w:rFonts w:ascii="Arial" w:eastAsia="Arial" w:hAnsi="Arial" w:cs="Arial"/>
          <w:color w:val="FF0000"/>
          <w:sz w:val="24"/>
          <w:szCs w:val="24"/>
        </w:rPr>
        <w:t xml:space="preserve">academic </w:t>
      </w:r>
      <w:r w:rsidR="00BD1278" w:rsidRPr="00DA644C">
        <w:rPr>
          <w:rFonts w:ascii="Arial" w:eastAsia="Arial" w:hAnsi="Arial" w:cs="Arial"/>
          <w:color w:val="FF0000"/>
          <w:sz w:val="24"/>
          <w:szCs w:val="24"/>
        </w:rPr>
        <w:t>psychological contract</w:t>
      </w:r>
      <w:r w:rsidRPr="00DA644C">
        <w:rPr>
          <w:rFonts w:ascii="Arial" w:eastAsia="Arial" w:hAnsi="Arial" w:cs="Arial"/>
          <w:color w:val="FF0000"/>
          <w:sz w:val="24"/>
          <w:szCs w:val="24"/>
        </w:rPr>
        <w:t xml:space="preserve">, that of </w:t>
      </w:r>
      <w:r w:rsidR="00BD1278" w:rsidRPr="00DA644C">
        <w:rPr>
          <w:rFonts w:ascii="Arial" w:eastAsia="Arial" w:hAnsi="Arial" w:cs="Arial"/>
          <w:color w:val="FF0000"/>
          <w:sz w:val="24"/>
          <w:szCs w:val="24"/>
        </w:rPr>
        <w:t xml:space="preserve">freedom and tenure, and self-directedness and also responsibilities </w:t>
      </w:r>
      <w:r w:rsidR="000944E0">
        <w:rPr>
          <w:rFonts w:ascii="Arial" w:eastAsia="Arial" w:hAnsi="Arial" w:cs="Arial"/>
          <w:color w:val="FF0000"/>
          <w:sz w:val="24"/>
          <w:szCs w:val="24"/>
        </w:rPr>
        <w:t>for</w:t>
      </w:r>
      <w:r w:rsidR="000944E0" w:rsidRPr="00DA644C">
        <w:rPr>
          <w:rFonts w:ascii="Arial" w:eastAsia="Arial" w:hAnsi="Arial" w:cs="Arial"/>
          <w:color w:val="FF0000"/>
          <w:sz w:val="24"/>
          <w:szCs w:val="24"/>
        </w:rPr>
        <w:t xml:space="preserve"> </w:t>
      </w:r>
      <w:r w:rsidR="00BD1278" w:rsidRPr="00DA644C">
        <w:rPr>
          <w:rFonts w:ascii="Arial" w:eastAsia="Arial" w:hAnsi="Arial" w:cs="Arial"/>
          <w:color w:val="FF0000"/>
          <w:sz w:val="24"/>
          <w:szCs w:val="24"/>
        </w:rPr>
        <w:t>maintaining competence, mentoring others, leadership, and promoting the welfare of all (Thompson et al., 2005)</w:t>
      </w:r>
      <w:r w:rsidR="000944E0">
        <w:rPr>
          <w:rFonts w:ascii="Arial" w:eastAsia="Arial" w:hAnsi="Arial" w:cs="Arial"/>
          <w:color w:val="FF0000"/>
          <w:sz w:val="24"/>
          <w:szCs w:val="24"/>
        </w:rPr>
        <w:t>.</w:t>
      </w:r>
      <w:r w:rsidR="00EA006C" w:rsidRPr="00DA644C">
        <w:rPr>
          <w:rFonts w:ascii="Arial" w:eastAsia="Arial" w:hAnsi="Arial" w:cs="Arial"/>
          <w:color w:val="FF0000"/>
          <w:sz w:val="24"/>
          <w:szCs w:val="24"/>
        </w:rPr>
        <w:t xml:space="preserve"> </w:t>
      </w:r>
      <w:r w:rsidR="000944E0">
        <w:rPr>
          <w:rFonts w:ascii="Arial" w:eastAsia="Arial" w:hAnsi="Arial" w:cs="Arial"/>
          <w:color w:val="FF0000"/>
          <w:sz w:val="24"/>
          <w:szCs w:val="24"/>
        </w:rPr>
        <w:t>I</w:t>
      </w:r>
      <w:r w:rsidRPr="00DA644C">
        <w:rPr>
          <w:rFonts w:ascii="Arial" w:eastAsia="Arial" w:hAnsi="Arial" w:cs="Arial"/>
          <w:color w:val="FF0000"/>
          <w:sz w:val="24"/>
          <w:szCs w:val="24"/>
        </w:rPr>
        <w:t>t can also</w:t>
      </w:r>
      <w:r w:rsidR="00EA006C" w:rsidRPr="00DA644C">
        <w:rPr>
          <w:rFonts w:ascii="Arial" w:eastAsia="Arial" w:hAnsi="Arial" w:cs="Arial"/>
          <w:color w:val="FF0000"/>
          <w:sz w:val="24"/>
          <w:szCs w:val="24"/>
        </w:rPr>
        <w:t xml:space="preserve"> promote </w:t>
      </w:r>
      <w:r w:rsidRPr="00DA644C">
        <w:rPr>
          <w:rFonts w:ascii="Arial" w:eastAsia="Arial" w:hAnsi="Arial" w:cs="Arial"/>
          <w:color w:val="FF0000"/>
          <w:sz w:val="24"/>
          <w:szCs w:val="24"/>
        </w:rPr>
        <w:t xml:space="preserve">detachment from the </w:t>
      </w:r>
      <w:r w:rsidR="00EA006C" w:rsidRPr="00DA644C">
        <w:rPr>
          <w:rFonts w:ascii="Arial" w:eastAsia="Arial" w:hAnsi="Arial" w:cs="Arial"/>
          <w:color w:val="FF0000"/>
          <w:sz w:val="24"/>
          <w:szCs w:val="24"/>
        </w:rPr>
        <w:t xml:space="preserve">job and </w:t>
      </w:r>
      <w:r w:rsidRPr="00DA644C">
        <w:rPr>
          <w:rFonts w:ascii="Arial" w:eastAsia="Arial" w:hAnsi="Arial" w:cs="Arial"/>
          <w:color w:val="FF0000"/>
          <w:sz w:val="24"/>
          <w:szCs w:val="24"/>
        </w:rPr>
        <w:t>reduce</w:t>
      </w:r>
      <w:r w:rsidR="00EA006C" w:rsidRPr="00DA644C">
        <w:rPr>
          <w:rFonts w:ascii="Arial" w:eastAsia="Arial" w:hAnsi="Arial" w:cs="Arial"/>
          <w:color w:val="FF0000"/>
          <w:sz w:val="24"/>
          <w:szCs w:val="24"/>
        </w:rPr>
        <w:t xml:space="preserve"> levels of organisational commitment (Kinman and Jones, 2003; Tytherleigh et al., 2005).</w:t>
      </w:r>
    </w:p>
    <w:p w14:paraId="224FA639" w14:textId="3E600B3E" w:rsidR="002D3A8B" w:rsidRPr="00DA644C" w:rsidRDefault="00397A4F" w:rsidP="002D3A8B">
      <w:pPr>
        <w:pBdr>
          <w:top w:val="nil"/>
          <w:left w:val="nil"/>
          <w:bottom w:val="nil"/>
          <w:right w:val="nil"/>
          <w:between w:val="nil"/>
        </w:pBdr>
        <w:spacing w:before="120" w:after="0" w:line="360" w:lineRule="auto"/>
        <w:jc w:val="both"/>
        <w:rPr>
          <w:rFonts w:ascii="Arial" w:eastAsia="Arial" w:hAnsi="Arial" w:cs="Arial"/>
          <w:color w:val="FF0000"/>
          <w:sz w:val="24"/>
          <w:szCs w:val="24"/>
        </w:rPr>
      </w:pPr>
      <w:r w:rsidRPr="007B3819">
        <w:rPr>
          <w:rFonts w:ascii="Arial" w:eastAsia="Arial" w:hAnsi="Arial" w:cs="Arial"/>
          <w:color w:val="00B0F0"/>
          <w:sz w:val="24"/>
          <w:szCs w:val="24"/>
        </w:rPr>
        <w:t>Th</w:t>
      </w:r>
      <w:r w:rsidR="00ED5C24" w:rsidRPr="007B3819">
        <w:rPr>
          <w:rFonts w:ascii="Arial" w:eastAsia="Arial" w:hAnsi="Arial" w:cs="Arial"/>
          <w:color w:val="00B0F0"/>
          <w:sz w:val="24"/>
          <w:szCs w:val="24"/>
        </w:rPr>
        <w:t>is</w:t>
      </w:r>
      <w:r w:rsidRPr="007B3819">
        <w:rPr>
          <w:rFonts w:ascii="Arial" w:eastAsia="Arial" w:hAnsi="Arial" w:cs="Arial"/>
          <w:color w:val="00B0F0"/>
          <w:sz w:val="24"/>
          <w:szCs w:val="24"/>
        </w:rPr>
        <w:t xml:space="preserve"> form of managerialism </w:t>
      </w:r>
      <w:r w:rsidR="002D3A8B" w:rsidRPr="007B3819">
        <w:rPr>
          <w:rFonts w:ascii="Arial" w:eastAsia="Arial" w:hAnsi="Arial" w:cs="Arial"/>
          <w:color w:val="00B0F0"/>
          <w:sz w:val="24"/>
          <w:szCs w:val="24"/>
        </w:rPr>
        <w:t xml:space="preserve">can have pernicious consequences (Archer, 2008) </w:t>
      </w:r>
      <w:r w:rsidR="00D10B5B" w:rsidRPr="007B3819">
        <w:rPr>
          <w:rFonts w:ascii="Arial" w:eastAsia="Arial" w:hAnsi="Arial" w:cs="Arial"/>
          <w:color w:val="00B0F0"/>
          <w:sz w:val="24"/>
          <w:szCs w:val="24"/>
        </w:rPr>
        <w:t xml:space="preserve">and </w:t>
      </w:r>
      <w:r w:rsidRPr="007B3819">
        <w:rPr>
          <w:rFonts w:ascii="Arial" w:eastAsia="Arial" w:hAnsi="Arial" w:cs="Arial"/>
          <w:color w:val="00B0F0"/>
          <w:sz w:val="24"/>
          <w:szCs w:val="24"/>
        </w:rPr>
        <w:t>raise calls that</w:t>
      </w:r>
      <w:r w:rsidR="00E90D66" w:rsidRPr="007B3819">
        <w:rPr>
          <w:rFonts w:ascii="Arial" w:eastAsia="Arial" w:hAnsi="Arial" w:cs="Arial"/>
          <w:color w:val="00B0F0"/>
          <w:sz w:val="24"/>
          <w:szCs w:val="24"/>
        </w:rPr>
        <w:t xml:space="preserve"> academic freedom and academic professional duty are being undermined (Kennedy, 1997; Macfarlane, 2005), </w:t>
      </w:r>
      <w:r w:rsidR="00ED5C24" w:rsidRPr="007B3819">
        <w:rPr>
          <w:rFonts w:ascii="Arial" w:eastAsia="Arial" w:hAnsi="Arial" w:cs="Arial"/>
          <w:color w:val="00B0F0"/>
          <w:sz w:val="24"/>
          <w:szCs w:val="24"/>
        </w:rPr>
        <w:t xml:space="preserve">generating </w:t>
      </w:r>
      <w:r w:rsidR="00E90D66" w:rsidRPr="007B3819">
        <w:rPr>
          <w:rFonts w:ascii="Arial" w:eastAsia="Arial" w:hAnsi="Arial" w:cs="Arial"/>
          <w:color w:val="00B0F0"/>
          <w:sz w:val="24"/>
          <w:szCs w:val="24"/>
        </w:rPr>
        <w:t xml:space="preserve">a sense of ambiguity and ambivalence about </w:t>
      </w:r>
      <w:r w:rsidR="00112B79" w:rsidRPr="007B3819">
        <w:rPr>
          <w:rFonts w:ascii="Arial" w:eastAsia="Arial" w:hAnsi="Arial" w:cs="Arial"/>
          <w:color w:val="00B0F0"/>
          <w:sz w:val="24"/>
          <w:szCs w:val="24"/>
        </w:rPr>
        <w:t xml:space="preserve">academics </w:t>
      </w:r>
      <w:r w:rsidR="00E90D66" w:rsidRPr="007B3819">
        <w:rPr>
          <w:rFonts w:ascii="Arial" w:eastAsia="Arial" w:hAnsi="Arial" w:cs="Arial"/>
          <w:color w:val="00B0F0"/>
          <w:sz w:val="24"/>
          <w:szCs w:val="24"/>
        </w:rPr>
        <w:t>relationship with the</w:t>
      </w:r>
      <w:r w:rsidR="00112B79" w:rsidRPr="007B3819">
        <w:rPr>
          <w:rFonts w:ascii="Arial" w:eastAsia="Arial" w:hAnsi="Arial" w:cs="Arial"/>
          <w:color w:val="00B0F0"/>
          <w:sz w:val="24"/>
          <w:szCs w:val="24"/>
        </w:rPr>
        <w:t>ir</w:t>
      </w:r>
      <w:r w:rsidR="00E90D66" w:rsidRPr="007B3819">
        <w:rPr>
          <w:rFonts w:ascii="Arial" w:eastAsia="Arial" w:hAnsi="Arial" w:cs="Arial"/>
          <w:color w:val="00B0F0"/>
          <w:sz w:val="24"/>
          <w:szCs w:val="24"/>
        </w:rPr>
        <w:t xml:space="preserve"> employing institution and </w:t>
      </w:r>
      <w:r w:rsidR="00112B79" w:rsidRPr="007B3819">
        <w:rPr>
          <w:rFonts w:ascii="Arial" w:eastAsia="Arial" w:hAnsi="Arial" w:cs="Arial"/>
          <w:color w:val="00B0F0"/>
          <w:sz w:val="24"/>
          <w:szCs w:val="24"/>
        </w:rPr>
        <w:t>raising</w:t>
      </w:r>
      <w:r w:rsidR="00E90D66" w:rsidRPr="007B3819">
        <w:rPr>
          <w:rFonts w:ascii="Arial" w:eastAsia="Arial" w:hAnsi="Arial" w:cs="Arial"/>
          <w:color w:val="00B0F0"/>
          <w:sz w:val="24"/>
          <w:szCs w:val="24"/>
        </w:rPr>
        <w:t xml:space="preserve"> concern</w:t>
      </w:r>
      <w:r w:rsidR="00112B79" w:rsidRPr="007B3819">
        <w:rPr>
          <w:rFonts w:ascii="Arial" w:eastAsia="Arial" w:hAnsi="Arial" w:cs="Arial"/>
          <w:color w:val="00B0F0"/>
          <w:sz w:val="24"/>
          <w:szCs w:val="24"/>
        </w:rPr>
        <w:t>s</w:t>
      </w:r>
      <w:r w:rsidR="00E90D66" w:rsidRPr="007B3819">
        <w:rPr>
          <w:rFonts w:ascii="Arial" w:eastAsia="Arial" w:hAnsi="Arial" w:cs="Arial"/>
          <w:color w:val="00B0F0"/>
          <w:sz w:val="24"/>
          <w:szCs w:val="24"/>
        </w:rPr>
        <w:t xml:space="preserve"> about the fragmentation of academic identities (Bolden, </w:t>
      </w:r>
      <w:r w:rsidR="00E90D66" w:rsidRPr="007B3819">
        <w:rPr>
          <w:rFonts w:ascii="Arial" w:eastAsia="Arial" w:hAnsi="Arial" w:cs="Arial"/>
          <w:color w:val="00B0F0"/>
          <w:sz w:val="24"/>
          <w:szCs w:val="24"/>
          <w:highlight w:val="white"/>
        </w:rPr>
        <w:t xml:space="preserve">et al., </w:t>
      </w:r>
      <w:r w:rsidR="00E90D66" w:rsidRPr="007B3819">
        <w:rPr>
          <w:rFonts w:ascii="Arial" w:eastAsia="Arial" w:hAnsi="Arial" w:cs="Arial"/>
          <w:color w:val="00B0F0"/>
          <w:sz w:val="24"/>
          <w:szCs w:val="24"/>
        </w:rPr>
        <w:t xml:space="preserve">2014). </w:t>
      </w:r>
      <w:r w:rsidR="00E90D66" w:rsidRPr="00DA644C">
        <w:rPr>
          <w:rFonts w:ascii="Arial" w:eastAsia="Arial" w:hAnsi="Arial" w:cs="Arial"/>
          <w:color w:val="FF0000"/>
          <w:sz w:val="24"/>
          <w:szCs w:val="24"/>
        </w:rPr>
        <w:t xml:space="preserve">Academic staff experience a bipolar effect creating paradoxical tensions in their job role (teaching and research) and feeling alienated from power within the institution </w:t>
      </w:r>
      <w:r w:rsidR="00ED5C24" w:rsidRPr="00DA644C">
        <w:rPr>
          <w:rFonts w:ascii="Arial" w:eastAsia="Arial" w:hAnsi="Arial" w:cs="Arial"/>
          <w:color w:val="FF0000"/>
          <w:sz w:val="24"/>
          <w:szCs w:val="24"/>
        </w:rPr>
        <w:t>due to</w:t>
      </w:r>
      <w:r w:rsidR="00E90D66" w:rsidRPr="00DA644C">
        <w:rPr>
          <w:rFonts w:ascii="Arial" w:eastAsia="Arial" w:hAnsi="Arial" w:cs="Arial"/>
          <w:color w:val="FF0000"/>
          <w:sz w:val="24"/>
          <w:szCs w:val="24"/>
        </w:rPr>
        <w:t xml:space="preserve"> the way their performance is assessed.  This </w:t>
      </w:r>
      <w:r w:rsidR="004142FC" w:rsidRPr="00DA644C">
        <w:rPr>
          <w:rFonts w:ascii="Arial" w:eastAsia="Arial" w:hAnsi="Arial" w:cs="Arial"/>
          <w:color w:val="FF0000"/>
          <w:sz w:val="24"/>
          <w:szCs w:val="24"/>
        </w:rPr>
        <w:t>creates</w:t>
      </w:r>
      <w:r w:rsidR="00E90D66" w:rsidRPr="00DA644C">
        <w:rPr>
          <w:rFonts w:ascii="Arial" w:eastAsia="Arial" w:hAnsi="Arial" w:cs="Arial"/>
          <w:color w:val="FF0000"/>
          <w:sz w:val="24"/>
          <w:szCs w:val="24"/>
        </w:rPr>
        <w:t xml:space="preserve"> </w:t>
      </w:r>
      <w:r w:rsidR="00ED5C24" w:rsidRPr="00DA644C">
        <w:rPr>
          <w:rFonts w:ascii="Arial" w:eastAsia="Arial" w:hAnsi="Arial" w:cs="Arial"/>
          <w:color w:val="FF0000"/>
          <w:sz w:val="24"/>
          <w:szCs w:val="24"/>
        </w:rPr>
        <w:t xml:space="preserve">an existential crisis raising </w:t>
      </w:r>
      <w:r w:rsidR="00E90D66" w:rsidRPr="00DA644C">
        <w:rPr>
          <w:rFonts w:ascii="Arial" w:eastAsia="Arial" w:hAnsi="Arial" w:cs="Arial"/>
          <w:color w:val="FF0000"/>
          <w:sz w:val="24"/>
          <w:szCs w:val="24"/>
        </w:rPr>
        <w:t xml:space="preserve">feelings of </w:t>
      </w:r>
      <w:r w:rsidR="00ED5C24" w:rsidRPr="00DA644C">
        <w:rPr>
          <w:rFonts w:ascii="Arial" w:eastAsia="Arial" w:hAnsi="Arial" w:cs="Arial"/>
          <w:color w:val="FF0000"/>
          <w:sz w:val="24"/>
          <w:szCs w:val="24"/>
        </w:rPr>
        <w:t xml:space="preserve">powerless </w:t>
      </w:r>
      <w:r w:rsidR="00E90D66" w:rsidRPr="00DA644C">
        <w:rPr>
          <w:rFonts w:ascii="Arial" w:eastAsia="Arial" w:hAnsi="Arial" w:cs="Arial"/>
          <w:color w:val="FF0000"/>
          <w:sz w:val="24"/>
          <w:szCs w:val="24"/>
        </w:rPr>
        <w:t>vulnerability and exclusion</w:t>
      </w:r>
      <w:r w:rsidR="00ED5C24" w:rsidRPr="00DA644C">
        <w:rPr>
          <w:rFonts w:ascii="Arial" w:eastAsia="Arial" w:hAnsi="Arial" w:cs="Arial"/>
          <w:color w:val="FF0000"/>
          <w:sz w:val="24"/>
          <w:szCs w:val="24"/>
        </w:rPr>
        <w:t>,</w:t>
      </w:r>
      <w:r w:rsidR="00E90D66" w:rsidRPr="00DA644C">
        <w:rPr>
          <w:rFonts w:ascii="Arial" w:eastAsia="Arial" w:hAnsi="Arial" w:cs="Arial"/>
          <w:color w:val="FF0000"/>
          <w:sz w:val="24"/>
          <w:szCs w:val="24"/>
        </w:rPr>
        <w:t xml:space="preserve"> made worse by opacity and inconsistency in recognition of good work (Bolden, </w:t>
      </w:r>
      <w:r w:rsidR="00E90D66" w:rsidRPr="00DA644C">
        <w:rPr>
          <w:rFonts w:ascii="Arial" w:eastAsia="Arial" w:hAnsi="Arial" w:cs="Arial"/>
          <w:color w:val="FF0000"/>
          <w:sz w:val="24"/>
          <w:szCs w:val="24"/>
        </w:rPr>
        <w:lastRenderedPageBreak/>
        <w:t>et al., 2014)</w:t>
      </w:r>
      <w:r w:rsidR="002D3A8B" w:rsidRPr="00DA644C">
        <w:rPr>
          <w:rFonts w:ascii="Arial" w:eastAsia="Arial" w:hAnsi="Arial" w:cs="Arial"/>
          <w:color w:val="FF0000"/>
          <w:sz w:val="24"/>
          <w:szCs w:val="24"/>
        </w:rPr>
        <w:t xml:space="preserve"> and a disengagement and dissociation from the decision-making processes by academic staff (Bolden et al., 2009; Macfarlane, 2011).  </w:t>
      </w:r>
    </w:p>
    <w:p w14:paraId="7CE81EE4" w14:textId="03F227A7" w:rsidR="00934D7D" w:rsidRPr="007B3819" w:rsidRDefault="00934D7D" w:rsidP="002D3A8B">
      <w:pPr>
        <w:pBdr>
          <w:top w:val="nil"/>
          <w:left w:val="nil"/>
          <w:bottom w:val="nil"/>
          <w:right w:val="nil"/>
          <w:between w:val="nil"/>
        </w:pBdr>
        <w:spacing w:before="120" w:after="0" w:line="360" w:lineRule="auto"/>
        <w:jc w:val="both"/>
        <w:rPr>
          <w:rFonts w:ascii="Arial" w:eastAsia="Arial" w:hAnsi="Arial" w:cs="Arial"/>
          <w:color w:val="00B0F0"/>
          <w:sz w:val="24"/>
          <w:szCs w:val="24"/>
        </w:rPr>
      </w:pPr>
      <w:r w:rsidRPr="007B3819">
        <w:rPr>
          <w:rFonts w:ascii="Arial" w:eastAsia="Arial" w:hAnsi="Arial" w:cs="Arial"/>
          <w:color w:val="00B0F0"/>
          <w:sz w:val="24"/>
          <w:szCs w:val="24"/>
        </w:rPr>
        <w:t>Our work highlights the disquiet of</w:t>
      </w:r>
      <w:r w:rsidR="007B3819" w:rsidRPr="007B3819">
        <w:rPr>
          <w:rFonts w:ascii="Arial" w:eastAsia="Arial" w:hAnsi="Arial" w:cs="Arial"/>
          <w:color w:val="00B0F0"/>
          <w:sz w:val="24"/>
          <w:szCs w:val="24"/>
        </w:rPr>
        <w:t xml:space="preserve"> academic</w:t>
      </w:r>
      <w:r w:rsidRPr="007B3819">
        <w:rPr>
          <w:rFonts w:ascii="Arial" w:eastAsia="Arial" w:hAnsi="Arial" w:cs="Arial"/>
          <w:color w:val="00B0F0"/>
          <w:sz w:val="24"/>
          <w:szCs w:val="24"/>
        </w:rPr>
        <w:t xml:space="preserve"> staff regarding TF and CF and its relevance in promoting critical </w:t>
      </w:r>
      <w:r w:rsidR="004E63A3" w:rsidRPr="007B3819">
        <w:rPr>
          <w:rFonts w:ascii="Arial" w:eastAsia="Arial" w:hAnsi="Arial" w:cs="Arial"/>
          <w:color w:val="00B0F0"/>
          <w:sz w:val="24"/>
          <w:szCs w:val="24"/>
        </w:rPr>
        <w:t xml:space="preserve">pedagogical </w:t>
      </w:r>
      <w:r w:rsidRPr="007B3819">
        <w:rPr>
          <w:rFonts w:ascii="Arial" w:eastAsia="Arial" w:hAnsi="Arial" w:cs="Arial"/>
          <w:color w:val="00B0F0"/>
          <w:sz w:val="24"/>
          <w:szCs w:val="24"/>
        </w:rPr>
        <w:t xml:space="preserve">practices creating a </w:t>
      </w:r>
      <w:r w:rsidRPr="007B3819">
        <w:rPr>
          <w:rFonts w:ascii="Arial" w:eastAsia="Arial" w:hAnsi="Arial" w:cs="Arial"/>
          <w:i/>
          <w:iCs/>
          <w:color w:val="00B0F0"/>
          <w:sz w:val="24"/>
          <w:szCs w:val="24"/>
        </w:rPr>
        <w:t>tension</w:t>
      </w:r>
      <w:r w:rsidRPr="007B3819">
        <w:rPr>
          <w:rFonts w:ascii="Arial" w:eastAsia="Arial" w:hAnsi="Arial" w:cs="Arial"/>
          <w:color w:val="00B0F0"/>
          <w:sz w:val="24"/>
          <w:szCs w:val="24"/>
        </w:rPr>
        <w:t xml:space="preserve"> for professional educators which could be perceived as ‘</w:t>
      </w:r>
      <w:r w:rsidRPr="007B3819">
        <w:rPr>
          <w:rFonts w:ascii="Arial" w:eastAsia="Arial" w:hAnsi="Arial" w:cs="Arial"/>
          <w:i/>
          <w:iCs/>
          <w:color w:val="00B0F0"/>
          <w:sz w:val="24"/>
          <w:szCs w:val="24"/>
        </w:rPr>
        <w:t>personal trouble’</w:t>
      </w:r>
      <w:r w:rsidRPr="007B3819">
        <w:rPr>
          <w:rFonts w:ascii="Arial" w:eastAsia="Arial" w:hAnsi="Arial" w:cs="Arial"/>
          <w:color w:val="00B0F0"/>
          <w:sz w:val="24"/>
          <w:szCs w:val="24"/>
        </w:rPr>
        <w:t xml:space="preserve"> </w:t>
      </w:r>
      <w:r w:rsidR="007B3819" w:rsidRPr="007B3819">
        <w:rPr>
          <w:rFonts w:ascii="Arial" w:eastAsia="Arial" w:hAnsi="Arial" w:cs="Arial"/>
          <w:color w:val="00B0F0"/>
          <w:sz w:val="24"/>
          <w:szCs w:val="24"/>
        </w:rPr>
        <w:t>which in turn</w:t>
      </w:r>
      <w:r w:rsidRPr="007B3819">
        <w:rPr>
          <w:rFonts w:ascii="Arial" w:eastAsia="Arial" w:hAnsi="Arial" w:cs="Arial"/>
          <w:color w:val="00B0F0"/>
          <w:sz w:val="24"/>
          <w:szCs w:val="24"/>
        </w:rPr>
        <w:t xml:space="preserve"> surface of greater ‘</w:t>
      </w:r>
      <w:r w:rsidRPr="007B3819">
        <w:rPr>
          <w:rFonts w:ascii="Arial" w:eastAsia="Arial" w:hAnsi="Arial" w:cs="Arial"/>
          <w:i/>
          <w:iCs/>
          <w:color w:val="00B0F0"/>
          <w:sz w:val="24"/>
          <w:szCs w:val="24"/>
        </w:rPr>
        <w:t>public concerns’</w:t>
      </w:r>
      <w:r w:rsidRPr="007B3819">
        <w:rPr>
          <w:rFonts w:ascii="Arial" w:eastAsia="Arial" w:hAnsi="Arial" w:cs="Arial"/>
          <w:color w:val="00B0F0"/>
          <w:sz w:val="24"/>
          <w:szCs w:val="24"/>
        </w:rPr>
        <w:t xml:space="preserve"> (Mills</w:t>
      </w:r>
      <w:r w:rsidR="00FF4999" w:rsidRPr="007B3819">
        <w:rPr>
          <w:rFonts w:ascii="Arial" w:eastAsia="Arial" w:hAnsi="Arial" w:cs="Arial"/>
          <w:color w:val="00B0F0"/>
          <w:sz w:val="24"/>
          <w:szCs w:val="24"/>
        </w:rPr>
        <w:t>,</w:t>
      </w:r>
      <w:r w:rsidRPr="007B3819">
        <w:rPr>
          <w:rFonts w:ascii="Arial" w:eastAsia="Arial" w:hAnsi="Arial" w:cs="Arial"/>
          <w:color w:val="00B0F0"/>
          <w:sz w:val="24"/>
          <w:szCs w:val="24"/>
        </w:rPr>
        <w:t xml:space="preserve"> 2000</w:t>
      </w:r>
      <w:r w:rsidR="00E845A4" w:rsidRPr="007B3819">
        <w:rPr>
          <w:rFonts w:ascii="Arial" w:eastAsia="Arial" w:hAnsi="Arial" w:cs="Arial"/>
          <w:color w:val="00B0F0"/>
          <w:sz w:val="24"/>
          <w:szCs w:val="24"/>
        </w:rPr>
        <w:t>, p7</w:t>
      </w:r>
      <w:r w:rsidRPr="007B3819">
        <w:rPr>
          <w:rFonts w:ascii="Arial" w:eastAsia="Arial" w:hAnsi="Arial" w:cs="Arial"/>
          <w:color w:val="00B0F0"/>
          <w:sz w:val="24"/>
          <w:szCs w:val="24"/>
        </w:rPr>
        <w:t xml:space="preserve">) regarding the relevance and purpose of </w:t>
      </w:r>
      <w:r w:rsidR="00FF4999" w:rsidRPr="007B3819">
        <w:rPr>
          <w:rFonts w:ascii="Arial" w:eastAsia="Arial" w:hAnsi="Arial" w:cs="Arial"/>
          <w:color w:val="00B0F0"/>
          <w:sz w:val="24"/>
          <w:szCs w:val="24"/>
        </w:rPr>
        <w:t xml:space="preserve">HE, </w:t>
      </w:r>
      <w:r w:rsidRPr="007B3819">
        <w:rPr>
          <w:rFonts w:ascii="Arial" w:eastAsia="Arial" w:hAnsi="Arial" w:cs="Arial"/>
          <w:color w:val="00B0F0"/>
          <w:sz w:val="24"/>
          <w:szCs w:val="24"/>
        </w:rPr>
        <w:t>HE</w:t>
      </w:r>
      <w:r w:rsidR="00FF4999" w:rsidRPr="007B3819">
        <w:rPr>
          <w:rFonts w:ascii="Arial" w:eastAsia="Arial" w:hAnsi="Arial" w:cs="Arial"/>
          <w:color w:val="00B0F0"/>
          <w:sz w:val="24"/>
          <w:szCs w:val="24"/>
        </w:rPr>
        <w:t xml:space="preserve"> institutions</w:t>
      </w:r>
      <w:r w:rsidRPr="007B3819">
        <w:rPr>
          <w:rFonts w:ascii="Arial" w:eastAsia="Arial" w:hAnsi="Arial" w:cs="Arial"/>
          <w:color w:val="00B0F0"/>
          <w:sz w:val="24"/>
          <w:szCs w:val="24"/>
        </w:rPr>
        <w:t xml:space="preserve"> and professional educators. </w:t>
      </w:r>
    </w:p>
    <w:p w14:paraId="6C200FB5" w14:textId="33736E5D" w:rsidR="00DE22F5" w:rsidRPr="00DA644C" w:rsidRDefault="00DE22F5" w:rsidP="00DE22F5">
      <w:pPr>
        <w:pBdr>
          <w:top w:val="nil"/>
          <w:left w:val="nil"/>
          <w:bottom w:val="nil"/>
          <w:right w:val="nil"/>
          <w:between w:val="nil"/>
        </w:pBdr>
        <w:spacing w:before="120" w:after="0" w:line="360" w:lineRule="auto"/>
        <w:jc w:val="both"/>
        <w:rPr>
          <w:rFonts w:ascii="Arial" w:eastAsia="Arial" w:hAnsi="Arial" w:cs="Arial"/>
          <w:color w:val="FF0000"/>
          <w:sz w:val="24"/>
          <w:szCs w:val="24"/>
        </w:rPr>
      </w:pPr>
      <w:r w:rsidRPr="00DA644C">
        <w:rPr>
          <w:rFonts w:ascii="Arial" w:eastAsia="Arial" w:hAnsi="Arial" w:cs="Arial"/>
          <w:color w:val="FF0000"/>
          <w:sz w:val="24"/>
          <w:szCs w:val="24"/>
          <w:highlight w:val="white"/>
        </w:rPr>
        <w:t xml:space="preserve">The design and implementation of CF for TF recognition and supportive EE and CPD activities needs to promote genuine passion and commitment to the values, culture and purpose of HE </w:t>
      </w:r>
      <w:r w:rsidRPr="00DA644C">
        <w:rPr>
          <w:rFonts w:ascii="Arial" w:eastAsia="Arial" w:hAnsi="Arial" w:cs="Arial"/>
          <w:color w:val="FF0000"/>
          <w:sz w:val="24"/>
          <w:szCs w:val="24"/>
        </w:rPr>
        <w:t xml:space="preserve">(Bolden, </w:t>
      </w:r>
      <w:r w:rsidRPr="00DA644C">
        <w:rPr>
          <w:rFonts w:ascii="Arial" w:eastAsia="Arial" w:hAnsi="Arial" w:cs="Arial"/>
          <w:color w:val="FF0000"/>
          <w:sz w:val="24"/>
          <w:szCs w:val="24"/>
          <w:highlight w:val="white"/>
        </w:rPr>
        <w:t xml:space="preserve">et al., </w:t>
      </w:r>
      <w:r w:rsidRPr="00DA644C">
        <w:rPr>
          <w:rFonts w:ascii="Arial" w:eastAsia="Arial" w:hAnsi="Arial" w:cs="Arial"/>
          <w:color w:val="FF0000"/>
          <w:sz w:val="24"/>
          <w:szCs w:val="24"/>
        </w:rPr>
        <w:t>2014) that focus beyond the ‘</w:t>
      </w:r>
      <w:r w:rsidRPr="00DA644C">
        <w:rPr>
          <w:rFonts w:ascii="Arial" w:eastAsia="Arial" w:hAnsi="Arial" w:cs="Arial"/>
          <w:i/>
          <w:iCs/>
          <w:color w:val="FF0000"/>
          <w:sz w:val="24"/>
          <w:szCs w:val="24"/>
        </w:rPr>
        <w:t>how’</w:t>
      </w:r>
      <w:r w:rsidRPr="00DA644C">
        <w:rPr>
          <w:rFonts w:ascii="Arial" w:eastAsia="Arial" w:hAnsi="Arial" w:cs="Arial"/>
          <w:color w:val="FF0000"/>
          <w:sz w:val="24"/>
          <w:szCs w:val="24"/>
        </w:rPr>
        <w:t xml:space="preserve"> and ‘</w:t>
      </w:r>
      <w:r w:rsidRPr="00DA644C">
        <w:rPr>
          <w:rFonts w:ascii="Arial" w:eastAsia="Arial" w:hAnsi="Arial" w:cs="Arial"/>
          <w:i/>
          <w:iCs/>
          <w:color w:val="FF0000"/>
          <w:sz w:val="24"/>
          <w:szCs w:val="24"/>
        </w:rPr>
        <w:t xml:space="preserve">what’, </w:t>
      </w:r>
      <w:r w:rsidRPr="00DA644C">
        <w:rPr>
          <w:rFonts w:ascii="Arial" w:eastAsia="Arial" w:hAnsi="Arial" w:cs="Arial"/>
          <w:color w:val="FF0000"/>
          <w:sz w:val="24"/>
          <w:szCs w:val="24"/>
        </w:rPr>
        <w:t xml:space="preserve">and reinforce a more critical stance of asking </w:t>
      </w:r>
      <w:r w:rsidRPr="00DA644C">
        <w:rPr>
          <w:rFonts w:ascii="Arial" w:eastAsia="Arial" w:hAnsi="Arial" w:cs="Arial"/>
          <w:i/>
          <w:iCs/>
          <w:color w:val="FF0000"/>
          <w:sz w:val="24"/>
          <w:szCs w:val="24"/>
        </w:rPr>
        <w:t>why</w:t>
      </w:r>
      <w:r w:rsidRPr="00DA644C">
        <w:rPr>
          <w:rFonts w:ascii="Arial" w:eastAsia="Arial" w:hAnsi="Arial" w:cs="Arial"/>
          <w:color w:val="FF0000"/>
          <w:sz w:val="24"/>
          <w:szCs w:val="24"/>
        </w:rPr>
        <w:t xml:space="preserve"> and </w:t>
      </w:r>
      <w:r w:rsidRPr="00DA644C">
        <w:rPr>
          <w:rFonts w:ascii="Arial" w:eastAsia="Arial" w:hAnsi="Arial" w:cs="Arial"/>
          <w:i/>
          <w:iCs/>
          <w:color w:val="FF0000"/>
          <w:sz w:val="24"/>
          <w:szCs w:val="24"/>
        </w:rPr>
        <w:t>to what ends</w:t>
      </w:r>
      <w:r w:rsidRPr="00DA644C">
        <w:rPr>
          <w:rFonts w:ascii="Arial" w:eastAsia="Arial" w:hAnsi="Arial" w:cs="Arial"/>
          <w:color w:val="FF0000"/>
          <w:sz w:val="24"/>
          <w:szCs w:val="24"/>
        </w:rPr>
        <w:t xml:space="preserve"> does this achieve (Purcell and Kinnie, 2008; Gold, and Bratton, 2014).   The current normative nature of CF can be seen as an oversimplification of a highly complex and changing multidisciplined professional landscape (Bond and Gosling, 2006) where CF is not a one stop fits all approach. </w:t>
      </w:r>
    </w:p>
    <w:p w14:paraId="792C7993" w14:textId="5A6288DD" w:rsidR="00AB018D" w:rsidRPr="00DA644C" w:rsidRDefault="00DE22F5" w:rsidP="00E845A4">
      <w:pPr>
        <w:pBdr>
          <w:top w:val="nil"/>
          <w:left w:val="nil"/>
          <w:bottom w:val="nil"/>
          <w:right w:val="nil"/>
          <w:between w:val="nil"/>
        </w:pBdr>
        <w:spacing w:before="120" w:after="0" w:line="360" w:lineRule="auto"/>
        <w:jc w:val="both"/>
        <w:rPr>
          <w:rFonts w:ascii="Arial" w:eastAsia="Arial" w:hAnsi="Arial" w:cs="Arial"/>
          <w:color w:val="FF0000"/>
          <w:sz w:val="24"/>
          <w:szCs w:val="24"/>
          <w:highlight w:val="white"/>
        </w:rPr>
      </w:pPr>
      <w:r w:rsidRPr="00DA644C">
        <w:rPr>
          <w:rFonts w:ascii="Arial" w:eastAsia="Arial" w:hAnsi="Arial" w:cs="Arial"/>
          <w:color w:val="FF0000"/>
          <w:sz w:val="24"/>
          <w:szCs w:val="24"/>
          <w:highlight w:val="white"/>
        </w:rPr>
        <w:t>T</w:t>
      </w:r>
      <w:r w:rsidR="00934D7D" w:rsidRPr="00DA644C">
        <w:rPr>
          <w:rFonts w:ascii="Arial" w:eastAsia="Arial" w:hAnsi="Arial" w:cs="Arial"/>
          <w:color w:val="FF0000"/>
          <w:sz w:val="24"/>
          <w:szCs w:val="24"/>
          <w:highlight w:val="white"/>
        </w:rPr>
        <w:t>he following conceptual framework</w:t>
      </w:r>
      <w:r w:rsidR="003464E7" w:rsidRPr="00DA644C">
        <w:rPr>
          <w:rFonts w:ascii="Arial" w:eastAsia="Arial" w:hAnsi="Arial" w:cs="Arial"/>
          <w:color w:val="FF0000"/>
          <w:sz w:val="24"/>
          <w:szCs w:val="24"/>
          <w:highlight w:val="white"/>
        </w:rPr>
        <w:t xml:space="preserve"> (figure 2)</w:t>
      </w:r>
      <w:r w:rsidR="00934D7D" w:rsidRPr="00DA644C">
        <w:rPr>
          <w:rFonts w:ascii="Arial" w:eastAsia="Arial" w:hAnsi="Arial" w:cs="Arial"/>
          <w:color w:val="FF0000"/>
          <w:sz w:val="24"/>
          <w:szCs w:val="24"/>
          <w:highlight w:val="white"/>
        </w:rPr>
        <w:t xml:space="preserve"> is proposed</w:t>
      </w:r>
      <w:r w:rsidR="006969A0">
        <w:rPr>
          <w:rFonts w:ascii="Arial" w:eastAsia="Arial" w:hAnsi="Arial" w:cs="Arial"/>
          <w:color w:val="FF0000"/>
          <w:sz w:val="24"/>
          <w:szCs w:val="24"/>
          <w:highlight w:val="white"/>
        </w:rPr>
        <w:t>,</w:t>
      </w:r>
      <w:r w:rsidR="00934D7D" w:rsidRPr="00DA644C">
        <w:rPr>
          <w:rFonts w:ascii="Arial" w:eastAsia="Arial" w:hAnsi="Arial" w:cs="Arial"/>
          <w:color w:val="FF0000"/>
          <w:sz w:val="24"/>
          <w:szCs w:val="24"/>
          <w:highlight w:val="white"/>
        </w:rPr>
        <w:t xml:space="preserve"> highlight</w:t>
      </w:r>
      <w:r w:rsidRPr="00DA644C">
        <w:rPr>
          <w:rFonts w:ascii="Arial" w:eastAsia="Arial" w:hAnsi="Arial" w:cs="Arial"/>
          <w:color w:val="FF0000"/>
          <w:sz w:val="24"/>
          <w:szCs w:val="24"/>
          <w:highlight w:val="white"/>
        </w:rPr>
        <w:t>ing</w:t>
      </w:r>
      <w:r w:rsidR="00934D7D" w:rsidRPr="00DA644C">
        <w:rPr>
          <w:rFonts w:ascii="Arial" w:eastAsia="Arial" w:hAnsi="Arial" w:cs="Arial"/>
          <w:color w:val="FF0000"/>
          <w:sz w:val="24"/>
          <w:szCs w:val="24"/>
          <w:highlight w:val="white"/>
        </w:rPr>
        <w:t xml:space="preserve"> the individual and organisational antecedents and background factors that influence both the development of effective EE </w:t>
      </w:r>
      <w:r w:rsidRPr="00DA644C">
        <w:rPr>
          <w:rFonts w:ascii="Arial" w:eastAsia="Arial" w:hAnsi="Arial" w:cs="Arial"/>
          <w:color w:val="FF0000"/>
          <w:sz w:val="24"/>
          <w:szCs w:val="24"/>
          <w:highlight w:val="white"/>
        </w:rPr>
        <w:t xml:space="preserve">and CF </w:t>
      </w:r>
      <w:r w:rsidR="00934D7D" w:rsidRPr="00DA644C">
        <w:rPr>
          <w:rFonts w:ascii="Arial" w:eastAsia="Arial" w:hAnsi="Arial" w:cs="Arial"/>
          <w:color w:val="FF0000"/>
          <w:sz w:val="24"/>
          <w:szCs w:val="24"/>
          <w:highlight w:val="white"/>
        </w:rPr>
        <w:t xml:space="preserve">strategy set within </w:t>
      </w:r>
      <w:r w:rsidR="006969A0">
        <w:rPr>
          <w:rFonts w:ascii="Arial" w:eastAsia="Arial" w:hAnsi="Arial" w:cs="Arial"/>
          <w:color w:val="FF0000"/>
          <w:sz w:val="24"/>
          <w:szCs w:val="24"/>
          <w:highlight w:val="white"/>
        </w:rPr>
        <w:t xml:space="preserve">the </w:t>
      </w:r>
      <w:r w:rsidR="00934D7D" w:rsidRPr="00DA644C">
        <w:rPr>
          <w:rFonts w:ascii="Arial" w:eastAsia="Arial" w:hAnsi="Arial" w:cs="Arial"/>
          <w:color w:val="FF0000"/>
          <w:sz w:val="24"/>
          <w:szCs w:val="24"/>
          <w:highlight w:val="white"/>
        </w:rPr>
        <w:t xml:space="preserve">context of the </w:t>
      </w:r>
      <w:r w:rsidR="00934D7D" w:rsidRPr="00DA644C">
        <w:rPr>
          <w:rFonts w:ascii="Arial" w:eastAsia="Arial" w:hAnsi="Arial" w:cs="Arial"/>
          <w:i/>
          <w:iCs/>
          <w:color w:val="FF0000"/>
          <w:sz w:val="24"/>
          <w:szCs w:val="24"/>
          <w:highlight w:val="white"/>
        </w:rPr>
        <w:t>local</w:t>
      </w:r>
      <w:r w:rsidR="00934D7D" w:rsidRPr="00DA644C">
        <w:rPr>
          <w:rFonts w:ascii="Arial" w:eastAsia="Arial" w:hAnsi="Arial" w:cs="Arial"/>
          <w:color w:val="FF0000"/>
          <w:sz w:val="24"/>
          <w:szCs w:val="24"/>
          <w:highlight w:val="white"/>
        </w:rPr>
        <w:t xml:space="preserve"> HE environment. </w:t>
      </w:r>
    </w:p>
    <w:p w14:paraId="0BDE08BD" w14:textId="69703B99" w:rsidR="00AB018D" w:rsidRPr="00DA644C" w:rsidRDefault="00AB018D" w:rsidP="00AB018D">
      <w:pPr>
        <w:pBdr>
          <w:top w:val="nil"/>
          <w:left w:val="nil"/>
          <w:bottom w:val="nil"/>
          <w:right w:val="nil"/>
          <w:between w:val="nil"/>
        </w:pBdr>
        <w:spacing w:before="120" w:after="0" w:line="360" w:lineRule="auto"/>
        <w:jc w:val="center"/>
        <w:rPr>
          <w:rFonts w:ascii="Arial" w:eastAsia="Arial" w:hAnsi="Arial" w:cs="Arial"/>
          <w:color w:val="FF0000"/>
          <w:sz w:val="24"/>
          <w:szCs w:val="24"/>
          <w:highlight w:val="white"/>
        </w:rPr>
      </w:pPr>
      <w:r w:rsidRPr="00DA644C">
        <w:rPr>
          <w:rFonts w:ascii="Arial" w:eastAsia="Arial" w:hAnsi="Arial" w:cs="Arial"/>
          <w:noProof/>
          <w:color w:val="FF0000"/>
          <w:sz w:val="24"/>
          <w:szCs w:val="24"/>
          <w:highlight w:val="white"/>
        </w:rPr>
        <w:drawing>
          <wp:inline distT="0" distB="0" distL="0" distR="0" wp14:anchorId="11AB43C3" wp14:editId="725347E2">
            <wp:extent cx="4869751" cy="1884047"/>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9913" t="24501" r="5123" b="17059"/>
                    <a:stretch>
                      <a:fillRect/>
                    </a:stretch>
                  </pic:blipFill>
                  <pic:spPr>
                    <a:xfrm>
                      <a:off x="0" y="0"/>
                      <a:ext cx="4869751" cy="1884047"/>
                    </a:xfrm>
                    <a:prstGeom prst="rect">
                      <a:avLst/>
                    </a:prstGeom>
                    <a:ln/>
                  </pic:spPr>
                </pic:pic>
              </a:graphicData>
            </a:graphic>
          </wp:inline>
        </w:drawing>
      </w:r>
    </w:p>
    <w:p w14:paraId="2F59D07F" w14:textId="77777777" w:rsidR="00AB018D" w:rsidRPr="00DA644C" w:rsidRDefault="00AB018D" w:rsidP="00AB018D">
      <w:pPr>
        <w:pBdr>
          <w:top w:val="nil"/>
          <w:left w:val="nil"/>
          <w:bottom w:val="nil"/>
          <w:right w:val="nil"/>
          <w:between w:val="nil"/>
        </w:pBdr>
        <w:spacing w:before="120" w:after="0" w:line="360" w:lineRule="auto"/>
        <w:jc w:val="both"/>
        <w:rPr>
          <w:rFonts w:ascii="Arial" w:eastAsia="Arial" w:hAnsi="Arial" w:cs="Arial"/>
          <w:b/>
          <w:color w:val="FF0000"/>
          <w:sz w:val="24"/>
          <w:szCs w:val="24"/>
          <w:highlight w:val="white"/>
        </w:rPr>
      </w:pPr>
      <w:r w:rsidRPr="00DA644C">
        <w:rPr>
          <w:rFonts w:ascii="Arial" w:eastAsia="Arial" w:hAnsi="Arial" w:cs="Arial"/>
          <w:b/>
          <w:color w:val="FF0000"/>
          <w:sz w:val="24"/>
          <w:szCs w:val="24"/>
          <w:highlight w:val="white"/>
        </w:rPr>
        <w:t xml:space="preserve">Figure 2: HE Professional Environment - Individual Backgrounds and Antecedents Impacting on CF and EE </w:t>
      </w:r>
    </w:p>
    <w:p w14:paraId="23A07619" w14:textId="77777777" w:rsidR="00AB018D" w:rsidRPr="00DA644C" w:rsidRDefault="00AB018D" w:rsidP="00AB018D">
      <w:pPr>
        <w:rPr>
          <w:rFonts w:ascii="Arial" w:eastAsia="Arial" w:hAnsi="Arial" w:cs="Arial"/>
          <w:b/>
          <w:color w:val="FF0000"/>
          <w:sz w:val="28"/>
          <w:szCs w:val="28"/>
        </w:rPr>
      </w:pPr>
    </w:p>
    <w:p w14:paraId="3DA1E74A" w14:textId="0CAD9976" w:rsidR="00E845A4" w:rsidRPr="00DA644C" w:rsidRDefault="00934D7D" w:rsidP="00E845A4">
      <w:pPr>
        <w:pBdr>
          <w:top w:val="nil"/>
          <w:left w:val="nil"/>
          <w:bottom w:val="nil"/>
          <w:right w:val="nil"/>
          <w:between w:val="nil"/>
        </w:pBdr>
        <w:spacing w:before="120" w:after="0" w:line="360" w:lineRule="auto"/>
        <w:jc w:val="both"/>
        <w:rPr>
          <w:rFonts w:ascii="Arial" w:eastAsia="Arial" w:hAnsi="Arial" w:cs="Arial"/>
          <w:color w:val="FF0000"/>
          <w:sz w:val="24"/>
          <w:szCs w:val="24"/>
          <w:highlight w:val="white"/>
        </w:rPr>
      </w:pPr>
      <w:r w:rsidRPr="00DA644C">
        <w:rPr>
          <w:rFonts w:ascii="Arial" w:eastAsia="Arial" w:hAnsi="Arial" w:cs="Arial"/>
          <w:color w:val="FF0000"/>
          <w:sz w:val="24"/>
          <w:szCs w:val="24"/>
          <w:highlight w:val="white"/>
        </w:rPr>
        <w:t>The figure demonstrates the dynamics and combined effect of EE and CF, raising the significance of EE in facilitating engagement</w:t>
      </w:r>
      <w:r w:rsidR="00FF4999" w:rsidRPr="00DA644C">
        <w:rPr>
          <w:rFonts w:ascii="Arial" w:eastAsia="Arial" w:hAnsi="Arial" w:cs="Arial"/>
          <w:color w:val="FF0000"/>
          <w:sz w:val="24"/>
          <w:szCs w:val="24"/>
          <w:highlight w:val="white"/>
        </w:rPr>
        <w:t xml:space="preserve"> in CPD</w:t>
      </w:r>
      <w:r w:rsidR="00DE22F5" w:rsidRPr="00DA644C">
        <w:rPr>
          <w:rFonts w:ascii="Arial" w:eastAsia="Arial" w:hAnsi="Arial" w:cs="Arial"/>
          <w:color w:val="FF0000"/>
          <w:sz w:val="24"/>
          <w:szCs w:val="24"/>
          <w:highlight w:val="white"/>
        </w:rPr>
        <w:t>.  Bu</w:t>
      </w:r>
      <w:r w:rsidR="00FF4999" w:rsidRPr="00DA644C">
        <w:rPr>
          <w:rFonts w:ascii="Arial" w:eastAsia="Arial" w:hAnsi="Arial" w:cs="Arial"/>
          <w:color w:val="FF0000"/>
          <w:sz w:val="24"/>
          <w:szCs w:val="24"/>
          <w:highlight w:val="white"/>
        </w:rPr>
        <w:t>t</w:t>
      </w:r>
      <w:r w:rsidR="00DE22F5" w:rsidRPr="00DA644C">
        <w:rPr>
          <w:rFonts w:ascii="Arial" w:eastAsia="Arial" w:hAnsi="Arial" w:cs="Arial"/>
          <w:color w:val="FF0000"/>
          <w:sz w:val="24"/>
          <w:szCs w:val="24"/>
          <w:highlight w:val="white"/>
        </w:rPr>
        <w:t xml:space="preserve"> to do this</w:t>
      </w:r>
      <w:r w:rsidR="00FF4999" w:rsidRPr="00DA644C">
        <w:rPr>
          <w:rFonts w:ascii="Arial" w:eastAsia="Arial" w:hAnsi="Arial" w:cs="Arial"/>
          <w:color w:val="FF0000"/>
          <w:sz w:val="24"/>
          <w:szCs w:val="24"/>
          <w:highlight w:val="white"/>
        </w:rPr>
        <w:t xml:space="preserve"> HRD strategy must provide more meaningful CPD that caters for the needs of HE profession</w:t>
      </w:r>
      <w:r w:rsidR="006533C7">
        <w:rPr>
          <w:rFonts w:ascii="Arial" w:eastAsia="Arial" w:hAnsi="Arial" w:cs="Arial"/>
          <w:color w:val="FF0000"/>
          <w:sz w:val="24"/>
          <w:szCs w:val="24"/>
          <w:highlight w:val="white"/>
        </w:rPr>
        <w:t>al</w:t>
      </w:r>
      <w:r w:rsidR="00FF4999" w:rsidRPr="00DA644C">
        <w:rPr>
          <w:rFonts w:ascii="Arial" w:eastAsia="Arial" w:hAnsi="Arial" w:cs="Arial"/>
          <w:color w:val="FF0000"/>
          <w:sz w:val="24"/>
          <w:szCs w:val="24"/>
          <w:highlight w:val="white"/>
        </w:rPr>
        <w:t>s</w:t>
      </w:r>
      <w:r w:rsidR="00DE22F5" w:rsidRPr="00DA644C">
        <w:rPr>
          <w:rFonts w:ascii="Arial" w:eastAsia="Arial" w:hAnsi="Arial" w:cs="Arial"/>
          <w:color w:val="FF0000"/>
          <w:sz w:val="24"/>
          <w:szCs w:val="24"/>
          <w:highlight w:val="white"/>
        </w:rPr>
        <w:t xml:space="preserve">, </w:t>
      </w:r>
      <w:r w:rsidR="00FF4999" w:rsidRPr="00DA644C">
        <w:rPr>
          <w:rFonts w:ascii="Arial" w:eastAsia="Arial" w:hAnsi="Arial" w:cs="Arial"/>
          <w:color w:val="FF0000"/>
          <w:sz w:val="24"/>
          <w:szCs w:val="24"/>
          <w:highlight w:val="white"/>
        </w:rPr>
        <w:t>promot</w:t>
      </w:r>
      <w:r w:rsidR="00DE22F5" w:rsidRPr="00DA644C">
        <w:rPr>
          <w:rFonts w:ascii="Arial" w:eastAsia="Arial" w:hAnsi="Arial" w:cs="Arial"/>
          <w:color w:val="FF0000"/>
          <w:sz w:val="24"/>
          <w:szCs w:val="24"/>
          <w:highlight w:val="white"/>
        </w:rPr>
        <w:t>ing</w:t>
      </w:r>
      <w:r w:rsidR="00FF4999" w:rsidRPr="00DA644C">
        <w:rPr>
          <w:rFonts w:ascii="Arial" w:eastAsia="Arial" w:hAnsi="Arial" w:cs="Arial"/>
          <w:color w:val="FF0000"/>
          <w:sz w:val="24"/>
          <w:szCs w:val="24"/>
          <w:highlight w:val="white"/>
        </w:rPr>
        <w:t xml:space="preserve"> </w:t>
      </w:r>
      <w:r w:rsidR="00DE22F5" w:rsidRPr="00DA644C">
        <w:rPr>
          <w:rFonts w:ascii="Arial" w:eastAsia="Arial" w:hAnsi="Arial" w:cs="Arial"/>
          <w:color w:val="FF0000"/>
          <w:sz w:val="24"/>
          <w:szCs w:val="24"/>
          <w:highlight w:val="white"/>
        </w:rPr>
        <w:t>an alternative human</w:t>
      </w:r>
      <w:r w:rsidR="00FF4999" w:rsidRPr="00DA644C">
        <w:rPr>
          <w:rFonts w:ascii="Arial" w:eastAsia="Arial" w:hAnsi="Arial" w:cs="Arial"/>
          <w:color w:val="FF0000"/>
          <w:sz w:val="24"/>
          <w:szCs w:val="24"/>
          <w:highlight w:val="white"/>
        </w:rPr>
        <w:t xml:space="preserve"> development paradigm (Nussbaum, 2010) </w:t>
      </w:r>
      <w:r w:rsidR="00DE22F5" w:rsidRPr="00DA644C">
        <w:rPr>
          <w:rFonts w:ascii="Arial" w:eastAsia="Arial" w:hAnsi="Arial" w:cs="Arial"/>
          <w:color w:val="FF0000"/>
          <w:sz w:val="24"/>
          <w:szCs w:val="24"/>
          <w:highlight w:val="white"/>
        </w:rPr>
        <w:t xml:space="preserve">one </w:t>
      </w:r>
      <w:r w:rsidR="00FF4999" w:rsidRPr="00DA644C">
        <w:rPr>
          <w:rFonts w:ascii="Arial" w:eastAsia="Arial" w:hAnsi="Arial" w:cs="Arial"/>
          <w:color w:val="FF0000"/>
          <w:sz w:val="24"/>
          <w:szCs w:val="24"/>
          <w:highlight w:val="white"/>
        </w:rPr>
        <w:t>that shape</w:t>
      </w:r>
      <w:r w:rsidR="00DE22F5" w:rsidRPr="00DA644C">
        <w:rPr>
          <w:rFonts w:ascii="Arial" w:eastAsia="Arial" w:hAnsi="Arial" w:cs="Arial"/>
          <w:color w:val="FF0000"/>
          <w:sz w:val="24"/>
          <w:szCs w:val="24"/>
          <w:highlight w:val="white"/>
        </w:rPr>
        <w:t>s a</w:t>
      </w:r>
      <w:r w:rsidR="00FF4999" w:rsidRPr="00DA644C">
        <w:rPr>
          <w:rFonts w:ascii="Arial" w:eastAsia="Arial" w:hAnsi="Arial" w:cs="Arial"/>
          <w:color w:val="FF0000"/>
          <w:sz w:val="24"/>
          <w:szCs w:val="24"/>
          <w:highlight w:val="white"/>
        </w:rPr>
        <w:t xml:space="preserve"> </w:t>
      </w:r>
      <w:r w:rsidR="00FF4999" w:rsidRPr="00DA644C">
        <w:rPr>
          <w:rFonts w:ascii="Arial" w:eastAsia="Arial" w:hAnsi="Arial" w:cs="Arial"/>
          <w:color w:val="FF0000"/>
          <w:sz w:val="24"/>
          <w:szCs w:val="24"/>
          <w:highlight w:val="white"/>
        </w:rPr>
        <w:lastRenderedPageBreak/>
        <w:t>learning climate</w:t>
      </w:r>
      <w:r w:rsidR="00DE22F5" w:rsidRPr="00DA644C">
        <w:rPr>
          <w:rFonts w:ascii="Arial" w:eastAsia="Arial" w:hAnsi="Arial" w:cs="Arial"/>
          <w:color w:val="FF0000"/>
          <w:sz w:val="24"/>
          <w:szCs w:val="24"/>
          <w:highlight w:val="white"/>
        </w:rPr>
        <w:t xml:space="preserve"> and</w:t>
      </w:r>
      <w:r w:rsidR="00FF4999" w:rsidRPr="00DA644C">
        <w:rPr>
          <w:rFonts w:ascii="Arial" w:eastAsia="Arial" w:hAnsi="Arial" w:cs="Arial"/>
          <w:color w:val="FF0000"/>
          <w:sz w:val="24"/>
          <w:szCs w:val="24"/>
          <w:highlight w:val="white"/>
        </w:rPr>
        <w:t xml:space="preserve"> </w:t>
      </w:r>
      <w:r w:rsidR="00DE22F5" w:rsidRPr="00DA644C">
        <w:rPr>
          <w:rFonts w:ascii="Arial" w:eastAsia="Arial" w:hAnsi="Arial" w:cs="Arial"/>
          <w:color w:val="FF0000"/>
          <w:sz w:val="24"/>
          <w:szCs w:val="24"/>
          <w:highlight w:val="white"/>
        </w:rPr>
        <w:t>critical pedagogy that values and empowers</w:t>
      </w:r>
      <w:r w:rsidR="00FF4999" w:rsidRPr="00DA644C">
        <w:rPr>
          <w:rFonts w:ascii="Arial" w:eastAsia="Arial" w:hAnsi="Arial" w:cs="Arial"/>
          <w:color w:val="FF0000"/>
          <w:sz w:val="24"/>
          <w:szCs w:val="24"/>
          <w:highlight w:val="white"/>
        </w:rPr>
        <w:t xml:space="preserve"> </w:t>
      </w:r>
      <w:r w:rsidR="00DE22F5" w:rsidRPr="00DA644C">
        <w:rPr>
          <w:rFonts w:ascii="Arial" w:eastAsia="Arial" w:hAnsi="Arial" w:cs="Arial"/>
          <w:color w:val="FF0000"/>
          <w:sz w:val="24"/>
          <w:szCs w:val="24"/>
          <w:highlight w:val="white"/>
        </w:rPr>
        <w:t>teaching staff, moving beyond a normative CF.  However, th</w:t>
      </w:r>
      <w:r w:rsidR="00E845A4" w:rsidRPr="00DA644C">
        <w:rPr>
          <w:rFonts w:ascii="Arial" w:eastAsia="Arial" w:hAnsi="Arial" w:cs="Arial"/>
          <w:color w:val="FF0000"/>
          <w:sz w:val="24"/>
          <w:szCs w:val="24"/>
          <w:highlight w:val="white"/>
        </w:rPr>
        <w:t>is require</w:t>
      </w:r>
      <w:r w:rsidR="006533C7">
        <w:rPr>
          <w:rFonts w:ascii="Arial" w:eastAsia="Arial" w:hAnsi="Arial" w:cs="Arial"/>
          <w:color w:val="FF0000"/>
          <w:sz w:val="24"/>
          <w:szCs w:val="24"/>
          <w:highlight w:val="white"/>
        </w:rPr>
        <w:t>s</w:t>
      </w:r>
      <w:r w:rsidR="00E845A4" w:rsidRPr="00DA644C">
        <w:rPr>
          <w:rFonts w:ascii="Arial" w:eastAsia="Arial" w:hAnsi="Arial" w:cs="Arial"/>
          <w:color w:val="FF0000"/>
          <w:sz w:val="24"/>
          <w:szCs w:val="24"/>
          <w:highlight w:val="white"/>
        </w:rPr>
        <w:t xml:space="preserve"> a </w:t>
      </w:r>
      <w:r w:rsidR="00DE22F5" w:rsidRPr="00DA644C">
        <w:rPr>
          <w:rFonts w:ascii="Arial" w:eastAsia="Arial" w:hAnsi="Arial" w:cs="Arial"/>
          <w:color w:val="FF0000"/>
          <w:sz w:val="24"/>
          <w:szCs w:val="24"/>
          <w:highlight w:val="white"/>
        </w:rPr>
        <w:t>deeper</w:t>
      </w:r>
      <w:r w:rsidR="00E845A4" w:rsidRPr="00DA644C">
        <w:rPr>
          <w:rFonts w:ascii="Arial" w:eastAsia="Arial" w:hAnsi="Arial" w:cs="Arial"/>
          <w:color w:val="FF0000"/>
          <w:sz w:val="24"/>
          <w:szCs w:val="24"/>
          <w:highlight w:val="white"/>
        </w:rPr>
        <w:t xml:space="preserve"> understanding of </w:t>
      </w:r>
      <w:r w:rsidR="0059714D" w:rsidRPr="00DA644C">
        <w:rPr>
          <w:rFonts w:ascii="Arial" w:eastAsia="Arial" w:hAnsi="Arial" w:cs="Arial"/>
          <w:color w:val="FF0000"/>
          <w:sz w:val="24"/>
          <w:szCs w:val="24"/>
          <w:highlight w:val="white"/>
        </w:rPr>
        <w:t xml:space="preserve">the diverse </w:t>
      </w:r>
      <w:r w:rsidR="00E845A4" w:rsidRPr="00DA644C">
        <w:rPr>
          <w:rFonts w:ascii="Arial" w:eastAsia="Arial" w:hAnsi="Arial" w:cs="Arial"/>
          <w:color w:val="FF0000"/>
          <w:sz w:val="24"/>
          <w:szCs w:val="24"/>
          <w:highlight w:val="white"/>
        </w:rPr>
        <w:t xml:space="preserve">HE </w:t>
      </w:r>
      <w:r w:rsidR="0059714D" w:rsidRPr="00DA644C">
        <w:rPr>
          <w:rFonts w:ascii="Arial" w:eastAsia="Arial" w:hAnsi="Arial" w:cs="Arial"/>
          <w:color w:val="FF0000"/>
          <w:sz w:val="24"/>
          <w:szCs w:val="24"/>
          <w:highlight w:val="white"/>
        </w:rPr>
        <w:t xml:space="preserve">environment so a meaningful </w:t>
      </w:r>
      <w:r w:rsidR="00E845A4" w:rsidRPr="00DA644C">
        <w:rPr>
          <w:rFonts w:ascii="Arial" w:eastAsia="Arial" w:hAnsi="Arial" w:cs="Arial"/>
          <w:color w:val="FF0000"/>
          <w:sz w:val="24"/>
          <w:szCs w:val="24"/>
          <w:highlight w:val="white"/>
        </w:rPr>
        <w:t xml:space="preserve">TF can </w:t>
      </w:r>
      <w:r w:rsidR="0059714D" w:rsidRPr="00DA644C">
        <w:rPr>
          <w:rFonts w:ascii="Arial" w:eastAsia="Arial" w:hAnsi="Arial" w:cs="Arial"/>
          <w:color w:val="FF0000"/>
          <w:sz w:val="24"/>
          <w:szCs w:val="24"/>
          <w:highlight w:val="white"/>
        </w:rPr>
        <w:t>be developed</w:t>
      </w:r>
      <w:r w:rsidR="00E845A4" w:rsidRPr="00DA644C">
        <w:rPr>
          <w:rFonts w:ascii="Arial" w:eastAsia="Arial" w:hAnsi="Arial" w:cs="Arial"/>
          <w:color w:val="FF0000"/>
          <w:sz w:val="24"/>
          <w:szCs w:val="24"/>
          <w:highlight w:val="white"/>
        </w:rPr>
        <w:t>.</w:t>
      </w:r>
    </w:p>
    <w:p w14:paraId="3A488E00" w14:textId="0C7C6BCC" w:rsidR="003464E7" w:rsidRPr="00DA644C" w:rsidRDefault="003464E7" w:rsidP="003464E7">
      <w:pPr>
        <w:rPr>
          <w:rFonts w:ascii="Arial" w:eastAsia="Arial" w:hAnsi="Arial" w:cs="Arial"/>
          <w:b/>
          <w:color w:val="FF0000"/>
          <w:sz w:val="28"/>
          <w:szCs w:val="28"/>
        </w:rPr>
      </w:pPr>
      <w:r w:rsidRPr="00DA644C">
        <w:rPr>
          <w:rFonts w:ascii="Arial" w:eastAsia="Arial" w:hAnsi="Arial" w:cs="Arial"/>
          <w:b/>
          <w:color w:val="FF0000"/>
          <w:sz w:val="28"/>
          <w:szCs w:val="28"/>
        </w:rPr>
        <w:t xml:space="preserve">Conclusion </w:t>
      </w:r>
    </w:p>
    <w:p w14:paraId="232BD335" w14:textId="19BBDAC5" w:rsidR="00934D7D" w:rsidRPr="00DA644C" w:rsidRDefault="003464E7" w:rsidP="00934D7D">
      <w:pPr>
        <w:pBdr>
          <w:top w:val="nil"/>
          <w:left w:val="nil"/>
          <w:bottom w:val="nil"/>
          <w:right w:val="nil"/>
          <w:between w:val="nil"/>
        </w:pBdr>
        <w:spacing w:before="120" w:after="0" w:line="360" w:lineRule="auto"/>
        <w:jc w:val="both"/>
        <w:rPr>
          <w:rFonts w:ascii="Arial" w:eastAsia="Arial" w:hAnsi="Arial" w:cs="Arial"/>
          <w:color w:val="FF0000"/>
          <w:sz w:val="24"/>
          <w:szCs w:val="24"/>
          <w:highlight w:val="white"/>
        </w:rPr>
      </w:pPr>
      <w:r w:rsidRPr="00DA644C">
        <w:rPr>
          <w:rFonts w:ascii="Arial" w:eastAsia="Arial" w:hAnsi="Arial" w:cs="Arial"/>
          <w:color w:val="FF0000"/>
          <w:sz w:val="24"/>
          <w:szCs w:val="24"/>
          <w:highlight w:val="white"/>
        </w:rPr>
        <w:t>The paper</w:t>
      </w:r>
      <w:r w:rsidR="00934D7D" w:rsidRPr="00DA644C">
        <w:rPr>
          <w:rFonts w:ascii="Arial" w:eastAsia="Arial" w:hAnsi="Arial" w:cs="Arial"/>
          <w:color w:val="FF0000"/>
          <w:sz w:val="24"/>
          <w:szCs w:val="24"/>
          <w:highlight w:val="white"/>
        </w:rPr>
        <w:t xml:space="preserve"> calls for HRD practitioners to take a more strategic and critical look at CF, EE and CPD, one that recognises professionalism and traditional pedagogical values and promotes progressive professional learning and critical practice (Clegg, 1999) The vision has to take staff </w:t>
      </w:r>
      <w:r w:rsidR="00934D7D" w:rsidRPr="00DA644C">
        <w:rPr>
          <w:rFonts w:ascii="Arial" w:eastAsia="Arial" w:hAnsi="Arial" w:cs="Arial"/>
          <w:color w:val="FF0000"/>
          <w:sz w:val="24"/>
          <w:szCs w:val="24"/>
        </w:rPr>
        <w:t>beyond</w:t>
      </w:r>
      <w:r w:rsidR="00934D7D" w:rsidRPr="00DA644C">
        <w:rPr>
          <w:rFonts w:ascii="Arial" w:eastAsia="Arial" w:hAnsi="Arial" w:cs="Arial"/>
          <w:color w:val="FF0000"/>
          <w:sz w:val="24"/>
          <w:szCs w:val="24"/>
          <w:highlight w:val="white"/>
        </w:rPr>
        <w:t xml:space="preserve"> normative CF to promote an HRD climate that acts as a catalyst to grow</w:t>
      </w:r>
      <w:r w:rsidR="00FA73E1">
        <w:rPr>
          <w:rFonts w:ascii="Arial" w:eastAsia="Arial" w:hAnsi="Arial" w:cs="Arial"/>
          <w:color w:val="FF0000"/>
          <w:sz w:val="24"/>
          <w:szCs w:val="24"/>
          <w:highlight w:val="white"/>
        </w:rPr>
        <w:t xml:space="preserve"> a</w:t>
      </w:r>
      <w:r w:rsidR="00934D7D" w:rsidRPr="00DA644C">
        <w:rPr>
          <w:rFonts w:ascii="Arial" w:eastAsia="Arial" w:hAnsi="Arial" w:cs="Arial"/>
          <w:color w:val="FF0000"/>
          <w:sz w:val="24"/>
          <w:szCs w:val="24"/>
          <w:highlight w:val="white"/>
        </w:rPr>
        <w:t xml:space="preserve"> positive and critical HE learning culture (Antonacopoulou, 2010; Delbridge and Keenoy, 2010; Watson, 2010).</w:t>
      </w:r>
      <w:r w:rsidR="0059714D" w:rsidRPr="00DA644C">
        <w:rPr>
          <w:rFonts w:ascii="Arial" w:eastAsia="Arial" w:hAnsi="Arial" w:cs="Arial"/>
          <w:color w:val="FF0000"/>
          <w:sz w:val="24"/>
          <w:szCs w:val="24"/>
          <w:highlight w:val="white"/>
        </w:rPr>
        <w:t xml:space="preserve">  </w:t>
      </w:r>
      <w:r w:rsidR="00A742FB" w:rsidRPr="00DA644C">
        <w:rPr>
          <w:rFonts w:ascii="Arial" w:eastAsia="Arial" w:hAnsi="Arial" w:cs="Arial"/>
          <w:color w:val="FF0000"/>
          <w:sz w:val="24"/>
          <w:szCs w:val="24"/>
          <w:highlight w:val="white"/>
        </w:rPr>
        <w:t>Further</w:t>
      </w:r>
      <w:r w:rsidR="00416B9D">
        <w:rPr>
          <w:rFonts w:ascii="Arial" w:eastAsia="Arial" w:hAnsi="Arial" w:cs="Arial"/>
          <w:color w:val="FF0000"/>
          <w:sz w:val="24"/>
          <w:szCs w:val="24"/>
          <w:highlight w:val="white"/>
        </w:rPr>
        <w:t>,</w:t>
      </w:r>
      <w:r w:rsidR="00A742FB" w:rsidRPr="00DA644C">
        <w:rPr>
          <w:rFonts w:ascii="Arial" w:eastAsia="Arial" w:hAnsi="Arial" w:cs="Arial"/>
          <w:color w:val="FF0000"/>
          <w:sz w:val="24"/>
          <w:szCs w:val="24"/>
          <w:highlight w:val="white"/>
        </w:rPr>
        <w:t xml:space="preserve"> the</w:t>
      </w:r>
      <w:r w:rsidR="0059714D" w:rsidRPr="00DA644C">
        <w:rPr>
          <w:rFonts w:ascii="Arial" w:eastAsia="Arial" w:hAnsi="Arial" w:cs="Arial"/>
          <w:color w:val="FF0000"/>
          <w:sz w:val="24"/>
          <w:szCs w:val="24"/>
          <w:highlight w:val="white"/>
        </w:rPr>
        <w:t xml:space="preserve"> </w:t>
      </w:r>
      <w:r w:rsidR="0059714D" w:rsidRPr="00DA644C">
        <w:rPr>
          <w:rFonts w:ascii="Arial" w:eastAsia="Arial" w:hAnsi="Arial" w:cs="Arial"/>
          <w:color w:val="FF0000"/>
          <w:sz w:val="24"/>
          <w:szCs w:val="24"/>
        </w:rPr>
        <w:t xml:space="preserve">antecedents and backgrounds </w:t>
      </w:r>
      <w:r w:rsidR="00A742FB" w:rsidRPr="00DA644C">
        <w:rPr>
          <w:rFonts w:ascii="Arial" w:eastAsia="Arial" w:hAnsi="Arial" w:cs="Arial"/>
          <w:color w:val="FF0000"/>
          <w:sz w:val="24"/>
          <w:szCs w:val="24"/>
        </w:rPr>
        <w:t xml:space="preserve">explored here </w:t>
      </w:r>
      <w:r w:rsidR="0059714D" w:rsidRPr="00DA644C">
        <w:rPr>
          <w:rFonts w:ascii="Arial" w:eastAsia="Arial" w:hAnsi="Arial" w:cs="Arial"/>
          <w:color w:val="FF0000"/>
          <w:sz w:val="24"/>
          <w:szCs w:val="24"/>
        </w:rPr>
        <w:t>need to</w:t>
      </w:r>
      <w:r w:rsidR="00416B9D">
        <w:rPr>
          <w:rFonts w:ascii="Arial" w:eastAsia="Arial" w:hAnsi="Arial" w:cs="Arial"/>
          <w:color w:val="FF0000"/>
          <w:sz w:val="24"/>
          <w:szCs w:val="24"/>
        </w:rPr>
        <w:t xml:space="preserve"> be</w:t>
      </w:r>
      <w:r w:rsidR="0059714D" w:rsidRPr="00DA644C">
        <w:rPr>
          <w:rFonts w:ascii="Arial" w:eastAsia="Arial" w:hAnsi="Arial" w:cs="Arial"/>
          <w:color w:val="FF0000"/>
          <w:sz w:val="24"/>
          <w:szCs w:val="24"/>
        </w:rPr>
        <w:t xml:space="preserve"> </w:t>
      </w:r>
      <w:r w:rsidR="00A742FB" w:rsidRPr="00DA644C">
        <w:rPr>
          <w:rFonts w:ascii="Arial" w:eastAsia="Arial" w:hAnsi="Arial" w:cs="Arial"/>
          <w:color w:val="FF0000"/>
          <w:sz w:val="24"/>
          <w:szCs w:val="24"/>
        </w:rPr>
        <w:t>address</w:t>
      </w:r>
      <w:r w:rsidR="00416B9D">
        <w:rPr>
          <w:rFonts w:ascii="Arial" w:eastAsia="Arial" w:hAnsi="Arial" w:cs="Arial"/>
          <w:color w:val="FF0000"/>
          <w:sz w:val="24"/>
          <w:szCs w:val="24"/>
        </w:rPr>
        <w:t>ed</w:t>
      </w:r>
      <w:r w:rsidR="0059714D" w:rsidRPr="00DA644C">
        <w:rPr>
          <w:rFonts w:ascii="Arial" w:eastAsia="Arial" w:hAnsi="Arial" w:cs="Arial"/>
          <w:color w:val="FF0000"/>
          <w:sz w:val="24"/>
          <w:szCs w:val="24"/>
        </w:rPr>
        <w:t xml:space="preserve"> in order </w:t>
      </w:r>
      <w:r w:rsidR="00416B9D">
        <w:rPr>
          <w:rFonts w:ascii="Arial" w:eastAsia="Arial" w:hAnsi="Arial" w:cs="Arial"/>
          <w:color w:val="FF0000"/>
          <w:sz w:val="24"/>
          <w:szCs w:val="24"/>
        </w:rPr>
        <w:t xml:space="preserve">to </w:t>
      </w:r>
      <w:r w:rsidR="00A742FB" w:rsidRPr="00DA644C">
        <w:rPr>
          <w:rFonts w:ascii="Arial" w:eastAsia="Arial" w:hAnsi="Arial" w:cs="Arial"/>
          <w:color w:val="FF0000"/>
          <w:sz w:val="24"/>
          <w:szCs w:val="24"/>
        </w:rPr>
        <w:t xml:space="preserve">gain greater </w:t>
      </w:r>
      <w:r w:rsidR="0059714D" w:rsidRPr="00DA644C">
        <w:rPr>
          <w:rFonts w:ascii="Arial" w:eastAsia="Arial" w:hAnsi="Arial" w:cs="Arial"/>
          <w:color w:val="FF0000"/>
          <w:sz w:val="24"/>
          <w:szCs w:val="24"/>
        </w:rPr>
        <w:t>engage</w:t>
      </w:r>
      <w:r w:rsidR="00416B9D">
        <w:rPr>
          <w:rFonts w:ascii="Arial" w:eastAsia="Arial" w:hAnsi="Arial" w:cs="Arial"/>
          <w:color w:val="FF0000"/>
          <w:sz w:val="24"/>
          <w:szCs w:val="24"/>
        </w:rPr>
        <w:t>ment</w:t>
      </w:r>
      <w:r w:rsidR="0059714D" w:rsidRPr="00DA644C">
        <w:rPr>
          <w:rFonts w:ascii="Arial" w:eastAsia="Arial" w:hAnsi="Arial" w:cs="Arial"/>
          <w:color w:val="FF0000"/>
          <w:sz w:val="24"/>
          <w:szCs w:val="24"/>
        </w:rPr>
        <w:t xml:space="preserve"> in TF accreditation and professional development.</w:t>
      </w:r>
    </w:p>
    <w:p w14:paraId="635263EE" w14:textId="56C47ED2" w:rsidR="00934D7D" w:rsidRPr="00DA644C" w:rsidRDefault="00934D7D" w:rsidP="00934D7D">
      <w:pPr>
        <w:pBdr>
          <w:top w:val="nil"/>
          <w:left w:val="nil"/>
          <w:bottom w:val="nil"/>
          <w:right w:val="nil"/>
          <w:between w:val="nil"/>
        </w:pBdr>
        <w:spacing w:before="120" w:after="0" w:line="360" w:lineRule="auto"/>
        <w:jc w:val="both"/>
        <w:rPr>
          <w:rFonts w:ascii="Arial" w:eastAsia="Arial" w:hAnsi="Arial" w:cs="Arial"/>
          <w:color w:val="FF0000"/>
          <w:sz w:val="24"/>
          <w:szCs w:val="24"/>
          <w:highlight w:val="white"/>
        </w:rPr>
      </w:pPr>
      <w:r w:rsidRPr="00DA644C">
        <w:rPr>
          <w:rFonts w:ascii="Arial" w:eastAsia="Arial" w:hAnsi="Arial" w:cs="Arial"/>
          <w:color w:val="FF0000"/>
          <w:sz w:val="24"/>
          <w:szCs w:val="24"/>
          <w:highlight w:val="white"/>
        </w:rPr>
        <w:t>It is suggested that HRD is a weakened profession (Short, Keefer, and Stone, 2009) where HRD managers take on subservient role</w:t>
      </w:r>
      <w:r w:rsidR="009B5BD2">
        <w:rPr>
          <w:rFonts w:ascii="Arial" w:eastAsia="Arial" w:hAnsi="Arial" w:cs="Arial"/>
          <w:color w:val="FF0000"/>
          <w:sz w:val="24"/>
          <w:szCs w:val="24"/>
          <w:highlight w:val="white"/>
        </w:rPr>
        <w:t>s</w:t>
      </w:r>
      <w:r w:rsidR="00E845A4" w:rsidRPr="00DA644C">
        <w:rPr>
          <w:rFonts w:ascii="Arial" w:eastAsia="Arial" w:hAnsi="Arial" w:cs="Arial"/>
          <w:color w:val="FF0000"/>
          <w:sz w:val="24"/>
          <w:szCs w:val="24"/>
          <w:highlight w:val="white"/>
        </w:rPr>
        <w:t xml:space="preserve"> to senior staff</w:t>
      </w:r>
      <w:r w:rsidRPr="00DA644C">
        <w:rPr>
          <w:rFonts w:ascii="Arial" w:eastAsia="Arial" w:hAnsi="Arial" w:cs="Arial"/>
          <w:color w:val="FF0000"/>
          <w:sz w:val="24"/>
          <w:szCs w:val="24"/>
          <w:highlight w:val="white"/>
        </w:rPr>
        <w:t xml:space="preserve"> demonstrating the hegemonic nature of materialism and it advocates how easily power if not nurtured </w:t>
      </w:r>
      <w:r w:rsidR="00E845A4" w:rsidRPr="00DA644C">
        <w:rPr>
          <w:rFonts w:ascii="Arial" w:eastAsia="Arial" w:hAnsi="Arial" w:cs="Arial"/>
          <w:color w:val="FF0000"/>
          <w:sz w:val="24"/>
          <w:szCs w:val="24"/>
          <w:highlight w:val="white"/>
        </w:rPr>
        <w:t>slips away</w:t>
      </w:r>
      <w:r w:rsidRPr="00DA644C">
        <w:rPr>
          <w:rFonts w:ascii="Arial" w:eastAsia="Arial" w:hAnsi="Arial" w:cs="Arial"/>
          <w:color w:val="FF0000"/>
          <w:sz w:val="24"/>
          <w:szCs w:val="24"/>
          <w:highlight w:val="white"/>
        </w:rPr>
        <w:t xml:space="preserve"> from experts (Middlehurst and Kennie, 1997) particularly when operating within a cost focused culture.</w:t>
      </w:r>
    </w:p>
    <w:p w14:paraId="583CD892" w14:textId="1AF4316F" w:rsidR="00EC6DFF" w:rsidRPr="00DA644C" w:rsidRDefault="004D24B2" w:rsidP="00EC6DFF">
      <w:pPr>
        <w:pBdr>
          <w:top w:val="nil"/>
          <w:left w:val="nil"/>
          <w:bottom w:val="nil"/>
          <w:right w:val="nil"/>
          <w:between w:val="nil"/>
        </w:pBdr>
        <w:spacing w:before="120" w:after="0" w:line="360" w:lineRule="auto"/>
        <w:jc w:val="both"/>
        <w:rPr>
          <w:rFonts w:ascii="Arial" w:eastAsia="Arial" w:hAnsi="Arial" w:cs="Arial"/>
          <w:color w:val="FF0000"/>
          <w:sz w:val="24"/>
          <w:szCs w:val="24"/>
        </w:rPr>
      </w:pPr>
      <w:r w:rsidRPr="00DA644C">
        <w:rPr>
          <w:rFonts w:ascii="Arial" w:eastAsia="Arial" w:hAnsi="Arial" w:cs="Arial"/>
          <w:color w:val="FF0000"/>
          <w:sz w:val="24"/>
          <w:szCs w:val="24"/>
        </w:rPr>
        <w:t>This clearly highlights the need for greater understanding of the</w:t>
      </w:r>
      <w:r w:rsidR="00EC6DFF" w:rsidRPr="00DA644C">
        <w:rPr>
          <w:rFonts w:ascii="Arial" w:eastAsia="Arial" w:hAnsi="Arial" w:cs="Arial"/>
          <w:color w:val="FF0000"/>
          <w:sz w:val="24"/>
          <w:szCs w:val="24"/>
        </w:rPr>
        <w:t xml:space="preserve"> complex, dynamic and</w:t>
      </w:r>
      <w:r w:rsidRPr="00DA644C">
        <w:rPr>
          <w:rFonts w:ascii="Arial" w:eastAsia="Arial" w:hAnsi="Arial" w:cs="Arial"/>
          <w:color w:val="FF0000"/>
          <w:sz w:val="24"/>
          <w:szCs w:val="24"/>
        </w:rPr>
        <w:t xml:space="preserve"> diverse </w:t>
      </w:r>
      <w:r w:rsidR="00EC6DFF" w:rsidRPr="00DA644C">
        <w:rPr>
          <w:rFonts w:ascii="Arial" w:eastAsia="Arial" w:hAnsi="Arial" w:cs="Arial"/>
          <w:color w:val="FF0000"/>
          <w:sz w:val="24"/>
          <w:szCs w:val="24"/>
          <w:highlight w:val="white"/>
        </w:rPr>
        <w:t>HE environment</w:t>
      </w:r>
      <w:r w:rsidR="00EC6DFF" w:rsidRPr="00DA644C">
        <w:rPr>
          <w:rFonts w:ascii="Arial" w:eastAsia="Arial" w:hAnsi="Arial" w:cs="Arial"/>
          <w:color w:val="FF0000"/>
          <w:sz w:val="24"/>
          <w:szCs w:val="24"/>
        </w:rPr>
        <w:t xml:space="preserve"> and calls for more effective HRD strategies that build inclusive cultures of collaborative professional practice which c</w:t>
      </w:r>
      <w:r w:rsidR="00D96850">
        <w:rPr>
          <w:rFonts w:ascii="Arial" w:eastAsia="Arial" w:hAnsi="Arial" w:cs="Arial"/>
          <w:color w:val="FF0000"/>
          <w:sz w:val="24"/>
          <w:szCs w:val="24"/>
        </w:rPr>
        <w:t>h</w:t>
      </w:r>
      <w:r w:rsidR="00EC6DFF" w:rsidRPr="00DA644C">
        <w:rPr>
          <w:rFonts w:ascii="Arial" w:eastAsia="Arial" w:hAnsi="Arial" w:cs="Arial"/>
          <w:color w:val="FF0000"/>
          <w:sz w:val="24"/>
          <w:szCs w:val="24"/>
        </w:rPr>
        <w:t xml:space="preserve">ampion pedagogies and value community and public good (Naidoo and Williams, 2015; Hager, et al. 2018).  However, to do this HRD and the </w:t>
      </w:r>
      <w:r w:rsidR="0059714D" w:rsidRPr="00DA644C">
        <w:rPr>
          <w:rFonts w:ascii="Arial" w:eastAsia="Arial" w:hAnsi="Arial" w:cs="Arial"/>
          <w:color w:val="FF0000"/>
          <w:sz w:val="24"/>
          <w:szCs w:val="24"/>
        </w:rPr>
        <w:t>academic</w:t>
      </w:r>
      <w:r w:rsidR="00EC6DFF" w:rsidRPr="00DA644C">
        <w:rPr>
          <w:rFonts w:ascii="Arial" w:eastAsia="Arial" w:hAnsi="Arial" w:cs="Arial"/>
          <w:color w:val="FF0000"/>
          <w:sz w:val="24"/>
          <w:szCs w:val="24"/>
        </w:rPr>
        <w:t xml:space="preserve"> </w:t>
      </w:r>
      <w:r w:rsidR="0059714D" w:rsidRPr="00DA644C">
        <w:rPr>
          <w:rFonts w:ascii="Arial" w:eastAsia="Arial" w:hAnsi="Arial" w:cs="Arial"/>
          <w:color w:val="FF0000"/>
          <w:sz w:val="24"/>
          <w:szCs w:val="24"/>
        </w:rPr>
        <w:t>community</w:t>
      </w:r>
      <w:r w:rsidR="00EC6DFF" w:rsidRPr="00DA644C">
        <w:rPr>
          <w:rFonts w:ascii="Arial" w:eastAsia="Arial" w:hAnsi="Arial" w:cs="Arial"/>
          <w:color w:val="FF0000"/>
          <w:sz w:val="24"/>
          <w:szCs w:val="24"/>
        </w:rPr>
        <w:t xml:space="preserve"> need to challenge current norms.</w:t>
      </w:r>
    </w:p>
    <w:p w14:paraId="78A77ABA" w14:textId="77777777" w:rsidR="00291BD8" w:rsidRDefault="00291BD8">
      <w:pPr>
        <w:rPr>
          <w:rFonts w:ascii="Arial" w:eastAsia="Arial" w:hAnsi="Arial" w:cs="Arial"/>
          <w:b/>
          <w:sz w:val="24"/>
          <w:szCs w:val="24"/>
        </w:rPr>
      </w:pPr>
      <w:r>
        <w:rPr>
          <w:rFonts w:ascii="Arial" w:eastAsia="Arial" w:hAnsi="Arial" w:cs="Arial"/>
          <w:b/>
          <w:sz w:val="24"/>
          <w:szCs w:val="24"/>
        </w:rPr>
        <w:br w:type="page"/>
      </w:r>
    </w:p>
    <w:p w14:paraId="26ED7C35" w14:textId="3C252920" w:rsidR="008A3C75" w:rsidRDefault="004D24B2" w:rsidP="00775CFC">
      <w:pPr>
        <w:spacing w:before="80" w:after="80" w:line="240" w:lineRule="auto"/>
        <w:rPr>
          <w:rFonts w:ascii="Arial" w:eastAsia="Arial" w:hAnsi="Arial" w:cs="Arial"/>
          <w:sz w:val="24"/>
          <w:szCs w:val="24"/>
        </w:rPr>
      </w:pPr>
      <w:r>
        <w:rPr>
          <w:rFonts w:ascii="Arial" w:eastAsia="Arial" w:hAnsi="Arial" w:cs="Arial"/>
          <w:b/>
          <w:sz w:val="24"/>
          <w:szCs w:val="24"/>
        </w:rPr>
        <w:lastRenderedPageBreak/>
        <w:t>References</w:t>
      </w:r>
    </w:p>
    <w:p w14:paraId="3CAD0858" w14:textId="73061AD0" w:rsidR="00775CFC" w:rsidRPr="00775CFC" w:rsidRDefault="00775CFC" w:rsidP="00775CFC">
      <w:pPr>
        <w:spacing w:before="80" w:after="80" w:line="240" w:lineRule="auto"/>
        <w:rPr>
          <w:rFonts w:ascii="Arial" w:eastAsia="Arial" w:hAnsi="Arial" w:cs="Arial"/>
          <w:color w:val="FF0000"/>
          <w:sz w:val="24"/>
          <w:szCs w:val="24"/>
          <w:highlight w:val="white"/>
        </w:rPr>
      </w:pPr>
      <w:r w:rsidRPr="00775CFC">
        <w:rPr>
          <w:rFonts w:ascii="Arial" w:eastAsia="Arial" w:hAnsi="Arial" w:cs="Arial"/>
          <w:color w:val="FF0000"/>
          <w:sz w:val="24"/>
          <w:szCs w:val="24"/>
          <w:highlight w:val="white"/>
        </w:rPr>
        <w:t xml:space="preserve">Antonacopoulou, E. P. 2010. Making The Business School More ‘Critical’: Reflexive Critique Based on Phronesis as a Foundation for Impact. </w:t>
      </w:r>
      <w:r w:rsidRPr="00775CFC">
        <w:rPr>
          <w:rFonts w:ascii="Arial" w:eastAsia="Arial" w:hAnsi="Arial" w:cs="Arial"/>
          <w:i/>
          <w:iCs/>
          <w:color w:val="FF0000"/>
          <w:sz w:val="24"/>
          <w:szCs w:val="24"/>
          <w:highlight w:val="white"/>
        </w:rPr>
        <w:t>British Journal of</w:t>
      </w:r>
      <w:r w:rsidRPr="00775CFC">
        <w:rPr>
          <w:rFonts w:ascii="Arial" w:eastAsia="Arial" w:hAnsi="Arial" w:cs="Arial"/>
          <w:color w:val="FF0000"/>
          <w:sz w:val="24"/>
          <w:szCs w:val="24"/>
          <w:highlight w:val="white"/>
        </w:rPr>
        <w:t xml:space="preserve"> </w:t>
      </w:r>
      <w:r w:rsidRPr="00775CFC">
        <w:rPr>
          <w:rFonts w:ascii="Arial" w:eastAsia="Arial" w:hAnsi="Arial" w:cs="Arial"/>
          <w:i/>
          <w:iCs/>
          <w:color w:val="FF0000"/>
          <w:sz w:val="24"/>
          <w:szCs w:val="24"/>
          <w:highlight w:val="white"/>
        </w:rPr>
        <w:t>Management</w:t>
      </w:r>
      <w:r w:rsidRPr="00775CFC">
        <w:rPr>
          <w:rFonts w:ascii="Arial" w:eastAsia="Arial" w:hAnsi="Arial" w:cs="Arial"/>
          <w:color w:val="FF0000"/>
          <w:sz w:val="24"/>
          <w:szCs w:val="24"/>
          <w:highlight w:val="white"/>
        </w:rPr>
        <w:t xml:space="preserve"> 21: S6–S25. </w:t>
      </w:r>
    </w:p>
    <w:p w14:paraId="7FC2BA8B" w14:textId="77777777" w:rsidR="008A3C75" w:rsidRDefault="004D24B2">
      <w:pPr>
        <w:spacing w:before="80" w:after="80" w:line="240" w:lineRule="auto"/>
        <w:rPr>
          <w:rFonts w:ascii="Arial" w:eastAsia="Arial" w:hAnsi="Arial" w:cs="Arial"/>
          <w:sz w:val="24"/>
          <w:szCs w:val="24"/>
          <w:highlight w:val="white"/>
        </w:rPr>
      </w:pPr>
      <w:r>
        <w:rPr>
          <w:rFonts w:ascii="Arial" w:eastAsia="Arial" w:hAnsi="Arial" w:cs="Arial"/>
          <w:sz w:val="24"/>
          <w:szCs w:val="24"/>
          <w:highlight w:val="white"/>
        </w:rPr>
        <w:t>Albert</w:t>
      </w:r>
      <w:r>
        <w:rPr>
          <w:rFonts w:ascii="Arial" w:eastAsia="Arial" w:hAnsi="Arial" w:cs="Arial"/>
          <w:sz w:val="24"/>
          <w:szCs w:val="24"/>
        </w:rPr>
        <w:t xml:space="preserve">, </w:t>
      </w:r>
      <w:r>
        <w:rPr>
          <w:rFonts w:ascii="Arial" w:eastAsia="Arial" w:hAnsi="Arial" w:cs="Arial"/>
          <w:sz w:val="24"/>
          <w:szCs w:val="24"/>
          <w:highlight w:val="white"/>
        </w:rPr>
        <w:t xml:space="preserve">S. and Whetten, D. (2004), Organizational Identity. In: M. J. Hatch and M. Schultz (eds.), </w:t>
      </w:r>
      <w:r>
        <w:rPr>
          <w:rFonts w:ascii="Arial" w:eastAsia="Arial" w:hAnsi="Arial" w:cs="Arial"/>
          <w:i/>
          <w:sz w:val="24"/>
          <w:szCs w:val="24"/>
          <w:highlight w:val="white"/>
        </w:rPr>
        <w:t>Organizational Identity: A Reader</w:t>
      </w:r>
      <w:r>
        <w:rPr>
          <w:rFonts w:ascii="Arial" w:eastAsia="Arial" w:hAnsi="Arial" w:cs="Arial"/>
          <w:sz w:val="24"/>
          <w:szCs w:val="24"/>
          <w:highlight w:val="white"/>
        </w:rPr>
        <w:t>. pp. 89-118. Oxford: Oxford University Press.</w:t>
      </w:r>
    </w:p>
    <w:p w14:paraId="6C7B56A9"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highlight w:val="white"/>
        </w:rPr>
        <w:t>Angus. L., (2004), Globalization</w:t>
      </w:r>
      <w:r>
        <w:rPr>
          <w:rFonts w:ascii="Arial" w:eastAsia="Arial" w:hAnsi="Arial" w:cs="Arial"/>
          <w:sz w:val="24"/>
          <w:szCs w:val="24"/>
        </w:rPr>
        <w:t xml:space="preserve"> and educational change; bringing about the reshaping and re-norming of practice. </w:t>
      </w:r>
      <w:r>
        <w:rPr>
          <w:rFonts w:ascii="Arial" w:eastAsia="Arial" w:hAnsi="Arial" w:cs="Arial"/>
          <w:i/>
          <w:sz w:val="24"/>
          <w:szCs w:val="24"/>
        </w:rPr>
        <w:t>Journal Educational Policy,</w:t>
      </w:r>
      <w:r>
        <w:rPr>
          <w:rFonts w:ascii="Arial Unicode MS" w:eastAsia="Arial Unicode MS" w:hAnsi="Arial Unicode MS" w:cs="Arial Unicode MS"/>
          <w:sz w:val="24"/>
          <w:szCs w:val="24"/>
        </w:rPr>
        <w:t xml:space="preserve"> 19(1) 23−41</w:t>
      </w:r>
    </w:p>
    <w:p w14:paraId="52B88E73" w14:textId="77777777" w:rsidR="008A3C75" w:rsidRDefault="004D24B2">
      <w:pPr>
        <w:spacing w:after="0" w:line="240" w:lineRule="auto"/>
        <w:rPr>
          <w:rFonts w:ascii="Arial" w:eastAsia="Arial" w:hAnsi="Arial" w:cs="Arial"/>
          <w:sz w:val="24"/>
          <w:szCs w:val="24"/>
        </w:rPr>
      </w:pPr>
      <w:r>
        <w:rPr>
          <w:rFonts w:ascii="Arial" w:eastAsia="Arial" w:hAnsi="Arial" w:cs="Arial"/>
          <w:sz w:val="24"/>
          <w:szCs w:val="24"/>
        </w:rPr>
        <w:t>Alvesson, M. and Willmott, H. (1996), Making Sense of Management: A Critical Introduction, Sage, London.</w:t>
      </w:r>
    </w:p>
    <w:p w14:paraId="0D3DB1C4" w14:textId="77777777" w:rsidR="008A3C75" w:rsidRDefault="004D24B2">
      <w:pPr>
        <w:spacing w:before="80" w:after="80" w:line="240" w:lineRule="auto"/>
        <w:rPr>
          <w:rFonts w:ascii="Arial" w:eastAsia="Arial" w:hAnsi="Arial" w:cs="Arial"/>
          <w:sz w:val="24"/>
          <w:szCs w:val="24"/>
          <w:highlight w:val="white"/>
        </w:rPr>
      </w:pPr>
      <w:r>
        <w:rPr>
          <w:rFonts w:ascii="Arial" w:eastAsia="Arial" w:hAnsi="Arial" w:cs="Arial"/>
          <w:sz w:val="24"/>
          <w:szCs w:val="24"/>
          <w:highlight w:val="white"/>
        </w:rPr>
        <w:t>Bailey, C., Madden, A., Alfes, K. and Fletcher, L., 2017. The meaning, antecedents and outcomes of employee engagement: A narrative synthesis. </w:t>
      </w:r>
      <w:r>
        <w:rPr>
          <w:rFonts w:ascii="Arial" w:eastAsia="Arial" w:hAnsi="Arial" w:cs="Arial"/>
          <w:i/>
          <w:sz w:val="24"/>
          <w:szCs w:val="24"/>
          <w:highlight w:val="white"/>
        </w:rPr>
        <w:t>International Journal of Management Reviews</w:t>
      </w:r>
      <w:r>
        <w:rPr>
          <w:rFonts w:ascii="Arial" w:eastAsia="Arial" w:hAnsi="Arial" w:cs="Arial"/>
          <w:sz w:val="24"/>
          <w:szCs w:val="24"/>
          <w:highlight w:val="white"/>
        </w:rPr>
        <w:t>, </w:t>
      </w:r>
      <w:r>
        <w:rPr>
          <w:rFonts w:ascii="Arial" w:eastAsia="Arial" w:hAnsi="Arial" w:cs="Arial"/>
          <w:i/>
          <w:sz w:val="24"/>
          <w:szCs w:val="24"/>
          <w:highlight w:val="white"/>
        </w:rPr>
        <w:t>19</w:t>
      </w:r>
      <w:r>
        <w:rPr>
          <w:rFonts w:ascii="Arial" w:eastAsia="Arial" w:hAnsi="Arial" w:cs="Arial"/>
          <w:sz w:val="24"/>
          <w:szCs w:val="24"/>
          <w:highlight w:val="white"/>
        </w:rPr>
        <w:t>(1), pp.31-53</w:t>
      </w:r>
    </w:p>
    <w:p w14:paraId="12D95378"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Bainbridge, A., Gaitanidis, A. &amp; Hoult, E. (2018), When learning becomes a fetish: the pledge, turn and prestige of magic tricks, </w:t>
      </w:r>
      <w:r>
        <w:rPr>
          <w:rFonts w:ascii="Arial" w:eastAsia="Arial" w:hAnsi="Arial" w:cs="Arial"/>
          <w:i/>
          <w:sz w:val="24"/>
          <w:szCs w:val="24"/>
        </w:rPr>
        <w:t>Pedagogy, Culture &amp; Society</w:t>
      </w:r>
      <w:r>
        <w:rPr>
          <w:rFonts w:ascii="Arial" w:eastAsia="Arial" w:hAnsi="Arial" w:cs="Arial"/>
          <w:sz w:val="24"/>
          <w:szCs w:val="24"/>
        </w:rPr>
        <w:t xml:space="preserve">, 26:3, 345-361, DOI: 10.1080/14681366.2017.1403950 </w:t>
      </w:r>
    </w:p>
    <w:p w14:paraId="3663DCF7" w14:textId="77777777" w:rsidR="008A3C75" w:rsidRDefault="004D24B2">
      <w:pPr>
        <w:spacing w:before="80" w:after="80" w:line="240" w:lineRule="auto"/>
        <w:rPr>
          <w:rFonts w:ascii="Arial" w:eastAsia="Arial" w:hAnsi="Arial" w:cs="Arial"/>
          <w:sz w:val="24"/>
          <w:szCs w:val="24"/>
          <w:highlight w:val="white"/>
        </w:rPr>
      </w:pPr>
      <w:r>
        <w:rPr>
          <w:rFonts w:ascii="Arial" w:eastAsia="Arial" w:hAnsi="Arial" w:cs="Arial"/>
          <w:sz w:val="24"/>
          <w:szCs w:val="24"/>
          <w:highlight w:val="white"/>
        </w:rPr>
        <w:t xml:space="preserve">Ball, S.J. (2012), </w:t>
      </w:r>
      <w:r>
        <w:rPr>
          <w:rFonts w:ascii="Arial" w:eastAsia="Arial" w:hAnsi="Arial" w:cs="Arial"/>
          <w:i/>
          <w:sz w:val="24"/>
          <w:szCs w:val="24"/>
          <w:highlight w:val="white"/>
        </w:rPr>
        <w:t>Global Education Inc: New Policy Networks and the Neoliberal Imaginary</w:t>
      </w:r>
      <w:r>
        <w:rPr>
          <w:rFonts w:ascii="Arial" w:eastAsia="Arial" w:hAnsi="Arial" w:cs="Arial"/>
          <w:sz w:val="24"/>
          <w:szCs w:val="24"/>
          <w:highlight w:val="white"/>
        </w:rPr>
        <w:t>. Oxon, England: Taylor and Francis.</w:t>
      </w:r>
    </w:p>
    <w:p w14:paraId="3020B650"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Bargh, J. A.,Chen, M. and Burrows, L. (1996), Automaticity of social behaviour: Direct effects of trait construct and stereotype activation on action, </w:t>
      </w:r>
      <w:r>
        <w:rPr>
          <w:rFonts w:ascii="Arial" w:eastAsia="Arial" w:hAnsi="Arial" w:cs="Arial"/>
          <w:i/>
          <w:sz w:val="24"/>
          <w:szCs w:val="24"/>
        </w:rPr>
        <w:t>Journal of Personality and Social Psychology</w:t>
      </w:r>
      <w:r>
        <w:rPr>
          <w:rFonts w:ascii="Arial" w:eastAsia="Arial" w:hAnsi="Arial" w:cs="Arial"/>
          <w:sz w:val="24"/>
          <w:szCs w:val="24"/>
        </w:rPr>
        <w:t>, 71(2) 230-244</w:t>
      </w:r>
    </w:p>
    <w:p w14:paraId="71FEF8F2"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Bargh, C., (2000), </w:t>
      </w:r>
      <w:r>
        <w:rPr>
          <w:rFonts w:ascii="Arial" w:eastAsia="Arial" w:hAnsi="Arial" w:cs="Arial"/>
          <w:i/>
          <w:sz w:val="24"/>
          <w:szCs w:val="24"/>
        </w:rPr>
        <w:t>University leadership: The role of the chief executive</w:t>
      </w:r>
      <w:r>
        <w:rPr>
          <w:rFonts w:ascii="Arial" w:eastAsia="Arial" w:hAnsi="Arial" w:cs="Arial"/>
          <w:sz w:val="24"/>
          <w:szCs w:val="24"/>
        </w:rPr>
        <w:t xml:space="preserve">. Buckingham, England: SRHE and Open University Press. </w:t>
      </w:r>
    </w:p>
    <w:p w14:paraId="5DA14C9B"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Barkas, L. A., Scott, J. M., Poppitt, N. J. &amp; Smith, P. J. (2019), Tinker, tailor, policy-maker: Can the UK government’s teaching excellence framework deliver its objectives? </w:t>
      </w:r>
      <w:r>
        <w:rPr>
          <w:rFonts w:ascii="Arial" w:eastAsia="Arial" w:hAnsi="Arial" w:cs="Arial"/>
          <w:i/>
          <w:sz w:val="24"/>
          <w:szCs w:val="24"/>
        </w:rPr>
        <w:t>Journal of Further and Higher Education</w:t>
      </w:r>
      <w:r>
        <w:rPr>
          <w:rFonts w:ascii="Arial" w:eastAsia="Arial" w:hAnsi="Arial" w:cs="Arial"/>
          <w:sz w:val="24"/>
          <w:szCs w:val="24"/>
        </w:rPr>
        <w:t>, 43(6), 801–813. doi:10.1080/0309877X.2017.1408789 Pdf</w:t>
      </w:r>
    </w:p>
    <w:p w14:paraId="1004B758" w14:textId="77777777" w:rsidR="008A3C75" w:rsidRDefault="004D24B2">
      <w:pPr>
        <w:spacing w:before="80" w:after="80" w:line="240" w:lineRule="auto"/>
        <w:rPr>
          <w:rFonts w:ascii="Arial" w:eastAsia="Arial" w:hAnsi="Arial" w:cs="Arial"/>
          <w:sz w:val="24"/>
          <w:szCs w:val="24"/>
          <w:highlight w:val="white"/>
        </w:rPr>
      </w:pPr>
      <w:r>
        <w:rPr>
          <w:rFonts w:ascii="Arial" w:eastAsia="Arial" w:hAnsi="Arial" w:cs="Arial"/>
          <w:sz w:val="24"/>
          <w:szCs w:val="24"/>
          <w:highlight w:val="white"/>
        </w:rPr>
        <w:t>Barkhuizen, N. and Rothmann, S., (2006), Work engagement of academic staff in South African higher education institutions. </w:t>
      </w:r>
      <w:r>
        <w:rPr>
          <w:rFonts w:ascii="Arial" w:eastAsia="Arial" w:hAnsi="Arial" w:cs="Arial"/>
          <w:i/>
          <w:sz w:val="24"/>
          <w:szCs w:val="24"/>
          <w:highlight w:val="white"/>
        </w:rPr>
        <w:t>Management Dynamics: Journal of the Southern African Institute for Management Scientists</w:t>
      </w:r>
      <w:r>
        <w:rPr>
          <w:rFonts w:ascii="Arial" w:eastAsia="Arial" w:hAnsi="Arial" w:cs="Arial"/>
          <w:sz w:val="24"/>
          <w:szCs w:val="24"/>
          <w:highlight w:val="white"/>
        </w:rPr>
        <w:t>, </w:t>
      </w:r>
      <w:r>
        <w:rPr>
          <w:rFonts w:ascii="Arial" w:eastAsia="Arial" w:hAnsi="Arial" w:cs="Arial"/>
          <w:i/>
          <w:sz w:val="24"/>
          <w:szCs w:val="24"/>
          <w:highlight w:val="white"/>
        </w:rPr>
        <w:t>15</w:t>
      </w:r>
      <w:r>
        <w:rPr>
          <w:rFonts w:ascii="Arial" w:eastAsia="Arial" w:hAnsi="Arial" w:cs="Arial"/>
          <w:sz w:val="24"/>
          <w:szCs w:val="24"/>
          <w:highlight w:val="white"/>
        </w:rPr>
        <w:t>(1), pp.38-46.</w:t>
      </w:r>
    </w:p>
    <w:p w14:paraId="1FFA6710"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Bauman, Z. (2005), “Education in Liquid Modernity”, </w:t>
      </w:r>
      <w:r>
        <w:rPr>
          <w:rFonts w:ascii="Arial" w:eastAsia="Arial" w:hAnsi="Arial" w:cs="Arial"/>
          <w:i/>
          <w:sz w:val="24"/>
          <w:szCs w:val="24"/>
        </w:rPr>
        <w:t>Review of Education, Pedagogy and Cultural Studies</w:t>
      </w:r>
      <w:r>
        <w:rPr>
          <w:rFonts w:ascii="Arial" w:eastAsia="Arial" w:hAnsi="Arial" w:cs="Arial"/>
          <w:sz w:val="24"/>
          <w:szCs w:val="24"/>
        </w:rPr>
        <w:t xml:space="preserve"> 27 (4): 303–317. </w:t>
      </w:r>
    </w:p>
    <w:p w14:paraId="0CD91BB1" w14:textId="77B9798B" w:rsidR="00E270F3" w:rsidRPr="00E270F3" w:rsidRDefault="00E270F3" w:rsidP="00E270F3">
      <w:pPr>
        <w:spacing w:before="80" w:after="80" w:line="240" w:lineRule="auto"/>
        <w:rPr>
          <w:rFonts w:ascii="Arial" w:eastAsia="Arial" w:hAnsi="Arial" w:cs="Arial"/>
          <w:color w:val="FF0000"/>
          <w:sz w:val="24"/>
          <w:szCs w:val="24"/>
          <w:shd w:val="clear" w:color="auto" w:fill="FCFCFC"/>
        </w:rPr>
      </w:pPr>
      <w:r w:rsidRPr="00E270F3">
        <w:rPr>
          <w:rFonts w:ascii="Arial" w:eastAsia="Arial" w:hAnsi="Arial" w:cs="Arial"/>
          <w:color w:val="FF0000"/>
          <w:sz w:val="24"/>
          <w:szCs w:val="24"/>
          <w:shd w:val="clear" w:color="auto" w:fill="FCFCFC"/>
        </w:rPr>
        <w:t>Bennis, W., and O’Toole</w:t>
      </w:r>
      <w:r>
        <w:rPr>
          <w:rFonts w:ascii="Arial" w:eastAsia="Arial" w:hAnsi="Arial" w:cs="Arial"/>
          <w:color w:val="FF0000"/>
          <w:sz w:val="24"/>
          <w:szCs w:val="24"/>
          <w:shd w:val="clear" w:color="auto" w:fill="FCFCFC"/>
        </w:rPr>
        <w:t>,</w:t>
      </w:r>
      <w:r w:rsidRPr="00E270F3">
        <w:rPr>
          <w:rFonts w:ascii="Arial" w:eastAsia="Arial" w:hAnsi="Arial" w:cs="Arial"/>
          <w:color w:val="FF0000"/>
          <w:sz w:val="24"/>
          <w:szCs w:val="24"/>
          <w:shd w:val="clear" w:color="auto" w:fill="FCFCFC"/>
        </w:rPr>
        <w:t xml:space="preserve"> T. </w:t>
      </w:r>
      <w:r>
        <w:rPr>
          <w:rFonts w:ascii="Arial" w:eastAsia="Arial" w:hAnsi="Arial" w:cs="Arial"/>
          <w:color w:val="FF0000"/>
          <w:sz w:val="24"/>
          <w:szCs w:val="24"/>
          <w:shd w:val="clear" w:color="auto" w:fill="FCFCFC"/>
        </w:rPr>
        <w:t>(</w:t>
      </w:r>
      <w:r w:rsidRPr="00E270F3">
        <w:rPr>
          <w:rFonts w:ascii="Arial" w:eastAsia="Arial" w:hAnsi="Arial" w:cs="Arial"/>
          <w:color w:val="FF0000"/>
          <w:sz w:val="24"/>
          <w:szCs w:val="24"/>
          <w:shd w:val="clear" w:color="auto" w:fill="FCFCFC"/>
        </w:rPr>
        <w:t>2005</w:t>
      </w:r>
      <w:r>
        <w:rPr>
          <w:rFonts w:ascii="Arial" w:eastAsia="Arial" w:hAnsi="Arial" w:cs="Arial"/>
          <w:color w:val="FF0000"/>
          <w:sz w:val="24"/>
          <w:szCs w:val="24"/>
          <w:shd w:val="clear" w:color="auto" w:fill="FCFCFC"/>
        </w:rPr>
        <w:t>)</w:t>
      </w:r>
      <w:r w:rsidRPr="00E270F3">
        <w:rPr>
          <w:rFonts w:ascii="Arial" w:eastAsia="Arial" w:hAnsi="Arial" w:cs="Arial"/>
          <w:color w:val="FF0000"/>
          <w:sz w:val="24"/>
          <w:szCs w:val="24"/>
          <w:shd w:val="clear" w:color="auto" w:fill="FCFCFC"/>
        </w:rPr>
        <w:t>. “How Business Schools Lost Their Way.” Harvard Business</w:t>
      </w:r>
      <w:r>
        <w:rPr>
          <w:rFonts w:ascii="Arial" w:eastAsia="Arial" w:hAnsi="Arial" w:cs="Arial"/>
          <w:color w:val="FF0000"/>
          <w:sz w:val="24"/>
          <w:szCs w:val="24"/>
          <w:shd w:val="clear" w:color="auto" w:fill="FCFCFC"/>
        </w:rPr>
        <w:t xml:space="preserve"> </w:t>
      </w:r>
      <w:r w:rsidRPr="00E270F3">
        <w:rPr>
          <w:rFonts w:ascii="Arial" w:eastAsia="Arial" w:hAnsi="Arial" w:cs="Arial"/>
          <w:color w:val="FF0000"/>
          <w:sz w:val="24"/>
          <w:szCs w:val="24"/>
          <w:shd w:val="clear" w:color="auto" w:fill="FCFCFC"/>
        </w:rPr>
        <w:t>Review 83: 96–104.</w:t>
      </w:r>
    </w:p>
    <w:p w14:paraId="64509E36"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Beverungen, A., Dunne, S. and Sørensen, B.M., 2008. University, failed. Ephemera. </w:t>
      </w:r>
      <w:r>
        <w:rPr>
          <w:rFonts w:ascii="Arial" w:eastAsia="Arial" w:hAnsi="Arial" w:cs="Arial"/>
          <w:i/>
          <w:sz w:val="24"/>
          <w:szCs w:val="24"/>
        </w:rPr>
        <w:t>Theory &amp; Politics in Organization</w:t>
      </w:r>
      <w:r>
        <w:rPr>
          <w:rFonts w:ascii="Arial" w:eastAsia="Arial" w:hAnsi="Arial" w:cs="Arial"/>
          <w:sz w:val="24"/>
          <w:szCs w:val="24"/>
        </w:rPr>
        <w:t>, 8(3), pp.8-3.</w:t>
      </w:r>
    </w:p>
    <w:p w14:paraId="03D26FD0" w14:textId="77777777" w:rsidR="008A3C75" w:rsidRDefault="004D24B2">
      <w:pPr>
        <w:spacing w:before="80" w:after="80" w:line="240" w:lineRule="auto"/>
        <w:rPr>
          <w:rFonts w:ascii="Arial" w:eastAsia="Arial" w:hAnsi="Arial" w:cs="Arial"/>
          <w:sz w:val="24"/>
          <w:szCs w:val="24"/>
          <w:highlight w:val="white"/>
        </w:rPr>
      </w:pPr>
      <w:r>
        <w:rPr>
          <w:rFonts w:ascii="Arial" w:eastAsia="Arial" w:hAnsi="Arial" w:cs="Arial"/>
          <w:sz w:val="24"/>
          <w:szCs w:val="24"/>
          <w:highlight w:val="white"/>
        </w:rPr>
        <w:t xml:space="preserve">BIS (2016), </w:t>
      </w:r>
      <w:r>
        <w:rPr>
          <w:rFonts w:ascii="Arial" w:eastAsia="Arial" w:hAnsi="Arial" w:cs="Arial"/>
          <w:i/>
          <w:sz w:val="24"/>
          <w:szCs w:val="24"/>
          <w:highlight w:val="white"/>
        </w:rPr>
        <w:t>Teaching Excellence Framework</w:t>
      </w:r>
      <w:r>
        <w:rPr>
          <w:rFonts w:ascii="Arial" w:eastAsia="Arial" w:hAnsi="Arial" w:cs="Arial"/>
          <w:sz w:val="24"/>
          <w:szCs w:val="24"/>
          <w:highlight w:val="white"/>
        </w:rPr>
        <w:t xml:space="preserve">, </w:t>
      </w:r>
      <w:hyperlink r:id="rId9">
        <w:r>
          <w:rPr>
            <w:rFonts w:ascii="Arial" w:eastAsia="Arial" w:hAnsi="Arial" w:cs="Arial"/>
            <w:color w:val="000000"/>
            <w:sz w:val="24"/>
            <w:szCs w:val="24"/>
            <w:u w:val="single"/>
          </w:rPr>
          <w:t>https://www.gov.uk/Government/consultations/teaching-excellence-framework-year-2-technical-consultation</w:t>
        </w:r>
      </w:hyperlink>
      <w:r>
        <w:rPr>
          <w:rFonts w:ascii="Arial" w:eastAsia="Arial" w:hAnsi="Arial" w:cs="Arial"/>
          <w:sz w:val="24"/>
          <w:szCs w:val="24"/>
        </w:rPr>
        <w:t xml:space="preserve"> </w:t>
      </w:r>
      <w:r>
        <w:rPr>
          <w:rFonts w:ascii="Arial" w:eastAsia="Arial" w:hAnsi="Arial" w:cs="Arial"/>
          <w:sz w:val="24"/>
          <w:szCs w:val="24"/>
          <w:highlight w:val="white"/>
        </w:rPr>
        <w:t>[Accessed 18 October 2019]</w:t>
      </w:r>
    </w:p>
    <w:p w14:paraId="3B182B25" w14:textId="77777777" w:rsidR="008A3C75" w:rsidRDefault="004D24B2">
      <w:pPr>
        <w:spacing w:before="80" w:after="80" w:line="240" w:lineRule="auto"/>
        <w:rPr>
          <w:rFonts w:ascii="Arial" w:eastAsia="Arial" w:hAnsi="Arial" w:cs="Arial"/>
          <w:sz w:val="24"/>
          <w:szCs w:val="24"/>
        </w:rPr>
      </w:pPr>
      <w:bookmarkStart w:id="8" w:name="_1t3h5sf" w:colFirst="0" w:colLast="0"/>
      <w:bookmarkEnd w:id="8"/>
      <w:r>
        <w:rPr>
          <w:rFonts w:ascii="Arial" w:eastAsia="Arial" w:hAnsi="Arial" w:cs="Arial"/>
          <w:sz w:val="24"/>
          <w:szCs w:val="24"/>
        </w:rPr>
        <w:t xml:space="preserve">Bhoyrub, J., Hurley, J., Neilson, G. R., Ramsay, M., &amp; Smith, M. (2010), Heutagogy: An alternative practice-based learning approach. </w:t>
      </w:r>
      <w:r>
        <w:rPr>
          <w:rFonts w:ascii="Arial" w:eastAsia="Arial" w:hAnsi="Arial" w:cs="Arial"/>
          <w:i/>
          <w:sz w:val="24"/>
          <w:szCs w:val="24"/>
        </w:rPr>
        <w:t>Nurse Education in Practice</w:t>
      </w:r>
      <w:r>
        <w:rPr>
          <w:rFonts w:ascii="Arial" w:eastAsia="Arial" w:hAnsi="Arial" w:cs="Arial"/>
          <w:sz w:val="24"/>
          <w:szCs w:val="24"/>
        </w:rPr>
        <w:t>, 10(6), 322-326.</w:t>
      </w:r>
    </w:p>
    <w:p w14:paraId="293C0734" w14:textId="77777777" w:rsidR="008A3C75" w:rsidRDefault="004D24B2">
      <w:pPr>
        <w:spacing w:before="80" w:after="80" w:line="240" w:lineRule="auto"/>
        <w:rPr>
          <w:rFonts w:ascii="Arial" w:eastAsia="Arial" w:hAnsi="Arial" w:cs="Arial"/>
          <w:sz w:val="24"/>
          <w:szCs w:val="24"/>
          <w:highlight w:val="white"/>
        </w:rPr>
      </w:pPr>
      <w:r>
        <w:rPr>
          <w:rFonts w:ascii="Arial" w:eastAsia="Arial" w:hAnsi="Arial" w:cs="Arial"/>
          <w:sz w:val="24"/>
          <w:szCs w:val="24"/>
          <w:highlight w:val="white"/>
        </w:rPr>
        <w:t>Bolden, G.B., 2009. Implementing incipient actions: The discourse marker ‘so’ in English conversation. </w:t>
      </w:r>
      <w:r>
        <w:rPr>
          <w:rFonts w:ascii="Arial" w:eastAsia="Arial" w:hAnsi="Arial" w:cs="Arial"/>
          <w:i/>
          <w:sz w:val="24"/>
          <w:szCs w:val="24"/>
          <w:highlight w:val="white"/>
        </w:rPr>
        <w:t>Journal of pragmatics</w:t>
      </w:r>
      <w:r>
        <w:rPr>
          <w:rFonts w:ascii="Arial" w:eastAsia="Arial" w:hAnsi="Arial" w:cs="Arial"/>
          <w:sz w:val="24"/>
          <w:szCs w:val="24"/>
          <w:highlight w:val="white"/>
        </w:rPr>
        <w:t>, </w:t>
      </w:r>
      <w:r>
        <w:rPr>
          <w:rFonts w:ascii="Arial" w:eastAsia="Arial" w:hAnsi="Arial" w:cs="Arial"/>
          <w:i/>
          <w:sz w:val="24"/>
          <w:szCs w:val="24"/>
          <w:highlight w:val="white"/>
        </w:rPr>
        <w:t>41</w:t>
      </w:r>
      <w:r>
        <w:rPr>
          <w:rFonts w:ascii="Arial" w:eastAsia="Arial" w:hAnsi="Arial" w:cs="Arial"/>
          <w:sz w:val="24"/>
          <w:szCs w:val="24"/>
          <w:highlight w:val="white"/>
        </w:rPr>
        <w:t>(5), pp.974-998.</w:t>
      </w:r>
    </w:p>
    <w:p w14:paraId="7EED2AC8" w14:textId="77777777" w:rsidR="008A3C75" w:rsidRDefault="004D24B2">
      <w:pPr>
        <w:spacing w:before="80" w:after="80" w:line="240" w:lineRule="auto"/>
        <w:rPr>
          <w:rFonts w:ascii="Arial" w:eastAsia="Arial" w:hAnsi="Arial" w:cs="Arial"/>
          <w:sz w:val="24"/>
          <w:szCs w:val="24"/>
          <w:highlight w:val="white"/>
        </w:rPr>
      </w:pPr>
      <w:r>
        <w:rPr>
          <w:rFonts w:ascii="Arial" w:eastAsia="Arial" w:hAnsi="Arial" w:cs="Arial"/>
          <w:sz w:val="24"/>
          <w:szCs w:val="24"/>
          <w:highlight w:val="white"/>
        </w:rPr>
        <w:lastRenderedPageBreak/>
        <w:t xml:space="preserve">Bolden, R., Gosling, J., &amp; O'Brien, A. (2014), </w:t>
      </w:r>
      <w:r>
        <w:rPr>
          <w:rFonts w:ascii="Arial" w:eastAsia="Arial" w:hAnsi="Arial" w:cs="Arial"/>
          <w:sz w:val="24"/>
          <w:szCs w:val="24"/>
        </w:rPr>
        <w:t>Leadership and citizenship in higher education</w:t>
      </w:r>
      <w:r>
        <w:rPr>
          <w:rFonts w:ascii="Arial" w:eastAsia="Arial" w:hAnsi="Arial" w:cs="Arial"/>
          <w:sz w:val="24"/>
          <w:szCs w:val="24"/>
          <w:highlight w:val="white"/>
        </w:rPr>
        <w:t>. Citizens of the academic community? A societal perspective on leadership in UK higher education. </w:t>
      </w:r>
      <w:r>
        <w:rPr>
          <w:rFonts w:ascii="Arial" w:eastAsia="Arial" w:hAnsi="Arial" w:cs="Arial"/>
          <w:i/>
          <w:sz w:val="24"/>
          <w:szCs w:val="24"/>
          <w:highlight w:val="white"/>
        </w:rPr>
        <w:t>Studies in Higher Education</w:t>
      </w:r>
      <w:r>
        <w:rPr>
          <w:rFonts w:ascii="Arial" w:eastAsia="Arial" w:hAnsi="Arial" w:cs="Arial"/>
          <w:sz w:val="24"/>
          <w:szCs w:val="24"/>
          <w:highlight w:val="white"/>
        </w:rPr>
        <w:t>, </w:t>
      </w:r>
      <w:r>
        <w:rPr>
          <w:rFonts w:ascii="Arial" w:eastAsia="Arial" w:hAnsi="Arial" w:cs="Arial"/>
          <w:i/>
          <w:sz w:val="24"/>
          <w:szCs w:val="24"/>
          <w:highlight w:val="white"/>
        </w:rPr>
        <w:t>39</w:t>
      </w:r>
      <w:r>
        <w:rPr>
          <w:rFonts w:ascii="Arial" w:eastAsia="Arial" w:hAnsi="Arial" w:cs="Arial"/>
          <w:sz w:val="24"/>
          <w:szCs w:val="24"/>
          <w:highlight w:val="white"/>
        </w:rPr>
        <w:t>(5), 754-770</w:t>
      </w:r>
    </w:p>
    <w:p w14:paraId="6B8F3323" w14:textId="77777777" w:rsidR="008A3C75" w:rsidRDefault="004D24B2">
      <w:pPr>
        <w:shd w:val="clear" w:color="auto" w:fill="FFFFFF"/>
        <w:spacing w:before="80" w:after="80" w:line="240" w:lineRule="auto"/>
        <w:jc w:val="both"/>
        <w:rPr>
          <w:rFonts w:ascii="Arial" w:eastAsia="Arial" w:hAnsi="Arial" w:cs="Arial"/>
          <w:sz w:val="24"/>
          <w:szCs w:val="24"/>
          <w:highlight w:val="white"/>
        </w:rPr>
      </w:pPr>
      <w:r>
        <w:rPr>
          <w:rFonts w:ascii="Arial" w:eastAsia="Arial" w:hAnsi="Arial" w:cs="Arial"/>
          <w:sz w:val="24"/>
          <w:szCs w:val="24"/>
          <w:highlight w:val="white"/>
        </w:rPr>
        <w:t>Boyd, C. M., Bakker, A. B., Pignata, S., Winefield, A. H., Gillespie, N., &amp; Stough, C. (2011), A Longitudinal Test of the Job Demands</w:t>
      </w:r>
      <w:r>
        <w:rPr>
          <w:rFonts w:ascii="Cambria Math" w:eastAsia="Cambria Math" w:hAnsi="Cambria Math" w:cs="Cambria Math"/>
          <w:sz w:val="24"/>
          <w:szCs w:val="24"/>
          <w:highlight w:val="white"/>
        </w:rPr>
        <w:t>‐</w:t>
      </w:r>
      <w:r>
        <w:rPr>
          <w:rFonts w:ascii="Arial" w:eastAsia="Arial" w:hAnsi="Arial" w:cs="Arial"/>
          <w:sz w:val="24"/>
          <w:szCs w:val="24"/>
          <w:highlight w:val="white"/>
        </w:rPr>
        <w:t>Resources Model among Australian University Academics. </w:t>
      </w:r>
      <w:r>
        <w:rPr>
          <w:rFonts w:ascii="Arial" w:eastAsia="Arial" w:hAnsi="Arial" w:cs="Arial"/>
          <w:i/>
          <w:sz w:val="24"/>
          <w:szCs w:val="24"/>
          <w:highlight w:val="white"/>
        </w:rPr>
        <w:t>Applied psychology</w:t>
      </w:r>
      <w:r>
        <w:rPr>
          <w:rFonts w:ascii="Arial" w:eastAsia="Arial" w:hAnsi="Arial" w:cs="Arial"/>
          <w:sz w:val="24"/>
          <w:szCs w:val="24"/>
          <w:highlight w:val="white"/>
        </w:rPr>
        <w:t>, </w:t>
      </w:r>
      <w:r>
        <w:rPr>
          <w:rFonts w:ascii="Arial" w:eastAsia="Arial" w:hAnsi="Arial" w:cs="Arial"/>
          <w:i/>
          <w:sz w:val="24"/>
          <w:szCs w:val="24"/>
          <w:highlight w:val="white"/>
        </w:rPr>
        <w:t>60</w:t>
      </w:r>
      <w:r>
        <w:rPr>
          <w:rFonts w:ascii="Arial" w:eastAsia="Arial" w:hAnsi="Arial" w:cs="Arial"/>
          <w:sz w:val="24"/>
          <w:szCs w:val="24"/>
          <w:highlight w:val="white"/>
        </w:rPr>
        <w:t>(1), 112-140.</w:t>
      </w:r>
    </w:p>
    <w:p w14:paraId="5CCC234D" w14:textId="77777777" w:rsidR="000676F6" w:rsidRPr="000676F6" w:rsidRDefault="000676F6" w:rsidP="000676F6">
      <w:pPr>
        <w:shd w:val="clear" w:color="auto" w:fill="FFFFFF"/>
        <w:spacing w:before="80" w:after="80" w:line="240" w:lineRule="auto"/>
        <w:jc w:val="both"/>
        <w:rPr>
          <w:rFonts w:ascii="Arial" w:eastAsia="Arial" w:hAnsi="Arial" w:cs="Arial"/>
          <w:color w:val="FF0000"/>
          <w:sz w:val="24"/>
          <w:szCs w:val="24"/>
          <w:highlight w:val="white"/>
        </w:rPr>
      </w:pPr>
      <w:r w:rsidRPr="000676F6">
        <w:rPr>
          <w:rFonts w:ascii="Arial" w:eastAsia="Arial" w:hAnsi="Arial" w:cs="Arial"/>
          <w:color w:val="FF0000"/>
          <w:sz w:val="24"/>
          <w:szCs w:val="24"/>
          <w:highlight w:val="white"/>
        </w:rPr>
        <w:t>Barcan, R. (2013). Academic Life and Labour in the New University: Hope and other Choices. Farnham: Ashgate. </w:t>
      </w:r>
      <w:hyperlink r:id="rId10" w:history="1">
        <w:r w:rsidRPr="000676F6">
          <w:rPr>
            <w:rFonts w:ascii="Arial" w:eastAsia="Arial" w:hAnsi="Arial" w:cs="Arial"/>
            <w:color w:val="FF0000"/>
            <w:sz w:val="24"/>
            <w:szCs w:val="24"/>
            <w:highlight w:val="white"/>
          </w:rPr>
          <w:t> </w:t>
        </w:r>
      </w:hyperlink>
    </w:p>
    <w:p w14:paraId="6FA9C8E9" w14:textId="77777777" w:rsidR="008A3C75" w:rsidRDefault="004D24B2">
      <w:pPr>
        <w:spacing w:before="80" w:after="80" w:line="240" w:lineRule="auto"/>
        <w:rPr>
          <w:rFonts w:ascii="Arial" w:eastAsia="Arial" w:hAnsi="Arial" w:cs="Arial"/>
          <w:sz w:val="24"/>
          <w:szCs w:val="24"/>
          <w:highlight w:val="white"/>
        </w:rPr>
      </w:pPr>
      <w:r>
        <w:rPr>
          <w:rFonts w:ascii="Arial" w:eastAsia="Arial" w:hAnsi="Arial" w:cs="Arial"/>
          <w:sz w:val="24"/>
          <w:szCs w:val="24"/>
          <w:highlight w:val="white"/>
        </w:rPr>
        <w:t xml:space="preserve">Brandenburg, U., &amp; de Wit, H. (2011), The end of internationalization. </w:t>
      </w:r>
      <w:r>
        <w:rPr>
          <w:rFonts w:ascii="Arial" w:eastAsia="Arial" w:hAnsi="Arial" w:cs="Arial"/>
          <w:i/>
          <w:sz w:val="24"/>
          <w:szCs w:val="24"/>
          <w:highlight w:val="white"/>
        </w:rPr>
        <w:t>International Higher Education</w:t>
      </w:r>
      <w:r>
        <w:rPr>
          <w:rFonts w:ascii="Arial" w:eastAsia="Arial" w:hAnsi="Arial" w:cs="Arial"/>
          <w:sz w:val="24"/>
          <w:szCs w:val="24"/>
          <w:highlight w:val="white"/>
        </w:rPr>
        <w:t xml:space="preserve">, 62, 15–17. </w:t>
      </w:r>
    </w:p>
    <w:p w14:paraId="5F8D94F1"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Briggs, S. (2012), Changing roles and competencies of academics. </w:t>
      </w:r>
      <w:r>
        <w:rPr>
          <w:rFonts w:ascii="Arial" w:eastAsia="Arial" w:hAnsi="Arial" w:cs="Arial"/>
          <w:i/>
          <w:sz w:val="24"/>
          <w:szCs w:val="24"/>
        </w:rPr>
        <w:t>Active Learning in Higher Education, 13</w:t>
      </w:r>
      <w:r>
        <w:rPr>
          <w:rFonts w:ascii="Arial" w:eastAsia="Arial" w:hAnsi="Arial" w:cs="Arial"/>
          <w:sz w:val="24"/>
          <w:szCs w:val="24"/>
        </w:rPr>
        <w:t>(3), 256–268.</w:t>
      </w:r>
    </w:p>
    <w:p w14:paraId="5597DCF5" w14:textId="77777777" w:rsidR="008A3C75" w:rsidRDefault="004D24B2">
      <w:p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Broadnax, W. D., and Conway, K. J. (2001). The social security administration and performance management. In Quicker, better, cheaper: Managing performance in American government, ed. D. Forsythe, 143–75. Albany, NY: Rockefeller Institute Press. </w:t>
      </w:r>
    </w:p>
    <w:p w14:paraId="73AA7F8C" w14:textId="77777777" w:rsidR="00D65E62" w:rsidRPr="00D65E62" w:rsidRDefault="00D65E62" w:rsidP="00D65E62">
      <w:pPr>
        <w:spacing w:before="80" w:after="80" w:line="240" w:lineRule="auto"/>
        <w:rPr>
          <w:rFonts w:ascii="Arial" w:eastAsia="Arial" w:hAnsi="Arial" w:cs="Arial"/>
          <w:color w:val="FF0000"/>
          <w:sz w:val="24"/>
          <w:szCs w:val="24"/>
          <w:shd w:val="clear" w:color="auto" w:fill="FCFCFC"/>
        </w:rPr>
      </w:pPr>
      <w:r w:rsidRPr="00D65E62">
        <w:rPr>
          <w:rFonts w:ascii="Arial" w:eastAsia="Arial" w:hAnsi="Arial" w:cs="Arial"/>
          <w:color w:val="FF0000"/>
          <w:sz w:val="24"/>
          <w:szCs w:val="24"/>
          <w:shd w:val="clear" w:color="auto" w:fill="FCFCFC"/>
        </w:rPr>
        <w:t xml:space="preserve">Brown, W. (2003). Neoliberalism and the end of democracy. Theory &amp; Event 7(1). </w:t>
      </w:r>
    </w:p>
    <w:p w14:paraId="3E048310" w14:textId="77777777" w:rsidR="008A3C75" w:rsidRDefault="004D24B2">
      <w:pPr>
        <w:shd w:val="clear" w:color="auto" w:fill="FFFFFF"/>
        <w:spacing w:before="80" w:after="80" w:line="240" w:lineRule="auto"/>
        <w:jc w:val="both"/>
        <w:rPr>
          <w:rFonts w:ascii="Arial" w:eastAsia="Arial" w:hAnsi="Arial" w:cs="Arial"/>
          <w:sz w:val="24"/>
          <w:szCs w:val="24"/>
        </w:rPr>
      </w:pPr>
      <w:r>
        <w:rPr>
          <w:rFonts w:ascii="Arial" w:eastAsia="Arial" w:hAnsi="Arial" w:cs="Arial"/>
          <w:sz w:val="24"/>
          <w:szCs w:val="24"/>
        </w:rPr>
        <w:t>Burr, R., &amp; Girardi, A. (2002), Intellectual capital: More than the interaction of competence x commitment. </w:t>
      </w:r>
      <w:r>
        <w:rPr>
          <w:rFonts w:ascii="Arial" w:eastAsia="Arial" w:hAnsi="Arial" w:cs="Arial"/>
          <w:i/>
          <w:sz w:val="24"/>
          <w:szCs w:val="24"/>
        </w:rPr>
        <w:t>Australian Journal of Management</w:t>
      </w:r>
      <w:r>
        <w:rPr>
          <w:rFonts w:ascii="Arial" w:eastAsia="Arial" w:hAnsi="Arial" w:cs="Arial"/>
          <w:sz w:val="24"/>
          <w:szCs w:val="24"/>
        </w:rPr>
        <w:t>, 27(1), 77-87.</w:t>
      </w:r>
    </w:p>
    <w:p w14:paraId="4E24D168"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Canning, J. (2019), The UK Teaching Excellence Framework (TEF) as an illustration of Baudrillards hyperreality, </w:t>
      </w:r>
      <w:r>
        <w:rPr>
          <w:rFonts w:ascii="Arial" w:eastAsia="Arial" w:hAnsi="Arial" w:cs="Arial"/>
          <w:i/>
          <w:sz w:val="24"/>
          <w:szCs w:val="24"/>
        </w:rPr>
        <w:t>Discourse: Studies in the Cultural Politics of Education</w:t>
      </w:r>
      <w:r>
        <w:rPr>
          <w:rFonts w:ascii="Arial" w:eastAsia="Arial" w:hAnsi="Arial" w:cs="Arial"/>
          <w:sz w:val="24"/>
          <w:szCs w:val="24"/>
        </w:rPr>
        <w:t>, 40:3, 319-330, DOI: 10.1080/01596306.2017.1315054</w:t>
      </w:r>
    </w:p>
    <w:p w14:paraId="75825F64" w14:textId="77777777" w:rsidR="008A3C75" w:rsidRDefault="004D24B2">
      <w:pPr>
        <w:spacing w:before="80" w:after="80" w:line="240" w:lineRule="auto"/>
        <w:rPr>
          <w:rFonts w:ascii="Arial" w:eastAsia="Arial" w:hAnsi="Arial" w:cs="Arial"/>
          <w:sz w:val="24"/>
          <w:szCs w:val="24"/>
          <w:highlight w:val="white"/>
        </w:rPr>
      </w:pPr>
      <w:r>
        <w:rPr>
          <w:rFonts w:ascii="Arial" w:eastAsia="Arial" w:hAnsi="Arial" w:cs="Arial"/>
          <w:sz w:val="24"/>
          <w:szCs w:val="24"/>
          <w:highlight w:val="white"/>
        </w:rPr>
        <w:t>Chalofsky, N. E. (2010), </w:t>
      </w:r>
      <w:r>
        <w:rPr>
          <w:rFonts w:ascii="Arial" w:eastAsia="Arial" w:hAnsi="Arial" w:cs="Arial"/>
          <w:i/>
          <w:sz w:val="24"/>
          <w:szCs w:val="24"/>
          <w:highlight w:val="white"/>
        </w:rPr>
        <w:t>Meaningful workplaces: Reframing how and where we work</w:t>
      </w:r>
      <w:r>
        <w:rPr>
          <w:rFonts w:ascii="Arial" w:eastAsia="Arial" w:hAnsi="Arial" w:cs="Arial"/>
          <w:sz w:val="24"/>
          <w:szCs w:val="24"/>
          <w:highlight w:val="white"/>
        </w:rPr>
        <w:t>. John Wiley &amp; Sons.</w:t>
      </w:r>
    </w:p>
    <w:p w14:paraId="25926CA7"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Clark, B. R. (1998), </w:t>
      </w:r>
      <w:r>
        <w:rPr>
          <w:rFonts w:ascii="Arial" w:eastAsia="Arial" w:hAnsi="Arial" w:cs="Arial"/>
          <w:i/>
          <w:sz w:val="24"/>
          <w:szCs w:val="24"/>
        </w:rPr>
        <w:t>Creating Entrepreneurial Universities: Ogranizational Pathways of Transformation</w:t>
      </w:r>
      <w:r>
        <w:rPr>
          <w:rFonts w:ascii="Arial" w:eastAsia="Arial" w:hAnsi="Arial" w:cs="Arial"/>
          <w:sz w:val="24"/>
          <w:szCs w:val="24"/>
        </w:rPr>
        <w:t>, Pergamon, Oxford.</w:t>
      </w:r>
    </w:p>
    <w:p w14:paraId="7D5EF6BD" w14:textId="77777777" w:rsidR="008A3C75" w:rsidRDefault="004D24B2">
      <w:pPr>
        <w:spacing w:before="80" w:after="80" w:line="240" w:lineRule="auto"/>
        <w:rPr>
          <w:rFonts w:ascii="Arial" w:eastAsia="Arial" w:hAnsi="Arial" w:cs="Arial"/>
          <w:sz w:val="24"/>
          <w:szCs w:val="24"/>
          <w:highlight w:val="white"/>
        </w:rPr>
      </w:pPr>
      <w:r>
        <w:rPr>
          <w:rFonts w:ascii="Arial" w:eastAsia="Arial" w:hAnsi="Arial" w:cs="Arial"/>
          <w:sz w:val="24"/>
          <w:szCs w:val="24"/>
          <w:highlight w:val="white"/>
        </w:rPr>
        <w:t xml:space="preserve">Clegg, S. (1999) Professional education, reflective practice, and feminism, </w:t>
      </w:r>
      <w:r>
        <w:rPr>
          <w:rFonts w:ascii="Arial" w:eastAsia="Arial" w:hAnsi="Arial" w:cs="Arial"/>
          <w:i/>
          <w:sz w:val="24"/>
          <w:szCs w:val="24"/>
          <w:highlight w:val="white"/>
        </w:rPr>
        <w:t>International Journal of Inclusive Education</w:t>
      </w:r>
      <w:r>
        <w:rPr>
          <w:rFonts w:ascii="Arial" w:eastAsia="Arial" w:hAnsi="Arial" w:cs="Arial"/>
          <w:sz w:val="24"/>
          <w:szCs w:val="24"/>
          <w:highlight w:val="white"/>
        </w:rPr>
        <w:t>, 3 (2) pp.167-179.</w:t>
      </w:r>
    </w:p>
    <w:p w14:paraId="7270F2AE" w14:textId="5734A704" w:rsidR="00270B10" w:rsidRPr="00270B10" w:rsidRDefault="00270B10" w:rsidP="00270B10">
      <w:pPr>
        <w:spacing w:before="80" w:after="80" w:line="240" w:lineRule="auto"/>
        <w:rPr>
          <w:rFonts w:ascii="Arial" w:eastAsia="Arial" w:hAnsi="Arial" w:cs="Arial"/>
          <w:color w:val="FF0000"/>
          <w:sz w:val="24"/>
          <w:szCs w:val="24"/>
          <w:shd w:val="clear" w:color="auto" w:fill="FCFCFC"/>
        </w:rPr>
      </w:pPr>
      <w:r w:rsidRPr="00270B10">
        <w:rPr>
          <w:rFonts w:ascii="Arial" w:eastAsia="Arial" w:hAnsi="Arial" w:cs="Arial"/>
          <w:color w:val="FF0000"/>
          <w:sz w:val="24"/>
          <w:szCs w:val="24"/>
          <w:shd w:val="clear" w:color="auto" w:fill="FCFCFC"/>
        </w:rPr>
        <w:t xml:space="preserve">Collini, S </w:t>
      </w:r>
      <w:r>
        <w:rPr>
          <w:rFonts w:ascii="Arial" w:eastAsia="Arial" w:hAnsi="Arial" w:cs="Arial"/>
          <w:color w:val="FF0000"/>
          <w:sz w:val="24"/>
          <w:szCs w:val="24"/>
          <w:shd w:val="clear" w:color="auto" w:fill="FCFCFC"/>
        </w:rPr>
        <w:t>(</w:t>
      </w:r>
      <w:r w:rsidRPr="00270B10">
        <w:rPr>
          <w:rFonts w:ascii="Arial" w:eastAsia="Arial" w:hAnsi="Arial" w:cs="Arial"/>
          <w:color w:val="FF0000"/>
          <w:sz w:val="24"/>
          <w:szCs w:val="24"/>
          <w:shd w:val="clear" w:color="auto" w:fill="FCFCFC"/>
        </w:rPr>
        <w:t>2012</w:t>
      </w:r>
      <w:r>
        <w:rPr>
          <w:rFonts w:ascii="Arial" w:eastAsia="Arial" w:hAnsi="Arial" w:cs="Arial"/>
          <w:color w:val="FF0000"/>
          <w:sz w:val="24"/>
          <w:szCs w:val="24"/>
          <w:shd w:val="clear" w:color="auto" w:fill="FCFCFC"/>
        </w:rPr>
        <w:t>),</w:t>
      </w:r>
      <w:r w:rsidRPr="00270B10">
        <w:rPr>
          <w:rFonts w:ascii="Arial" w:eastAsia="Arial" w:hAnsi="Arial" w:cs="Arial"/>
          <w:color w:val="FF0000"/>
          <w:sz w:val="24"/>
          <w:szCs w:val="24"/>
          <w:shd w:val="clear" w:color="auto" w:fill="FCFCFC"/>
        </w:rPr>
        <w:t xml:space="preserve"> What are Universities for? London: Penguin. </w:t>
      </w:r>
    </w:p>
    <w:p w14:paraId="3F2CBA14" w14:textId="77777777" w:rsidR="008A3C75" w:rsidRDefault="004D24B2">
      <w:pPr>
        <w:spacing w:before="80" w:after="80" w:line="240" w:lineRule="auto"/>
        <w:rPr>
          <w:rFonts w:ascii="Arial" w:eastAsia="Arial" w:hAnsi="Arial" w:cs="Arial"/>
          <w:sz w:val="24"/>
          <w:szCs w:val="24"/>
          <w:highlight w:val="white"/>
        </w:rPr>
      </w:pPr>
      <w:r>
        <w:rPr>
          <w:rFonts w:ascii="Arial" w:eastAsia="Arial" w:hAnsi="Arial" w:cs="Arial"/>
          <w:sz w:val="24"/>
          <w:szCs w:val="24"/>
          <w:highlight w:val="white"/>
        </w:rPr>
        <w:t>Crane, R. S. (2012), Competence in teaching mindfulness-based courses: concepts, development and assessment. </w:t>
      </w:r>
      <w:r>
        <w:rPr>
          <w:rFonts w:ascii="Arial" w:eastAsia="Arial" w:hAnsi="Arial" w:cs="Arial"/>
          <w:i/>
          <w:sz w:val="24"/>
          <w:szCs w:val="24"/>
          <w:highlight w:val="white"/>
        </w:rPr>
        <w:t>Mindfulness</w:t>
      </w:r>
      <w:r>
        <w:rPr>
          <w:rFonts w:ascii="Arial" w:eastAsia="Arial" w:hAnsi="Arial" w:cs="Arial"/>
          <w:sz w:val="24"/>
          <w:szCs w:val="24"/>
          <w:highlight w:val="white"/>
        </w:rPr>
        <w:t>, </w:t>
      </w:r>
      <w:r>
        <w:rPr>
          <w:rFonts w:ascii="Arial" w:eastAsia="Arial" w:hAnsi="Arial" w:cs="Arial"/>
          <w:i/>
          <w:sz w:val="24"/>
          <w:szCs w:val="24"/>
          <w:highlight w:val="white"/>
        </w:rPr>
        <w:t>3</w:t>
      </w:r>
      <w:r>
        <w:rPr>
          <w:rFonts w:ascii="Arial" w:eastAsia="Arial" w:hAnsi="Arial" w:cs="Arial"/>
          <w:sz w:val="24"/>
          <w:szCs w:val="24"/>
          <w:highlight w:val="white"/>
        </w:rPr>
        <w:t>(1), 76-84.</w:t>
      </w:r>
    </w:p>
    <w:p w14:paraId="74B70757" w14:textId="06F2A8D9" w:rsidR="00270B10" w:rsidRPr="00270B10" w:rsidRDefault="00270B10" w:rsidP="00270B10">
      <w:pPr>
        <w:spacing w:before="80" w:after="80" w:line="240" w:lineRule="auto"/>
        <w:rPr>
          <w:rFonts w:ascii="Arial" w:eastAsia="Arial" w:hAnsi="Arial" w:cs="Arial"/>
          <w:color w:val="FF0000"/>
          <w:sz w:val="24"/>
          <w:szCs w:val="24"/>
          <w:shd w:val="clear" w:color="auto" w:fill="FCFCFC"/>
        </w:rPr>
      </w:pPr>
      <w:r w:rsidRPr="00270B10">
        <w:rPr>
          <w:rFonts w:ascii="Arial" w:eastAsia="Arial" w:hAnsi="Arial" w:cs="Arial"/>
          <w:color w:val="FF0000"/>
          <w:sz w:val="24"/>
          <w:szCs w:val="24"/>
          <w:shd w:val="clear" w:color="auto" w:fill="FCFCFC"/>
        </w:rPr>
        <w:t xml:space="preserve">Cruickshank, J., </w:t>
      </w:r>
      <w:r>
        <w:rPr>
          <w:rFonts w:ascii="Arial" w:eastAsia="Arial" w:hAnsi="Arial" w:cs="Arial"/>
          <w:color w:val="FF0000"/>
          <w:sz w:val="24"/>
          <w:szCs w:val="24"/>
          <w:shd w:val="clear" w:color="auto" w:fill="FCFCFC"/>
        </w:rPr>
        <w:t>(</w:t>
      </w:r>
      <w:r w:rsidRPr="00270B10">
        <w:rPr>
          <w:rFonts w:ascii="Arial" w:eastAsia="Arial" w:hAnsi="Arial" w:cs="Arial"/>
          <w:color w:val="FF0000"/>
          <w:sz w:val="24"/>
          <w:szCs w:val="24"/>
          <w:shd w:val="clear" w:color="auto" w:fill="FCFCFC"/>
        </w:rPr>
        <w:t>2016</w:t>
      </w:r>
      <w:r>
        <w:rPr>
          <w:rFonts w:ascii="Arial" w:eastAsia="Arial" w:hAnsi="Arial" w:cs="Arial"/>
          <w:color w:val="FF0000"/>
          <w:sz w:val="24"/>
          <w:szCs w:val="24"/>
          <w:shd w:val="clear" w:color="auto" w:fill="FCFCFC"/>
        </w:rPr>
        <w:t>)</w:t>
      </w:r>
      <w:r w:rsidRPr="00270B10">
        <w:rPr>
          <w:rFonts w:ascii="Arial" w:eastAsia="Arial" w:hAnsi="Arial" w:cs="Arial"/>
          <w:color w:val="FF0000"/>
          <w:sz w:val="24"/>
          <w:szCs w:val="24"/>
          <w:shd w:val="clear" w:color="auto" w:fill="FCFCFC"/>
        </w:rPr>
        <w:t xml:space="preserve">. Putting Business at the Heart of Higher Education: On Neoliberal Interventionism and Audit Culture in UK Universities. Open Library of Humanities, 2(1), p.e3. </w:t>
      </w:r>
    </w:p>
    <w:p w14:paraId="31EB7033" w14:textId="77777777" w:rsidR="008A3C75" w:rsidRDefault="004D24B2">
      <w:pPr>
        <w:spacing w:before="80" w:after="80" w:line="240" w:lineRule="auto"/>
        <w:rPr>
          <w:rFonts w:ascii="Arial" w:eastAsia="Arial" w:hAnsi="Arial" w:cs="Arial"/>
          <w:sz w:val="24"/>
          <w:szCs w:val="24"/>
          <w:highlight w:val="white"/>
        </w:rPr>
      </w:pPr>
      <w:r>
        <w:rPr>
          <w:rFonts w:ascii="Arial" w:eastAsia="Arial" w:hAnsi="Arial" w:cs="Arial"/>
          <w:sz w:val="24"/>
          <w:szCs w:val="24"/>
          <w:highlight w:val="white"/>
        </w:rPr>
        <w:t>Cusack, L., &amp; Smith, M. (2010), Power inequalities in the assessment of nursing competency within the workplace: implications for nursing management. </w:t>
      </w:r>
      <w:r>
        <w:rPr>
          <w:rFonts w:ascii="Arial" w:eastAsia="Arial" w:hAnsi="Arial" w:cs="Arial"/>
          <w:i/>
          <w:sz w:val="24"/>
          <w:szCs w:val="24"/>
          <w:highlight w:val="white"/>
        </w:rPr>
        <w:t>Journal of Continuing Education in Nursing</w:t>
      </w:r>
      <w:r>
        <w:rPr>
          <w:rFonts w:ascii="Arial" w:eastAsia="Arial" w:hAnsi="Arial" w:cs="Arial"/>
          <w:sz w:val="24"/>
          <w:szCs w:val="24"/>
          <w:highlight w:val="white"/>
        </w:rPr>
        <w:t>, 41(9), 408-412.</w:t>
      </w:r>
    </w:p>
    <w:p w14:paraId="303C33B0" w14:textId="77777777" w:rsidR="008A3C75" w:rsidRDefault="004D24B2">
      <w:pPr>
        <w:spacing w:before="80" w:after="80" w:line="240" w:lineRule="auto"/>
        <w:rPr>
          <w:rFonts w:ascii="Arial" w:eastAsia="Arial" w:hAnsi="Arial" w:cs="Arial"/>
          <w:sz w:val="24"/>
          <w:szCs w:val="24"/>
          <w:highlight w:val="white"/>
        </w:rPr>
      </w:pPr>
      <w:r>
        <w:rPr>
          <w:rFonts w:ascii="Arial" w:eastAsia="Arial" w:hAnsi="Arial" w:cs="Arial"/>
          <w:sz w:val="24"/>
          <w:szCs w:val="24"/>
          <w:highlight w:val="white"/>
        </w:rPr>
        <w:t xml:space="preserve">Czarnowsky, M. (2008), Learning’s role in employee engagement: An ASTD research study. Alexandria, VA: </w:t>
      </w:r>
      <w:r>
        <w:rPr>
          <w:rFonts w:ascii="Arial" w:eastAsia="Arial" w:hAnsi="Arial" w:cs="Arial"/>
          <w:i/>
          <w:sz w:val="24"/>
          <w:szCs w:val="24"/>
          <w:highlight w:val="white"/>
        </w:rPr>
        <w:t>American Society for Training and Development</w:t>
      </w:r>
      <w:r>
        <w:rPr>
          <w:rFonts w:ascii="Arial" w:eastAsia="Arial" w:hAnsi="Arial" w:cs="Arial"/>
          <w:sz w:val="24"/>
          <w:szCs w:val="24"/>
          <w:highlight w:val="white"/>
        </w:rPr>
        <w:t>.</w:t>
      </w:r>
    </w:p>
    <w:p w14:paraId="1097B4A4" w14:textId="77777777" w:rsidR="008A3C75" w:rsidRDefault="004D24B2">
      <w:pPr>
        <w:spacing w:before="80" w:after="80" w:line="240" w:lineRule="auto"/>
        <w:rPr>
          <w:rFonts w:ascii="Arial" w:eastAsia="Arial" w:hAnsi="Arial" w:cs="Arial"/>
          <w:color w:val="FF0000"/>
          <w:sz w:val="24"/>
          <w:szCs w:val="24"/>
          <w:shd w:val="clear" w:color="auto" w:fill="FCFCFC"/>
        </w:rPr>
      </w:pPr>
      <w:r>
        <w:rPr>
          <w:rFonts w:ascii="Arial" w:eastAsia="Arial" w:hAnsi="Arial" w:cs="Arial"/>
          <w:color w:val="FF0000"/>
          <w:sz w:val="24"/>
          <w:szCs w:val="24"/>
          <w:shd w:val="clear" w:color="auto" w:fill="FCFCFC"/>
        </w:rPr>
        <w:t>DBIS. (2016). </w:t>
      </w:r>
      <w:r>
        <w:rPr>
          <w:rFonts w:ascii="Arial" w:eastAsia="Arial" w:hAnsi="Arial" w:cs="Arial"/>
          <w:i/>
          <w:color w:val="FF0000"/>
          <w:sz w:val="24"/>
          <w:szCs w:val="24"/>
          <w:shd w:val="clear" w:color="auto" w:fill="FCFCFC"/>
        </w:rPr>
        <w:t>Success as a knowledge economy: Teaching excellence, social mobility and student choice</w:t>
      </w:r>
      <w:r>
        <w:rPr>
          <w:rFonts w:ascii="Arial" w:eastAsia="Arial" w:hAnsi="Arial" w:cs="Arial"/>
          <w:color w:val="FF0000"/>
          <w:sz w:val="24"/>
          <w:szCs w:val="24"/>
          <w:shd w:val="clear" w:color="auto" w:fill="FCFCFC"/>
        </w:rPr>
        <w:t>. May, Cm 9258. London: Department for Business Innovation and Skills.</w:t>
      </w:r>
    </w:p>
    <w:p w14:paraId="26F9B8EB" w14:textId="77777777" w:rsidR="008A3C75" w:rsidRDefault="004D24B2">
      <w:pPr>
        <w:spacing w:before="80" w:after="80" w:line="240" w:lineRule="auto"/>
        <w:rPr>
          <w:rFonts w:ascii="Arial" w:eastAsia="Arial" w:hAnsi="Arial" w:cs="Arial"/>
          <w:color w:val="FF0000"/>
          <w:sz w:val="24"/>
          <w:szCs w:val="24"/>
          <w:shd w:val="clear" w:color="auto" w:fill="FCFCFC"/>
        </w:rPr>
      </w:pPr>
      <w:r>
        <w:rPr>
          <w:rFonts w:ascii="Arial" w:eastAsia="Arial" w:hAnsi="Arial" w:cs="Arial"/>
          <w:color w:val="FF0000"/>
          <w:sz w:val="24"/>
          <w:szCs w:val="24"/>
          <w:shd w:val="clear" w:color="auto" w:fill="FCFCFC"/>
        </w:rPr>
        <w:t>DBIS. (2015). </w:t>
      </w:r>
      <w:r>
        <w:rPr>
          <w:rFonts w:ascii="Arial" w:eastAsia="Arial" w:hAnsi="Arial" w:cs="Arial"/>
          <w:i/>
          <w:color w:val="FF0000"/>
          <w:sz w:val="24"/>
          <w:szCs w:val="24"/>
          <w:shd w:val="clear" w:color="auto" w:fill="FCFCFC"/>
        </w:rPr>
        <w:t>Fulfilling our potential: Teaching excellence, social mobility and student choice</w:t>
      </w:r>
      <w:r>
        <w:rPr>
          <w:rFonts w:ascii="Arial" w:eastAsia="Arial" w:hAnsi="Arial" w:cs="Arial"/>
          <w:color w:val="FF0000"/>
          <w:sz w:val="24"/>
          <w:szCs w:val="24"/>
          <w:shd w:val="clear" w:color="auto" w:fill="FCFCFC"/>
        </w:rPr>
        <w:t xml:space="preserve">. November, Cm 9141. London: Department for Business Innovation and Skills </w:t>
      </w:r>
    </w:p>
    <w:p w14:paraId="5537D1D5"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Deem, R and Brehony, K. J. (2005) Management as ideology: the case of ‘new managerialism’ in higher education, </w:t>
      </w:r>
      <w:r>
        <w:rPr>
          <w:rFonts w:ascii="Arial" w:eastAsia="Arial" w:hAnsi="Arial" w:cs="Arial"/>
          <w:i/>
          <w:sz w:val="24"/>
          <w:szCs w:val="24"/>
        </w:rPr>
        <w:t>Oxford Review of Education</w:t>
      </w:r>
      <w:r>
        <w:rPr>
          <w:rFonts w:ascii="Arial" w:eastAsia="Arial" w:hAnsi="Arial" w:cs="Arial"/>
          <w:sz w:val="24"/>
          <w:szCs w:val="24"/>
        </w:rPr>
        <w:t>, 31:2, 217-235</w:t>
      </w:r>
    </w:p>
    <w:p w14:paraId="5979B6A3"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lastRenderedPageBreak/>
        <w:t xml:space="preserve">Deem, R., Hillyard, S., &amp; Reed, M. (2007), </w:t>
      </w:r>
      <w:r>
        <w:rPr>
          <w:rFonts w:ascii="Arial" w:eastAsia="Arial" w:hAnsi="Arial" w:cs="Arial"/>
          <w:i/>
          <w:sz w:val="24"/>
          <w:szCs w:val="24"/>
        </w:rPr>
        <w:t>Knowledge, higher education, and the new managerialism: The changing management of UK universities</w:t>
      </w:r>
      <w:r>
        <w:rPr>
          <w:rFonts w:ascii="Arial" w:eastAsia="Arial" w:hAnsi="Arial" w:cs="Arial"/>
          <w:sz w:val="24"/>
          <w:szCs w:val="24"/>
        </w:rPr>
        <w:t xml:space="preserve">. Oxford: Oxford University Press </w:t>
      </w:r>
    </w:p>
    <w:p w14:paraId="2D607863" w14:textId="77777777" w:rsidR="008A3C75" w:rsidRDefault="004D24B2">
      <w:p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de Lancer J. P. and Holzer, M. (2001). Promoting the utilization of performance measures in public organizations: An empirical study of factors affecting adoption and implementation. Public Administration Review 61:693–708 </w:t>
      </w:r>
    </w:p>
    <w:p w14:paraId="3E79A50B" w14:textId="77777777" w:rsidR="00775CFC" w:rsidRPr="00775CFC" w:rsidRDefault="00775CFC" w:rsidP="00775CFC">
      <w:pPr>
        <w:spacing w:before="80" w:after="80" w:line="240" w:lineRule="auto"/>
        <w:rPr>
          <w:rFonts w:ascii="Arial" w:eastAsia="Arial" w:hAnsi="Arial" w:cs="Arial"/>
          <w:color w:val="FF0000"/>
          <w:sz w:val="24"/>
          <w:szCs w:val="24"/>
          <w:highlight w:val="white"/>
        </w:rPr>
      </w:pPr>
      <w:r w:rsidRPr="00775CFC">
        <w:rPr>
          <w:rFonts w:ascii="Arial" w:eastAsia="Arial" w:hAnsi="Arial" w:cs="Arial"/>
          <w:color w:val="FF0000"/>
          <w:sz w:val="24"/>
          <w:szCs w:val="24"/>
          <w:highlight w:val="white"/>
        </w:rPr>
        <w:t xml:space="preserve">Delbridge, R., and T. Keenoy. 2010. “Beyond Managerialism?” </w:t>
      </w:r>
      <w:r w:rsidRPr="00775CFC">
        <w:rPr>
          <w:rFonts w:ascii="Arial" w:eastAsia="Arial" w:hAnsi="Arial" w:cs="Arial"/>
          <w:i/>
          <w:iCs/>
          <w:color w:val="FF0000"/>
          <w:sz w:val="24"/>
          <w:szCs w:val="24"/>
          <w:highlight w:val="white"/>
        </w:rPr>
        <w:t>The International Journal of Human Resource Management</w:t>
      </w:r>
      <w:r w:rsidRPr="00775CFC">
        <w:rPr>
          <w:rFonts w:ascii="Arial" w:eastAsia="Arial" w:hAnsi="Arial" w:cs="Arial"/>
          <w:color w:val="FF0000"/>
          <w:sz w:val="24"/>
          <w:szCs w:val="24"/>
          <w:highlight w:val="white"/>
        </w:rPr>
        <w:t xml:space="preserve"> 21 (6): 799–817. </w:t>
      </w:r>
    </w:p>
    <w:p w14:paraId="68F73A64"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de Wit, H. (2002), </w:t>
      </w:r>
      <w:r>
        <w:rPr>
          <w:rFonts w:ascii="Arial" w:eastAsia="Arial" w:hAnsi="Arial" w:cs="Arial"/>
          <w:i/>
          <w:sz w:val="24"/>
          <w:szCs w:val="24"/>
        </w:rPr>
        <w:t>Internationalization of higher education in the United States of America and Europe: A historical, comparative, and conceptual analysis</w:t>
      </w:r>
      <w:r>
        <w:rPr>
          <w:rFonts w:ascii="Arial" w:eastAsia="Arial" w:hAnsi="Arial" w:cs="Arial"/>
          <w:sz w:val="24"/>
          <w:szCs w:val="24"/>
        </w:rPr>
        <w:t xml:space="preserve">. Westport, CT: Greenwood. </w:t>
      </w:r>
    </w:p>
    <w:p w14:paraId="6F87F2A8" w14:textId="77777777" w:rsidR="008A3C75" w:rsidRDefault="004D24B2">
      <w:pPr>
        <w:shd w:val="clear" w:color="auto" w:fill="FFFFFF"/>
        <w:spacing w:before="80" w:after="80" w:line="240" w:lineRule="auto"/>
        <w:jc w:val="both"/>
        <w:rPr>
          <w:rFonts w:ascii="Arial" w:eastAsia="Arial" w:hAnsi="Arial" w:cs="Arial"/>
          <w:sz w:val="24"/>
          <w:szCs w:val="24"/>
        </w:rPr>
      </w:pPr>
      <w:r>
        <w:rPr>
          <w:rFonts w:ascii="Arial" w:eastAsia="Arial" w:hAnsi="Arial" w:cs="Arial"/>
          <w:sz w:val="24"/>
          <w:szCs w:val="24"/>
        </w:rPr>
        <w:t xml:space="preserve">Dewey. J. (1944), </w:t>
      </w:r>
      <w:r>
        <w:rPr>
          <w:rFonts w:ascii="Arial" w:eastAsia="Arial" w:hAnsi="Arial" w:cs="Arial"/>
          <w:i/>
          <w:sz w:val="24"/>
          <w:szCs w:val="24"/>
        </w:rPr>
        <w:t>Democracy and education: An introduction to the philosophy of education</w:t>
      </w:r>
      <w:r>
        <w:rPr>
          <w:rFonts w:ascii="Arial" w:eastAsia="Arial" w:hAnsi="Arial" w:cs="Arial"/>
          <w:sz w:val="24"/>
          <w:szCs w:val="24"/>
        </w:rPr>
        <w:t>, The Free Press, New York (1944)</w:t>
      </w:r>
    </w:p>
    <w:p w14:paraId="4D74F930" w14:textId="77777777" w:rsidR="008A3C75" w:rsidRDefault="004D24B2">
      <w:pPr>
        <w:shd w:val="clear" w:color="auto" w:fill="FFFFFF"/>
        <w:spacing w:before="80" w:after="80" w:line="240" w:lineRule="auto"/>
        <w:jc w:val="both"/>
        <w:rPr>
          <w:rFonts w:ascii="Arial" w:eastAsia="Arial" w:hAnsi="Arial" w:cs="Arial"/>
          <w:sz w:val="24"/>
          <w:szCs w:val="24"/>
        </w:rPr>
      </w:pPr>
      <w:r>
        <w:rPr>
          <w:rFonts w:ascii="Arial" w:eastAsia="Arial" w:hAnsi="Arial" w:cs="Arial"/>
          <w:sz w:val="24"/>
          <w:szCs w:val="24"/>
        </w:rPr>
        <w:t xml:space="preserve">Dewey, J. (1960), </w:t>
      </w:r>
      <w:r>
        <w:rPr>
          <w:rFonts w:ascii="Arial" w:eastAsia="Arial" w:hAnsi="Arial" w:cs="Arial"/>
          <w:i/>
          <w:sz w:val="24"/>
          <w:szCs w:val="24"/>
        </w:rPr>
        <w:t>Theory of the moral life, Holt, Rinehart &amp; Winston</w:t>
      </w:r>
      <w:r>
        <w:rPr>
          <w:rFonts w:ascii="Arial" w:eastAsia="Arial" w:hAnsi="Arial" w:cs="Arial"/>
          <w:sz w:val="24"/>
          <w:szCs w:val="24"/>
        </w:rPr>
        <w:t>, New York (1960)</w:t>
      </w:r>
    </w:p>
    <w:p w14:paraId="1B887E7B"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de Wit, H. (2010), </w:t>
      </w:r>
      <w:r>
        <w:rPr>
          <w:rFonts w:ascii="Arial" w:eastAsia="Arial" w:hAnsi="Arial" w:cs="Arial"/>
          <w:i/>
          <w:sz w:val="24"/>
          <w:szCs w:val="24"/>
        </w:rPr>
        <w:t xml:space="preserve">Internationalisation of Higher Education in Europe and its Assessment, Trends and Issues, </w:t>
      </w:r>
      <w:r>
        <w:rPr>
          <w:rFonts w:ascii="Arial" w:eastAsia="Arial" w:hAnsi="Arial" w:cs="Arial"/>
          <w:sz w:val="24"/>
          <w:szCs w:val="24"/>
        </w:rPr>
        <w:t xml:space="preserve">NVAO Nederlands-Vlaamse Accreditatieorganisatie. </w:t>
      </w:r>
      <w:hyperlink r:id="rId11">
        <w:r>
          <w:rPr>
            <w:rFonts w:ascii="Arial" w:eastAsia="Arial" w:hAnsi="Arial" w:cs="Arial"/>
            <w:sz w:val="24"/>
            <w:szCs w:val="24"/>
            <w:u w:val="single"/>
          </w:rPr>
          <w:t>http://www.nvao.net/page/</w:t>
        </w:r>
      </w:hyperlink>
      <w:r>
        <w:rPr>
          <w:rFonts w:ascii="Arial" w:eastAsia="Arial" w:hAnsi="Arial" w:cs="Arial"/>
          <w:sz w:val="24"/>
          <w:szCs w:val="24"/>
        </w:rPr>
        <w:t xml:space="preserve"> downloads/Internationlization_of_Higher_Education_in_Europe_DEF_december_2010.pdf.</w:t>
      </w:r>
    </w:p>
    <w:p w14:paraId="5E68F891"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Dunning, J. M., (2019), Professional superheroes: Are changes in higher education stretching hospitality management academics' professionalism to the limit? Journal of Hospitality, Leisure, </w:t>
      </w:r>
      <w:r>
        <w:rPr>
          <w:rFonts w:ascii="Arial" w:eastAsia="Arial" w:hAnsi="Arial" w:cs="Arial"/>
          <w:i/>
          <w:sz w:val="24"/>
          <w:szCs w:val="24"/>
        </w:rPr>
        <w:t>Sport &amp; Tourism Education</w:t>
      </w:r>
      <w:r>
        <w:rPr>
          <w:rFonts w:ascii="Arial" w:eastAsia="Arial" w:hAnsi="Arial" w:cs="Arial"/>
          <w:sz w:val="24"/>
          <w:szCs w:val="24"/>
        </w:rPr>
        <w:t xml:space="preserve"> </w:t>
      </w:r>
    </w:p>
    <w:p w14:paraId="7C14C23E" w14:textId="77777777" w:rsidR="008A3C75" w:rsidRDefault="004D24B2">
      <w:pPr>
        <w:spacing w:before="80" w:after="80" w:line="240" w:lineRule="auto"/>
        <w:rPr>
          <w:rFonts w:ascii="Arial" w:eastAsia="Arial" w:hAnsi="Arial" w:cs="Arial"/>
          <w:sz w:val="24"/>
          <w:szCs w:val="24"/>
          <w:highlight w:val="white"/>
        </w:rPr>
      </w:pPr>
      <w:r>
        <w:rPr>
          <w:rFonts w:ascii="Arial" w:eastAsia="Arial" w:hAnsi="Arial" w:cs="Arial"/>
          <w:sz w:val="24"/>
          <w:szCs w:val="24"/>
          <w:highlight w:val="white"/>
        </w:rPr>
        <w:t xml:space="preserve">Dreyfus, H.L., Dreyfus. SE (1986), </w:t>
      </w:r>
      <w:r>
        <w:rPr>
          <w:rFonts w:ascii="Arial" w:eastAsia="Arial" w:hAnsi="Arial" w:cs="Arial"/>
          <w:i/>
          <w:sz w:val="24"/>
          <w:szCs w:val="24"/>
          <w:highlight w:val="white"/>
        </w:rPr>
        <w:t>Mind over Machine: The Power of Human Intuition and Expertise in the Era of the Computer</w:t>
      </w:r>
      <w:r>
        <w:rPr>
          <w:rFonts w:ascii="Arial" w:eastAsia="Arial" w:hAnsi="Arial" w:cs="Arial"/>
          <w:sz w:val="24"/>
          <w:szCs w:val="24"/>
          <w:highlight w:val="white"/>
        </w:rPr>
        <w:t>. The Free Press.</w:t>
      </w:r>
    </w:p>
    <w:p w14:paraId="436CB01F"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Education England (1997), The Dearing Report: Higher Education in the learning society </w:t>
      </w:r>
      <w:hyperlink r:id="rId12" w:anchor="08">
        <w:r>
          <w:rPr>
            <w:rFonts w:ascii="Arial" w:eastAsia="Arial" w:hAnsi="Arial" w:cs="Arial"/>
            <w:sz w:val="24"/>
            <w:szCs w:val="24"/>
          </w:rPr>
          <w:t>http://www.educationengland.org.uk/documents/dearing1997/dearing1997.html#08</w:t>
        </w:r>
      </w:hyperlink>
      <w:r>
        <w:rPr>
          <w:rFonts w:ascii="Arial" w:eastAsia="Arial" w:hAnsi="Arial" w:cs="Arial"/>
          <w:sz w:val="24"/>
          <w:szCs w:val="24"/>
        </w:rPr>
        <w:t xml:space="preserve"> [Accessed 18 March 2019]</w:t>
      </w:r>
    </w:p>
    <w:p w14:paraId="3BAD68CF"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Egan, T. M., &amp; Akdere, M. (2005), Clarifying distance education roles and competencies: Exploring similarities and differences between professional and student-practitioner perspectives. </w:t>
      </w:r>
      <w:r>
        <w:rPr>
          <w:rFonts w:ascii="Arial" w:eastAsia="Arial" w:hAnsi="Arial" w:cs="Arial"/>
          <w:i/>
          <w:sz w:val="24"/>
          <w:szCs w:val="24"/>
        </w:rPr>
        <w:t>The American Journal of Distance Education, 19</w:t>
      </w:r>
      <w:r>
        <w:rPr>
          <w:rFonts w:ascii="Arial" w:eastAsia="Arial" w:hAnsi="Arial" w:cs="Arial"/>
          <w:sz w:val="24"/>
          <w:szCs w:val="24"/>
        </w:rPr>
        <w:t>(2), 87–103.</w:t>
      </w:r>
    </w:p>
    <w:p w14:paraId="069A94FC"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Evans, L. (2011), The ‘shape’ of teacher professionalism in England: Professional standards, performance management, professional development and the changes proposed in the 2010 White Paper. </w:t>
      </w:r>
      <w:r>
        <w:rPr>
          <w:rFonts w:ascii="Arial" w:eastAsia="Arial" w:hAnsi="Arial" w:cs="Arial"/>
          <w:i/>
          <w:sz w:val="24"/>
          <w:szCs w:val="24"/>
        </w:rPr>
        <w:t>British Educational Research Journal</w:t>
      </w:r>
      <w:r>
        <w:rPr>
          <w:rFonts w:ascii="Arial" w:eastAsia="Arial" w:hAnsi="Arial" w:cs="Arial"/>
          <w:sz w:val="24"/>
          <w:szCs w:val="24"/>
        </w:rPr>
        <w:t>, 37(5), 851-870.</w:t>
      </w:r>
    </w:p>
    <w:p w14:paraId="73523B78" w14:textId="77777777" w:rsidR="008A3C75" w:rsidRDefault="004D24B2">
      <w:pPr>
        <w:spacing w:after="0" w:line="240" w:lineRule="auto"/>
        <w:rPr>
          <w:rFonts w:ascii="Arial" w:eastAsia="Arial" w:hAnsi="Arial" w:cs="Arial"/>
          <w:sz w:val="24"/>
          <w:szCs w:val="24"/>
        </w:rPr>
      </w:pPr>
      <w:r>
        <w:rPr>
          <w:rFonts w:ascii="Arial" w:eastAsia="Arial" w:hAnsi="Arial" w:cs="Arial"/>
          <w:sz w:val="24"/>
          <w:szCs w:val="24"/>
        </w:rPr>
        <w:t xml:space="preserve">Fenwick, T. J. (2004) Towards a Critical HRD, </w:t>
      </w:r>
      <w:r>
        <w:rPr>
          <w:rFonts w:ascii="Arial" w:eastAsia="Arial" w:hAnsi="Arial" w:cs="Arial"/>
          <w:i/>
          <w:sz w:val="24"/>
          <w:szCs w:val="24"/>
        </w:rPr>
        <w:t>Adult Education Quarterly</w:t>
      </w:r>
      <w:r>
        <w:rPr>
          <w:rFonts w:ascii="Arial" w:eastAsia="Arial" w:hAnsi="Arial" w:cs="Arial"/>
          <w:sz w:val="24"/>
          <w:szCs w:val="24"/>
        </w:rPr>
        <w:t xml:space="preserve">, 54 (3), 174-192. </w:t>
      </w:r>
    </w:p>
    <w:p w14:paraId="34C06614" w14:textId="77777777" w:rsidR="008A3C75" w:rsidRDefault="004D24B2">
      <w:pPr>
        <w:shd w:val="clear" w:color="auto" w:fill="FFFFFF"/>
        <w:spacing w:before="80" w:after="8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Foucault, M. (2008), </w:t>
      </w:r>
      <w:r>
        <w:rPr>
          <w:rFonts w:ascii="Arial" w:eastAsia="Arial" w:hAnsi="Arial" w:cs="Arial"/>
          <w:i/>
          <w:sz w:val="24"/>
          <w:szCs w:val="24"/>
          <w:highlight w:val="white"/>
        </w:rPr>
        <w:t>The Birth of Bio-politics: Lectures at the Collègede France,1978-79</w:t>
      </w:r>
      <w:r>
        <w:rPr>
          <w:rFonts w:ascii="Arial" w:eastAsia="Arial" w:hAnsi="Arial" w:cs="Arial"/>
          <w:sz w:val="24"/>
          <w:szCs w:val="24"/>
          <w:highlight w:val="white"/>
        </w:rPr>
        <w:t>. Edited by Michel Senellart. Translated by Graham Burchell. Basingstoke: Palgrave Macmillan.</w:t>
      </w:r>
    </w:p>
    <w:p w14:paraId="5418CDEE" w14:textId="77777777" w:rsidR="008A3C75" w:rsidRDefault="004D24B2">
      <w:pPr>
        <w:shd w:val="clear" w:color="auto" w:fill="FFFFFF"/>
        <w:spacing w:before="80" w:after="80" w:line="240" w:lineRule="auto"/>
        <w:jc w:val="both"/>
        <w:rPr>
          <w:rFonts w:ascii="Arial" w:eastAsia="Arial" w:hAnsi="Arial" w:cs="Arial"/>
          <w:sz w:val="24"/>
          <w:szCs w:val="24"/>
        </w:rPr>
      </w:pPr>
      <w:r>
        <w:rPr>
          <w:rFonts w:ascii="Arial" w:eastAsia="Arial" w:hAnsi="Arial" w:cs="Arial"/>
          <w:sz w:val="24"/>
          <w:szCs w:val="24"/>
          <w:highlight w:val="white"/>
        </w:rPr>
        <w:t>Frank, J. R., &amp; Danoff, D. (2007), The CanMEDS initiative: implementing an outcomes-based framework of physician competencies. </w:t>
      </w:r>
      <w:r>
        <w:rPr>
          <w:rFonts w:ascii="Arial" w:eastAsia="Arial" w:hAnsi="Arial" w:cs="Arial"/>
          <w:i/>
          <w:sz w:val="24"/>
          <w:szCs w:val="24"/>
          <w:highlight w:val="white"/>
        </w:rPr>
        <w:t>Medical teacher</w:t>
      </w:r>
      <w:r>
        <w:rPr>
          <w:rFonts w:ascii="Arial" w:eastAsia="Arial" w:hAnsi="Arial" w:cs="Arial"/>
          <w:sz w:val="24"/>
          <w:szCs w:val="24"/>
          <w:highlight w:val="white"/>
        </w:rPr>
        <w:t>, 29(7), 642-647.</w:t>
      </w:r>
    </w:p>
    <w:p w14:paraId="4F22A5C1" w14:textId="24073138" w:rsidR="002F393B" w:rsidRPr="002F393B" w:rsidRDefault="002F393B">
      <w:pPr>
        <w:spacing w:before="80" w:after="80" w:line="240" w:lineRule="auto"/>
        <w:rPr>
          <w:rFonts w:ascii="Arial" w:eastAsia="Arial" w:hAnsi="Arial" w:cs="Arial"/>
          <w:color w:val="FF0000"/>
          <w:sz w:val="24"/>
          <w:szCs w:val="24"/>
        </w:rPr>
      </w:pPr>
      <w:r w:rsidRPr="002F393B">
        <w:rPr>
          <w:rFonts w:ascii="Arial" w:eastAsia="Arial" w:hAnsi="Arial" w:cs="Arial"/>
          <w:color w:val="FF0000"/>
          <w:sz w:val="24"/>
          <w:szCs w:val="24"/>
        </w:rPr>
        <w:t xml:space="preserve">Freire, P. </w:t>
      </w:r>
      <w:r>
        <w:rPr>
          <w:rFonts w:ascii="Arial" w:eastAsia="Arial" w:hAnsi="Arial" w:cs="Arial"/>
          <w:color w:val="FF0000"/>
          <w:sz w:val="24"/>
          <w:szCs w:val="24"/>
        </w:rPr>
        <w:t>(</w:t>
      </w:r>
      <w:r w:rsidRPr="002F393B">
        <w:rPr>
          <w:rFonts w:ascii="Arial" w:eastAsia="Arial" w:hAnsi="Arial" w:cs="Arial"/>
          <w:color w:val="FF0000"/>
          <w:sz w:val="24"/>
          <w:szCs w:val="24"/>
        </w:rPr>
        <w:t>1970</w:t>
      </w:r>
      <w:r>
        <w:rPr>
          <w:rFonts w:ascii="Arial" w:eastAsia="Arial" w:hAnsi="Arial" w:cs="Arial"/>
          <w:color w:val="FF0000"/>
          <w:sz w:val="24"/>
          <w:szCs w:val="24"/>
        </w:rPr>
        <w:t>),</w:t>
      </w:r>
      <w:r w:rsidRPr="002F393B">
        <w:rPr>
          <w:rFonts w:ascii="Arial" w:eastAsia="Arial" w:hAnsi="Arial" w:cs="Arial"/>
          <w:color w:val="FF0000"/>
          <w:sz w:val="24"/>
          <w:szCs w:val="24"/>
        </w:rPr>
        <w:t xml:space="preserve"> Pedagogy of the oppressed. New York, NY: Seabury Press</w:t>
      </w:r>
    </w:p>
    <w:p w14:paraId="56A0F3EF" w14:textId="57115625" w:rsidR="008A3C75" w:rsidRDefault="004D24B2">
      <w:pPr>
        <w:spacing w:before="80" w:after="80" w:line="240" w:lineRule="auto"/>
        <w:rPr>
          <w:rFonts w:ascii="Arial" w:eastAsia="Arial" w:hAnsi="Arial" w:cs="Arial"/>
          <w:sz w:val="24"/>
          <w:szCs w:val="24"/>
          <w:highlight w:val="white"/>
        </w:rPr>
      </w:pPr>
      <w:r>
        <w:rPr>
          <w:rFonts w:ascii="Arial" w:eastAsia="Arial" w:hAnsi="Arial" w:cs="Arial"/>
          <w:sz w:val="24"/>
          <w:szCs w:val="24"/>
          <w:highlight w:val="white"/>
        </w:rPr>
        <w:lastRenderedPageBreak/>
        <w:t>Hennerby</w:t>
      </w:r>
      <w:r>
        <w:rPr>
          <w:rFonts w:ascii="Arial" w:eastAsia="Arial" w:hAnsi="Arial" w:cs="Arial"/>
          <w:sz w:val="24"/>
          <w:szCs w:val="24"/>
        </w:rPr>
        <w:t xml:space="preserve"> c. &amp; </w:t>
      </w:r>
      <w:r>
        <w:rPr>
          <w:rFonts w:ascii="Arial" w:eastAsia="Arial" w:hAnsi="Arial" w:cs="Arial"/>
          <w:sz w:val="24"/>
          <w:szCs w:val="24"/>
          <w:highlight w:val="white"/>
        </w:rPr>
        <w:t>Joyce</w:t>
      </w:r>
      <w:r>
        <w:rPr>
          <w:rFonts w:ascii="Arial" w:eastAsia="Arial" w:hAnsi="Arial" w:cs="Arial"/>
          <w:sz w:val="24"/>
          <w:szCs w:val="24"/>
        </w:rPr>
        <w:t xml:space="preserve"> p.</w:t>
      </w:r>
      <w:r>
        <w:rPr>
          <w:rFonts w:ascii="Arial" w:eastAsia="Arial" w:hAnsi="Arial" w:cs="Arial"/>
          <w:sz w:val="24"/>
          <w:szCs w:val="24"/>
          <w:highlight w:val="white"/>
        </w:rPr>
        <w:t> (2011), Implementation of a competency assessment tool for agency nurses working in an acute paediatric setting,</w:t>
      </w:r>
      <w:r>
        <w:rPr>
          <w:rFonts w:ascii="Arial" w:eastAsia="Arial" w:hAnsi="Arial" w:cs="Arial"/>
          <w:i/>
          <w:sz w:val="24"/>
          <w:szCs w:val="24"/>
          <w:highlight w:val="white"/>
        </w:rPr>
        <w:t xml:space="preserve"> Journal of Nursing Management </w:t>
      </w:r>
      <w:r>
        <w:rPr>
          <w:rFonts w:ascii="Arial" w:eastAsia="Arial" w:hAnsi="Arial" w:cs="Arial"/>
          <w:sz w:val="24"/>
          <w:szCs w:val="24"/>
          <w:highlight w:val="white"/>
        </w:rPr>
        <w:t>19, 237–245</w:t>
      </w:r>
    </w:p>
    <w:p w14:paraId="77BAF4CF"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Gibbs, G. (2010), </w:t>
      </w:r>
      <w:r>
        <w:rPr>
          <w:rFonts w:ascii="Arial" w:eastAsia="Arial" w:hAnsi="Arial" w:cs="Arial"/>
          <w:i/>
          <w:sz w:val="24"/>
          <w:szCs w:val="24"/>
        </w:rPr>
        <w:t>Dimensions of Quality</w:t>
      </w:r>
      <w:r>
        <w:rPr>
          <w:rFonts w:ascii="Arial" w:eastAsia="Arial" w:hAnsi="Arial" w:cs="Arial"/>
          <w:sz w:val="24"/>
          <w:szCs w:val="24"/>
        </w:rPr>
        <w:t>. York: Higher Education Academy</w:t>
      </w:r>
    </w:p>
    <w:p w14:paraId="5A4E92FF" w14:textId="77777777" w:rsidR="008A3C75" w:rsidRDefault="004D24B2">
      <w:pPr>
        <w:shd w:val="clear" w:color="auto" w:fill="FFFFFF"/>
        <w:spacing w:before="80" w:after="8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Gibbs, G (2012), </w:t>
      </w:r>
      <w:r>
        <w:rPr>
          <w:rFonts w:ascii="Arial" w:eastAsia="Arial" w:hAnsi="Arial" w:cs="Arial"/>
          <w:i/>
          <w:sz w:val="24"/>
          <w:szCs w:val="24"/>
          <w:highlight w:val="white"/>
        </w:rPr>
        <w:t>Implications of ‘Dimensions of quality’ in a market environment, HEA research series</w:t>
      </w:r>
      <w:r>
        <w:rPr>
          <w:rFonts w:ascii="Arial" w:eastAsia="Arial" w:hAnsi="Arial" w:cs="Arial"/>
          <w:sz w:val="24"/>
          <w:szCs w:val="24"/>
          <w:highlight w:val="white"/>
        </w:rPr>
        <w:t xml:space="preserve">, Higher Education Academy (HEA) </w:t>
      </w:r>
      <w:hyperlink r:id="rId13">
        <w:r>
          <w:rPr>
            <w:rFonts w:ascii="Arial" w:eastAsia="Arial" w:hAnsi="Arial" w:cs="Arial"/>
            <w:color w:val="000000"/>
            <w:sz w:val="24"/>
            <w:szCs w:val="24"/>
            <w:highlight w:val="white"/>
            <w:u w:val="single"/>
          </w:rPr>
          <w:t>https://pdfs.semanticscholar.org/9d5c/9e525c98317d0a6dff7304a7b19bc8d7661e.pdf</w:t>
        </w:r>
      </w:hyperlink>
      <w:r>
        <w:rPr>
          <w:rFonts w:ascii="Arial" w:eastAsia="Arial" w:hAnsi="Arial" w:cs="Arial"/>
          <w:sz w:val="24"/>
          <w:szCs w:val="24"/>
          <w:highlight w:val="white"/>
        </w:rPr>
        <w:t xml:space="preserve"> [Accessed Jan, 2020]</w:t>
      </w:r>
    </w:p>
    <w:p w14:paraId="136A2CC3"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Gillard, J. W. (2018), An initial analysis and reflection of the metrics used in the teaching excellence framework in the UK. Perspectives: </w:t>
      </w:r>
      <w:r>
        <w:rPr>
          <w:rFonts w:ascii="Arial" w:eastAsia="Arial" w:hAnsi="Arial" w:cs="Arial"/>
          <w:i/>
          <w:sz w:val="24"/>
          <w:szCs w:val="24"/>
        </w:rPr>
        <w:t>Policy and Practice in Higher Education</w:t>
      </w:r>
      <w:r>
        <w:rPr>
          <w:rFonts w:ascii="Arial" w:eastAsia="Arial" w:hAnsi="Arial" w:cs="Arial"/>
          <w:sz w:val="24"/>
          <w:szCs w:val="24"/>
        </w:rPr>
        <w:t>, 22(2), 49–57.</w:t>
      </w:r>
    </w:p>
    <w:p w14:paraId="227832FA" w14:textId="62CEB11E" w:rsidR="00270B10" w:rsidRPr="00270B10" w:rsidRDefault="00270B10" w:rsidP="00270B10">
      <w:pPr>
        <w:spacing w:before="80" w:after="80" w:line="240" w:lineRule="auto"/>
        <w:rPr>
          <w:rFonts w:ascii="Arial" w:eastAsia="Arial" w:hAnsi="Arial" w:cs="Arial"/>
          <w:color w:val="FF0000"/>
          <w:sz w:val="24"/>
          <w:szCs w:val="24"/>
        </w:rPr>
      </w:pPr>
      <w:r w:rsidRPr="00270B10">
        <w:rPr>
          <w:rFonts w:ascii="Arial" w:eastAsia="Arial" w:hAnsi="Arial" w:cs="Arial"/>
          <w:color w:val="FF0000"/>
          <w:sz w:val="24"/>
          <w:szCs w:val="24"/>
        </w:rPr>
        <w:t>Giroux, H</w:t>
      </w:r>
      <w:r>
        <w:rPr>
          <w:rFonts w:ascii="Arial" w:eastAsia="Arial" w:hAnsi="Arial" w:cs="Arial"/>
          <w:color w:val="FF0000"/>
          <w:sz w:val="24"/>
          <w:szCs w:val="24"/>
        </w:rPr>
        <w:t>.</w:t>
      </w:r>
      <w:r w:rsidRPr="00270B10">
        <w:rPr>
          <w:rFonts w:ascii="Arial" w:eastAsia="Arial" w:hAnsi="Arial" w:cs="Arial"/>
          <w:color w:val="FF0000"/>
          <w:sz w:val="24"/>
          <w:szCs w:val="24"/>
        </w:rPr>
        <w:t xml:space="preserve"> A</w:t>
      </w:r>
      <w:r>
        <w:rPr>
          <w:rFonts w:ascii="Arial" w:eastAsia="Arial" w:hAnsi="Arial" w:cs="Arial"/>
          <w:color w:val="FF0000"/>
          <w:sz w:val="24"/>
          <w:szCs w:val="24"/>
        </w:rPr>
        <w:t>., (</w:t>
      </w:r>
      <w:r w:rsidRPr="00270B10">
        <w:rPr>
          <w:rFonts w:ascii="Arial" w:eastAsia="Arial" w:hAnsi="Arial" w:cs="Arial"/>
          <w:color w:val="FF0000"/>
          <w:sz w:val="24"/>
          <w:szCs w:val="24"/>
        </w:rPr>
        <w:t>2014</w:t>
      </w:r>
      <w:r>
        <w:rPr>
          <w:rFonts w:ascii="Arial" w:eastAsia="Arial" w:hAnsi="Arial" w:cs="Arial"/>
          <w:color w:val="FF0000"/>
          <w:sz w:val="24"/>
          <w:szCs w:val="24"/>
        </w:rPr>
        <w:t>),</w:t>
      </w:r>
      <w:r w:rsidRPr="00270B10">
        <w:rPr>
          <w:rFonts w:ascii="Arial" w:eastAsia="Arial" w:hAnsi="Arial" w:cs="Arial"/>
          <w:color w:val="FF0000"/>
          <w:sz w:val="24"/>
          <w:szCs w:val="24"/>
        </w:rPr>
        <w:t xml:space="preserve"> Neoliberalism’s War on Higher Education. Chicago: Haymarket Books.</w:t>
      </w:r>
    </w:p>
    <w:p w14:paraId="45F55BF8" w14:textId="77777777" w:rsidR="003D1C2D" w:rsidRPr="003D1C2D" w:rsidRDefault="003D1C2D" w:rsidP="003D1C2D">
      <w:pPr>
        <w:spacing w:before="80" w:after="80" w:line="240" w:lineRule="auto"/>
        <w:rPr>
          <w:rFonts w:ascii="Arial" w:eastAsia="Arial" w:hAnsi="Arial" w:cs="Arial"/>
          <w:color w:val="FF0000"/>
          <w:sz w:val="24"/>
          <w:szCs w:val="24"/>
        </w:rPr>
      </w:pPr>
      <w:r w:rsidRPr="00F77E74">
        <w:rPr>
          <w:rFonts w:ascii="Arial" w:eastAsia="Arial" w:hAnsi="Arial" w:cs="Arial"/>
          <w:color w:val="FF0000"/>
          <w:sz w:val="24"/>
          <w:szCs w:val="24"/>
        </w:rPr>
        <w:t>Gold</w:t>
      </w:r>
      <w:r>
        <w:rPr>
          <w:rFonts w:ascii="Arial" w:eastAsia="Arial" w:hAnsi="Arial" w:cs="Arial"/>
          <w:color w:val="FF0000"/>
          <w:sz w:val="24"/>
          <w:szCs w:val="24"/>
        </w:rPr>
        <w:t>, J.</w:t>
      </w:r>
      <w:r w:rsidRPr="00F77E74">
        <w:rPr>
          <w:rFonts w:ascii="Arial" w:eastAsia="Arial" w:hAnsi="Arial" w:cs="Arial"/>
          <w:color w:val="FF0000"/>
          <w:sz w:val="24"/>
          <w:szCs w:val="24"/>
        </w:rPr>
        <w:t xml:space="preserve"> &amp; Bratton</w:t>
      </w:r>
      <w:r>
        <w:rPr>
          <w:rFonts w:ascii="Arial" w:eastAsia="Arial" w:hAnsi="Arial" w:cs="Arial"/>
          <w:color w:val="FF0000"/>
          <w:sz w:val="24"/>
          <w:szCs w:val="24"/>
        </w:rPr>
        <w:t>, J.</w:t>
      </w:r>
      <w:r w:rsidRPr="00F77E74">
        <w:rPr>
          <w:rFonts w:ascii="Arial" w:eastAsia="Arial" w:hAnsi="Arial" w:cs="Arial"/>
          <w:color w:val="FF0000"/>
          <w:sz w:val="24"/>
          <w:szCs w:val="24"/>
        </w:rPr>
        <w:t xml:space="preserve"> (2014): Towards critical human resource</w:t>
      </w:r>
      <w:r>
        <w:rPr>
          <w:rFonts w:ascii="Arial" w:eastAsia="Arial" w:hAnsi="Arial" w:cs="Arial"/>
          <w:color w:val="FF0000"/>
          <w:sz w:val="24"/>
          <w:szCs w:val="24"/>
        </w:rPr>
        <w:t xml:space="preserve"> </w:t>
      </w:r>
      <w:r w:rsidRPr="00F77E74">
        <w:rPr>
          <w:rFonts w:ascii="Arial" w:eastAsia="Arial" w:hAnsi="Arial" w:cs="Arial"/>
          <w:color w:val="FF0000"/>
          <w:sz w:val="24"/>
          <w:szCs w:val="24"/>
        </w:rPr>
        <w:t>development education (CHRDE): using the sociological imagination to make the HRD</w:t>
      </w:r>
      <w:r>
        <w:rPr>
          <w:rFonts w:ascii="Arial" w:eastAsia="Arial" w:hAnsi="Arial" w:cs="Arial"/>
          <w:color w:val="FF0000"/>
          <w:sz w:val="24"/>
          <w:szCs w:val="24"/>
        </w:rPr>
        <w:t xml:space="preserve"> </w:t>
      </w:r>
      <w:r w:rsidRPr="00F77E74">
        <w:rPr>
          <w:rFonts w:ascii="Arial" w:eastAsia="Arial" w:hAnsi="Arial" w:cs="Arial"/>
          <w:color w:val="FF0000"/>
          <w:sz w:val="24"/>
          <w:szCs w:val="24"/>
        </w:rPr>
        <w:t xml:space="preserve">profession more critical in the post-crisis era, Human Resource Development International, </w:t>
      </w:r>
      <w:r w:rsidRPr="003D1C2D">
        <w:rPr>
          <w:rFonts w:ascii="Arial" w:eastAsia="Arial" w:hAnsi="Arial" w:cs="Arial"/>
          <w:color w:val="FF0000"/>
          <w:sz w:val="24"/>
          <w:szCs w:val="24"/>
        </w:rPr>
        <w:t>17(4) Special Issue on Critical Management Studies</w:t>
      </w:r>
    </w:p>
    <w:p w14:paraId="6B43EC6F"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Gunn, A. (2018), Metrics and methodologies for measuring teaching quality in higher education: Developing the Teaching Excellence Framework (TEF). </w:t>
      </w:r>
      <w:r>
        <w:rPr>
          <w:rFonts w:ascii="Arial" w:eastAsia="Arial" w:hAnsi="Arial" w:cs="Arial"/>
          <w:i/>
          <w:sz w:val="24"/>
          <w:szCs w:val="24"/>
        </w:rPr>
        <w:t>Educational Review</w:t>
      </w:r>
      <w:r>
        <w:rPr>
          <w:rFonts w:ascii="Arial" w:eastAsia="Arial" w:hAnsi="Arial" w:cs="Arial"/>
          <w:sz w:val="24"/>
          <w:szCs w:val="24"/>
        </w:rPr>
        <w:t>, 70(2), 129–148.</w:t>
      </w:r>
    </w:p>
    <w:p w14:paraId="39859B77" w14:textId="77777777" w:rsidR="00D65E62" w:rsidRPr="00D65E62" w:rsidRDefault="00D65E62" w:rsidP="00D65E62">
      <w:pPr>
        <w:spacing w:before="80" w:after="80" w:line="240" w:lineRule="auto"/>
        <w:rPr>
          <w:rFonts w:ascii="Arial" w:eastAsia="Arial" w:hAnsi="Arial" w:cs="Arial"/>
          <w:color w:val="FF0000"/>
          <w:sz w:val="24"/>
          <w:szCs w:val="24"/>
          <w:shd w:val="clear" w:color="auto" w:fill="FCFCFC"/>
        </w:rPr>
      </w:pPr>
      <w:r w:rsidRPr="00D65E62">
        <w:rPr>
          <w:rFonts w:ascii="Arial" w:eastAsia="Arial" w:hAnsi="Arial" w:cs="Arial"/>
          <w:color w:val="FF0000"/>
          <w:sz w:val="24"/>
          <w:szCs w:val="24"/>
          <w:shd w:val="clear" w:color="auto" w:fill="FCFCFC"/>
        </w:rPr>
        <w:t>Greene, M. (1982). Public education and the public space. Educational Researcher 11(4) 4–9</w:t>
      </w:r>
    </w:p>
    <w:p w14:paraId="27D255FD"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Gyamera, O. and Burke, P. J. (2018), Neoliberalism and curriculum in higher education: a post-colonial analyses, </w:t>
      </w:r>
      <w:r>
        <w:rPr>
          <w:rFonts w:ascii="Arial" w:eastAsia="Arial" w:hAnsi="Arial" w:cs="Arial"/>
          <w:i/>
          <w:sz w:val="24"/>
          <w:szCs w:val="24"/>
        </w:rPr>
        <w:t>Teaching in Higher Education</w:t>
      </w:r>
      <w:r>
        <w:rPr>
          <w:rFonts w:ascii="Arial" w:eastAsia="Arial" w:hAnsi="Arial" w:cs="Arial"/>
          <w:sz w:val="24"/>
          <w:szCs w:val="24"/>
        </w:rPr>
        <w:t xml:space="preserve">, 23(4), 450-467, DOI: 10.1080/13562517.2017.1414782 </w:t>
      </w:r>
    </w:p>
    <w:p w14:paraId="4B398188" w14:textId="77777777" w:rsidR="008A3C75" w:rsidRDefault="004D24B2">
      <w:pPr>
        <w:spacing w:before="80" w:after="80" w:line="240" w:lineRule="auto"/>
        <w:rPr>
          <w:rFonts w:ascii="Arial" w:eastAsia="Arial" w:hAnsi="Arial" w:cs="Arial"/>
          <w:sz w:val="24"/>
          <w:szCs w:val="24"/>
          <w:highlight w:val="white"/>
        </w:rPr>
      </w:pPr>
      <w:r>
        <w:rPr>
          <w:rFonts w:ascii="Arial" w:eastAsia="Arial" w:hAnsi="Arial" w:cs="Arial"/>
          <w:sz w:val="24"/>
          <w:szCs w:val="24"/>
          <w:highlight w:val="white"/>
        </w:rPr>
        <w:t xml:space="preserve">Hafferty F.W. (1998), Beyond curriculum reform: confronting medicine's hidden curriculum. Academic Medicine, </w:t>
      </w:r>
      <w:r>
        <w:rPr>
          <w:rFonts w:ascii="Arial" w:eastAsia="Arial" w:hAnsi="Arial" w:cs="Arial"/>
          <w:i/>
          <w:sz w:val="24"/>
          <w:szCs w:val="24"/>
          <w:highlight w:val="white"/>
        </w:rPr>
        <w:t>Journal of the Association of American Medical Colleges</w:t>
      </w:r>
      <w:r>
        <w:rPr>
          <w:rFonts w:ascii="Arial" w:eastAsia="Arial" w:hAnsi="Arial" w:cs="Arial"/>
          <w:sz w:val="24"/>
          <w:szCs w:val="24"/>
          <w:highlight w:val="white"/>
        </w:rPr>
        <w:t>.73(4): 403-407. DOI: 10.1097/00001888-199804000-00013.</w:t>
      </w:r>
    </w:p>
    <w:p w14:paraId="782B2834" w14:textId="77777777" w:rsidR="008A3C75" w:rsidRDefault="004D24B2">
      <w:pPr>
        <w:shd w:val="clear" w:color="auto" w:fill="FFFFFF"/>
        <w:spacing w:before="80" w:after="8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Hager, M. Peyrefitte, M. and Davis, C. (2018), The politics of neoliberalism and social justice: Towards a pedagogy of critical locational encounter, </w:t>
      </w:r>
      <w:r>
        <w:rPr>
          <w:rFonts w:ascii="Arial" w:eastAsia="Arial" w:hAnsi="Arial" w:cs="Arial"/>
          <w:i/>
          <w:sz w:val="24"/>
          <w:szCs w:val="24"/>
          <w:highlight w:val="white"/>
        </w:rPr>
        <w:t>Education, Citizenship and Social Justice</w:t>
      </w:r>
      <w:r>
        <w:rPr>
          <w:rFonts w:ascii="Arial" w:eastAsia="Arial" w:hAnsi="Arial" w:cs="Arial"/>
          <w:sz w:val="24"/>
          <w:szCs w:val="24"/>
          <w:highlight w:val="white"/>
        </w:rPr>
        <w:t>, 13(3) 199–206.</w:t>
      </w:r>
    </w:p>
    <w:p w14:paraId="2AB23F04"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Harvey, D. (2005), </w:t>
      </w:r>
      <w:r>
        <w:rPr>
          <w:rFonts w:ascii="Arial" w:eastAsia="Arial" w:hAnsi="Arial" w:cs="Arial"/>
          <w:i/>
          <w:sz w:val="24"/>
          <w:szCs w:val="24"/>
        </w:rPr>
        <w:t>A Brief History of Neoliberalism</w:t>
      </w:r>
      <w:r>
        <w:rPr>
          <w:rFonts w:ascii="Arial" w:eastAsia="Arial" w:hAnsi="Arial" w:cs="Arial"/>
          <w:sz w:val="24"/>
          <w:szCs w:val="24"/>
        </w:rPr>
        <w:t xml:space="preserve">. Oxford: Oxford University Press. </w:t>
      </w:r>
    </w:p>
    <w:p w14:paraId="13283421"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Harvey, D. (2008), A </w:t>
      </w:r>
      <w:r>
        <w:rPr>
          <w:rFonts w:ascii="Arial" w:eastAsia="Arial" w:hAnsi="Arial" w:cs="Arial"/>
          <w:i/>
          <w:sz w:val="24"/>
          <w:szCs w:val="24"/>
        </w:rPr>
        <w:t>Brief History of Neoliberalism</w:t>
      </w:r>
      <w:r>
        <w:rPr>
          <w:rFonts w:ascii="Arial" w:eastAsia="Arial" w:hAnsi="Arial" w:cs="Arial"/>
          <w:sz w:val="24"/>
          <w:szCs w:val="24"/>
        </w:rPr>
        <w:t>. New York: Oxford University Press.</w:t>
      </w:r>
    </w:p>
    <w:p w14:paraId="086487E5"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Hase, S., &amp; Kenyon, C. (2000), From Andragogy to Heutagogy. </w:t>
      </w:r>
      <w:r>
        <w:rPr>
          <w:rFonts w:ascii="Arial" w:eastAsia="Arial" w:hAnsi="Arial" w:cs="Arial"/>
          <w:i/>
          <w:sz w:val="24"/>
          <w:szCs w:val="24"/>
        </w:rPr>
        <w:t>Ultibase Articles</w:t>
      </w:r>
      <w:r>
        <w:rPr>
          <w:rFonts w:ascii="Arial" w:eastAsia="Arial" w:hAnsi="Arial" w:cs="Arial"/>
          <w:sz w:val="24"/>
          <w:szCs w:val="24"/>
        </w:rPr>
        <w:t>, 5, 1-10.</w:t>
      </w:r>
    </w:p>
    <w:p w14:paraId="13BE0E9F"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HEA, (2015), Fellowship of the Higher Education Academy Guidance notes: </w:t>
      </w:r>
      <w:r>
        <w:rPr>
          <w:rFonts w:ascii="Arial" w:eastAsia="Arial" w:hAnsi="Arial" w:cs="Arial"/>
          <w:i/>
          <w:sz w:val="24"/>
          <w:szCs w:val="24"/>
        </w:rPr>
        <w:t>Fellow Guidance Notes 5</w:t>
      </w:r>
      <w:r>
        <w:rPr>
          <w:rFonts w:ascii="Arial" w:eastAsia="Arial" w:hAnsi="Arial" w:cs="Arial"/>
          <w:sz w:val="24"/>
          <w:szCs w:val="24"/>
        </w:rPr>
        <w:t> [Online] Available from: &lt;</w:t>
      </w:r>
      <w:hyperlink r:id="rId14">
        <w:r>
          <w:rPr>
            <w:rFonts w:ascii="Arial" w:eastAsia="Arial" w:hAnsi="Arial" w:cs="Arial"/>
            <w:sz w:val="24"/>
            <w:szCs w:val="24"/>
          </w:rPr>
          <w:t>https://www.heacademy.ac.uk/system/files/downloads/fhea-guidance-for-applicants_0.pdf</w:t>
        </w:r>
      </w:hyperlink>
      <w:r>
        <w:rPr>
          <w:rFonts w:ascii="Arial" w:eastAsia="Arial" w:hAnsi="Arial" w:cs="Arial"/>
          <w:sz w:val="24"/>
          <w:szCs w:val="24"/>
        </w:rPr>
        <w:t>&lt;</w:t>
      </w:r>
    </w:p>
    <w:p w14:paraId="5487FADE" w14:textId="77777777" w:rsidR="000676F6" w:rsidRPr="000676F6" w:rsidRDefault="000676F6" w:rsidP="000676F6">
      <w:pPr>
        <w:shd w:val="clear" w:color="auto" w:fill="FFFFFF"/>
        <w:spacing w:before="80" w:after="80" w:line="240" w:lineRule="auto"/>
        <w:jc w:val="both"/>
        <w:rPr>
          <w:rFonts w:ascii="Arial" w:eastAsia="Arial" w:hAnsi="Arial" w:cs="Arial"/>
          <w:color w:val="FF0000"/>
          <w:sz w:val="24"/>
          <w:szCs w:val="24"/>
          <w:highlight w:val="white"/>
        </w:rPr>
      </w:pPr>
      <w:r w:rsidRPr="000676F6">
        <w:rPr>
          <w:rFonts w:ascii="Arial" w:eastAsia="Arial" w:hAnsi="Arial" w:cs="Arial"/>
          <w:color w:val="FF0000"/>
          <w:sz w:val="24"/>
          <w:szCs w:val="24"/>
          <w:highlight w:val="white"/>
        </w:rPr>
        <w:t>Healey, M., Flint, A., &amp; Harrington, K. (2014). Engagement through partnership: Students as partners in learning and teaching in higher education. York: Higher Education Academy.</w:t>
      </w:r>
    </w:p>
    <w:p w14:paraId="7FAFED43" w14:textId="77777777" w:rsidR="000676F6" w:rsidRPr="000676F6" w:rsidRDefault="000676F6" w:rsidP="000676F6">
      <w:pPr>
        <w:shd w:val="clear" w:color="auto" w:fill="FFFFFF"/>
        <w:spacing w:before="80" w:after="80" w:line="240" w:lineRule="auto"/>
        <w:jc w:val="both"/>
        <w:rPr>
          <w:rFonts w:ascii="Arial" w:eastAsia="Arial" w:hAnsi="Arial" w:cs="Arial"/>
          <w:color w:val="FF0000"/>
          <w:sz w:val="24"/>
          <w:szCs w:val="24"/>
          <w:highlight w:val="white"/>
        </w:rPr>
      </w:pPr>
      <w:r w:rsidRPr="000676F6">
        <w:rPr>
          <w:rFonts w:ascii="Arial" w:eastAsia="Arial" w:hAnsi="Arial" w:cs="Arial"/>
          <w:color w:val="FF0000"/>
          <w:sz w:val="24"/>
          <w:szCs w:val="24"/>
          <w:highlight w:val="white"/>
        </w:rPr>
        <w:t>Healey, M. (2000). Developing the scholarship of teaching in higher education: A discipline-based approach. Higher Education Research &amp; Development, 19(2), 169–189. doi:10.1080/072943600445637</w:t>
      </w:r>
    </w:p>
    <w:p w14:paraId="7D43A69A"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lastRenderedPageBreak/>
        <w:t xml:space="preserve">HEFCE (2014), </w:t>
      </w:r>
      <w:r>
        <w:rPr>
          <w:rFonts w:ascii="Arial" w:eastAsia="Arial" w:hAnsi="Arial" w:cs="Arial"/>
          <w:i/>
          <w:sz w:val="24"/>
          <w:szCs w:val="24"/>
        </w:rPr>
        <w:t>Framework E. Research Excellence Framework 2014</w:t>
      </w:r>
      <w:r>
        <w:rPr>
          <w:rFonts w:ascii="Arial" w:eastAsia="Arial" w:hAnsi="Arial" w:cs="Arial"/>
          <w:sz w:val="24"/>
          <w:szCs w:val="24"/>
        </w:rPr>
        <w:t xml:space="preserve">: the results. 1, 1–66 (2014), www.ref.ac.uk/2014/media/ref/content/pub/REF%2001%202014%20-%20full%20document.pdf. </w:t>
      </w:r>
    </w:p>
    <w:p w14:paraId="275B4EAB"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HEFCE. (2016), Teaching Excellence Framework year two additional guidance. </w:t>
      </w:r>
      <w:hyperlink r:id="rId15">
        <w:r>
          <w:rPr>
            <w:rFonts w:ascii="Arial" w:eastAsia="Arial" w:hAnsi="Arial" w:cs="Arial"/>
            <w:color w:val="000000"/>
            <w:sz w:val="24"/>
            <w:szCs w:val="24"/>
            <w:u w:val="single"/>
          </w:rPr>
          <w:t>http://www.hefce.ac.uk/media/HEFCE,2014/Content/Pubs/2016/201632/HEFCE2016_32.pdf</w:t>
        </w:r>
      </w:hyperlink>
    </w:p>
    <w:p w14:paraId="74E5BF2C"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Henkel, M. (1997), 'Academic Values and the University as Corporate Enterprise', Higher Education Quarterly, 51(2), pp. 134-143.</w:t>
      </w:r>
    </w:p>
    <w:p w14:paraId="2CE3FF02" w14:textId="77777777" w:rsidR="008A3C75" w:rsidRDefault="004D24B2">
      <w:pPr>
        <w:shd w:val="clear" w:color="auto" w:fill="FFFFFF"/>
        <w:spacing w:before="80" w:after="80" w:line="240" w:lineRule="auto"/>
        <w:jc w:val="both"/>
        <w:rPr>
          <w:rFonts w:ascii="Arial" w:eastAsia="Arial" w:hAnsi="Arial" w:cs="Arial"/>
          <w:sz w:val="24"/>
          <w:szCs w:val="24"/>
        </w:rPr>
      </w:pPr>
      <w:r>
        <w:rPr>
          <w:rFonts w:ascii="Arial" w:eastAsia="Arial" w:hAnsi="Arial" w:cs="Arial"/>
          <w:sz w:val="24"/>
          <w:szCs w:val="24"/>
        </w:rPr>
        <w:t xml:space="preserve">HESA, (2011), Performance Indicators in Higher Education in the UK 2009/10. HESA. http:// </w:t>
      </w:r>
      <w:hyperlink r:id="rId16">
        <w:r>
          <w:rPr>
            <w:rFonts w:ascii="Arial" w:eastAsia="Arial" w:hAnsi="Arial" w:cs="Arial"/>
            <w:color w:val="000000"/>
            <w:sz w:val="24"/>
            <w:szCs w:val="24"/>
            <w:u w:val="single"/>
          </w:rPr>
          <w:t>www.hesa.ac.uk/dox/performanceIndicators/0910/t1a_0910.xls</w:t>
        </w:r>
      </w:hyperlink>
    </w:p>
    <w:p w14:paraId="41BACBAA" w14:textId="77777777" w:rsidR="008A3C75" w:rsidRDefault="004D24B2">
      <w:pPr>
        <w:shd w:val="clear" w:color="auto" w:fill="FFFFFF"/>
        <w:spacing w:before="80" w:after="80" w:line="240" w:lineRule="auto"/>
        <w:jc w:val="both"/>
        <w:rPr>
          <w:rFonts w:ascii="Arial" w:eastAsia="Arial" w:hAnsi="Arial" w:cs="Arial"/>
          <w:sz w:val="24"/>
          <w:szCs w:val="24"/>
          <w:highlight w:val="white"/>
        </w:rPr>
      </w:pPr>
      <w:r>
        <w:rPr>
          <w:rFonts w:ascii="Arial" w:eastAsia="Arial" w:hAnsi="Arial" w:cs="Arial"/>
          <w:sz w:val="24"/>
          <w:szCs w:val="24"/>
          <w:highlight w:val="white"/>
        </w:rPr>
        <w:t>Hobson, A. (2010), Teaching the scientific process. The Physics Teacher,48(2), 84-84.</w:t>
      </w:r>
    </w:p>
    <w:p w14:paraId="36240DBA" w14:textId="77777777" w:rsidR="008A3C75" w:rsidRDefault="004D24B2">
      <w:pPr>
        <w:shd w:val="clear" w:color="auto" w:fill="FFFFFF"/>
        <w:spacing w:before="80" w:after="80" w:line="240" w:lineRule="auto"/>
        <w:jc w:val="both"/>
        <w:rPr>
          <w:rFonts w:ascii="Arial" w:eastAsia="Arial" w:hAnsi="Arial" w:cs="Arial"/>
          <w:sz w:val="24"/>
          <w:szCs w:val="24"/>
        </w:rPr>
      </w:pPr>
      <w:r>
        <w:rPr>
          <w:rFonts w:ascii="Arial" w:eastAsia="Arial" w:hAnsi="Arial" w:cs="Arial"/>
          <w:sz w:val="24"/>
          <w:szCs w:val="24"/>
        </w:rPr>
        <w:t xml:space="preserve">Huisman, J., &amp; van der Wende, M. (Eds.). (2005), </w:t>
      </w:r>
      <w:r>
        <w:rPr>
          <w:rFonts w:ascii="Arial" w:eastAsia="Arial" w:hAnsi="Arial" w:cs="Arial"/>
          <w:i/>
          <w:sz w:val="24"/>
          <w:szCs w:val="24"/>
        </w:rPr>
        <w:t>On cooperation and competition II: Institutional responses to internationalisation, Europeanisation and globalisation</w:t>
      </w:r>
      <w:r>
        <w:rPr>
          <w:rFonts w:ascii="Arial" w:eastAsia="Arial" w:hAnsi="Arial" w:cs="Arial"/>
          <w:sz w:val="24"/>
          <w:szCs w:val="24"/>
        </w:rPr>
        <w:t xml:space="preserve">. ACA Papers on International Cooperation in Education. Bonn: Lemmens. </w:t>
      </w:r>
    </w:p>
    <w:p w14:paraId="202F71AA" w14:textId="77777777" w:rsidR="008A3C75" w:rsidRDefault="004D24B2">
      <w:pPr>
        <w:shd w:val="clear" w:color="auto" w:fill="FFFFFF"/>
        <w:spacing w:before="80" w:after="80" w:line="240" w:lineRule="auto"/>
        <w:jc w:val="both"/>
        <w:rPr>
          <w:rFonts w:ascii="Arial" w:eastAsia="Arial" w:hAnsi="Arial" w:cs="Arial"/>
          <w:sz w:val="24"/>
          <w:szCs w:val="24"/>
        </w:rPr>
      </w:pPr>
      <w:r>
        <w:rPr>
          <w:rFonts w:ascii="Arial" w:eastAsia="Arial" w:hAnsi="Arial" w:cs="Arial"/>
          <w:sz w:val="24"/>
          <w:szCs w:val="24"/>
        </w:rPr>
        <w:t xml:space="preserve">Jarvis D.S. L. (2014), Regulating higher education: quality assurance and neo-liberal managerialism in higher education–a critical introduction. Policy and Society 33: 155–156. </w:t>
      </w:r>
    </w:p>
    <w:p w14:paraId="5728391C" w14:textId="77777777" w:rsidR="008A3C75" w:rsidRDefault="004D24B2">
      <w:pPr>
        <w:spacing w:before="80" w:after="80" w:line="240" w:lineRule="auto"/>
        <w:rPr>
          <w:rFonts w:ascii="Arial" w:eastAsia="Arial" w:hAnsi="Arial" w:cs="Arial"/>
          <w:sz w:val="24"/>
          <w:szCs w:val="24"/>
          <w:highlight w:val="white"/>
        </w:rPr>
      </w:pPr>
      <w:r>
        <w:rPr>
          <w:rFonts w:ascii="Arial" w:eastAsia="Arial" w:hAnsi="Arial" w:cs="Arial"/>
          <w:sz w:val="24"/>
          <w:szCs w:val="24"/>
          <w:highlight w:val="white"/>
        </w:rPr>
        <w:t>Kaslow, N. J., Borden, K. A., Collins, F. L., Forrest, L., Illfelder</w:t>
      </w:r>
      <w:r>
        <w:rPr>
          <w:rFonts w:ascii="Cambria Math" w:eastAsia="Cambria Math" w:hAnsi="Cambria Math" w:cs="Cambria Math"/>
          <w:sz w:val="24"/>
          <w:szCs w:val="24"/>
          <w:highlight w:val="white"/>
        </w:rPr>
        <w:t>‐</w:t>
      </w:r>
      <w:r>
        <w:rPr>
          <w:rFonts w:ascii="Arial" w:eastAsia="Arial" w:hAnsi="Arial" w:cs="Arial"/>
          <w:sz w:val="24"/>
          <w:szCs w:val="24"/>
          <w:highlight w:val="white"/>
        </w:rPr>
        <w:t>Kaye, J., Nelson, P. D., &amp; Willmuth, M. E. (2004), Competencies conference: Future directions in education and credentialing in professional psychology. Journal of Clinical Psychology, </w:t>
      </w:r>
      <w:r>
        <w:rPr>
          <w:rFonts w:ascii="Arial" w:eastAsia="Arial" w:hAnsi="Arial" w:cs="Arial"/>
          <w:i/>
          <w:sz w:val="24"/>
          <w:szCs w:val="24"/>
          <w:highlight w:val="white"/>
        </w:rPr>
        <w:t>60</w:t>
      </w:r>
      <w:r>
        <w:rPr>
          <w:rFonts w:ascii="Arial" w:eastAsia="Arial" w:hAnsi="Arial" w:cs="Arial"/>
          <w:sz w:val="24"/>
          <w:szCs w:val="24"/>
          <w:highlight w:val="white"/>
        </w:rPr>
        <w:t>(7), 699-712.</w:t>
      </w:r>
    </w:p>
    <w:p w14:paraId="3D23C369"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Kaur, S., Ibrahim, R., &amp; Selamat, A. (2013), Constraints on achieving key performance indicators for scholarly publications among academic staff: Case of a Malaysian public university. In Research and Innovation in Information Systems (ICRIIS), 2013 International Conference on (pp. 73-78). IEEE.</w:t>
      </w:r>
    </w:p>
    <w:p w14:paraId="200C5DA0" w14:textId="77777777" w:rsidR="008A3C75" w:rsidRDefault="004D24B2">
      <w:pPr>
        <w:spacing w:before="80" w:after="80" w:line="240" w:lineRule="auto"/>
        <w:rPr>
          <w:rFonts w:ascii="Arial" w:eastAsia="Arial" w:hAnsi="Arial" w:cs="Arial"/>
          <w:sz w:val="24"/>
          <w:szCs w:val="24"/>
          <w:highlight w:val="white"/>
        </w:rPr>
      </w:pPr>
      <w:r>
        <w:rPr>
          <w:rFonts w:ascii="Arial" w:eastAsia="Arial" w:hAnsi="Arial" w:cs="Arial"/>
          <w:sz w:val="24"/>
          <w:szCs w:val="24"/>
          <w:highlight w:val="white"/>
        </w:rPr>
        <w:t>Kennedy, A. (2005) Models of Continuing Professional Development: a framework for analysis, </w:t>
      </w:r>
      <w:r>
        <w:rPr>
          <w:rFonts w:ascii="Arial" w:eastAsia="Arial" w:hAnsi="Arial" w:cs="Arial"/>
          <w:i/>
          <w:sz w:val="24"/>
          <w:szCs w:val="24"/>
          <w:highlight w:val="white"/>
        </w:rPr>
        <w:t>Journal of In-Service Education</w:t>
      </w:r>
      <w:r>
        <w:rPr>
          <w:rFonts w:ascii="Arial" w:eastAsia="Arial" w:hAnsi="Arial" w:cs="Arial"/>
          <w:sz w:val="24"/>
          <w:szCs w:val="24"/>
          <w:highlight w:val="white"/>
        </w:rPr>
        <w:t>, 31:2, 235-250, </w:t>
      </w:r>
    </w:p>
    <w:p w14:paraId="15708BBC"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Kennedy, A. (2014), Understanding continuing professional development: the need for theory to impact on policy and practice. </w:t>
      </w:r>
      <w:r>
        <w:rPr>
          <w:rFonts w:ascii="Arial" w:eastAsia="Arial" w:hAnsi="Arial" w:cs="Arial"/>
          <w:i/>
          <w:sz w:val="24"/>
          <w:szCs w:val="24"/>
        </w:rPr>
        <w:t>Professional Development in Education</w:t>
      </w:r>
      <w:r>
        <w:rPr>
          <w:rFonts w:ascii="Arial" w:eastAsia="Arial" w:hAnsi="Arial" w:cs="Arial"/>
          <w:sz w:val="24"/>
          <w:szCs w:val="24"/>
        </w:rPr>
        <w:t>. 40. 688-697. 10.1080/19415257.2014.955122.</w:t>
      </w:r>
    </w:p>
    <w:p w14:paraId="19AD5F26" w14:textId="77777777" w:rsidR="008A3C75" w:rsidRDefault="004D24B2">
      <w:pPr>
        <w:shd w:val="clear" w:color="auto" w:fill="FFFFFF"/>
        <w:spacing w:before="80" w:after="80" w:line="240" w:lineRule="auto"/>
        <w:jc w:val="both"/>
        <w:rPr>
          <w:rFonts w:ascii="Arial" w:eastAsia="Arial" w:hAnsi="Arial" w:cs="Arial"/>
          <w:sz w:val="24"/>
          <w:szCs w:val="24"/>
        </w:rPr>
      </w:pPr>
      <w:r>
        <w:rPr>
          <w:rFonts w:ascii="Arial" w:eastAsia="Arial" w:hAnsi="Arial" w:cs="Arial"/>
          <w:sz w:val="24"/>
          <w:szCs w:val="24"/>
        </w:rPr>
        <w:t>Kershaw-Solomon, H. (2019), A Realist Evaluation of Professional Accreditation and Engagement in a Post-1992 University [MRes. Thesis unpublished]. Leeds Beckett University.</w:t>
      </w:r>
    </w:p>
    <w:p w14:paraId="2B2802F5" w14:textId="77777777" w:rsidR="008A3C75" w:rsidRDefault="004D24B2">
      <w:pPr>
        <w:shd w:val="clear" w:color="auto" w:fill="FFFFFF"/>
        <w:spacing w:before="80" w:after="80" w:line="240" w:lineRule="auto"/>
        <w:jc w:val="both"/>
        <w:rPr>
          <w:rFonts w:ascii="Arial" w:eastAsia="Arial" w:hAnsi="Arial" w:cs="Arial"/>
          <w:sz w:val="24"/>
          <w:szCs w:val="24"/>
          <w:highlight w:val="white"/>
        </w:rPr>
      </w:pPr>
      <w:r>
        <w:rPr>
          <w:rFonts w:ascii="Arial" w:eastAsia="Arial" w:hAnsi="Arial" w:cs="Arial"/>
          <w:sz w:val="24"/>
          <w:szCs w:val="24"/>
          <w:highlight w:val="white"/>
        </w:rPr>
        <w:t>Kahn, W. A. (1990), Psychological conditions of personal engagement and disengagement at work. Academy of management journal, 33(4), 692-724.</w:t>
      </w:r>
    </w:p>
    <w:p w14:paraId="390635CA" w14:textId="77777777" w:rsidR="008A3C75" w:rsidRDefault="004D24B2">
      <w:pPr>
        <w:shd w:val="clear" w:color="auto" w:fill="FFFFFF"/>
        <w:spacing w:before="80" w:after="80" w:line="240" w:lineRule="auto"/>
        <w:jc w:val="both"/>
        <w:rPr>
          <w:rFonts w:ascii="Arial" w:eastAsia="Arial" w:hAnsi="Arial" w:cs="Arial"/>
          <w:sz w:val="24"/>
          <w:szCs w:val="24"/>
        </w:rPr>
      </w:pPr>
      <w:r>
        <w:rPr>
          <w:rFonts w:ascii="Arial" w:eastAsia="Arial" w:hAnsi="Arial" w:cs="Arial"/>
          <w:sz w:val="24"/>
          <w:szCs w:val="24"/>
        </w:rPr>
        <w:t>Khurana, R. (2007), From Higher Aims to Hired Hands: The social transformation of American business schools and the unfulfilled promise of management as a profession, Princeton University Press, Princeton, NJ</w:t>
      </w:r>
    </w:p>
    <w:p w14:paraId="3E4A567B" w14:textId="77777777" w:rsidR="008A3C75" w:rsidRDefault="004D24B2">
      <w:pPr>
        <w:shd w:val="clear" w:color="auto" w:fill="FFFFFF"/>
        <w:spacing w:before="80" w:after="80" w:line="240" w:lineRule="auto"/>
        <w:jc w:val="both"/>
        <w:rPr>
          <w:rFonts w:ascii="Arial" w:eastAsia="Arial" w:hAnsi="Arial" w:cs="Arial"/>
          <w:sz w:val="24"/>
          <w:szCs w:val="24"/>
        </w:rPr>
      </w:pPr>
      <w:r>
        <w:rPr>
          <w:rFonts w:ascii="Arial" w:eastAsia="Arial" w:hAnsi="Arial" w:cs="Arial"/>
          <w:sz w:val="24"/>
          <w:szCs w:val="24"/>
        </w:rPr>
        <w:t>King, H. (2004), Continuing Professional Development in Higher Education: what do academics do? Planet, (13), 26-29.</w:t>
      </w:r>
    </w:p>
    <w:p w14:paraId="44E48D31" w14:textId="77777777" w:rsidR="008A3C75" w:rsidRDefault="004D24B2">
      <w:pPr>
        <w:spacing w:before="80" w:after="80" w:line="240" w:lineRule="auto"/>
        <w:rPr>
          <w:rFonts w:ascii="Arial" w:eastAsia="Arial" w:hAnsi="Arial" w:cs="Arial"/>
          <w:sz w:val="24"/>
          <w:szCs w:val="24"/>
        </w:rPr>
      </w:pPr>
      <w:bookmarkStart w:id="9" w:name="_4d34og8" w:colFirst="0" w:colLast="0"/>
      <w:bookmarkEnd w:id="9"/>
      <w:r>
        <w:rPr>
          <w:rFonts w:ascii="Arial" w:eastAsia="Arial" w:hAnsi="Arial" w:cs="Arial"/>
          <w:sz w:val="24"/>
          <w:szCs w:val="24"/>
        </w:rPr>
        <w:t>Kinman, G., &amp; Jones, F. (2003), 'Running Up the Down Escalator': Stressors and strains in UK academics. Quality in Higher Education, 9(1), 21-38.</w:t>
      </w:r>
    </w:p>
    <w:p w14:paraId="0F0968D8"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Kinman, G. and Wray, S., (2013), Higher stress: A survey of stress and well-being among staff in higher education. London, UK: University and College Union.</w:t>
      </w:r>
    </w:p>
    <w:p w14:paraId="7707EA5A"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lastRenderedPageBreak/>
        <w:t xml:space="preserve">Knight, J. (2015), </w:t>
      </w:r>
      <w:r>
        <w:rPr>
          <w:rFonts w:ascii="Arial" w:eastAsia="Arial" w:hAnsi="Arial" w:cs="Arial"/>
          <w:i/>
          <w:sz w:val="24"/>
          <w:szCs w:val="24"/>
        </w:rPr>
        <w:t>Meaning, rationales and tensions in the internationalisation of higher education</w:t>
      </w:r>
      <w:r>
        <w:rPr>
          <w:rFonts w:ascii="Arial" w:eastAsia="Arial" w:hAnsi="Arial" w:cs="Arial"/>
          <w:sz w:val="24"/>
          <w:szCs w:val="24"/>
        </w:rPr>
        <w:t xml:space="preserve">. In S. McGrath &amp; Q. Gu (Eds.), Routledge handbook of international education and development (pp. 345–359). Abingdon: Routledge. </w:t>
      </w:r>
    </w:p>
    <w:p w14:paraId="05B66E44"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Kolsaker, A. (2014), Relocating Professionalism in an English University, Journal of Higher Education Policy and Management, 36 (2) p129-142 </w:t>
      </w:r>
    </w:p>
    <w:p w14:paraId="42B0EC03"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Evans, Linda (2008) Professionalism, professionality and the development of education professionals. </w:t>
      </w:r>
      <w:r>
        <w:rPr>
          <w:rFonts w:ascii="Arial" w:eastAsia="Arial" w:hAnsi="Arial" w:cs="Arial"/>
          <w:i/>
          <w:sz w:val="24"/>
          <w:szCs w:val="24"/>
        </w:rPr>
        <w:t>British Journal of Educational Studies</w:t>
      </w:r>
      <w:r>
        <w:rPr>
          <w:rFonts w:ascii="Arial" w:eastAsia="Arial" w:hAnsi="Arial" w:cs="Arial"/>
          <w:sz w:val="24"/>
          <w:szCs w:val="24"/>
        </w:rPr>
        <w:t>, 56 (1). pp. 20-38.</w:t>
      </w:r>
    </w:p>
    <w:p w14:paraId="185B099B" w14:textId="77777777" w:rsidR="008A3C75" w:rsidRDefault="004D24B2">
      <w:pPr>
        <w:spacing w:before="80" w:after="80" w:line="240" w:lineRule="auto"/>
        <w:rPr>
          <w:rFonts w:ascii="Arial" w:eastAsia="Arial" w:hAnsi="Arial" w:cs="Arial"/>
          <w:i/>
          <w:sz w:val="24"/>
          <w:szCs w:val="24"/>
          <w:highlight w:val="white"/>
        </w:rPr>
      </w:pPr>
      <w:r>
        <w:rPr>
          <w:rFonts w:ascii="Arial" w:eastAsia="Arial" w:hAnsi="Arial" w:cs="Arial"/>
          <w:sz w:val="24"/>
          <w:szCs w:val="24"/>
          <w:highlight w:val="white"/>
        </w:rPr>
        <w:t>Fairlie, P. (2011), Meaningful work, employee engagement, and other key employee outcomes: Implications for human resource development. </w:t>
      </w:r>
      <w:r>
        <w:rPr>
          <w:rFonts w:ascii="Arial" w:eastAsia="Arial" w:hAnsi="Arial" w:cs="Arial"/>
          <w:i/>
          <w:sz w:val="24"/>
          <w:szCs w:val="24"/>
          <w:highlight w:val="white"/>
        </w:rPr>
        <w:t>Advances in Developing Human Resources, 13(4), pp.508-525.</w:t>
      </w:r>
    </w:p>
    <w:p w14:paraId="778C42F7"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highlight w:val="white"/>
        </w:rPr>
        <w:t>Land, R. &amp; Gordon, G. (2015). Teaching excellence initiatives: modalities and operational factors. </w:t>
      </w:r>
      <w:r>
        <w:rPr>
          <w:rFonts w:ascii="Arial" w:eastAsia="Arial" w:hAnsi="Arial" w:cs="Arial"/>
          <w:i/>
          <w:sz w:val="24"/>
          <w:szCs w:val="24"/>
          <w:highlight w:val="white"/>
        </w:rPr>
        <w:t>York: Higher Education Academy</w:t>
      </w:r>
      <w:r>
        <w:rPr>
          <w:rFonts w:ascii="Arial" w:eastAsia="Arial" w:hAnsi="Arial" w:cs="Arial"/>
          <w:sz w:val="24"/>
          <w:szCs w:val="24"/>
          <w:highlight w:val="white"/>
        </w:rPr>
        <w:t>.</w:t>
      </w:r>
      <w:r>
        <w:rPr>
          <w:rFonts w:ascii="Arial" w:eastAsia="Arial" w:hAnsi="Arial" w:cs="Arial"/>
          <w:sz w:val="24"/>
          <w:szCs w:val="24"/>
        </w:rPr>
        <w:t xml:space="preserve"> </w:t>
      </w:r>
    </w:p>
    <w:p w14:paraId="5AF1FEC1"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Leach, M. (2019), Major reviews of higher education through history [Online] </w:t>
      </w:r>
      <w:hyperlink r:id="rId17">
        <w:r>
          <w:rPr>
            <w:rFonts w:ascii="Arial" w:eastAsia="Arial" w:hAnsi="Arial" w:cs="Arial"/>
            <w:sz w:val="24"/>
            <w:szCs w:val="24"/>
          </w:rPr>
          <w:t>https://wonkhe.com/blogs/major-reviews-in-history/</w:t>
        </w:r>
      </w:hyperlink>
      <w:r>
        <w:rPr>
          <w:rFonts w:ascii="Arial" w:eastAsia="Arial" w:hAnsi="Arial" w:cs="Arial"/>
          <w:sz w:val="24"/>
          <w:szCs w:val="24"/>
        </w:rPr>
        <w:t>&gt; [Accessed 18 November 2019]</w:t>
      </w:r>
    </w:p>
    <w:p w14:paraId="10C72A3A" w14:textId="77777777" w:rsidR="008A3C75" w:rsidRDefault="004D24B2">
      <w:pPr>
        <w:spacing w:before="80" w:after="80" w:line="240" w:lineRule="auto"/>
        <w:rPr>
          <w:rFonts w:ascii="Arial" w:eastAsia="Arial" w:hAnsi="Arial" w:cs="Arial"/>
          <w:sz w:val="24"/>
          <w:szCs w:val="24"/>
          <w:highlight w:val="white"/>
        </w:rPr>
      </w:pPr>
      <w:r>
        <w:rPr>
          <w:rFonts w:ascii="Arial" w:eastAsia="Arial" w:hAnsi="Arial" w:cs="Arial"/>
          <w:sz w:val="24"/>
          <w:szCs w:val="24"/>
          <w:highlight w:val="white"/>
        </w:rPr>
        <w:t xml:space="preserve">Lester, S &amp; Chapman, J (2008), </w:t>
      </w:r>
      <w:r>
        <w:rPr>
          <w:rFonts w:ascii="Arial" w:eastAsia="Arial" w:hAnsi="Arial" w:cs="Arial"/>
          <w:i/>
          <w:sz w:val="24"/>
          <w:szCs w:val="24"/>
          <w:highlight w:val="white"/>
        </w:rPr>
        <w:t>Beyond conventional competence: a study of capable people</w:t>
      </w:r>
      <w:r>
        <w:rPr>
          <w:rFonts w:ascii="Arial" w:eastAsia="Arial" w:hAnsi="Arial" w:cs="Arial"/>
          <w:sz w:val="24"/>
          <w:szCs w:val="24"/>
          <w:highlight w:val="white"/>
        </w:rPr>
        <w:t xml:space="preserve">. Second edition. Taunton, Stan Lester Developments: </w:t>
      </w:r>
      <w:hyperlink r:id="rId18">
        <w:r>
          <w:rPr>
            <w:rFonts w:ascii="Arial" w:eastAsia="Arial" w:hAnsi="Arial" w:cs="Arial"/>
            <w:sz w:val="24"/>
            <w:szCs w:val="24"/>
            <w:highlight w:val="white"/>
          </w:rPr>
          <w:t>www.devmts.co.uk/capable.pdf</w:t>
        </w:r>
      </w:hyperlink>
      <w:r>
        <w:rPr>
          <w:rFonts w:ascii="Arial" w:eastAsia="Arial" w:hAnsi="Arial" w:cs="Arial"/>
          <w:sz w:val="24"/>
          <w:szCs w:val="24"/>
          <w:highlight w:val="white"/>
        </w:rPr>
        <w:t>&gt; [Accessed 18 March 2019]</w:t>
      </w:r>
    </w:p>
    <w:p w14:paraId="43ABAD11" w14:textId="77777777" w:rsidR="008A3C75" w:rsidRDefault="004D24B2">
      <w:pPr>
        <w:spacing w:before="80" w:after="80" w:line="240" w:lineRule="auto"/>
        <w:rPr>
          <w:rFonts w:ascii="Arial" w:eastAsia="Arial" w:hAnsi="Arial" w:cs="Arial"/>
          <w:sz w:val="24"/>
          <w:szCs w:val="24"/>
          <w:highlight w:val="white"/>
        </w:rPr>
      </w:pPr>
      <w:r>
        <w:rPr>
          <w:rFonts w:ascii="Arial" w:eastAsia="Arial" w:hAnsi="Arial" w:cs="Arial"/>
          <w:sz w:val="24"/>
          <w:szCs w:val="24"/>
          <w:highlight w:val="white"/>
        </w:rPr>
        <w:t>Lester, S. (2009), Routes to qualified status: practices and trends among UK professional bodies.</w:t>
      </w:r>
      <w:r>
        <w:rPr>
          <w:rFonts w:ascii="Arial" w:eastAsia="Arial" w:hAnsi="Arial" w:cs="Arial"/>
          <w:sz w:val="24"/>
          <w:szCs w:val="24"/>
        </w:rPr>
        <w:t> </w:t>
      </w:r>
      <w:r>
        <w:rPr>
          <w:rFonts w:ascii="Arial" w:eastAsia="Arial" w:hAnsi="Arial" w:cs="Arial"/>
          <w:i/>
          <w:sz w:val="24"/>
          <w:szCs w:val="24"/>
          <w:highlight w:val="white"/>
        </w:rPr>
        <w:t>Studies in Higher Education</w:t>
      </w:r>
      <w:r>
        <w:rPr>
          <w:rFonts w:ascii="Arial" w:eastAsia="Arial" w:hAnsi="Arial" w:cs="Arial"/>
          <w:sz w:val="24"/>
          <w:szCs w:val="24"/>
          <w:highlight w:val="white"/>
        </w:rPr>
        <w:t>,</w:t>
      </w:r>
      <w:r>
        <w:rPr>
          <w:rFonts w:ascii="Arial" w:eastAsia="Arial" w:hAnsi="Arial" w:cs="Arial"/>
          <w:sz w:val="24"/>
          <w:szCs w:val="24"/>
        </w:rPr>
        <w:t> </w:t>
      </w:r>
      <w:r>
        <w:rPr>
          <w:rFonts w:ascii="Arial" w:eastAsia="Arial" w:hAnsi="Arial" w:cs="Arial"/>
          <w:sz w:val="24"/>
          <w:szCs w:val="24"/>
          <w:highlight w:val="white"/>
        </w:rPr>
        <w:t>34(2), 223-236.</w:t>
      </w:r>
    </w:p>
    <w:p w14:paraId="2C1B2F48" w14:textId="77777777" w:rsidR="008A3C75" w:rsidRDefault="004D24B2">
      <w:pPr>
        <w:spacing w:before="80" w:after="80" w:line="240" w:lineRule="auto"/>
        <w:rPr>
          <w:rFonts w:ascii="Arial" w:eastAsia="Arial" w:hAnsi="Arial" w:cs="Arial"/>
          <w:sz w:val="24"/>
          <w:szCs w:val="24"/>
          <w:highlight w:val="white"/>
        </w:rPr>
      </w:pPr>
      <w:r>
        <w:rPr>
          <w:rFonts w:ascii="Arial" w:eastAsia="Arial" w:hAnsi="Arial" w:cs="Arial"/>
          <w:sz w:val="24"/>
          <w:szCs w:val="24"/>
          <w:highlight w:val="white"/>
        </w:rPr>
        <w:t xml:space="preserve">Longstreet, W. S., &amp; Shane, H. G. (1993). </w:t>
      </w:r>
      <w:r>
        <w:rPr>
          <w:rFonts w:ascii="Arial" w:eastAsia="Arial" w:hAnsi="Arial" w:cs="Arial"/>
          <w:i/>
          <w:sz w:val="24"/>
          <w:szCs w:val="24"/>
          <w:highlight w:val="white"/>
        </w:rPr>
        <w:t>Curriculum for a new millennium</w:t>
      </w:r>
      <w:r>
        <w:rPr>
          <w:rFonts w:ascii="Arial" w:eastAsia="Arial" w:hAnsi="Arial" w:cs="Arial"/>
          <w:sz w:val="24"/>
          <w:szCs w:val="24"/>
          <w:highlight w:val="white"/>
        </w:rPr>
        <w:t xml:space="preserve">. Boston: Allyn and Bacon. </w:t>
      </w:r>
    </w:p>
    <w:p w14:paraId="29F1A949"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Loveday, V., (2018), The neurotic academic: anxiety, casualisation, and governance in the neoliberalising university. </w:t>
      </w:r>
      <w:r>
        <w:rPr>
          <w:rFonts w:ascii="Arial" w:eastAsia="Arial" w:hAnsi="Arial" w:cs="Arial"/>
          <w:i/>
          <w:sz w:val="24"/>
          <w:szCs w:val="24"/>
        </w:rPr>
        <w:t>Journal of Cultural Economy</w:t>
      </w:r>
      <w:r>
        <w:rPr>
          <w:rFonts w:ascii="Arial" w:eastAsia="Arial" w:hAnsi="Arial" w:cs="Arial"/>
          <w:sz w:val="24"/>
          <w:szCs w:val="24"/>
        </w:rPr>
        <w:t>, 11(2), pp.154-166.</w:t>
      </w:r>
    </w:p>
    <w:p w14:paraId="36F81DFA" w14:textId="77777777" w:rsidR="008A3C75" w:rsidRDefault="004D24B2">
      <w:pPr>
        <w:spacing w:before="80" w:after="80" w:line="240" w:lineRule="auto"/>
        <w:rPr>
          <w:rFonts w:ascii="Arial" w:eastAsia="Arial" w:hAnsi="Arial" w:cs="Arial"/>
          <w:color w:val="FF0000"/>
          <w:sz w:val="24"/>
          <w:szCs w:val="24"/>
          <w:highlight w:val="white"/>
        </w:rPr>
      </w:pPr>
      <w:r>
        <w:rPr>
          <w:rFonts w:ascii="Arial" w:eastAsia="Arial" w:hAnsi="Arial" w:cs="Arial"/>
          <w:color w:val="FF0000"/>
          <w:sz w:val="24"/>
          <w:szCs w:val="24"/>
          <w:highlight w:val="white"/>
        </w:rPr>
        <w:t>Lucas, C. and Kline, T. (2008) Understanding the influence of organizational culture and group dynamics on organizational change and learning. The Learning Organization, 15 (3) 277-287</w:t>
      </w:r>
    </w:p>
    <w:p w14:paraId="67A2CC18" w14:textId="77777777" w:rsidR="008A3C75" w:rsidRDefault="004D24B2">
      <w:pPr>
        <w:spacing w:before="80" w:after="80" w:line="240" w:lineRule="auto"/>
        <w:rPr>
          <w:rFonts w:ascii="Arial" w:eastAsia="Arial" w:hAnsi="Arial" w:cs="Arial"/>
          <w:sz w:val="24"/>
          <w:szCs w:val="24"/>
          <w:highlight w:val="white"/>
        </w:rPr>
      </w:pPr>
      <w:r>
        <w:rPr>
          <w:rFonts w:ascii="Arial" w:eastAsia="Arial" w:hAnsi="Arial" w:cs="Arial"/>
          <w:sz w:val="24"/>
          <w:szCs w:val="24"/>
          <w:highlight w:val="white"/>
        </w:rPr>
        <w:t>Lum, G. (2013), Competence: A tale of two constructs. Educational Philosophy and Theory, </w:t>
      </w:r>
      <w:r>
        <w:rPr>
          <w:rFonts w:ascii="Arial" w:eastAsia="Arial" w:hAnsi="Arial" w:cs="Arial"/>
          <w:i/>
          <w:sz w:val="24"/>
          <w:szCs w:val="24"/>
          <w:highlight w:val="white"/>
        </w:rPr>
        <w:t>45</w:t>
      </w:r>
      <w:r>
        <w:rPr>
          <w:rFonts w:ascii="Arial" w:eastAsia="Arial" w:hAnsi="Arial" w:cs="Arial"/>
          <w:sz w:val="24"/>
          <w:szCs w:val="24"/>
          <w:highlight w:val="white"/>
        </w:rPr>
        <w:t>(12), 1193-1204.</w:t>
      </w:r>
    </w:p>
    <w:p w14:paraId="6B7CB179" w14:textId="77777777" w:rsidR="008A3C75" w:rsidRDefault="004D24B2">
      <w:pPr>
        <w:spacing w:before="80" w:after="80" w:line="240" w:lineRule="auto"/>
        <w:rPr>
          <w:rFonts w:ascii="Arial" w:eastAsia="Arial" w:hAnsi="Arial" w:cs="Arial"/>
          <w:sz w:val="24"/>
          <w:szCs w:val="24"/>
          <w:highlight w:val="white"/>
        </w:rPr>
      </w:pPr>
      <w:r>
        <w:rPr>
          <w:rFonts w:ascii="Arial" w:eastAsia="Arial" w:hAnsi="Arial" w:cs="Arial"/>
          <w:sz w:val="24"/>
          <w:szCs w:val="24"/>
          <w:highlight w:val="white"/>
        </w:rPr>
        <w:t>Macfarlane, B., (2005), The disengaged academic: The retreat from citizenship. </w:t>
      </w:r>
      <w:r>
        <w:rPr>
          <w:rFonts w:ascii="Arial" w:eastAsia="Arial" w:hAnsi="Arial" w:cs="Arial"/>
          <w:i/>
          <w:sz w:val="24"/>
          <w:szCs w:val="24"/>
          <w:highlight w:val="white"/>
        </w:rPr>
        <w:t>Higher Education Quarterly</w:t>
      </w:r>
      <w:r>
        <w:rPr>
          <w:rFonts w:ascii="Arial" w:eastAsia="Arial" w:hAnsi="Arial" w:cs="Arial"/>
          <w:sz w:val="24"/>
          <w:szCs w:val="24"/>
          <w:highlight w:val="white"/>
        </w:rPr>
        <w:t>, </w:t>
      </w:r>
      <w:r>
        <w:rPr>
          <w:rFonts w:ascii="Arial" w:eastAsia="Arial" w:hAnsi="Arial" w:cs="Arial"/>
          <w:i/>
          <w:sz w:val="24"/>
          <w:szCs w:val="24"/>
          <w:highlight w:val="white"/>
        </w:rPr>
        <w:t>59</w:t>
      </w:r>
      <w:r>
        <w:rPr>
          <w:rFonts w:ascii="Arial" w:eastAsia="Arial" w:hAnsi="Arial" w:cs="Arial"/>
          <w:sz w:val="24"/>
          <w:szCs w:val="24"/>
          <w:highlight w:val="white"/>
        </w:rPr>
        <w:t>(4), pp.296-312.</w:t>
      </w:r>
    </w:p>
    <w:p w14:paraId="29B1595B" w14:textId="50C341B6"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Macfarlane, B. (2007), 'Defining and Rewarding Academic Citizenship: The implications for university promotions policy', </w:t>
      </w:r>
      <w:r>
        <w:rPr>
          <w:rFonts w:ascii="Arial" w:eastAsia="Arial" w:hAnsi="Arial" w:cs="Arial"/>
          <w:i/>
          <w:sz w:val="24"/>
          <w:szCs w:val="24"/>
        </w:rPr>
        <w:t>Journal of Higher Education Policy and Management</w:t>
      </w:r>
      <w:r>
        <w:rPr>
          <w:rFonts w:ascii="Arial" w:eastAsia="Arial" w:hAnsi="Arial" w:cs="Arial"/>
          <w:sz w:val="24"/>
          <w:szCs w:val="24"/>
        </w:rPr>
        <w:t>, 29(3)</w:t>
      </w:r>
      <w:r w:rsidR="00EA006C">
        <w:rPr>
          <w:rFonts w:ascii="Arial" w:eastAsia="Arial" w:hAnsi="Arial" w:cs="Arial"/>
          <w:sz w:val="24"/>
          <w:szCs w:val="24"/>
        </w:rPr>
        <w:t xml:space="preserve">, </w:t>
      </w:r>
      <w:r>
        <w:rPr>
          <w:rFonts w:ascii="Arial" w:eastAsia="Arial" w:hAnsi="Arial" w:cs="Arial"/>
          <w:sz w:val="24"/>
          <w:szCs w:val="24"/>
        </w:rPr>
        <w:t>261 - 273.</w:t>
      </w:r>
    </w:p>
    <w:p w14:paraId="13BDCF34" w14:textId="77777777" w:rsidR="008A3C75" w:rsidRDefault="004D24B2">
      <w:pPr>
        <w:spacing w:before="80" w:after="80" w:line="240" w:lineRule="auto"/>
        <w:rPr>
          <w:rFonts w:ascii="Arial" w:eastAsia="Arial" w:hAnsi="Arial" w:cs="Arial"/>
          <w:sz w:val="24"/>
          <w:szCs w:val="24"/>
          <w:highlight w:val="white"/>
        </w:rPr>
      </w:pPr>
      <w:r>
        <w:rPr>
          <w:rFonts w:ascii="Arial" w:eastAsia="Arial" w:hAnsi="Arial" w:cs="Arial"/>
          <w:sz w:val="24"/>
          <w:szCs w:val="24"/>
          <w:highlight w:val="white"/>
        </w:rPr>
        <w:t>Macfarlane, B., (2011), The morphing of academic practice: Unbundling and the rise of the para academic. </w:t>
      </w:r>
      <w:r>
        <w:rPr>
          <w:rFonts w:ascii="Arial" w:eastAsia="Arial" w:hAnsi="Arial" w:cs="Arial"/>
          <w:i/>
          <w:sz w:val="24"/>
          <w:szCs w:val="24"/>
          <w:highlight w:val="white"/>
        </w:rPr>
        <w:t>Higher Education Quarterly</w:t>
      </w:r>
      <w:r>
        <w:rPr>
          <w:rFonts w:ascii="Arial" w:eastAsia="Arial" w:hAnsi="Arial" w:cs="Arial"/>
          <w:sz w:val="24"/>
          <w:szCs w:val="24"/>
          <w:highlight w:val="white"/>
        </w:rPr>
        <w:t>, </w:t>
      </w:r>
      <w:r>
        <w:rPr>
          <w:rFonts w:ascii="Arial" w:eastAsia="Arial" w:hAnsi="Arial" w:cs="Arial"/>
          <w:i/>
          <w:sz w:val="24"/>
          <w:szCs w:val="24"/>
          <w:highlight w:val="white"/>
        </w:rPr>
        <w:t>65</w:t>
      </w:r>
      <w:r>
        <w:rPr>
          <w:rFonts w:ascii="Arial" w:eastAsia="Arial" w:hAnsi="Arial" w:cs="Arial"/>
          <w:sz w:val="24"/>
          <w:szCs w:val="24"/>
          <w:highlight w:val="white"/>
        </w:rPr>
        <w:t>(1), pp.59-73.</w:t>
      </w:r>
    </w:p>
    <w:p w14:paraId="73C2BAE1" w14:textId="00554820"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Marginson, S. (1997), Steering from a Distance: Power Relations in Australian Higher Education. </w:t>
      </w:r>
      <w:r>
        <w:rPr>
          <w:rFonts w:ascii="Arial" w:eastAsia="Arial" w:hAnsi="Arial" w:cs="Arial"/>
          <w:i/>
          <w:sz w:val="24"/>
          <w:szCs w:val="24"/>
        </w:rPr>
        <w:t>Higher Education</w:t>
      </w:r>
      <w:r>
        <w:rPr>
          <w:rFonts w:ascii="Arial" w:eastAsia="Arial" w:hAnsi="Arial" w:cs="Arial"/>
          <w:sz w:val="24"/>
          <w:szCs w:val="24"/>
        </w:rPr>
        <w:t xml:space="preserve"> 34 (1), 63–80.</w:t>
      </w:r>
    </w:p>
    <w:p w14:paraId="10884466"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McNay, I. (1995), From the collegial academy to corporate enterprise: the changing cultures of universities. In: T. Schuller (ed.) The Changing University? Buckingham: SRHE and OU Press. </w:t>
      </w:r>
    </w:p>
    <w:p w14:paraId="56B4BDDE"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Meighan, R. (1981). </w:t>
      </w:r>
      <w:r>
        <w:rPr>
          <w:rFonts w:ascii="Arial" w:eastAsia="Arial" w:hAnsi="Arial" w:cs="Arial"/>
          <w:i/>
          <w:sz w:val="24"/>
          <w:szCs w:val="24"/>
        </w:rPr>
        <w:t>A sociology of educating</w:t>
      </w:r>
      <w:r>
        <w:rPr>
          <w:rFonts w:ascii="Arial" w:eastAsia="Arial" w:hAnsi="Arial" w:cs="Arial"/>
          <w:sz w:val="24"/>
          <w:szCs w:val="24"/>
        </w:rPr>
        <w:t>. London: Holt, Rinehart and Winston</w:t>
      </w:r>
    </w:p>
    <w:p w14:paraId="6EE4CC0E" w14:textId="4BD7317C"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Meyer, J. H. F. and Land, R. (2005), Threshold concepts and troublesome knowledge (2): epistemological considerations and a conceptual framework for teaching and learning. Higher Educ. 49(3) 373–388.</w:t>
      </w:r>
    </w:p>
    <w:p w14:paraId="09064D6B" w14:textId="77777777" w:rsidR="00775CFC" w:rsidRPr="00775CFC" w:rsidRDefault="00775CFC" w:rsidP="00775CFC">
      <w:pPr>
        <w:spacing w:before="80" w:after="80" w:line="240" w:lineRule="auto"/>
        <w:rPr>
          <w:rFonts w:ascii="Arial" w:eastAsia="Arial" w:hAnsi="Arial" w:cs="Arial"/>
          <w:color w:val="FF0000"/>
          <w:sz w:val="24"/>
          <w:szCs w:val="24"/>
          <w:highlight w:val="white"/>
        </w:rPr>
      </w:pPr>
      <w:r w:rsidRPr="00775CFC">
        <w:rPr>
          <w:rFonts w:ascii="Arial" w:eastAsia="Arial" w:hAnsi="Arial" w:cs="Arial"/>
          <w:color w:val="FF0000"/>
          <w:sz w:val="24"/>
          <w:szCs w:val="24"/>
          <w:highlight w:val="white"/>
        </w:rPr>
        <w:lastRenderedPageBreak/>
        <w:t xml:space="preserve">Middlehurst, R., and T. Kennie. 1997. </w:t>
      </w:r>
      <w:r w:rsidRPr="00775CFC">
        <w:rPr>
          <w:rFonts w:ascii="Arial" w:eastAsia="Arial" w:hAnsi="Arial" w:cs="Arial"/>
          <w:i/>
          <w:iCs/>
          <w:color w:val="FF0000"/>
          <w:sz w:val="24"/>
          <w:szCs w:val="24"/>
          <w:highlight w:val="white"/>
        </w:rPr>
        <w:t>“Leading Professionals: Towards New Concepts of Professionalism</w:t>
      </w:r>
      <w:r w:rsidRPr="00775CFC">
        <w:rPr>
          <w:rFonts w:ascii="Arial" w:eastAsia="Arial" w:hAnsi="Arial" w:cs="Arial"/>
          <w:color w:val="FF0000"/>
          <w:sz w:val="24"/>
          <w:szCs w:val="24"/>
          <w:highlight w:val="white"/>
        </w:rPr>
        <w:t>.” In The End of the Professions?</w:t>
      </w:r>
      <w:r>
        <w:rPr>
          <w:rFonts w:ascii="Arial" w:eastAsia="Arial" w:hAnsi="Arial" w:cs="Arial"/>
          <w:color w:val="FF0000"/>
          <w:sz w:val="24"/>
          <w:szCs w:val="24"/>
          <w:highlight w:val="white"/>
        </w:rPr>
        <w:t xml:space="preserve"> </w:t>
      </w:r>
      <w:r w:rsidRPr="00775CFC">
        <w:rPr>
          <w:rFonts w:ascii="Arial" w:eastAsia="Arial" w:hAnsi="Arial" w:cs="Arial"/>
          <w:color w:val="FF0000"/>
          <w:sz w:val="24"/>
          <w:szCs w:val="24"/>
          <w:highlight w:val="white"/>
        </w:rPr>
        <w:t xml:space="preserve">edited by J. Broadbent, M. Dietrich, and J. Roberts, 50–68. London: Routledge. </w:t>
      </w:r>
    </w:p>
    <w:p w14:paraId="5A753031" w14:textId="7B1E134C"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Miller, B., (2014), Free to manage? A neo-liberal defence of academic freedom in British higher education. </w:t>
      </w:r>
      <w:r>
        <w:rPr>
          <w:rFonts w:ascii="Arial" w:eastAsia="Arial" w:hAnsi="Arial" w:cs="Arial"/>
          <w:i/>
          <w:sz w:val="24"/>
          <w:szCs w:val="24"/>
        </w:rPr>
        <w:t>Journal of Higher Education Policy and Management</w:t>
      </w:r>
      <w:r>
        <w:rPr>
          <w:rFonts w:ascii="Arial" w:eastAsia="Arial" w:hAnsi="Arial" w:cs="Arial"/>
          <w:sz w:val="24"/>
          <w:szCs w:val="24"/>
        </w:rPr>
        <w:t>, 36(2), 143-154</w:t>
      </w:r>
    </w:p>
    <w:p w14:paraId="5CC6B26C" w14:textId="77777777" w:rsidR="008A3C75" w:rsidRDefault="004D24B2">
      <w:pPr>
        <w:shd w:val="clear" w:color="auto" w:fill="FFFFFF"/>
        <w:spacing w:before="80" w:after="8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Naidoo R and Williams J (2015), The neoliberal regime in English higher education: charters, consumers and the erosion of the public good. </w:t>
      </w:r>
      <w:r>
        <w:rPr>
          <w:rFonts w:ascii="Arial" w:eastAsia="Arial" w:hAnsi="Arial" w:cs="Arial"/>
          <w:i/>
          <w:sz w:val="24"/>
          <w:szCs w:val="24"/>
          <w:highlight w:val="white"/>
        </w:rPr>
        <w:t>Critical Studies in Education</w:t>
      </w:r>
      <w:r>
        <w:rPr>
          <w:rFonts w:ascii="Arial" w:eastAsia="Arial" w:hAnsi="Arial" w:cs="Arial"/>
          <w:sz w:val="24"/>
          <w:szCs w:val="24"/>
          <w:highlight w:val="white"/>
        </w:rPr>
        <w:t xml:space="preserve"> 56(20): 208–223.</w:t>
      </w:r>
    </w:p>
    <w:p w14:paraId="42BB474A" w14:textId="3BCDF848" w:rsidR="00EA006C" w:rsidRPr="00EA006C" w:rsidRDefault="00EA006C">
      <w:pPr>
        <w:spacing w:before="80" w:after="80" w:line="240" w:lineRule="auto"/>
        <w:rPr>
          <w:rFonts w:ascii="Arial" w:eastAsia="Arial" w:hAnsi="Arial" w:cs="Arial"/>
          <w:color w:val="FF0000"/>
          <w:sz w:val="24"/>
          <w:szCs w:val="24"/>
          <w:highlight w:val="white"/>
        </w:rPr>
      </w:pPr>
      <w:r w:rsidRPr="00EA006C">
        <w:rPr>
          <w:rFonts w:ascii="Arial" w:eastAsia="Arial" w:hAnsi="Arial" w:cs="Arial"/>
          <w:color w:val="FF0000"/>
          <w:sz w:val="24"/>
          <w:szCs w:val="24"/>
          <w:highlight w:val="white"/>
        </w:rPr>
        <w:t xml:space="preserve">Nussbaum, M. </w:t>
      </w:r>
      <w:r>
        <w:rPr>
          <w:rFonts w:ascii="Arial" w:eastAsia="Arial" w:hAnsi="Arial" w:cs="Arial"/>
          <w:color w:val="FF0000"/>
          <w:sz w:val="24"/>
          <w:szCs w:val="24"/>
          <w:highlight w:val="white"/>
        </w:rPr>
        <w:t>(</w:t>
      </w:r>
      <w:r w:rsidRPr="00EA006C">
        <w:rPr>
          <w:rFonts w:ascii="Arial" w:eastAsia="Arial" w:hAnsi="Arial" w:cs="Arial"/>
          <w:color w:val="FF0000"/>
          <w:sz w:val="24"/>
          <w:szCs w:val="24"/>
          <w:highlight w:val="white"/>
        </w:rPr>
        <w:t>2010</w:t>
      </w:r>
      <w:r>
        <w:rPr>
          <w:rFonts w:ascii="Arial" w:eastAsia="Arial" w:hAnsi="Arial" w:cs="Arial"/>
          <w:color w:val="FF0000"/>
          <w:sz w:val="24"/>
          <w:szCs w:val="24"/>
          <w:highlight w:val="white"/>
        </w:rPr>
        <w:t>)</w:t>
      </w:r>
      <w:r w:rsidRPr="00EA006C">
        <w:rPr>
          <w:rFonts w:ascii="Arial" w:eastAsia="Arial" w:hAnsi="Arial" w:cs="Arial"/>
          <w:color w:val="FF0000"/>
          <w:sz w:val="24"/>
          <w:szCs w:val="24"/>
          <w:highlight w:val="white"/>
        </w:rPr>
        <w:t xml:space="preserve">. Not for profit: Why democracy needs the humanities. Princeton, NJ: Princeton University Press. </w:t>
      </w:r>
    </w:p>
    <w:p w14:paraId="4DB7C548" w14:textId="19924B06"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O’Leary, M., &amp; Wood, P. (2018). Reimagining teaching excellence: Why collaboration, rather than competition, holds the key to improving teaching and learning in higher education. </w:t>
      </w:r>
      <w:r>
        <w:rPr>
          <w:rFonts w:ascii="Arial" w:eastAsia="Arial" w:hAnsi="Arial" w:cs="Arial"/>
          <w:i/>
          <w:sz w:val="24"/>
          <w:szCs w:val="24"/>
        </w:rPr>
        <w:t>Educational Review</w:t>
      </w:r>
      <w:r>
        <w:rPr>
          <w:rFonts w:ascii="Arial" w:eastAsia="Arial" w:hAnsi="Arial" w:cs="Arial"/>
          <w:sz w:val="24"/>
          <w:szCs w:val="24"/>
        </w:rPr>
        <w:t xml:space="preserve">, 1–18. </w:t>
      </w:r>
    </w:p>
    <w:p w14:paraId="1E183227"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Otteson, J. (2018), Professionalism in Higher Education, Educator Resources, Education &amp; Information Age Education News, 27 Mar, http://www.educationviews.org/james-otteson-professionalism-in-higher-education/ [Accessed 1 Jun 2019]</w:t>
      </w:r>
    </w:p>
    <w:p w14:paraId="2148B13A" w14:textId="77777777" w:rsidR="008A3C75" w:rsidRDefault="004D24B2">
      <w:p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Pandey, S. K., and Stazyk, E. C. (2008). Antecedents and correlates of public service motivation. In Motivation in public management: The call of public service, eds. James L. Perry and Annie Hondeghem, 101–17. Oxford: Oxford Univ. Press </w:t>
      </w:r>
    </w:p>
    <w:p w14:paraId="7CC3B43D" w14:textId="77777777" w:rsidR="008A3C75" w:rsidRDefault="004D24B2">
      <w:p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Pandey, S. K., Coursey, D. H. and Moynihan, D. P. (2007). Organizational effectiveness and bureaucratic red tape: A multi-method study. Public Performance and Management Review 30:398–425. </w:t>
      </w:r>
    </w:p>
    <w:p w14:paraId="7AE694DF" w14:textId="77777777" w:rsidR="008A3C75" w:rsidRDefault="004D24B2">
      <w:pPr>
        <w:spacing w:before="80" w:after="80" w:line="240" w:lineRule="auto"/>
        <w:rPr>
          <w:rFonts w:ascii="Arial" w:eastAsia="Arial" w:hAnsi="Arial" w:cs="Arial"/>
          <w:sz w:val="24"/>
          <w:szCs w:val="24"/>
          <w:highlight w:val="white"/>
        </w:rPr>
      </w:pPr>
      <w:r>
        <w:rPr>
          <w:rFonts w:ascii="Arial" w:eastAsia="Arial" w:hAnsi="Arial" w:cs="Arial"/>
          <w:sz w:val="24"/>
          <w:szCs w:val="24"/>
          <w:highlight w:val="white"/>
        </w:rPr>
        <w:t xml:space="preserve">Parsons, D., Hill, I., Holland, J., &amp; Willis, D. (2012). </w:t>
      </w:r>
      <w:r>
        <w:rPr>
          <w:rFonts w:ascii="Arial" w:eastAsia="Arial" w:hAnsi="Arial" w:cs="Arial"/>
          <w:i/>
          <w:sz w:val="24"/>
          <w:szCs w:val="24"/>
          <w:highlight w:val="white"/>
        </w:rPr>
        <w:t>Impact of teaching development programmes in higher education</w:t>
      </w:r>
      <w:r>
        <w:rPr>
          <w:rFonts w:ascii="Arial" w:eastAsia="Arial" w:hAnsi="Arial" w:cs="Arial"/>
          <w:sz w:val="24"/>
          <w:szCs w:val="24"/>
          <w:highlight w:val="white"/>
        </w:rPr>
        <w:t>. York: Higher Education Academy</w:t>
      </w:r>
    </w:p>
    <w:p w14:paraId="7AEA3402" w14:textId="77777777" w:rsidR="008A3C75" w:rsidRDefault="004D24B2">
      <w:pPr>
        <w:spacing w:before="80" w:after="80" w:line="240" w:lineRule="auto"/>
        <w:rPr>
          <w:rFonts w:ascii="Arial" w:eastAsia="Arial" w:hAnsi="Arial" w:cs="Arial"/>
          <w:sz w:val="24"/>
          <w:szCs w:val="24"/>
          <w:highlight w:val="white"/>
        </w:rPr>
      </w:pPr>
      <w:r>
        <w:rPr>
          <w:rFonts w:ascii="Arial" w:eastAsia="Arial" w:hAnsi="Arial" w:cs="Arial"/>
          <w:sz w:val="24"/>
          <w:szCs w:val="24"/>
          <w:highlight w:val="white"/>
        </w:rPr>
        <w:t>Pawson, R. and Tilley, N., 1997. An introduction to scientific realist evaluation. </w:t>
      </w:r>
      <w:r>
        <w:rPr>
          <w:rFonts w:ascii="Arial" w:eastAsia="Arial" w:hAnsi="Arial" w:cs="Arial"/>
          <w:i/>
          <w:sz w:val="24"/>
          <w:szCs w:val="24"/>
          <w:highlight w:val="white"/>
        </w:rPr>
        <w:t>Evaluation for the 21st century: A handbook</w:t>
      </w:r>
      <w:r>
        <w:rPr>
          <w:rFonts w:ascii="Arial" w:eastAsia="Arial" w:hAnsi="Arial" w:cs="Arial"/>
          <w:sz w:val="24"/>
          <w:szCs w:val="24"/>
          <w:highlight w:val="white"/>
        </w:rPr>
        <w:t>, </w:t>
      </w:r>
      <w:r>
        <w:rPr>
          <w:rFonts w:ascii="Arial" w:eastAsia="Arial" w:hAnsi="Arial" w:cs="Arial"/>
          <w:i/>
          <w:sz w:val="24"/>
          <w:szCs w:val="24"/>
          <w:highlight w:val="white"/>
        </w:rPr>
        <w:t>1997</w:t>
      </w:r>
      <w:r>
        <w:rPr>
          <w:rFonts w:ascii="Arial" w:eastAsia="Arial" w:hAnsi="Arial" w:cs="Arial"/>
          <w:sz w:val="24"/>
          <w:szCs w:val="24"/>
          <w:highlight w:val="white"/>
        </w:rPr>
        <w:t>, pp.405-418.</w:t>
      </w:r>
    </w:p>
    <w:p w14:paraId="05DA1A74"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highlight w:val="white"/>
        </w:rPr>
        <w:t>Prospects (2014), Graduate Prospects,</w:t>
      </w:r>
      <w:r>
        <w:rPr>
          <w:rFonts w:ascii="Arial" w:eastAsia="Arial" w:hAnsi="Arial" w:cs="Arial"/>
          <w:sz w:val="24"/>
          <w:szCs w:val="24"/>
        </w:rPr>
        <w:t xml:space="preserve"> [Online], Available from: &lt;</w:t>
      </w:r>
      <w:hyperlink r:id="rId19">
        <w:r>
          <w:rPr>
            <w:rFonts w:ascii="Arial" w:eastAsia="Arial" w:hAnsi="Arial" w:cs="Arial"/>
            <w:sz w:val="24"/>
            <w:szCs w:val="24"/>
          </w:rPr>
          <w:t>https://www.prospects.ac.uk/</w:t>
        </w:r>
      </w:hyperlink>
      <w:r>
        <w:rPr>
          <w:rFonts w:ascii="Arial" w:eastAsia="Arial" w:hAnsi="Arial" w:cs="Arial"/>
          <w:sz w:val="24"/>
          <w:szCs w:val="24"/>
        </w:rPr>
        <w:t>&gt; [Accessed 8 September 2014]</w:t>
      </w:r>
    </w:p>
    <w:p w14:paraId="1B359302" w14:textId="5A108526" w:rsidR="008A3C75" w:rsidRDefault="00554F3F" w:rsidP="00554F3F">
      <w:pPr>
        <w:spacing w:before="80" w:after="80" w:line="240" w:lineRule="auto"/>
        <w:rPr>
          <w:rFonts w:ascii="Arial" w:eastAsia="Arial" w:hAnsi="Arial" w:cs="Arial"/>
          <w:sz w:val="24"/>
          <w:szCs w:val="24"/>
        </w:rPr>
      </w:pPr>
      <w:r w:rsidRPr="00554F3F">
        <w:rPr>
          <w:rFonts w:ascii="Arial" w:eastAsia="Arial" w:hAnsi="Arial" w:cs="Arial"/>
          <w:sz w:val="24"/>
          <w:szCs w:val="24"/>
          <w:highlight w:val="white"/>
        </w:rPr>
        <w:t>Purcell, J., N. Kinnie, J. Swart,</w:t>
      </w:r>
      <w:r w:rsidR="004D24B2" w:rsidRPr="00554F3F">
        <w:rPr>
          <w:rFonts w:ascii="Arial" w:eastAsia="Arial" w:hAnsi="Arial" w:cs="Arial"/>
          <w:sz w:val="24"/>
          <w:szCs w:val="24"/>
          <w:highlight w:val="white"/>
        </w:rPr>
        <w:t>Quinn, R. E. and Rohrbaugh, J. (1981). A competing values</w:t>
      </w:r>
      <w:r w:rsidR="004D24B2">
        <w:rPr>
          <w:rFonts w:ascii="Arial" w:eastAsia="Arial" w:hAnsi="Arial" w:cs="Arial"/>
          <w:sz w:val="24"/>
          <w:szCs w:val="24"/>
        </w:rPr>
        <w:t xml:space="preserve"> approach to organizational effectiveness. Public Productivity Review 5:122–40. </w:t>
      </w:r>
    </w:p>
    <w:p w14:paraId="17F532D0" w14:textId="1FA7D054" w:rsidR="00E32EEF" w:rsidRPr="00E32EEF" w:rsidRDefault="00E32EEF" w:rsidP="00E32EEF">
      <w:pPr>
        <w:spacing w:before="80" w:after="80" w:line="240" w:lineRule="auto"/>
        <w:rPr>
          <w:rFonts w:ascii="Arial" w:eastAsia="Arial" w:hAnsi="Arial" w:cs="Arial"/>
          <w:color w:val="FF0000"/>
          <w:sz w:val="24"/>
          <w:szCs w:val="24"/>
          <w:highlight w:val="white"/>
        </w:rPr>
      </w:pPr>
      <w:r w:rsidRPr="00E32EEF">
        <w:rPr>
          <w:rFonts w:ascii="Arial" w:eastAsia="Arial" w:hAnsi="Arial" w:cs="Arial"/>
          <w:color w:val="FF0000"/>
          <w:sz w:val="24"/>
          <w:szCs w:val="24"/>
          <w:highlight w:val="white"/>
        </w:rPr>
        <w:t xml:space="preserve">Purcell, J., and N. Kinnie. </w:t>
      </w:r>
      <w:r>
        <w:rPr>
          <w:rFonts w:ascii="Arial" w:eastAsia="Arial" w:hAnsi="Arial" w:cs="Arial"/>
          <w:color w:val="FF0000"/>
          <w:sz w:val="24"/>
          <w:szCs w:val="24"/>
          <w:highlight w:val="white"/>
        </w:rPr>
        <w:t>(</w:t>
      </w:r>
      <w:r w:rsidRPr="00E32EEF">
        <w:rPr>
          <w:rFonts w:ascii="Arial" w:eastAsia="Arial" w:hAnsi="Arial" w:cs="Arial"/>
          <w:color w:val="FF0000"/>
          <w:sz w:val="24"/>
          <w:szCs w:val="24"/>
          <w:highlight w:val="white"/>
        </w:rPr>
        <w:t>2008</w:t>
      </w:r>
      <w:r>
        <w:rPr>
          <w:rFonts w:ascii="Arial" w:eastAsia="Arial" w:hAnsi="Arial" w:cs="Arial"/>
          <w:color w:val="FF0000"/>
          <w:sz w:val="24"/>
          <w:szCs w:val="24"/>
          <w:highlight w:val="white"/>
        </w:rPr>
        <w:t>)</w:t>
      </w:r>
      <w:r w:rsidRPr="00E32EEF">
        <w:rPr>
          <w:rFonts w:ascii="Arial" w:eastAsia="Arial" w:hAnsi="Arial" w:cs="Arial"/>
          <w:color w:val="FF0000"/>
          <w:sz w:val="24"/>
          <w:szCs w:val="24"/>
          <w:highlight w:val="white"/>
        </w:rPr>
        <w:t>. “HRM and Business Performance.” In The Oxford Handbook of Human Resource Management, edited by P. Boxall, J. Purcell, and P. Wright, 533–551. Oxford: Oxford University Press.</w:t>
      </w:r>
    </w:p>
    <w:p w14:paraId="71557669"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Ritchart, R. (2002), Intellectual character: What it is, why it matters, and how to get it Jossey-Bass, San Francisco, CA </w:t>
      </w:r>
    </w:p>
    <w:p w14:paraId="76AC8D4E"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Rose, N. (1999), </w:t>
      </w:r>
      <w:r>
        <w:rPr>
          <w:rFonts w:ascii="Arial" w:eastAsia="Arial" w:hAnsi="Arial" w:cs="Arial"/>
          <w:i/>
          <w:sz w:val="24"/>
          <w:szCs w:val="24"/>
        </w:rPr>
        <w:t>Powers of Freedom. Reframing Political Thought</w:t>
      </w:r>
      <w:r>
        <w:rPr>
          <w:rFonts w:ascii="Arial" w:eastAsia="Arial" w:hAnsi="Arial" w:cs="Arial"/>
          <w:sz w:val="24"/>
          <w:szCs w:val="24"/>
        </w:rPr>
        <w:t xml:space="preserve">. Cambridge: Cambridge University Press. </w:t>
      </w:r>
    </w:p>
    <w:p w14:paraId="54B5F095"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Royal Statistical Society. (2019), Submission to the independent review of the TEF. Author. Retrieved from </w:t>
      </w:r>
      <w:hyperlink r:id="rId20">
        <w:r>
          <w:rPr>
            <w:rFonts w:ascii="Arial" w:eastAsia="Arial" w:hAnsi="Arial" w:cs="Arial"/>
            <w:color w:val="000000"/>
            <w:sz w:val="24"/>
            <w:szCs w:val="24"/>
          </w:rPr>
          <w:t>https://www.rss.org.uk/Images/PDF/influencing-change/2019/RSS_Evidence_to_the_TEF_consultation_Feb2019</w:t>
        </w:r>
      </w:hyperlink>
      <w:r>
        <w:rPr>
          <w:rFonts w:ascii="Arial" w:eastAsia="Arial" w:hAnsi="Arial" w:cs="Arial"/>
          <w:sz w:val="24"/>
          <w:szCs w:val="24"/>
        </w:rPr>
        <w:t>.</w:t>
      </w:r>
    </w:p>
    <w:p w14:paraId="62DB58B9"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Ryan, J. (2013) Little girls in pretty boxes. Doubleday.</w:t>
      </w:r>
    </w:p>
    <w:p w14:paraId="13E78DD2" w14:textId="77777777" w:rsidR="008A3C75" w:rsidRDefault="004D24B2">
      <w:pPr>
        <w:spacing w:after="0" w:line="240" w:lineRule="auto"/>
        <w:rPr>
          <w:rFonts w:ascii="Arial" w:eastAsia="Arial" w:hAnsi="Arial" w:cs="Arial"/>
          <w:sz w:val="24"/>
          <w:szCs w:val="24"/>
        </w:rPr>
      </w:pPr>
      <w:r>
        <w:rPr>
          <w:rFonts w:ascii="Arial" w:eastAsia="Arial" w:hAnsi="Arial" w:cs="Arial"/>
          <w:sz w:val="24"/>
          <w:szCs w:val="24"/>
        </w:rPr>
        <w:t xml:space="preserve">Sambrook, S. (2009). Critical HRD: a concept analysis, </w:t>
      </w:r>
      <w:r>
        <w:rPr>
          <w:rFonts w:ascii="Arial" w:eastAsia="Arial" w:hAnsi="Arial" w:cs="Arial"/>
          <w:i/>
          <w:sz w:val="24"/>
          <w:szCs w:val="24"/>
        </w:rPr>
        <w:t>Personnel Review.</w:t>
      </w:r>
      <w:r>
        <w:rPr>
          <w:rFonts w:ascii="Arial" w:eastAsia="Arial" w:hAnsi="Arial" w:cs="Arial"/>
          <w:sz w:val="24"/>
          <w:szCs w:val="24"/>
        </w:rPr>
        <w:t xml:space="preserve"> 38(1) 61-73.  </w:t>
      </w:r>
    </w:p>
    <w:p w14:paraId="3538783F" w14:textId="77777777" w:rsidR="008A3C75" w:rsidRDefault="004D24B2">
      <w:pPr>
        <w:spacing w:before="80" w:after="80" w:line="240" w:lineRule="auto"/>
        <w:rPr>
          <w:rFonts w:ascii="Arial" w:eastAsia="Arial" w:hAnsi="Arial" w:cs="Arial"/>
          <w:color w:val="FF0000"/>
          <w:sz w:val="24"/>
          <w:szCs w:val="24"/>
          <w:highlight w:val="white"/>
        </w:rPr>
      </w:pPr>
      <w:r>
        <w:rPr>
          <w:rFonts w:ascii="Arial" w:eastAsia="Arial" w:hAnsi="Arial" w:cs="Arial"/>
          <w:color w:val="FF0000"/>
          <w:sz w:val="24"/>
          <w:szCs w:val="24"/>
          <w:highlight w:val="white"/>
        </w:rPr>
        <w:t>Schein, E.H. (1993) On dialogue, culture and organisational learning. Organisational dynamics, 22 (2), 40-51</w:t>
      </w:r>
    </w:p>
    <w:p w14:paraId="5269E340" w14:textId="77777777" w:rsidR="008A3C75" w:rsidRDefault="004D24B2">
      <w:pPr>
        <w:spacing w:line="240" w:lineRule="auto"/>
        <w:jc w:val="both"/>
        <w:rPr>
          <w:rFonts w:ascii="Arial" w:eastAsia="Arial" w:hAnsi="Arial" w:cs="Arial"/>
          <w:color w:val="FF0000"/>
          <w:sz w:val="24"/>
          <w:szCs w:val="24"/>
        </w:rPr>
      </w:pPr>
      <w:r>
        <w:rPr>
          <w:rFonts w:ascii="Arial" w:eastAsia="Arial" w:hAnsi="Arial" w:cs="Arial"/>
          <w:color w:val="FF0000"/>
          <w:sz w:val="24"/>
          <w:szCs w:val="24"/>
        </w:rPr>
        <w:lastRenderedPageBreak/>
        <w:t>Schwartz, B., &amp; Sharpe, K. (2010). Practical Wisdom: The right way to do the right thing. New York: Riverhead Books.</w:t>
      </w:r>
    </w:p>
    <w:p w14:paraId="433FEA56" w14:textId="77777777" w:rsidR="008A3C75" w:rsidRDefault="004D24B2">
      <w:pPr>
        <w:spacing w:before="80" w:after="80" w:line="240" w:lineRule="auto"/>
        <w:rPr>
          <w:rFonts w:ascii="Arial" w:eastAsia="Arial" w:hAnsi="Arial" w:cs="Arial"/>
          <w:sz w:val="24"/>
          <w:szCs w:val="24"/>
          <w:highlight w:val="white"/>
        </w:rPr>
      </w:pPr>
      <w:r>
        <w:rPr>
          <w:rFonts w:ascii="Arial" w:eastAsia="Arial" w:hAnsi="Arial" w:cs="Arial"/>
          <w:sz w:val="24"/>
          <w:szCs w:val="24"/>
          <w:highlight w:val="white"/>
        </w:rPr>
        <w:t>Selznick, P. (1949), </w:t>
      </w:r>
      <w:r>
        <w:rPr>
          <w:rFonts w:ascii="Arial" w:eastAsia="Arial" w:hAnsi="Arial" w:cs="Arial"/>
          <w:i/>
          <w:sz w:val="24"/>
          <w:szCs w:val="24"/>
          <w:highlight w:val="white"/>
        </w:rPr>
        <w:t>TVA and the grass roots: A study of politics and organization</w:t>
      </w:r>
      <w:r>
        <w:rPr>
          <w:rFonts w:ascii="Arial" w:eastAsia="Arial" w:hAnsi="Arial" w:cs="Arial"/>
          <w:sz w:val="24"/>
          <w:szCs w:val="24"/>
          <w:highlight w:val="white"/>
        </w:rPr>
        <w:t> (3). University of California Press.</w:t>
      </w:r>
    </w:p>
    <w:p w14:paraId="060DC827"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Shaw, R. (2018), Professionalising teaching in HE: the impact of an institutional fellowship scheme in the UK, </w:t>
      </w:r>
      <w:r>
        <w:rPr>
          <w:rFonts w:ascii="Arial" w:eastAsia="Arial" w:hAnsi="Arial" w:cs="Arial"/>
          <w:i/>
          <w:sz w:val="24"/>
          <w:szCs w:val="24"/>
        </w:rPr>
        <w:t>Higher Education Research &amp; Development</w:t>
      </w:r>
      <w:r>
        <w:rPr>
          <w:rFonts w:ascii="Arial" w:eastAsia="Arial" w:hAnsi="Arial" w:cs="Arial"/>
          <w:sz w:val="24"/>
          <w:szCs w:val="24"/>
        </w:rPr>
        <w:t>, 37(1),</w:t>
      </w:r>
    </w:p>
    <w:p w14:paraId="59C42AA7"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145-157</w:t>
      </w:r>
    </w:p>
    <w:p w14:paraId="16C4E431" w14:textId="77777777" w:rsidR="00775CFC" w:rsidRPr="00775CFC" w:rsidRDefault="00775CFC" w:rsidP="00775CFC">
      <w:pPr>
        <w:spacing w:before="80" w:after="80" w:line="240" w:lineRule="auto"/>
        <w:rPr>
          <w:rFonts w:ascii="Arial" w:eastAsia="Arial" w:hAnsi="Arial" w:cs="Arial"/>
          <w:color w:val="FF0000"/>
          <w:sz w:val="24"/>
          <w:szCs w:val="24"/>
          <w:highlight w:val="white"/>
        </w:rPr>
      </w:pPr>
      <w:r w:rsidRPr="00775CFC">
        <w:rPr>
          <w:rFonts w:ascii="Arial" w:eastAsia="Arial" w:hAnsi="Arial" w:cs="Arial"/>
          <w:color w:val="FF0000"/>
          <w:sz w:val="24"/>
          <w:szCs w:val="24"/>
          <w:highlight w:val="white"/>
        </w:rPr>
        <w:t xml:space="preserve">Short, D., J. Keefer, and S. J. Stone. 2009. “The Link Between Research and Practice: Experiences of HRD and Other Professions.” </w:t>
      </w:r>
      <w:r w:rsidRPr="00775CFC">
        <w:rPr>
          <w:rFonts w:ascii="Arial" w:eastAsia="Arial" w:hAnsi="Arial" w:cs="Arial"/>
          <w:i/>
          <w:iCs/>
          <w:color w:val="FF0000"/>
          <w:sz w:val="24"/>
          <w:szCs w:val="24"/>
          <w:highlight w:val="white"/>
        </w:rPr>
        <w:t xml:space="preserve">Advances in Developing Human Resources </w:t>
      </w:r>
      <w:r w:rsidRPr="00775CFC">
        <w:rPr>
          <w:rFonts w:ascii="Arial" w:eastAsia="Arial" w:hAnsi="Arial" w:cs="Arial"/>
          <w:color w:val="FF0000"/>
          <w:sz w:val="24"/>
          <w:szCs w:val="24"/>
          <w:highlight w:val="white"/>
        </w:rPr>
        <w:t xml:space="preserve">11 (4): 420–437. </w:t>
      </w:r>
    </w:p>
    <w:p w14:paraId="55A52222" w14:textId="77777777" w:rsidR="008A3C75" w:rsidRDefault="004D24B2">
      <w:pPr>
        <w:spacing w:before="80" w:after="80" w:line="240" w:lineRule="auto"/>
        <w:rPr>
          <w:rFonts w:ascii="Arial" w:eastAsia="Arial" w:hAnsi="Arial" w:cs="Arial"/>
          <w:sz w:val="24"/>
          <w:szCs w:val="24"/>
          <w:highlight w:val="white"/>
        </w:rPr>
      </w:pPr>
      <w:r>
        <w:rPr>
          <w:rFonts w:ascii="Arial" w:eastAsia="Arial" w:hAnsi="Arial" w:cs="Arial"/>
          <w:sz w:val="24"/>
          <w:szCs w:val="24"/>
          <w:highlight w:val="white"/>
        </w:rPr>
        <w:t>Shuck, B. (2011), Four emerging perspectives of employee engagement: An integrative literature review. </w:t>
      </w:r>
      <w:r>
        <w:rPr>
          <w:rFonts w:ascii="Arial" w:eastAsia="Arial" w:hAnsi="Arial" w:cs="Arial"/>
          <w:i/>
          <w:sz w:val="24"/>
          <w:szCs w:val="24"/>
          <w:highlight w:val="white"/>
        </w:rPr>
        <w:t>Human Resource Development Review</w:t>
      </w:r>
      <w:r>
        <w:rPr>
          <w:rFonts w:ascii="Arial" w:eastAsia="Arial" w:hAnsi="Arial" w:cs="Arial"/>
          <w:sz w:val="24"/>
          <w:szCs w:val="24"/>
          <w:highlight w:val="white"/>
        </w:rPr>
        <w:t>, 1534484311410840.</w:t>
      </w:r>
    </w:p>
    <w:p w14:paraId="3B1B478C" w14:textId="77777777" w:rsidR="008A3C75" w:rsidRDefault="004D24B2">
      <w:pPr>
        <w:spacing w:before="80" w:after="80" w:line="240" w:lineRule="auto"/>
        <w:rPr>
          <w:rFonts w:ascii="Arial" w:eastAsia="Arial" w:hAnsi="Arial" w:cs="Arial"/>
          <w:sz w:val="24"/>
          <w:szCs w:val="24"/>
          <w:highlight w:val="white"/>
        </w:rPr>
      </w:pPr>
      <w:r>
        <w:rPr>
          <w:rFonts w:ascii="Arial" w:eastAsia="Arial" w:hAnsi="Arial" w:cs="Arial"/>
          <w:sz w:val="24"/>
          <w:szCs w:val="24"/>
          <w:highlight w:val="white"/>
        </w:rPr>
        <w:t>Shuck, B., &amp; Rose, K. (2013), Reframing employee engagement within the context of meaning and purpose: Implications for HRD. </w:t>
      </w:r>
      <w:r>
        <w:rPr>
          <w:rFonts w:ascii="Arial" w:eastAsia="Arial" w:hAnsi="Arial" w:cs="Arial"/>
          <w:i/>
          <w:sz w:val="24"/>
          <w:szCs w:val="24"/>
          <w:highlight w:val="white"/>
        </w:rPr>
        <w:t>Advances in Developing Human Resources</w:t>
      </w:r>
      <w:r>
        <w:rPr>
          <w:rFonts w:ascii="Arial" w:eastAsia="Arial" w:hAnsi="Arial" w:cs="Arial"/>
          <w:sz w:val="24"/>
          <w:szCs w:val="24"/>
          <w:highlight w:val="white"/>
        </w:rPr>
        <w:t>, 1523422313503235.</w:t>
      </w:r>
    </w:p>
    <w:p w14:paraId="20948D7E"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Shuck. B. and Wollard, K. (2010), Employee engagement and HRD: A seminal review of the foundations, </w:t>
      </w:r>
      <w:r>
        <w:rPr>
          <w:rFonts w:ascii="Arial" w:eastAsia="Arial" w:hAnsi="Arial" w:cs="Arial"/>
          <w:i/>
          <w:sz w:val="24"/>
          <w:szCs w:val="24"/>
        </w:rPr>
        <w:t>Human Resource Development Review</w:t>
      </w:r>
      <w:r>
        <w:rPr>
          <w:rFonts w:ascii="Arial" w:eastAsia="Arial" w:hAnsi="Arial" w:cs="Arial"/>
          <w:sz w:val="24"/>
          <w:szCs w:val="24"/>
        </w:rPr>
        <w:t>, 9(1): 89–110.</w:t>
      </w:r>
    </w:p>
    <w:p w14:paraId="7E04E71F"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Shattock, M. (2014), The context of ‘modernising’ reform in university governance. In: M. Shattock (ed.) International Trends in University Governance. Autonomy, self-government and the distribution of authority. </w:t>
      </w:r>
      <w:r>
        <w:rPr>
          <w:rFonts w:ascii="Arial" w:eastAsia="Arial" w:hAnsi="Arial" w:cs="Arial"/>
          <w:i/>
          <w:sz w:val="24"/>
          <w:szCs w:val="24"/>
        </w:rPr>
        <w:t>International Studies in Higher Education</w:t>
      </w:r>
      <w:r>
        <w:rPr>
          <w:rFonts w:ascii="Arial" w:eastAsia="Arial" w:hAnsi="Arial" w:cs="Arial"/>
          <w:sz w:val="24"/>
          <w:szCs w:val="24"/>
        </w:rPr>
        <w:t>. Abingdon &amp; New York</w:t>
      </w:r>
    </w:p>
    <w:p w14:paraId="1D2393FD" w14:textId="77777777" w:rsidR="008A3C75" w:rsidRDefault="004D24B2">
      <w:pPr>
        <w:spacing w:after="0" w:line="240" w:lineRule="auto"/>
        <w:rPr>
          <w:rFonts w:ascii="Arial" w:eastAsia="Arial" w:hAnsi="Arial" w:cs="Arial"/>
          <w:sz w:val="24"/>
          <w:szCs w:val="24"/>
        </w:rPr>
      </w:pPr>
      <w:r>
        <w:rPr>
          <w:rFonts w:ascii="Arial" w:eastAsia="Arial" w:hAnsi="Arial" w:cs="Arial"/>
          <w:sz w:val="24"/>
          <w:szCs w:val="24"/>
        </w:rPr>
        <w:t xml:space="preserve">Short, D.C., Bing, J.W. and Kehrhahn, M.H. (2003), “Will human resource development survive?”, </w:t>
      </w:r>
      <w:r>
        <w:rPr>
          <w:rFonts w:ascii="Arial" w:eastAsia="Arial" w:hAnsi="Arial" w:cs="Arial"/>
          <w:i/>
          <w:sz w:val="24"/>
          <w:szCs w:val="24"/>
        </w:rPr>
        <w:t>Human Resource Development Quarterly</w:t>
      </w:r>
      <w:r>
        <w:rPr>
          <w:rFonts w:ascii="Arial" w:eastAsia="Arial" w:hAnsi="Arial" w:cs="Arial"/>
          <w:sz w:val="24"/>
          <w:szCs w:val="24"/>
        </w:rPr>
        <w:t xml:space="preserve">, 14(3), 239-43. </w:t>
      </w:r>
    </w:p>
    <w:p w14:paraId="25FD2998" w14:textId="491BE882" w:rsidR="00E270F3" w:rsidRPr="00E270F3" w:rsidRDefault="00E270F3" w:rsidP="00E270F3">
      <w:pPr>
        <w:spacing w:before="80" w:after="80" w:line="240" w:lineRule="auto"/>
        <w:rPr>
          <w:rFonts w:ascii="Arial" w:eastAsia="Arial" w:hAnsi="Arial" w:cs="Arial"/>
          <w:color w:val="FF0000"/>
          <w:sz w:val="24"/>
          <w:szCs w:val="24"/>
          <w:shd w:val="clear" w:color="auto" w:fill="FCFCFC"/>
        </w:rPr>
      </w:pPr>
      <w:r w:rsidRPr="00E270F3">
        <w:rPr>
          <w:rFonts w:ascii="Arial" w:eastAsia="Arial" w:hAnsi="Arial" w:cs="Arial"/>
          <w:color w:val="FF0000"/>
          <w:sz w:val="24"/>
          <w:szCs w:val="24"/>
          <w:shd w:val="clear" w:color="auto" w:fill="FCFCFC"/>
        </w:rPr>
        <w:t xml:space="preserve">Simpson, J. </w:t>
      </w:r>
      <w:r>
        <w:rPr>
          <w:rFonts w:ascii="Arial" w:eastAsia="Arial" w:hAnsi="Arial" w:cs="Arial"/>
          <w:color w:val="FF0000"/>
          <w:sz w:val="24"/>
          <w:szCs w:val="24"/>
          <w:shd w:val="clear" w:color="auto" w:fill="FCFCFC"/>
        </w:rPr>
        <w:t>(</w:t>
      </w:r>
      <w:r w:rsidRPr="00E270F3">
        <w:rPr>
          <w:rFonts w:ascii="Arial" w:eastAsia="Arial" w:hAnsi="Arial" w:cs="Arial"/>
          <w:color w:val="FF0000"/>
          <w:sz w:val="24"/>
          <w:szCs w:val="24"/>
          <w:shd w:val="clear" w:color="auto" w:fill="FCFCFC"/>
        </w:rPr>
        <w:t>2011</w:t>
      </w:r>
      <w:r>
        <w:rPr>
          <w:rFonts w:ascii="Arial" w:eastAsia="Arial" w:hAnsi="Arial" w:cs="Arial"/>
          <w:color w:val="FF0000"/>
          <w:sz w:val="24"/>
          <w:szCs w:val="24"/>
          <w:shd w:val="clear" w:color="auto" w:fill="FCFCFC"/>
        </w:rPr>
        <w:t xml:space="preserve">), </w:t>
      </w:r>
      <w:r w:rsidRPr="00E270F3">
        <w:rPr>
          <w:rFonts w:ascii="Arial" w:eastAsia="Arial" w:hAnsi="Arial" w:cs="Arial"/>
          <w:color w:val="FF0000"/>
          <w:sz w:val="24"/>
          <w:szCs w:val="24"/>
          <w:shd w:val="clear" w:color="auto" w:fill="FCFCFC"/>
        </w:rPr>
        <w:t>Trading Partner, Sure Thing; Economic Model, No Thanks. The Globe and</w:t>
      </w:r>
      <w:r>
        <w:rPr>
          <w:rFonts w:ascii="Arial" w:eastAsia="Arial" w:hAnsi="Arial" w:cs="Arial"/>
          <w:color w:val="FF0000"/>
          <w:sz w:val="24"/>
          <w:szCs w:val="24"/>
          <w:shd w:val="clear" w:color="auto" w:fill="FCFCFC"/>
        </w:rPr>
        <w:t xml:space="preserve"> </w:t>
      </w:r>
      <w:r w:rsidRPr="00E270F3">
        <w:rPr>
          <w:rFonts w:ascii="Arial" w:eastAsia="Arial" w:hAnsi="Arial" w:cs="Arial"/>
          <w:color w:val="FF0000"/>
          <w:sz w:val="24"/>
          <w:szCs w:val="24"/>
          <w:shd w:val="clear" w:color="auto" w:fill="FCFCFC"/>
        </w:rPr>
        <w:t>Mai, September 7, A15.</w:t>
      </w:r>
    </w:p>
    <w:p w14:paraId="78F110F8"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Spowart, L., Turner, R., Shenton, D. &amp; Kneale P. (2016) ‘But I’ve been teaching for 20 years…’: encouraging teaching accreditation for experienced staff working in higher education, </w:t>
      </w:r>
      <w:r>
        <w:rPr>
          <w:rFonts w:ascii="Arial" w:eastAsia="Arial" w:hAnsi="Arial" w:cs="Arial"/>
          <w:i/>
          <w:sz w:val="24"/>
          <w:szCs w:val="24"/>
        </w:rPr>
        <w:t>International Journal for Academic Development</w:t>
      </w:r>
      <w:r>
        <w:rPr>
          <w:rFonts w:ascii="Arial" w:eastAsia="Arial" w:hAnsi="Arial" w:cs="Arial"/>
          <w:sz w:val="24"/>
          <w:szCs w:val="24"/>
        </w:rPr>
        <w:t>, 21:3, 206-218</w:t>
      </w:r>
    </w:p>
    <w:p w14:paraId="532505E9"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Spowart, L., Winter, J., Turner, R., Muneer. R., and McKenna. C. (2017) Evidencing the impact of teaching-related CPD: beyond the ‘Happy Sheets’ </w:t>
      </w:r>
      <w:r>
        <w:rPr>
          <w:rFonts w:ascii="Arial" w:eastAsia="Arial" w:hAnsi="Arial" w:cs="Arial"/>
          <w:i/>
          <w:sz w:val="24"/>
          <w:szCs w:val="24"/>
        </w:rPr>
        <w:t xml:space="preserve">International Journal for Academic Development, </w:t>
      </w:r>
      <w:r>
        <w:rPr>
          <w:rFonts w:ascii="Arial" w:eastAsia="Arial" w:hAnsi="Arial" w:cs="Arial"/>
          <w:sz w:val="24"/>
          <w:szCs w:val="24"/>
        </w:rPr>
        <w:t>22(4) 360-372</w:t>
      </w:r>
    </w:p>
    <w:p w14:paraId="4E609363"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Springer, S. (2010), Neoliberalism and geography: Expansions, variegations, formations. </w:t>
      </w:r>
      <w:r>
        <w:rPr>
          <w:rFonts w:ascii="Arial" w:eastAsia="Arial" w:hAnsi="Arial" w:cs="Arial"/>
          <w:i/>
          <w:sz w:val="24"/>
          <w:szCs w:val="24"/>
        </w:rPr>
        <w:t>Geography Compass</w:t>
      </w:r>
      <w:r>
        <w:rPr>
          <w:rFonts w:ascii="Arial" w:eastAsia="Arial" w:hAnsi="Arial" w:cs="Arial"/>
          <w:sz w:val="24"/>
          <w:szCs w:val="24"/>
        </w:rPr>
        <w:t xml:space="preserve">, 4(8), 1025–1038. </w:t>
      </w:r>
    </w:p>
    <w:p w14:paraId="6A030B56" w14:textId="77777777" w:rsidR="008A3C75" w:rsidRDefault="004D24B2">
      <w:pPr>
        <w:spacing w:before="80" w:after="80" w:line="240" w:lineRule="auto"/>
        <w:rPr>
          <w:rFonts w:ascii="Arial" w:eastAsia="Arial" w:hAnsi="Arial" w:cs="Arial"/>
          <w:sz w:val="24"/>
          <w:szCs w:val="24"/>
          <w:highlight w:val="white"/>
        </w:rPr>
      </w:pPr>
      <w:r>
        <w:rPr>
          <w:rFonts w:ascii="Arial" w:eastAsia="Arial" w:hAnsi="Arial" w:cs="Arial"/>
          <w:sz w:val="24"/>
          <w:szCs w:val="24"/>
          <w:highlight w:val="white"/>
        </w:rPr>
        <w:t>Sullivan, P. H. (2000), </w:t>
      </w:r>
      <w:r>
        <w:rPr>
          <w:rFonts w:ascii="Arial" w:eastAsia="Arial" w:hAnsi="Arial" w:cs="Arial"/>
          <w:i/>
          <w:sz w:val="24"/>
          <w:szCs w:val="24"/>
          <w:highlight w:val="white"/>
        </w:rPr>
        <w:t>Value driven intellectual capital: how to convert intangible corporate assets into market value</w:t>
      </w:r>
      <w:r>
        <w:rPr>
          <w:rFonts w:ascii="Arial" w:eastAsia="Arial" w:hAnsi="Arial" w:cs="Arial"/>
          <w:sz w:val="24"/>
          <w:szCs w:val="24"/>
          <w:highlight w:val="white"/>
        </w:rPr>
        <w:t>. John Wiley &amp; Sons, Inc.</w:t>
      </w:r>
    </w:p>
    <w:p w14:paraId="11D6E24C"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Thompson, P., P. Constantineau, and G. Fallis. (2005) Academic citizenship: An academic colleague working paper. </w:t>
      </w:r>
      <w:r>
        <w:rPr>
          <w:rFonts w:ascii="Arial" w:eastAsia="Arial" w:hAnsi="Arial" w:cs="Arial"/>
          <w:i/>
          <w:sz w:val="24"/>
          <w:szCs w:val="24"/>
        </w:rPr>
        <w:t>Journal of Academic Ethics</w:t>
      </w:r>
      <w:r>
        <w:rPr>
          <w:rFonts w:ascii="Arial" w:eastAsia="Arial" w:hAnsi="Arial" w:cs="Arial"/>
          <w:sz w:val="24"/>
          <w:szCs w:val="24"/>
        </w:rPr>
        <w:t xml:space="preserve"> 3: 127–42.  </w:t>
      </w:r>
    </w:p>
    <w:p w14:paraId="7BB44157"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Thornton, T. (2014), Professional recognition: promoting recognition through the Higher Education Academy in a UK higher education institution. </w:t>
      </w:r>
      <w:r>
        <w:rPr>
          <w:rFonts w:ascii="Arial" w:eastAsia="Arial" w:hAnsi="Arial" w:cs="Arial"/>
          <w:i/>
          <w:sz w:val="24"/>
          <w:szCs w:val="24"/>
        </w:rPr>
        <w:t>Tertiary Education and Management</w:t>
      </w:r>
      <w:r>
        <w:rPr>
          <w:rFonts w:ascii="Arial" w:eastAsia="Arial" w:hAnsi="Arial" w:cs="Arial"/>
          <w:sz w:val="24"/>
          <w:szCs w:val="24"/>
        </w:rPr>
        <w:t>, 20(3), 225-238.</w:t>
      </w:r>
    </w:p>
    <w:p w14:paraId="4D3BAE9A"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Tight, M. (2014), Collegiality and managerialism: a false dichotomy? Evidence from the higher education literature. </w:t>
      </w:r>
      <w:r>
        <w:rPr>
          <w:rFonts w:ascii="Arial" w:eastAsia="Arial" w:hAnsi="Arial" w:cs="Arial"/>
          <w:i/>
          <w:sz w:val="24"/>
          <w:szCs w:val="24"/>
        </w:rPr>
        <w:t>Tertiary Education and Management</w:t>
      </w:r>
      <w:r>
        <w:rPr>
          <w:rFonts w:ascii="Arial" w:eastAsia="Arial" w:hAnsi="Arial" w:cs="Arial"/>
          <w:sz w:val="24"/>
          <w:szCs w:val="24"/>
        </w:rPr>
        <w:t> 20, 294–306 https://doi.org/10.1080/13583883.2014.956788</w:t>
      </w:r>
    </w:p>
    <w:p w14:paraId="05A61780"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Torres, C. A. (2013), “Neoliberal Common Sense in Education: Part One.” </w:t>
      </w:r>
      <w:r>
        <w:rPr>
          <w:rFonts w:ascii="Arial" w:eastAsia="Arial" w:hAnsi="Arial" w:cs="Arial"/>
          <w:i/>
          <w:sz w:val="24"/>
          <w:szCs w:val="24"/>
        </w:rPr>
        <w:t>International Studies in Sociology of Education</w:t>
      </w:r>
      <w:r>
        <w:rPr>
          <w:rFonts w:ascii="Arial" w:eastAsia="Arial" w:hAnsi="Arial" w:cs="Arial"/>
          <w:sz w:val="24"/>
          <w:szCs w:val="24"/>
        </w:rPr>
        <w:t xml:space="preserve"> 23 (2): 80–106.</w:t>
      </w:r>
    </w:p>
    <w:p w14:paraId="4FE03CE6"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lastRenderedPageBreak/>
        <w:t xml:space="preserve">Torres, C. A., and G. Jones. (2013), “Neoliberal Common Sense in Education: Part Two.” </w:t>
      </w:r>
      <w:r>
        <w:rPr>
          <w:rFonts w:ascii="Arial" w:eastAsia="Arial" w:hAnsi="Arial" w:cs="Arial"/>
          <w:i/>
          <w:sz w:val="24"/>
          <w:szCs w:val="24"/>
        </w:rPr>
        <w:t>International Studies in Sociology of Education</w:t>
      </w:r>
      <w:r>
        <w:rPr>
          <w:rFonts w:ascii="Arial" w:eastAsia="Arial" w:hAnsi="Arial" w:cs="Arial"/>
          <w:sz w:val="24"/>
          <w:szCs w:val="24"/>
        </w:rPr>
        <w:t xml:space="preserve"> 23 (3), 80–106.</w:t>
      </w:r>
    </w:p>
    <w:p w14:paraId="688D349F" w14:textId="77777777" w:rsidR="008A3C75" w:rsidRDefault="004D24B2">
      <w:pPr>
        <w:spacing w:before="80" w:after="80" w:line="240" w:lineRule="auto"/>
        <w:rPr>
          <w:rFonts w:ascii="Arial" w:eastAsia="Arial" w:hAnsi="Arial" w:cs="Arial"/>
          <w:sz w:val="24"/>
          <w:szCs w:val="24"/>
          <w:highlight w:val="white"/>
        </w:rPr>
      </w:pPr>
      <w:r>
        <w:rPr>
          <w:rFonts w:ascii="Arial" w:eastAsia="Arial" w:hAnsi="Arial" w:cs="Arial"/>
          <w:sz w:val="24"/>
          <w:szCs w:val="24"/>
          <w:highlight w:val="white"/>
        </w:rPr>
        <w:t xml:space="preserve">Treanor, P. (2005), </w:t>
      </w:r>
      <w:r>
        <w:rPr>
          <w:rFonts w:ascii="Arial" w:eastAsia="Arial" w:hAnsi="Arial" w:cs="Arial"/>
          <w:i/>
          <w:sz w:val="24"/>
          <w:szCs w:val="24"/>
          <w:highlight w:val="white"/>
        </w:rPr>
        <w:t>Neoliberalism: Origins, Theory, Definition</w:t>
      </w:r>
      <w:r>
        <w:rPr>
          <w:rFonts w:ascii="Arial" w:eastAsia="Arial" w:hAnsi="Arial" w:cs="Arial"/>
          <w:sz w:val="24"/>
          <w:szCs w:val="24"/>
          <w:highlight w:val="white"/>
        </w:rPr>
        <w:t xml:space="preserve">. </w:t>
      </w:r>
      <w:hyperlink r:id="rId21">
        <w:r>
          <w:rPr>
            <w:rFonts w:ascii="Arial" w:eastAsia="Arial" w:hAnsi="Arial" w:cs="Arial"/>
            <w:sz w:val="24"/>
            <w:szCs w:val="24"/>
            <w:highlight w:val="white"/>
          </w:rPr>
          <w:t>http://web.inter.nl.net/users/Paul.Treanor/neoliberalism.html</w:t>
        </w:r>
      </w:hyperlink>
      <w:r>
        <w:rPr>
          <w:rFonts w:ascii="Arial" w:eastAsia="Arial" w:hAnsi="Arial" w:cs="Arial"/>
          <w:sz w:val="24"/>
          <w:szCs w:val="24"/>
          <w:highlight w:val="white"/>
        </w:rPr>
        <w:t xml:space="preserve"> [Accessed 1st November 2019]</w:t>
      </w:r>
    </w:p>
    <w:p w14:paraId="0C289547"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Tytherleigh, M. Y., Webb, C., Cooper, C. L. and Ricketts, C. (2005), 'Occupational stress in UK higher education institutions: a comparative study of all staff categories', </w:t>
      </w:r>
      <w:r>
        <w:rPr>
          <w:rFonts w:ascii="Arial" w:eastAsia="Arial" w:hAnsi="Arial" w:cs="Arial"/>
          <w:i/>
          <w:sz w:val="24"/>
          <w:szCs w:val="24"/>
        </w:rPr>
        <w:t>Higher Education Research &amp; Development</w:t>
      </w:r>
      <w:r>
        <w:rPr>
          <w:rFonts w:ascii="Arial" w:eastAsia="Arial" w:hAnsi="Arial" w:cs="Arial"/>
          <w:sz w:val="24"/>
          <w:szCs w:val="24"/>
        </w:rPr>
        <w:t>, 24(1), pp. 41-61.</w:t>
      </w:r>
    </w:p>
    <w:p w14:paraId="5997EB43" w14:textId="77777777" w:rsidR="00D65E62" w:rsidRDefault="00D65E62" w:rsidP="00D65E62">
      <w:pPr>
        <w:spacing w:before="80" w:after="80" w:line="240" w:lineRule="auto"/>
        <w:rPr>
          <w:rFonts w:ascii="Arial" w:eastAsia="Arial" w:hAnsi="Arial" w:cs="Arial"/>
          <w:color w:val="FF0000"/>
          <w:sz w:val="24"/>
          <w:szCs w:val="24"/>
        </w:rPr>
      </w:pPr>
      <w:r w:rsidRPr="00D65E62">
        <w:rPr>
          <w:rFonts w:ascii="Arial" w:eastAsia="Arial" w:hAnsi="Arial" w:cs="Arial"/>
          <w:color w:val="FF0000"/>
          <w:sz w:val="24"/>
          <w:szCs w:val="24"/>
          <w:shd w:val="clear" w:color="auto" w:fill="FCFCFC"/>
        </w:rPr>
        <w:t>Useem, M. (1984). The inner circle: Large corporations and the rise of business political activity in the US</w:t>
      </w:r>
      <w:r>
        <w:t xml:space="preserve"> and UK. Oxford: Oxford University Press.</w:t>
      </w:r>
      <w:r>
        <w:rPr>
          <w:rFonts w:ascii="Arial" w:eastAsia="Arial" w:hAnsi="Arial" w:cs="Arial"/>
          <w:color w:val="FF0000"/>
          <w:sz w:val="24"/>
          <w:szCs w:val="24"/>
        </w:rPr>
        <w:t xml:space="preserve"> </w:t>
      </w:r>
    </w:p>
    <w:p w14:paraId="0BF36C49" w14:textId="77777777" w:rsidR="008A3C75" w:rsidRDefault="004D24B2">
      <w:pPr>
        <w:spacing w:after="0" w:line="240" w:lineRule="auto"/>
        <w:rPr>
          <w:rFonts w:ascii="Arial" w:eastAsia="Arial" w:hAnsi="Arial" w:cs="Arial"/>
          <w:color w:val="0066FF"/>
          <w:sz w:val="24"/>
          <w:szCs w:val="24"/>
        </w:rPr>
      </w:pPr>
      <w:r>
        <w:rPr>
          <w:rFonts w:ascii="Arial" w:eastAsia="Arial" w:hAnsi="Arial" w:cs="Arial"/>
          <w:sz w:val="24"/>
          <w:szCs w:val="24"/>
        </w:rPr>
        <w:t xml:space="preserve">Valentin, C. (2005), “Researching human resource development: emergence of a critical approach to HRD enquiry”, </w:t>
      </w:r>
      <w:r>
        <w:rPr>
          <w:rFonts w:ascii="Arial" w:eastAsia="Arial" w:hAnsi="Arial" w:cs="Arial"/>
          <w:i/>
          <w:sz w:val="24"/>
          <w:szCs w:val="24"/>
        </w:rPr>
        <w:t>International Journal of Training and Development</w:t>
      </w:r>
      <w:r>
        <w:rPr>
          <w:rFonts w:ascii="Arial" w:eastAsia="Arial" w:hAnsi="Arial" w:cs="Arial"/>
          <w:sz w:val="24"/>
          <w:szCs w:val="24"/>
        </w:rPr>
        <w:t>, 10(1), 17-29.</w:t>
      </w:r>
    </w:p>
    <w:p w14:paraId="148DD56F" w14:textId="77777777" w:rsidR="008A3C75" w:rsidRDefault="004D24B2">
      <w:pPr>
        <w:spacing w:before="80" w:after="80" w:line="240" w:lineRule="auto"/>
        <w:rPr>
          <w:rFonts w:ascii="Arial" w:eastAsia="Arial" w:hAnsi="Arial" w:cs="Arial"/>
          <w:sz w:val="24"/>
          <w:szCs w:val="24"/>
          <w:highlight w:val="white"/>
        </w:rPr>
      </w:pPr>
      <w:r>
        <w:rPr>
          <w:rFonts w:ascii="Arial" w:eastAsia="Arial" w:hAnsi="Arial" w:cs="Arial"/>
          <w:sz w:val="24"/>
          <w:szCs w:val="24"/>
          <w:highlight w:val="white"/>
        </w:rPr>
        <w:t xml:space="preserve">Valentin, C. (2014), </w:t>
      </w:r>
      <w:r>
        <w:rPr>
          <w:rFonts w:ascii="Arial" w:eastAsia="Arial" w:hAnsi="Arial" w:cs="Arial"/>
          <w:i/>
          <w:sz w:val="24"/>
          <w:szCs w:val="24"/>
          <w:highlight w:val="white"/>
        </w:rPr>
        <w:t>Is HRD a driver for employee engagement? A critical literature review and qualitative study in the UK health sector</w:t>
      </w:r>
      <w:r>
        <w:rPr>
          <w:rFonts w:ascii="Arial" w:eastAsia="Arial" w:hAnsi="Arial" w:cs="Arial"/>
          <w:sz w:val="24"/>
          <w:szCs w:val="24"/>
          <w:highlight w:val="white"/>
        </w:rPr>
        <w:t>.</w:t>
      </w:r>
    </w:p>
    <w:p w14:paraId="5AC8ADFE" w14:textId="77777777" w:rsidR="00E94DCA" w:rsidRPr="00E94DCA" w:rsidRDefault="00E94DCA">
      <w:pPr>
        <w:spacing w:before="80" w:after="80" w:line="240" w:lineRule="auto"/>
        <w:rPr>
          <w:rFonts w:ascii="Arial" w:eastAsia="Arial" w:hAnsi="Arial" w:cs="Arial"/>
          <w:color w:val="FF0000"/>
          <w:sz w:val="24"/>
          <w:szCs w:val="24"/>
          <w:shd w:val="clear" w:color="auto" w:fill="FCFCFC"/>
        </w:rPr>
      </w:pPr>
      <w:r w:rsidRPr="00E94DCA">
        <w:rPr>
          <w:rFonts w:ascii="Arial" w:eastAsia="Arial" w:hAnsi="Arial" w:cs="Arial"/>
          <w:color w:val="FF0000"/>
          <w:sz w:val="24"/>
          <w:szCs w:val="24"/>
          <w:shd w:val="clear" w:color="auto" w:fill="FCFCFC"/>
        </w:rPr>
        <w:t xml:space="preserve">Vroom, V. H. (1964). Work and motivation. New York, NY: Wiley &amp; Sons. </w:t>
      </w:r>
    </w:p>
    <w:p w14:paraId="2101F1B2" w14:textId="7E2C5508" w:rsidR="00775CFC" w:rsidRPr="00775CFC" w:rsidRDefault="00775CFC" w:rsidP="00775CFC">
      <w:pPr>
        <w:spacing w:before="80" w:after="80" w:line="240" w:lineRule="auto"/>
        <w:rPr>
          <w:rFonts w:ascii="Arial" w:eastAsia="Arial" w:hAnsi="Arial" w:cs="Arial"/>
          <w:color w:val="FF0000"/>
          <w:sz w:val="24"/>
          <w:szCs w:val="24"/>
          <w:highlight w:val="white"/>
        </w:rPr>
      </w:pPr>
      <w:r w:rsidRPr="00775CFC">
        <w:rPr>
          <w:rFonts w:ascii="Arial" w:eastAsia="Arial" w:hAnsi="Arial" w:cs="Arial"/>
          <w:color w:val="FF0000"/>
          <w:sz w:val="24"/>
          <w:szCs w:val="24"/>
          <w:highlight w:val="white"/>
        </w:rPr>
        <w:t xml:space="preserve">Watson, T. J. 2010. “Critical Social Science, Pragmatism and the Realities of HRM.” The </w:t>
      </w:r>
      <w:r w:rsidRPr="00775CFC">
        <w:rPr>
          <w:rFonts w:ascii="Arial" w:eastAsia="Arial" w:hAnsi="Arial" w:cs="Arial"/>
          <w:i/>
          <w:iCs/>
          <w:color w:val="FF0000"/>
          <w:sz w:val="24"/>
          <w:szCs w:val="24"/>
          <w:highlight w:val="white"/>
        </w:rPr>
        <w:t>International Journal of Human Resource Management</w:t>
      </w:r>
      <w:r w:rsidRPr="00775CFC">
        <w:rPr>
          <w:rFonts w:ascii="Arial" w:eastAsia="Arial" w:hAnsi="Arial" w:cs="Arial"/>
          <w:color w:val="FF0000"/>
          <w:sz w:val="24"/>
          <w:szCs w:val="24"/>
          <w:highlight w:val="white"/>
        </w:rPr>
        <w:t xml:space="preserve"> 21 (6): 915–931.</w:t>
      </w:r>
    </w:p>
    <w:p w14:paraId="2041BD8C" w14:textId="70FDFC65"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 xml:space="preserve">Wenger, E. (1998), </w:t>
      </w:r>
      <w:r>
        <w:rPr>
          <w:rFonts w:ascii="Arial" w:eastAsia="Arial" w:hAnsi="Arial" w:cs="Arial"/>
          <w:i/>
          <w:sz w:val="24"/>
          <w:szCs w:val="24"/>
        </w:rPr>
        <w:t>Communities of Practice: Learning, Meaning and Identity</w:t>
      </w:r>
      <w:r>
        <w:rPr>
          <w:rFonts w:ascii="Arial" w:eastAsia="Arial" w:hAnsi="Arial" w:cs="Arial"/>
          <w:sz w:val="24"/>
          <w:szCs w:val="24"/>
        </w:rPr>
        <w:t>. Cambridge, UK: Cambridge University Press</w:t>
      </w:r>
    </w:p>
    <w:p w14:paraId="15115C82" w14:textId="77777777" w:rsidR="008A3C75" w:rsidRDefault="004D24B2">
      <w:pPr>
        <w:spacing w:before="80" w:after="80" w:line="240" w:lineRule="auto"/>
        <w:rPr>
          <w:rFonts w:ascii="Arial" w:eastAsia="Arial" w:hAnsi="Arial" w:cs="Arial"/>
          <w:sz w:val="24"/>
          <w:szCs w:val="24"/>
        </w:rPr>
      </w:pPr>
      <w:r>
        <w:rPr>
          <w:rFonts w:ascii="Arial" w:eastAsia="Arial" w:hAnsi="Arial" w:cs="Arial"/>
          <w:sz w:val="24"/>
          <w:szCs w:val="24"/>
        </w:rPr>
        <w:t>Wollard, K. K., &amp; Shuck, B. (2011), Antecedents to Employee Engagement A Structured Review of the Literature. </w:t>
      </w:r>
      <w:r>
        <w:rPr>
          <w:rFonts w:ascii="Arial" w:eastAsia="Arial" w:hAnsi="Arial" w:cs="Arial"/>
          <w:i/>
          <w:sz w:val="24"/>
          <w:szCs w:val="24"/>
        </w:rPr>
        <w:t>Advances in Developing Human Resources</w:t>
      </w:r>
      <w:r>
        <w:rPr>
          <w:rFonts w:ascii="Arial" w:eastAsia="Arial" w:hAnsi="Arial" w:cs="Arial"/>
          <w:sz w:val="24"/>
          <w:szCs w:val="24"/>
        </w:rPr>
        <w:t>, 13(4), 429-446.</w:t>
      </w:r>
    </w:p>
    <w:p w14:paraId="5616A6FD" w14:textId="77777777" w:rsidR="008A3C75" w:rsidRDefault="004D24B2">
      <w:p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Yang, K. and Hsieh, J. Y. (2006). Managerial effectiveness of government performance measurement: Testing a middle range model. Public Administration Review 67:861–79. </w:t>
      </w:r>
    </w:p>
    <w:p w14:paraId="3E1127DA" w14:textId="77777777" w:rsidR="008A3C75" w:rsidRDefault="008A3C75">
      <w:pPr>
        <w:spacing w:before="80" w:after="80" w:line="240" w:lineRule="auto"/>
        <w:rPr>
          <w:rFonts w:ascii="Arial" w:eastAsia="Arial" w:hAnsi="Arial" w:cs="Arial"/>
          <w:sz w:val="24"/>
          <w:szCs w:val="24"/>
        </w:rPr>
      </w:pPr>
    </w:p>
    <w:sectPr w:rsidR="008A3C75">
      <w:pgSz w:w="11906" w:h="16838"/>
      <w:pgMar w:top="1440" w:right="1440" w:bottom="1440" w:left="1440" w:header="708" w:footer="708"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0D7DA" w14:textId="77777777" w:rsidR="00CC535F" w:rsidRDefault="00CC535F">
      <w:pPr>
        <w:spacing w:after="0" w:line="240" w:lineRule="auto"/>
      </w:pPr>
      <w:r>
        <w:separator/>
      </w:r>
    </w:p>
  </w:endnote>
  <w:endnote w:type="continuationSeparator" w:id="0">
    <w:p w14:paraId="2800DC27" w14:textId="77777777" w:rsidR="00CC535F" w:rsidRDefault="00CC5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604020202020204"/>
    <w:charset w:val="00"/>
    <w:family w:val="swiss"/>
    <w:pitch w:val="variable"/>
    <w:sig w:usb0="E10022FF" w:usb1="C000E47F" w:usb2="00000029" w:usb3="00000000" w:csb0="000001DF" w:csb1="00000000"/>
  </w:font>
  <w:font w:name="Memento">
    <w:altName w:val="Cambria"/>
    <w:panose1 w:val="020B06040202020202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3CEE6" w14:textId="77777777" w:rsidR="002F393B" w:rsidRDefault="002F393B">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0</w:t>
    </w:r>
    <w:r>
      <w:rPr>
        <w:color w:val="000000"/>
      </w:rPr>
      <w:fldChar w:fldCharType="end"/>
    </w:r>
  </w:p>
  <w:p w14:paraId="55153E78" w14:textId="77777777" w:rsidR="002F393B" w:rsidRDefault="002F393B">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87280" w14:textId="77777777" w:rsidR="002F393B" w:rsidRDefault="002F393B">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13</w:t>
    </w:r>
    <w:r>
      <w:rPr>
        <w:color w:val="000000"/>
      </w:rPr>
      <w:fldChar w:fldCharType="end"/>
    </w:r>
  </w:p>
  <w:p w14:paraId="326D6707" w14:textId="77777777" w:rsidR="002F393B" w:rsidRDefault="002F393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51AFE" w14:textId="77777777" w:rsidR="00CC535F" w:rsidRDefault="00CC535F">
      <w:pPr>
        <w:spacing w:after="0" w:line="240" w:lineRule="auto"/>
      </w:pPr>
      <w:r>
        <w:separator/>
      </w:r>
    </w:p>
  </w:footnote>
  <w:footnote w:type="continuationSeparator" w:id="0">
    <w:p w14:paraId="63A9BB82" w14:textId="77777777" w:rsidR="00CC535F" w:rsidRDefault="00CC53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C75"/>
    <w:rsid w:val="000161A7"/>
    <w:rsid w:val="000676F6"/>
    <w:rsid w:val="000944E0"/>
    <w:rsid w:val="000E0FC0"/>
    <w:rsid w:val="000E2B72"/>
    <w:rsid w:val="00112B79"/>
    <w:rsid w:val="0013366C"/>
    <w:rsid w:val="00144CA3"/>
    <w:rsid w:val="0016363D"/>
    <w:rsid w:val="00166121"/>
    <w:rsid w:val="00182E42"/>
    <w:rsid w:val="0018568B"/>
    <w:rsid w:val="001C2DA9"/>
    <w:rsid w:val="001F569C"/>
    <w:rsid w:val="00270B10"/>
    <w:rsid w:val="00291BD8"/>
    <w:rsid w:val="002D3A8B"/>
    <w:rsid w:val="002F393B"/>
    <w:rsid w:val="003373AD"/>
    <w:rsid w:val="00344D62"/>
    <w:rsid w:val="003464E7"/>
    <w:rsid w:val="00360F90"/>
    <w:rsid w:val="00397A4F"/>
    <w:rsid w:val="003B66E7"/>
    <w:rsid w:val="003D1C2D"/>
    <w:rsid w:val="003D606F"/>
    <w:rsid w:val="003F04E9"/>
    <w:rsid w:val="004142FC"/>
    <w:rsid w:val="00416B9D"/>
    <w:rsid w:val="0044142D"/>
    <w:rsid w:val="00460151"/>
    <w:rsid w:val="004B27E8"/>
    <w:rsid w:val="004B786C"/>
    <w:rsid w:val="004D24B2"/>
    <w:rsid w:val="004E63A3"/>
    <w:rsid w:val="0052013A"/>
    <w:rsid w:val="00554F3F"/>
    <w:rsid w:val="0059714D"/>
    <w:rsid w:val="005A032B"/>
    <w:rsid w:val="006533C7"/>
    <w:rsid w:val="006545BA"/>
    <w:rsid w:val="00692B14"/>
    <w:rsid w:val="006969A0"/>
    <w:rsid w:val="006C60DD"/>
    <w:rsid w:val="006E3C56"/>
    <w:rsid w:val="00710BD7"/>
    <w:rsid w:val="007574FE"/>
    <w:rsid w:val="007663CC"/>
    <w:rsid w:val="00775CFC"/>
    <w:rsid w:val="007B3819"/>
    <w:rsid w:val="00834214"/>
    <w:rsid w:val="00857FF6"/>
    <w:rsid w:val="008651AC"/>
    <w:rsid w:val="00867378"/>
    <w:rsid w:val="00895402"/>
    <w:rsid w:val="00895E78"/>
    <w:rsid w:val="008A18F1"/>
    <w:rsid w:val="008A3C75"/>
    <w:rsid w:val="008F1A05"/>
    <w:rsid w:val="008F55CE"/>
    <w:rsid w:val="008F72B4"/>
    <w:rsid w:val="00922B79"/>
    <w:rsid w:val="00934D7D"/>
    <w:rsid w:val="00941CB7"/>
    <w:rsid w:val="00956FC5"/>
    <w:rsid w:val="009B5BD2"/>
    <w:rsid w:val="009F28B5"/>
    <w:rsid w:val="00A24931"/>
    <w:rsid w:val="00A63BD2"/>
    <w:rsid w:val="00A742FB"/>
    <w:rsid w:val="00A751C2"/>
    <w:rsid w:val="00A90883"/>
    <w:rsid w:val="00AB018D"/>
    <w:rsid w:val="00AB791E"/>
    <w:rsid w:val="00AD41E5"/>
    <w:rsid w:val="00AE28A2"/>
    <w:rsid w:val="00B45D28"/>
    <w:rsid w:val="00BD1278"/>
    <w:rsid w:val="00BE0999"/>
    <w:rsid w:val="00C035DD"/>
    <w:rsid w:val="00C55F38"/>
    <w:rsid w:val="00C87300"/>
    <w:rsid w:val="00CC535F"/>
    <w:rsid w:val="00D025A4"/>
    <w:rsid w:val="00D10B5B"/>
    <w:rsid w:val="00D52A06"/>
    <w:rsid w:val="00D6014D"/>
    <w:rsid w:val="00D612D5"/>
    <w:rsid w:val="00D62FAC"/>
    <w:rsid w:val="00D65E62"/>
    <w:rsid w:val="00D95E70"/>
    <w:rsid w:val="00D96850"/>
    <w:rsid w:val="00D96A50"/>
    <w:rsid w:val="00DA644C"/>
    <w:rsid w:val="00DB5E66"/>
    <w:rsid w:val="00DE0B55"/>
    <w:rsid w:val="00DE22F5"/>
    <w:rsid w:val="00E270F3"/>
    <w:rsid w:val="00E32EEF"/>
    <w:rsid w:val="00E7568F"/>
    <w:rsid w:val="00E845A4"/>
    <w:rsid w:val="00E90D66"/>
    <w:rsid w:val="00E94DCA"/>
    <w:rsid w:val="00E952E1"/>
    <w:rsid w:val="00EA006C"/>
    <w:rsid w:val="00EB7484"/>
    <w:rsid w:val="00EC6DFF"/>
    <w:rsid w:val="00ED5C24"/>
    <w:rsid w:val="00ED66FF"/>
    <w:rsid w:val="00EE32E8"/>
    <w:rsid w:val="00EF20F8"/>
    <w:rsid w:val="00F77E74"/>
    <w:rsid w:val="00F871B4"/>
    <w:rsid w:val="00FA73E1"/>
    <w:rsid w:val="00FB2FF1"/>
    <w:rsid w:val="00FF4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4819E"/>
  <w15:docId w15:val="{6C413803-FC03-4549-A905-7E74439D5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Arial" w:eastAsia="Arial" w:hAnsi="Arial" w:cs="Arial"/>
      <w:b/>
      <w:color w:val="262626"/>
      <w:sz w:val="28"/>
      <w:szCs w:val="28"/>
    </w:rPr>
  </w:style>
  <w:style w:type="paragraph" w:styleId="Heading2">
    <w:name w:val="heading 2"/>
    <w:basedOn w:val="Normal"/>
    <w:next w:val="Normal"/>
    <w:uiPriority w:val="9"/>
    <w:semiHidden/>
    <w:unhideWhenUsed/>
    <w:qFormat/>
    <w:pPr>
      <w:keepNext/>
      <w:keepLines/>
      <w:spacing w:before="40" w:after="0"/>
      <w:outlineLvl w:val="1"/>
    </w:pPr>
    <w:rPr>
      <w:rFonts w:ascii="Arial" w:eastAsia="Arial" w:hAnsi="Arial" w:cs="Arial"/>
      <w:color w:val="262626"/>
      <w:sz w:val="28"/>
      <w:szCs w:val="28"/>
    </w:rPr>
  </w:style>
  <w:style w:type="paragraph" w:styleId="Heading3">
    <w:name w:val="heading 3"/>
    <w:basedOn w:val="Normal"/>
    <w:next w:val="Normal"/>
    <w:uiPriority w:val="9"/>
    <w:semiHidden/>
    <w:unhideWhenUsed/>
    <w:qFormat/>
    <w:pPr>
      <w:keepNext/>
      <w:keepLines/>
      <w:spacing w:before="40" w:after="0"/>
      <w:outlineLvl w:val="2"/>
    </w:pPr>
    <w:rPr>
      <w:color w:val="1E4D78"/>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67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378"/>
    <w:rPr>
      <w:rFonts w:ascii="Segoe UI" w:hAnsi="Segoe UI" w:cs="Segoe UI"/>
      <w:sz w:val="18"/>
      <w:szCs w:val="18"/>
    </w:rPr>
  </w:style>
  <w:style w:type="character" w:styleId="Hyperlink">
    <w:name w:val="Hyperlink"/>
    <w:basedOn w:val="DefaultParagraphFont"/>
    <w:uiPriority w:val="99"/>
    <w:semiHidden/>
    <w:unhideWhenUsed/>
    <w:rsid w:val="00270B10"/>
    <w:rPr>
      <w:color w:val="0000FF"/>
      <w:u w:val="single"/>
    </w:rPr>
  </w:style>
  <w:style w:type="character" w:styleId="Strong">
    <w:name w:val="Strong"/>
    <w:basedOn w:val="DefaultParagraphFont"/>
    <w:uiPriority w:val="22"/>
    <w:qFormat/>
    <w:rsid w:val="00D025A4"/>
    <w:rPr>
      <w:b/>
      <w:bCs/>
    </w:rPr>
  </w:style>
  <w:style w:type="paragraph" w:customStyle="1" w:styleId="Pa10">
    <w:name w:val="Pa10"/>
    <w:basedOn w:val="Normal"/>
    <w:next w:val="Normal"/>
    <w:uiPriority w:val="99"/>
    <w:rsid w:val="00AB791E"/>
    <w:pPr>
      <w:autoSpaceDE w:val="0"/>
      <w:autoSpaceDN w:val="0"/>
      <w:adjustRightInd w:val="0"/>
      <w:spacing w:after="0" w:line="201" w:lineRule="atLeast"/>
    </w:pPr>
    <w:rPr>
      <w:rFonts w:ascii="Memento" w:hAnsi="Memento" w:cs="Times New Roman"/>
      <w:sz w:val="24"/>
      <w:szCs w:val="24"/>
    </w:rPr>
  </w:style>
  <w:style w:type="character" w:styleId="Emphasis">
    <w:name w:val="Emphasis"/>
    <w:basedOn w:val="DefaultParagraphFont"/>
    <w:uiPriority w:val="20"/>
    <w:qFormat/>
    <w:rsid w:val="00360F90"/>
    <w:rPr>
      <w:i/>
      <w:iCs/>
    </w:rPr>
  </w:style>
  <w:style w:type="character" w:customStyle="1" w:styleId="specialtitle">
    <w:name w:val="specialtitle"/>
    <w:basedOn w:val="DefaultParagraphFont"/>
    <w:rsid w:val="003D1C2D"/>
  </w:style>
  <w:style w:type="paragraph" w:styleId="ListParagraph">
    <w:name w:val="List Paragraph"/>
    <w:basedOn w:val="Normal"/>
    <w:uiPriority w:val="34"/>
    <w:qFormat/>
    <w:rsid w:val="0059714D"/>
    <w:pPr>
      <w:ind w:left="720"/>
      <w:contextualSpacing/>
    </w:pPr>
  </w:style>
  <w:style w:type="paragraph" w:styleId="CommentSubject">
    <w:name w:val="annotation subject"/>
    <w:basedOn w:val="CommentText"/>
    <w:next w:val="CommentText"/>
    <w:link w:val="CommentSubjectChar"/>
    <w:uiPriority w:val="99"/>
    <w:semiHidden/>
    <w:unhideWhenUsed/>
    <w:rsid w:val="007574FE"/>
    <w:rPr>
      <w:b/>
      <w:bCs/>
    </w:rPr>
  </w:style>
  <w:style w:type="character" w:customStyle="1" w:styleId="CommentSubjectChar">
    <w:name w:val="Comment Subject Char"/>
    <w:basedOn w:val="CommentTextChar"/>
    <w:link w:val="CommentSubject"/>
    <w:uiPriority w:val="99"/>
    <w:semiHidden/>
    <w:rsid w:val="007574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3549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dfs.semanticscholar.org/9d5c/9e525c98317d0a6dff7304a7b19bc8d7661e.pdf" TargetMode="External"/><Relationship Id="rId18" Type="http://schemas.openxmlformats.org/officeDocument/2006/relationships/hyperlink" Target="http://www.devmts.co.uk/capable.pdf" TargetMode="External"/><Relationship Id="rId3" Type="http://schemas.openxmlformats.org/officeDocument/2006/relationships/webSettings" Target="webSettings.xml"/><Relationship Id="rId21" Type="http://schemas.openxmlformats.org/officeDocument/2006/relationships/hyperlink" Target="http://web.inter.nl.net/users/Paul.Treanor/neoliberalism.html" TargetMode="External"/><Relationship Id="rId7" Type="http://schemas.openxmlformats.org/officeDocument/2006/relationships/footer" Target="footer2.xml"/><Relationship Id="rId12" Type="http://schemas.openxmlformats.org/officeDocument/2006/relationships/hyperlink" Target="http://www.educationengland.org.uk/documents/dearing1997/dearing1997.html" TargetMode="External"/><Relationship Id="rId17" Type="http://schemas.openxmlformats.org/officeDocument/2006/relationships/hyperlink" Target="https://wonkhe.com/blogs/major-reviews-in-history/" TargetMode="External"/><Relationship Id="rId2" Type="http://schemas.openxmlformats.org/officeDocument/2006/relationships/settings" Target="settings.xml"/><Relationship Id="rId16" Type="http://schemas.openxmlformats.org/officeDocument/2006/relationships/hyperlink" Target="http://www.hesa.ac.uk/dox/performanceIndicators/0910/t1a_0910.xls" TargetMode="External"/><Relationship Id="rId20" Type="http://schemas.openxmlformats.org/officeDocument/2006/relationships/hyperlink" Target="https://www.rss.org.uk/Images/PDF/influencing-change/2019/RSS_Evidence_to_the_TEF_consultation_Feb2019" TargetMode="Externa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www.nvao.net/page/" TargetMode="External"/><Relationship Id="rId5" Type="http://schemas.openxmlformats.org/officeDocument/2006/relationships/endnotes" Target="endnotes.xml"/><Relationship Id="rId15" Type="http://schemas.openxmlformats.org/officeDocument/2006/relationships/hyperlink" Target="http://www.hefce.ac.uk/media/HEFCE,2014/Content/Pubs/2016/201632/HEFCE2016_32.pdf" TargetMode="External"/><Relationship Id="rId23" Type="http://schemas.openxmlformats.org/officeDocument/2006/relationships/theme" Target="theme/theme1.xml"/><Relationship Id="rId10" Type="http://schemas.openxmlformats.org/officeDocument/2006/relationships/hyperlink" Target="https://olh.openlibhums.org/articles/10.16995/olh.77/print/main-text-B6" TargetMode="External"/><Relationship Id="rId19" Type="http://schemas.openxmlformats.org/officeDocument/2006/relationships/hyperlink" Target="https://www.prospects.ac.uk/" TargetMode="External"/><Relationship Id="rId4" Type="http://schemas.openxmlformats.org/officeDocument/2006/relationships/footnotes" Target="footnotes.xml"/><Relationship Id="rId9" Type="http://schemas.openxmlformats.org/officeDocument/2006/relationships/hyperlink" Target="https://www.gov.uk/Government/consultations/teaching-excellence-framework-year-2-technical-consultation" TargetMode="External"/><Relationship Id="rId14" Type="http://schemas.openxmlformats.org/officeDocument/2006/relationships/hyperlink" Target="https://www.heacademy.ac.uk/system/files/downloads/fhea-guidance-for-applicants_0.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27</Pages>
  <Words>10330</Words>
  <Characters>58886</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Office User</cp:lastModifiedBy>
  <cp:revision>5</cp:revision>
  <dcterms:created xsi:type="dcterms:W3CDTF">2020-09-02T09:08:00Z</dcterms:created>
  <dcterms:modified xsi:type="dcterms:W3CDTF">2020-09-12T14:39:00Z</dcterms:modified>
</cp:coreProperties>
</file>