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5CF51" w14:textId="2349B419" w:rsidR="00FB28F6" w:rsidRPr="001F70F2" w:rsidRDefault="00265D82" w:rsidP="001F70F2">
      <w:pPr>
        <w:pStyle w:val="Heading1"/>
        <w:rPr>
          <w:rFonts w:asciiTheme="minorHAnsi" w:eastAsia="+mj-ea" w:hAnsiTheme="minorHAnsi" w:cstheme="minorHAnsi"/>
          <w:color w:val="auto"/>
          <w:kern w:val="24"/>
          <w:sz w:val="28"/>
          <w:szCs w:val="28"/>
        </w:rPr>
      </w:pPr>
      <w:r w:rsidRPr="001F70F2">
        <w:rPr>
          <w:rFonts w:asciiTheme="minorHAnsi" w:eastAsia="+mj-ea" w:hAnsiTheme="minorHAnsi" w:cstheme="minorHAnsi"/>
          <w:color w:val="auto"/>
          <w:kern w:val="24"/>
          <w:sz w:val="28"/>
          <w:szCs w:val="28"/>
        </w:rPr>
        <w:t xml:space="preserve">The </w:t>
      </w:r>
      <w:r w:rsidR="00B6646E" w:rsidRPr="001F70F2">
        <w:rPr>
          <w:rFonts w:asciiTheme="minorHAnsi" w:eastAsia="+mj-ea" w:hAnsiTheme="minorHAnsi" w:cstheme="minorHAnsi"/>
          <w:color w:val="auto"/>
          <w:kern w:val="24"/>
          <w:sz w:val="28"/>
          <w:szCs w:val="28"/>
        </w:rPr>
        <w:t>E</w:t>
      </w:r>
      <w:r w:rsidRPr="001F70F2">
        <w:rPr>
          <w:rFonts w:asciiTheme="minorHAnsi" w:eastAsia="+mj-ea" w:hAnsiTheme="minorHAnsi" w:cstheme="minorHAnsi"/>
          <w:color w:val="auto"/>
          <w:kern w:val="24"/>
          <w:sz w:val="28"/>
          <w:szCs w:val="28"/>
        </w:rPr>
        <w:t xml:space="preserve">volution of the </w:t>
      </w:r>
      <w:r w:rsidR="00B6646E" w:rsidRPr="001F70F2">
        <w:rPr>
          <w:rFonts w:asciiTheme="minorHAnsi" w:eastAsia="+mj-ea" w:hAnsiTheme="minorHAnsi" w:cstheme="minorHAnsi"/>
          <w:color w:val="auto"/>
          <w:kern w:val="24"/>
          <w:sz w:val="28"/>
          <w:szCs w:val="28"/>
        </w:rPr>
        <w:t>F</w:t>
      </w:r>
      <w:r w:rsidRPr="001F70F2">
        <w:rPr>
          <w:rFonts w:asciiTheme="minorHAnsi" w:eastAsiaTheme="minorHAnsi" w:hAnsiTheme="minorHAnsi" w:cstheme="minorHAnsi"/>
          <w:color w:val="auto"/>
          <w:sz w:val="28"/>
          <w:szCs w:val="28"/>
          <w:lang w:eastAsia="en-US"/>
        </w:rPr>
        <w:t xml:space="preserve">ree </w:t>
      </w:r>
      <w:r w:rsidR="00B6646E" w:rsidRPr="001F70F2">
        <w:rPr>
          <w:rFonts w:asciiTheme="minorHAnsi" w:eastAsiaTheme="minorHAnsi" w:hAnsiTheme="minorHAnsi" w:cstheme="minorHAnsi"/>
          <w:color w:val="auto"/>
          <w:sz w:val="28"/>
          <w:szCs w:val="28"/>
          <w:lang w:eastAsia="en-US"/>
        </w:rPr>
        <w:t>M</w:t>
      </w:r>
      <w:r w:rsidRPr="001F70F2">
        <w:rPr>
          <w:rFonts w:asciiTheme="minorHAnsi" w:eastAsiaTheme="minorHAnsi" w:hAnsiTheme="minorHAnsi" w:cstheme="minorHAnsi"/>
          <w:color w:val="auto"/>
          <w:sz w:val="28"/>
          <w:szCs w:val="28"/>
          <w:lang w:eastAsia="en-US"/>
        </w:rPr>
        <w:t xml:space="preserve">ovement of </w:t>
      </w:r>
      <w:r w:rsidR="00B6646E" w:rsidRPr="001F70F2">
        <w:rPr>
          <w:rFonts w:asciiTheme="minorHAnsi" w:eastAsiaTheme="minorHAnsi" w:hAnsiTheme="minorHAnsi" w:cstheme="minorHAnsi"/>
          <w:color w:val="auto"/>
          <w:sz w:val="28"/>
          <w:szCs w:val="28"/>
          <w:lang w:eastAsia="en-US"/>
        </w:rPr>
        <w:t>L</w:t>
      </w:r>
      <w:r w:rsidRPr="001F70F2">
        <w:rPr>
          <w:rFonts w:asciiTheme="minorHAnsi" w:eastAsiaTheme="minorHAnsi" w:hAnsiTheme="minorHAnsi" w:cstheme="minorHAnsi"/>
          <w:color w:val="auto"/>
          <w:sz w:val="28"/>
          <w:szCs w:val="28"/>
          <w:lang w:eastAsia="en-US"/>
        </w:rPr>
        <w:t>awyers in the European Union and the East African Community</w:t>
      </w:r>
      <w:r w:rsidR="00DF4D29" w:rsidRPr="001F70F2">
        <w:rPr>
          <w:rFonts w:asciiTheme="minorHAnsi" w:eastAsiaTheme="minorHAnsi" w:hAnsiTheme="minorHAnsi" w:cstheme="minorHAnsi"/>
          <w:color w:val="auto"/>
          <w:sz w:val="28"/>
          <w:szCs w:val="28"/>
          <w:lang w:eastAsia="en-US"/>
        </w:rPr>
        <w:t xml:space="preserve"> </w:t>
      </w:r>
      <w:r w:rsidR="00B6646E" w:rsidRPr="001F70F2">
        <w:rPr>
          <w:rFonts w:asciiTheme="minorHAnsi" w:eastAsiaTheme="minorHAnsi" w:hAnsiTheme="minorHAnsi" w:cstheme="minorHAnsi"/>
          <w:color w:val="auto"/>
          <w:sz w:val="28"/>
          <w:szCs w:val="28"/>
          <w:lang w:eastAsia="en-US"/>
        </w:rPr>
        <w:t>C</w:t>
      </w:r>
      <w:r w:rsidR="00DF4D29" w:rsidRPr="001F70F2">
        <w:rPr>
          <w:rFonts w:asciiTheme="minorHAnsi" w:eastAsiaTheme="minorHAnsi" w:hAnsiTheme="minorHAnsi" w:cstheme="minorHAnsi"/>
          <w:color w:val="auto"/>
          <w:sz w:val="28"/>
          <w:szCs w:val="28"/>
          <w:lang w:eastAsia="en-US"/>
        </w:rPr>
        <w:t>ompared</w:t>
      </w:r>
      <w:r w:rsidRPr="001F70F2">
        <w:rPr>
          <w:rFonts w:asciiTheme="minorHAnsi" w:eastAsiaTheme="minorHAnsi" w:hAnsiTheme="minorHAnsi" w:cstheme="minorHAnsi"/>
          <w:color w:val="auto"/>
          <w:sz w:val="28"/>
          <w:szCs w:val="28"/>
          <w:lang w:eastAsia="en-US"/>
        </w:rPr>
        <w:t>:</w:t>
      </w:r>
      <w:r w:rsidRPr="001F70F2">
        <w:rPr>
          <w:rFonts w:asciiTheme="minorHAnsi" w:eastAsia="+mj-ea" w:hAnsiTheme="minorHAnsi" w:cstheme="minorHAnsi"/>
          <w:color w:val="auto"/>
          <w:kern w:val="24"/>
          <w:sz w:val="28"/>
          <w:szCs w:val="28"/>
        </w:rPr>
        <w:t xml:space="preserve"> </w:t>
      </w:r>
      <w:r w:rsidR="005C2FEE" w:rsidRPr="001F70F2">
        <w:rPr>
          <w:rFonts w:asciiTheme="minorHAnsi" w:eastAsia="+mj-ea" w:hAnsiTheme="minorHAnsi" w:cstheme="minorHAnsi"/>
          <w:color w:val="auto"/>
          <w:kern w:val="24"/>
          <w:sz w:val="28"/>
          <w:szCs w:val="28"/>
        </w:rPr>
        <w:t>Achievements and challenges in implementing</w:t>
      </w:r>
      <w:r w:rsidR="00DD558B" w:rsidRPr="001F70F2">
        <w:rPr>
          <w:rFonts w:asciiTheme="minorHAnsi" w:eastAsia="+mj-ea" w:hAnsiTheme="minorHAnsi" w:cstheme="minorHAnsi"/>
          <w:color w:val="auto"/>
          <w:kern w:val="24"/>
          <w:sz w:val="28"/>
          <w:szCs w:val="28"/>
        </w:rPr>
        <w:t xml:space="preserve"> integration freedoms</w:t>
      </w:r>
      <w:r w:rsidR="00AD609C" w:rsidRPr="001F70F2">
        <w:rPr>
          <w:rFonts w:asciiTheme="minorHAnsi" w:eastAsiaTheme="minorHAnsi" w:hAnsiTheme="minorHAnsi" w:cstheme="minorHAnsi"/>
          <w:color w:val="auto"/>
          <w:sz w:val="28"/>
          <w:szCs w:val="28"/>
          <w:lang w:eastAsia="en-US"/>
        </w:rPr>
        <w:t xml:space="preserve"> in England and Wales and Rwanda</w:t>
      </w:r>
    </w:p>
    <w:p w14:paraId="75FF1836" w14:textId="18BC9E6E" w:rsidR="009A0668" w:rsidRDefault="00EE4D12" w:rsidP="00E43136">
      <w:pPr>
        <w:shd w:val="clear" w:color="auto" w:fill="FFFFFF"/>
        <w:spacing w:after="0" w:line="240" w:lineRule="auto"/>
        <w:jc w:val="right"/>
        <w:rPr>
          <w:rFonts w:asciiTheme="minorHAnsi" w:eastAsia="+mj-ea" w:hAnsiTheme="minorHAnsi"/>
          <w:b/>
          <w:bCs/>
          <w:color w:val="000000"/>
          <w:kern w:val="24"/>
          <w:sz w:val="24"/>
          <w:szCs w:val="24"/>
        </w:rPr>
      </w:pPr>
      <w:r w:rsidRPr="00B6646E">
        <w:rPr>
          <w:rFonts w:asciiTheme="minorHAnsi" w:eastAsia="+mj-ea" w:hAnsiTheme="minorHAnsi"/>
          <w:b/>
          <w:bCs/>
          <w:color w:val="000000"/>
          <w:kern w:val="24"/>
          <w:sz w:val="24"/>
          <w:szCs w:val="24"/>
        </w:rPr>
        <w:t>Helen Trouille</w:t>
      </w:r>
    </w:p>
    <w:p w14:paraId="1716A1F4" w14:textId="163E3427" w:rsidR="00B6646E" w:rsidRPr="00B6646E" w:rsidRDefault="00821CAC" w:rsidP="00E43136">
      <w:pPr>
        <w:shd w:val="clear" w:color="auto" w:fill="FFFFFF"/>
        <w:spacing w:after="0" w:line="240" w:lineRule="auto"/>
        <w:jc w:val="right"/>
        <w:rPr>
          <w:rFonts w:asciiTheme="minorHAnsi" w:eastAsia="+mj-ea" w:hAnsiTheme="minorHAnsi"/>
          <w:b/>
          <w:bCs/>
          <w:color w:val="000000"/>
          <w:kern w:val="24"/>
          <w:sz w:val="24"/>
          <w:szCs w:val="24"/>
        </w:rPr>
      </w:pPr>
      <w:hyperlink r:id="rId8" w:history="1">
        <w:r w:rsidR="00B6646E" w:rsidRPr="00CE2A52">
          <w:rPr>
            <w:rStyle w:val="Hyperlink"/>
            <w:rFonts w:asciiTheme="minorHAnsi" w:eastAsia="+mj-ea" w:hAnsiTheme="minorHAnsi"/>
            <w:b/>
            <w:bCs/>
            <w:kern w:val="24"/>
            <w:sz w:val="24"/>
            <w:szCs w:val="24"/>
          </w:rPr>
          <w:t>h.trouille@yorksj.ac.uk</w:t>
        </w:r>
      </w:hyperlink>
      <w:r w:rsidR="00B6646E">
        <w:rPr>
          <w:rFonts w:asciiTheme="minorHAnsi" w:eastAsia="+mj-ea" w:hAnsiTheme="minorHAnsi"/>
          <w:b/>
          <w:bCs/>
          <w:color w:val="000000"/>
          <w:kern w:val="24"/>
          <w:sz w:val="24"/>
          <w:szCs w:val="24"/>
        </w:rPr>
        <w:t xml:space="preserve"> </w:t>
      </w:r>
    </w:p>
    <w:p w14:paraId="58FA6334" w14:textId="77777777" w:rsidR="00B6646E" w:rsidRPr="00B6646E" w:rsidRDefault="00B6646E" w:rsidP="00E43136">
      <w:pPr>
        <w:shd w:val="clear" w:color="auto" w:fill="FFFFFF"/>
        <w:spacing w:after="0" w:line="240" w:lineRule="auto"/>
        <w:jc w:val="right"/>
        <w:rPr>
          <w:rFonts w:asciiTheme="minorHAnsi" w:eastAsia="+mj-ea" w:hAnsiTheme="minorHAnsi"/>
          <w:b/>
          <w:bCs/>
          <w:color w:val="000000"/>
          <w:kern w:val="24"/>
          <w:sz w:val="24"/>
          <w:szCs w:val="24"/>
        </w:rPr>
      </w:pPr>
    </w:p>
    <w:p w14:paraId="5650BBE3" w14:textId="167487ED" w:rsidR="009A0668" w:rsidRDefault="009A0668" w:rsidP="00E43136">
      <w:pPr>
        <w:shd w:val="clear" w:color="auto" w:fill="FFFFFF"/>
        <w:spacing w:after="0" w:line="240" w:lineRule="auto"/>
        <w:jc w:val="right"/>
        <w:rPr>
          <w:rFonts w:asciiTheme="minorHAnsi" w:eastAsia="Times New Roman" w:hAnsiTheme="minorHAnsi"/>
          <w:b/>
          <w:bCs/>
          <w:sz w:val="24"/>
          <w:szCs w:val="24"/>
          <w:lang w:eastAsia="en-GB"/>
        </w:rPr>
      </w:pPr>
      <w:proofErr w:type="spellStart"/>
      <w:r w:rsidRPr="00B6646E">
        <w:rPr>
          <w:rFonts w:asciiTheme="minorHAnsi" w:eastAsia="Times New Roman" w:hAnsiTheme="minorHAnsi"/>
          <w:b/>
          <w:bCs/>
          <w:sz w:val="24"/>
          <w:szCs w:val="24"/>
          <w:lang w:eastAsia="en-GB"/>
        </w:rPr>
        <w:t>Mbembe</w:t>
      </w:r>
      <w:proofErr w:type="spellEnd"/>
      <w:r w:rsidRPr="00B6646E">
        <w:rPr>
          <w:rFonts w:asciiTheme="minorHAnsi" w:eastAsia="Times New Roman" w:hAnsiTheme="minorHAnsi"/>
          <w:b/>
          <w:bCs/>
          <w:sz w:val="24"/>
          <w:szCs w:val="24"/>
          <w:lang w:eastAsia="en-GB"/>
        </w:rPr>
        <w:t xml:space="preserve"> Binda</w:t>
      </w:r>
    </w:p>
    <w:p w14:paraId="0F8F5C5A" w14:textId="14787F6B" w:rsidR="00B6646E" w:rsidRPr="00D45CDF" w:rsidRDefault="00821CAC" w:rsidP="00E43136">
      <w:pPr>
        <w:shd w:val="clear" w:color="auto" w:fill="FFFFFF"/>
        <w:spacing w:after="0" w:line="240" w:lineRule="auto"/>
        <w:jc w:val="right"/>
        <w:rPr>
          <w:rFonts w:asciiTheme="minorHAnsi" w:eastAsia="+mj-ea" w:hAnsiTheme="minorHAnsi"/>
          <w:b/>
          <w:bCs/>
          <w:color w:val="000000"/>
          <w:kern w:val="24"/>
          <w:sz w:val="24"/>
          <w:szCs w:val="24"/>
        </w:rPr>
      </w:pPr>
      <w:hyperlink r:id="rId9" w:history="1">
        <w:r w:rsidR="00B6646E" w:rsidRPr="00CE2A52">
          <w:rPr>
            <w:rStyle w:val="Hyperlink"/>
            <w:rFonts w:asciiTheme="minorHAnsi" w:eastAsia="Times New Roman" w:hAnsiTheme="minorHAnsi"/>
            <w:b/>
            <w:bCs/>
            <w:sz w:val="24"/>
            <w:szCs w:val="24"/>
            <w:lang w:eastAsia="en-GB"/>
          </w:rPr>
          <w:t>bindael@gmail.com</w:t>
        </w:r>
      </w:hyperlink>
      <w:r w:rsidR="00B6646E">
        <w:rPr>
          <w:rFonts w:asciiTheme="minorHAnsi" w:eastAsia="Times New Roman" w:hAnsiTheme="minorHAnsi"/>
          <w:b/>
          <w:bCs/>
          <w:sz w:val="24"/>
          <w:szCs w:val="24"/>
          <w:lang w:eastAsia="en-GB"/>
        </w:rPr>
        <w:t xml:space="preserve"> </w:t>
      </w:r>
    </w:p>
    <w:p w14:paraId="7244DF6F" w14:textId="77777777" w:rsidR="003717B5" w:rsidRPr="00D45CDF" w:rsidRDefault="003717B5" w:rsidP="00D45CDF">
      <w:pPr>
        <w:shd w:val="clear" w:color="auto" w:fill="FFFFFF"/>
        <w:spacing w:after="0" w:line="240" w:lineRule="auto"/>
        <w:rPr>
          <w:rFonts w:asciiTheme="minorHAnsi" w:eastAsia="+mj-ea" w:hAnsiTheme="minorHAnsi"/>
          <w:b/>
          <w:bCs/>
          <w:color w:val="000000"/>
          <w:kern w:val="24"/>
          <w:sz w:val="24"/>
          <w:szCs w:val="24"/>
        </w:rPr>
      </w:pPr>
    </w:p>
    <w:p w14:paraId="53A4CC36" w14:textId="77777777" w:rsidR="00DB3190" w:rsidRDefault="0011253A" w:rsidP="00DB3190">
      <w:pPr>
        <w:shd w:val="clear" w:color="auto" w:fill="FFFFFF"/>
        <w:spacing w:after="0" w:line="240" w:lineRule="auto"/>
        <w:ind w:left="360"/>
        <w:jc w:val="both"/>
        <w:rPr>
          <w:rFonts w:asciiTheme="minorHAnsi" w:eastAsia="Times New Roman" w:hAnsiTheme="minorHAnsi"/>
          <w:b/>
          <w:color w:val="FF0000"/>
          <w:sz w:val="24"/>
          <w:szCs w:val="24"/>
          <w:lang w:eastAsia="en-GB"/>
        </w:rPr>
      </w:pPr>
      <w:r w:rsidRPr="00D45CDF">
        <w:rPr>
          <w:rFonts w:asciiTheme="minorHAnsi" w:eastAsia="+mj-ea" w:hAnsiTheme="minorHAnsi"/>
          <w:b/>
          <w:bCs/>
          <w:color w:val="000000"/>
          <w:kern w:val="24"/>
          <w:sz w:val="24"/>
          <w:szCs w:val="24"/>
        </w:rPr>
        <w:t>Abstract</w:t>
      </w:r>
      <w:r w:rsidR="00DB3190">
        <w:rPr>
          <w:rFonts w:asciiTheme="minorHAnsi" w:eastAsia="+mj-ea" w:hAnsiTheme="minorHAnsi"/>
          <w:b/>
          <w:bCs/>
          <w:color w:val="000000"/>
          <w:kern w:val="24"/>
          <w:sz w:val="24"/>
          <w:szCs w:val="24"/>
        </w:rPr>
        <w:t>:</w:t>
      </w:r>
      <w:r w:rsidR="00DB3190">
        <w:rPr>
          <w:rFonts w:asciiTheme="minorHAnsi" w:eastAsia="Times New Roman" w:hAnsiTheme="minorHAnsi"/>
          <w:b/>
          <w:color w:val="FF0000"/>
          <w:sz w:val="24"/>
          <w:szCs w:val="24"/>
          <w:lang w:eastAsia="en-GB"/>
        </w:rPr>
        <w:t xml:space="preserve"> </w:t>
      </w:r>
      <w:r w:rsidR="007743DF" w:rsidRPr="00D45CDF">
        <w:rPr>
          <w:rFonts w:asciiTheme="minorHAnsi" w:eastAsia="Times New Roman" w:hAnsiTheme="minorHAnsi"/>
          <w:bCs/>
          <w:sz w:val="24"/>
          <w:szCs w:val="24"/>
          <w:lang w:eastAsia="en-GB"/>
        </w:rPr>
        <w:t xml:space="preserve">Freedom of movement (FOM) of legal services has brought </w:t>
      </w:r>
      <w:r w:rsidR="00C76B9D" w:rsidRPr="00D45CDF">
        <w:rPr>
          <w:rFonts w:asciiTheme="minorHAnsi" w:eastAsia="Times New Roman" w:hAnsiTheme="minorHAnsi"/>
          <w:bCs/>
          <w:sz w:val="24"/>
          <w:szCs w:val="24"/>
          <w:lang w:eastAsia="en-GB"/>
        </w:rPr>
        <w:t xml:space="preserve">considerable economic growth to the legal services market in England and Wales and </w:t>
      </w:r>
      <w:r w:rsidR="007743DF" w:rsidRPr="00D45CDF">
        <w:rPr>
          <w:rFonts w:asciiTheme="minorHAnsi" w:eastAsia="Times New Roman" w:hAnsiTheme="minorHAnsi"/>
          <w:bCs/>
          <w:sz w:val="24"/>
          <w:szCs w:val="24"/>
          <w:lang w:eastAsia="en-GB"/>
        </w:rPr>
        <w:t xml:space="preserve">very real benefits to legal practitioners within the </w:t>
      </w:r>
      <w:r w:rsidR="00C76B9D" w:rsidRPr="00D45CDF">
        <w:rPr>
          <w:rFonts w:asciiTheme="minorHAnsi" w:eastAsia="Times New Roman" w:hAnsiTheme="minorHAnsi"/>
          <w:bCs/>
          <w:sz w:val="24"/>
          <w:szCs w:val="24"/>
          <w:lang w:eastAsia="en-GB"/>
        </w:rPr>
        <w:t>European Union (</w:t>
      </w:r>
      <w:r w:rsidR="007743DF" w:rsidRPr="00D45CDF">
        <w:rPr>
          <w:rFonts w:asciiTheme="minorHAnsi" w:eastAsia="Times New Roman" w:hAnsiTheme="minorHAnsi"/>
          <w:bCs/>
          <w:sz w:val="24"/>
          <w:szCs w:val="24"/>
          <w:lang w:eastAsia="en-GB"/>
        </w:rPr>
        <w:t>EU</w:t>
      </w:r>
      <w:r w:rsidR="00C76B9D" w:rsidRPr="00D45CDF">
        <w:rPr>
          <w:rFonts w:asciiTheme="minorHAnsi" w:eastAsia="Times New Roman" w:hAnsiTheme="minorHAnsi"/>
          <w:bCs/>
          <w:sz w:val="24"/>
          <w:szCs w:val="24"/>
          <w:lang w:eastAsia="en-GB"/>
        </w:rPr>
        <w:t>)</w:t>
      </w:r>
      <w:r w:rsidR="007743DF" w:rsidRPr="00D45CDF">
        <w:rPr>
          <w:rFonts w:asciiTheme="minorHAnsi" w:eastAsia="Times New Roman" w:hAnsiTheme="minorHAnsi"/>
          <w:bCs/>
          <w:sz w:val="24"/>
          <w:szCs w:val="24"/>
          <w:lang w:eastAsia="en-GB"/>
        </w:rPr>
        <w:t xml:space="preserve">. At the same time, another successful Regional Economic Community (REC), </w:t>
      </w:r>
      <w:r w:rsidR="001B03CF" w:rsidRPr="00D45CDF">
        <w:rPr>
          <w:rFonts w:asciiTheme="minorHAnsi" w:eastAsia="Times New Roman" w:hAnsiTheme="minorHAnsi"/>
          <w:bCs/>
          <w:sz w:val="24"/>
          <w:szCs w:val="24"/>
          <w:lang w:eastAsia="en-GB"/>
        </w:rPr>
        <w:t xml:space="preserve">the </w:t>
      </w:r>
      <w:r w:rsidR="007743DF" w:rsidRPr="00D45CDF">
        <w:rPr>
          <w:rFonts w:asciiTheme="minorHAnsi" w:eastAsia="Times New Roman" w:hAnsiTheme="minorHAnsi"/>
          <w:bCs/>
          <w:sz w:val="24"/>
          <w:szCs w:val="24"/>
          <w:lang w:eastAsia="en-GB"/>
        </w:rPr>
        <w:t xml:space="preserve">East African Community (EAC), is struggling to commit to FOM of legal services, </w:t>
      </w:r>
      <w:r w:rsidR="00270CA2" w:rsidRPr="00D45CDF">
        <w:rPr>
          <w:rFonts w:asciiTheme="minorHAnsi" w:eastAsia="Times New Roman" w:hAnsiTheme="minorHAnsi"/>
          <w:bCs/>
          <w:sz w:val="24"/>
          <w:szCs w:val="24"/>
          <w:lang w:eastAsia="en-GB"/>
        </w:rPr>
        <w:t xml:space="preserve">and </w:t>
      </w:r>
      <w:r w:rsidR="001D6D90" w:rsidRPr="00D45CDF">
        <w:rPr>
          <w:rFonts w:asciiTheme="minorHAnsi" w:eastAsia="Times New Roman" w:hAnsiTheme="minorHAnsi"/>
          <w:bCs/>
          <w:sz w:val="24"/>
          <w:szCs w:val="24"/>
          <w:lang w:eastAsia="en-GB"/>
        </w:rPr>
        <w:t>Partner States</w:t>
      </w:r>
      <w:r w:rsidR="0005429D" w:rsidRPr="00D45CDF">
        <w:rPr>
          <w:rFonts w:asciiTheme="minorHAnsi" w:eastAsia="Times New Roman" w:hAnsiTheme="minorHAnsi"/>
          <w:bCs/>
          <w:sz w:val="24"/>
          <w:szCs w:val="24"/>
          <w:lang w:eastAsia="en-GB"/>
        </w:rPr>
        <w:t xml:space="preserve">, fearful of competition, </w:t>
      </w:r>
      <w:r w:rsidR="007743DF" w:rsidRPr="00D45CDF">
        <w:rPr>
          <w:rFonts w:asciiTheme="minorHAnsi" w:eastAsia="Times New Roman" w:hAnsiTheme="minorHAnsi"/>
          <w:bCs/>
          <w:sz w:val="24"/>
          <w:szCs w:val="24"/>
          <w:lang w:eastAsia="en-GB"/>
        </w:rPr>
        <w:t>prefer to protect their legal services markets</w:t>
      </w:r>
      <w:r w:rsidR="00270CA2" w:rsidRPr="00D45CDF">
        <w:rPr>
          <w:rFonts w:asciiTheme="minorHAnsi" w:eastAsia="Times New Roman" w:hAnsiTheme="minorHAnsi"/>
          <w:bCs/>
          <w:sz w:val="24"/>
          <w:szCs w:val="24"/>
          <w:lang w:eastAsia="en-GB"/>
        </w:rPr>
        <w:t xml:space="preserve"> rather than embrace integration</w:t>
      </w:r>
      <w:r w:rsidR="001A3350" w:rsidRPr="00D45CDF">
        <w:rPr>
          <w:rFonts w:asciiTheme="minorHAnsi" w:eastAsia="Times New Roman" w:hAnsiTheme="minorHAnsi"/>
          <w:bCs/>
          <w:sz w:val="24"/>
          <w:szCs w:val="24"/>
          <w:lang w:eastAsia="en-GB"/>
        </w:rPr>
        <w:t xml:space="preserve"> which </w:t>
      </w:r>
      <w:r w:rsidR="00850102" w:rsidRPr="00D45CDF">
        <w:rPr>
          <w:rFonts w:asciiTheme="minorHAnsi" w:eastAsia="Times New Roman" w:hAnsiTheme="minorHAnsi"/>
          <w:bCs/>
          <w:sz w:val="24"/>
          <w:szCs w:val="24"/>
          <w:lang w:eastAsia="en-GB"/>
        </w:rPr>
        <w:t>could</w:t>
      </w:r>
      <w:r w:rsidR="001A3350" w:rsidRPr="00D45CDF">
        <w:rPr>
          <w:rFonts w:asciiTheme="minorHAnsi" w:eastAsia="Times New Roman" w:hAnsiTheme="minorHAnsi"/>
          <w:bCs/>
          <w:sz w:val="24"/>
          <w:szCs w:val="24"/>
          <w:lang w:eastAsia="en-GB"/>
        </w:rPr>
        <w:t xml:space="preserve"> bring growth</w:t>
      </w:r>
      <w:r w:rsidR="007743DF" w:rsidRPr="00D45CDF">
        <w:rPr>
          <w:rFonts w:asciiTheme="minorHAnsi" w:eastAsia="Times New Roman" w:hAnsiTheme="minorHAnsi"/>
          <w:bCs/>
          <w:sz w:val="24"/>
          <w:szCs w:val="24"/>
          <w:lang w:eastAsia="en-GB"/>
        </w:rPr>
        <w:t xml:space="preserve">. </w:t>
      </w:r>
      <w:r w:rsidR="00270CA2" w:rsidRPr="00D45CDF">
        <w:rPr>
          <w:rFonts w:asciiTheme="minorHAnsi" w:eastAsia="Times New Roman" w:hAnsiTheme="minorHAnsi"/>
          <w:bCs/>
          <w:sz w:val="24"/>
          <w:szCs w:val="24"/>
          <w:lang w:eastAsia="en-GB"/>
        </w:rPr>
        <w:t xml:space="preserve">This article </w:t>
      </w:r>
      <w:r w:rsidR="00146162" w:rsidRPr="00D45CDF">
        <w:rPr>
          <w:rFonts w:asciiTheme="minorHAnsi" w:eastAsia="Times New Roman" w:hAnsiTheme="minorHAnsi"/>
          <w:bCs/>
          <w:sz w:val="24"/>
          <w:szCs w:val="24"/>
          <w:lang w:eastAsia="en-GB"/>
        </w:rPr>
        <w:t>explores</w:t>
      </w:r>
      <w:r w:rsidR="00270CA2" w:rsidRPr="00D45CDF">
        <w:rPr>
          <w:rFonts w:asciiTheme="minorHAnsi" w:eastAsia="Times New Roman" w:hAnsiTheme="minorHAnsi"/>
          <w:bCs/>
          <w:sz w:val="24"/>
          <w:szCs w:val="24"/>
          <w:lang w:eastAsia="en-GB"/>
        </w:rPr>
        <w:t xml:space="preserve"> the</w:t>
      </w:r>
      <w:r w:rsidR="00E90FFC" w:rsidRPr="00D45CDF">
        <w:rPr>
          <w:rFonts w:asciiTheme="minorHAnsi" w:eastAsia="Times New Roman" w:hAnsiTheme="minorHAnsi"/>
          <w:bCs/>
          <w:sz w:val="24"/>
          <w:szCs w:val="24"/>
          <w:lang w:eastAsia="en-GB"/>
        </w:rPr>
        <w:t xml:space="preserve"> stream-lined situation in England and Wales and contrasts the </w:t>
      </w:r>
      <w:r w:rsidR="00270CA2" w:rsidRPr="00D45CDF">
        <w:rPr>
          <w:rFonts w:asciiTheme="minorHAnsi" w:eastAsia="Times New Roman" w:hAnsiTheme="minorHAnsi"/>
          <w:bCs/>
          <w:sz w:val="24"/>
          <w:szCs w:val="24"/>
          <w:lang w:eastAsia="en-GB"/>
        </w:rPr>
        <w:t xml:space="preserve">concerns </w:t>
      </w:r>
      <w:r w:rsidR="002B3A10" w:rsidRPr="00D45CDF">
        <w:rPr>
          <w:rFonts w:asciiTheme="minorHAnsi" w:eastAsia="Times New Roman" w:hAnsiTheme="minorHAnsi"/>
          <w:bCs/>
          <w:sz w:val="24"/>
          <w:szCs w:val="24"/>
          <w:lang w:eastAsia="en-GB"/>
        </w:rPr>
        <w:t xml:space="preserve">associated with the loss of FOM on leaving the EU </w:t>
      </w:r>
      <w:r w:rsidR="00270CA2" w:rsidRPr="00D45CDF">
        <w:rPr>
          <w:rFonts w:asciiTheme="minorHAnsi" w:eastAsia="Times New Roman" w:hAnsiTheme="minorHAnsi"/>
          <w:bCs/>
          <w:sz w:val="24"/>
          <w:szCs w:val="24"/>
          <w:lang w:eastAsia="en-GB"/>
        </w:rPr>
        <w:t xml:space="preserve">expressed by legal professional bodies and lawyers </w:t>
      </w:r>
      <w:r w:rsidR="00E90FFC" w:rsidRPr="00D45CDF">
        <w:rPr>
          <w:rFonts w:asciiTheme="minorHAnsi" w:eastAsia="Times New Roman" w:hAnsiTheme="minorHAnsi"/>
          <w:bCs/>
          <w:sz w:val="24"/>
          <w:szCs w:val="24"/>
          <w:lang w:eastAsia="en-GB"/>
        </w:rPr>
        <w:t xml:space="preserve">there </w:t>
      </w:r>
      <w:r w:rsidR="00270CA2" w:rsidRPr="00D45CDF">
        <w:rPr>
          <w:rFonts w:asciiTheme="minorHAnsi" w:eastAsia="Times New Roman" w:hAnsiTheme="minorHAnsi"/>
          <w:bCs/>
          <w:sz w:val="24"/>
          <w:szCs w:val="24"/>
          <w:lang w:eastAsia="en-GB"/>
        </w:rPr>
        <w:t xml:space="preserve">with the </w:t>
      </w:r>
      <w:r w:rsidR="00E90FFC" w:rsidRPr="00D45CDF">
        <w:rPr>
          <w:rFonts w:asciiTheme="minorHAnsi" w:eastAsia="Times New Roman" w:hAnsiTheme="minorHAnsi"/>
          <w:bCs/>
          <w:sz w:val="24"/>
          <w:szCs w:val="24"/>
          <w:lang w:eastAsia="en-GB"/>
        </w:rPr>
        <w:t>reticence</w:t>
      </w:r>
      <w:r w:rsidR="00270CA2" w:rsidRPr="00D45CDF">
        <w:rPr>
          <w:rFonts w:asciiTheme="minorHAnsi" w:eastAsia="Times New Roman" w:hAnsiTheme="minorHAnsi"/>
          <w:bCs/>
          <w:sz w:val="24"/>
          <w:szCs w:val="24"/>
          <w:lang w:eastAsia="en-GB"/>
        </w:rPr>
        <w:t xml:space="preserve"> encountered in the EAC, focussing on Rwanda. </w:t>
      </w:r>
    </w:p>
    <w:p w14:paraId="31813C75" w14:textId="77777777" w:rsidR="00DB3190" w:rsidRDefault="00427920" w:rsidP="00DB3190">
      <w:pPr>
        <w:shd w:val="clear" w:color="auto" w:fill="FFFFFF"/>
        <w:spacing w:after="0" w:line="240" w:lineRule="auto"/>
        <w:ind w:left="360"/>
        <w:jc w:val="both"/>
        <w:rPr>
          <w:rFonts w:asciiTheme="minorHAnsi" w:eastAsia="Times New Roman" w:hAnsiTheme="minorHAnsi"/>
          <w:b/>
          <w:color w:val="FF0000"/>
          <w:sz w:val="24"/>
          <w:szCs w:val="24"/>
          <w:lang w:eastAsia="en-GB"/>
        </w:rPr>
      </w:pPr>
      <w:r w:rsidRPr="00D45CDF">
        <w:rPr>
          <w:rFonts w:asciiTheme="minorHAnsi" w:eastAsia="Times New Roman" w:hAnsiTheme="minorHAnsi"/>
          <w:bCs/>
          <w:sz w:val="24"/>
          <w:szCs w:val="24"/>
          <w:lang w:eastAsia="en-GB"/>
        </w:rPr>
        <w:t xml:space="preserve">It examines </w:t>
      </w:r>
      <w:r w:rsidR="00146162" w:rsidRPr="00D45CDF">
        <w:rPr>
          <w:rFonts w:asciiTheme="minorHAnsi" w:eastAsia="Times New Roman" w:hAnsiTheme="minorHAnsi"/>
          <w:bCs/>
          <w:sz w:val="24"/>
          <w:szCs w:val="24"/>
          <w:lang w:eastAsia="en-GB"/>
        </w:rPr>
        <w:t xml:space="preserve">how </w:t>
      </w:r>
      <w:r w:rsidRPr="00D45CDF">
        <w:rPr>
          <w:rFonts w:asciiTheme="minorHAnsi" w:eastAsia="Times New Roman" w:hAnsiTheme="minorHAnsi"/>
          <w:bCs/>
          <w:sz w:val="24"/>
          <w:szCs w:val="24"/>
          <w:lang w:eastAsia="en-GB"/>
        </w:rPr>
        <w:t>the relevant</w:t>
      </w:r>
      <w:r w:rsidR="00074F5C" w:rsidRPr="00D45CDF">
        <w:rPr>
          <w:rFonts w:asciiTheme="minorHAnsi" w:eastAsia="Times New Roman" w:hAnsiTheme="minorHAnsi"/>
          <w:bCs/>
          <w:sz w:val="24"/>
          <w:szCs w:val="24"/>
          <w:lang w:eastAsia="en-GB"/>
        </w:rPr>
        <w:t xml:space="preserve"> provisions in the EU directives </w:t>
      </w:r>
      <w:r w:rsidR="00135D0C" w:rsidRPr="00D45CDF">
        <w:rPr>
          <w:rFonts w:asciiTheme="minorHAnsi" w:eastAsia="Times New Roman" w:hAnsiTheme="minorHAnsi"/>
          <w:bCs/>
          <w:sz w:val="24"/>
          <w:szCs w:val="24"/>
          <w:lang w:eastAsia="en-GB"/>
        </w:rPr>
        <w:t xml:space="preserve">and EAC </w:t>
      </w:r>
      <w:r w:rsidR="005736C8" w:rsidRPr="00D45CDF">
        <w:rPr>
          <w:rFonts w:asciiTheme="minorHAnsi" w:eastAsia="Times New Roman" w:hAnsiTheme="minorHAnsi"/>
          <w:bCs/>
          <w:sz w:val="24"/>
          <w:szCs w:val="24"/>
          <w:lang w:eastAsia="en-GB"/>
        </w:rPr>
        <w:t>C</w:t>
      </w:r>
      <w:r w:rsidR="00135D0C" w:rsidRPr="00D45CDF">
        <w:rPr>
          <w:rFonts w:asciiTheme="minorHAnsi" w:eastAsia="Times New Roman" w:hAnsiTheme="minorHAnsi"/>
          <w:bCs/>
          <w:sz w:val="24"/>
          <w:szCs w:val="24"/>
          <w:lang w:eastAsia="en-GB"/>
        </w:rPr>
        <w:t xml:space="preserve">ommon Market </w:t>
      </w:r>
      <w:r w:rsidR="005736C8" w:rsidRPr="00D45CDF">
        <w:rPr>
          <w:rFonts w:asciiTheme="minorHAnsi" w:eastAsia="Times New Roman" w:hAnsiTheme="minorHAnsi"/>
          <w:bCs/>
          <w:sz w:val="24"/>
          <w:szCs w:val="24"/>
          <w:lang w:eastAsia="en-GB"/>
        </w:rPr>
        <w:t>Protocol</w:t>
      </w:r>
      <w:r w:rsidR="001F22C1" w:rsidRPr="00D45CDF">
        <w:rPr>
          <w:rFonts w:asciiTheme="minorHAnsi" w:eastAsia="Times New Roman" w:hAnsiTheme="minorHAnsi"/>
          <w:bCs/>
          <w:sz w:val="24"/>
          <w:szCs w:val="24"/>
          <w:lang w:eastAsia="en-GB"/>
        </w:rPr>
        <w:t>,</w:t>
      </w:r>
      <w:r w:rsidR="008A47B4">
        <w:rPr>
          <w:rStyle w:val="FootnoteReference"/>
          <w:rFonts w:asciiTheme="minorHAnsi" w:eastAsia="Times New Roman" w:hAnsiTheme="minorHAnsi"/>
          <w:bCs/>
          <w:sz w:val="24"/>
          <w:szCs w:val="24"/>
          <w:lang w:eastAsia="en-GB"/>
        </w:rPr>
        <w:footnoteReference w:id="1"/>
      </w:r>
      <w:r w:rsidR="001F22C1" w:rsidRPr="00D45CDF">
        <w:rPr>
          <w:rFonts w:asciiTheme="minorHAnsi" w:eastAsia="Times New Roman" w:hAnsiTheme="minorHAnsi"/>
          <w:bCs/>
          <w:sz w:val="24"/>
          <w:szCs w:val="24"/>
          <w:lang w:eastAsia="en-GB"/>
        </w:rPr>
        <w:t xml:space="preserve"> which provide the framework for </w:t>
      </w:r>
      <w:r w:rsidR="007D4D48" w:rsidRPr="00D45CDF">
        <w:rPr>
          <w:rFonts w:asciiTheme="minorHAnsi" w:eastAsia="Times New Roman" w:hAnsiTheme="minorHAnsi"/>
          <w:bCs/>
          <w:sz w:val="24"/>
          <w:szCs w:val="24"/>
          <w:lang w:eastAsia="en-GB"/>
        </w:rPr>
        <w:t>FOM</w:t>
      </w:r>
      <w:r w:rsidR="001F22C1" w:rsidRPr="00D45CDF">
        <w:rPr>
          <w:rFonts w:asciiTheme="minorHAnsi" w:eastAsia="Times New Roman" w:hAnsiTheme="minorHAnsi"/>
          <w:bCs/>
          <w:sz w:val="24"/>
          <w:szCs w:val="24"/>
          <w:lang w:eastAsia="en-GB"/>
        </w:rPr>
        <w:t xml:space="preserve"> of l</w:t>
      </w:r>
      <w:r w:rsidR="00475199" w:rsidRPr="00D45CDF">
        <w:rPr>
          <w:rFonts w:asciiTheme="minorHAnsi" w:eastAsia="Times New Roman" w:hAnsiTheme="minorHAnsi"/>
          <w:bCs/>
          <w:sz w:val="24"/>
          <w:szCs w:val="24"/>
          <w:lang w:eastAsia="en-GB"/>
        </w:rPr>
        <w:t>egal services and lawyers</w:t>
      </w:r>
      <w:r w:rsidR="00146162" w:rsidRPr="00D45CDF">
        <w:rPr>
          <w:rFonts w:asciiTheme="minorHAnsi" w:eastAsia="Times New Roman" w:hAnsiTheme="minorHAnsi"/>
          <w:bCs/>
          <w:sz w:val="24"/>
          <w:szCs w:val="24"/>
          <w:lang w:eastAsia="en-GB"/>
        </w:rPr>
        <w:t>,</w:t>
      </w:r>
      <w:r w:rsidR="00475199" w:rsidRPr="00D45CDF">
        <w:rPr>
          <w:rFonts w:asciiTheme="minorHAnsi" w:eastAsia="Times New Roman" w:hAnsiTheme="minorHAnsi"/>
          <w:bCs/>
          <w:sz w:val="24"/>
          <w:szCs w:val="24"/>
          <w:lang w:eastAsia="en-GB"/>
        </w:rPr>
        <w:t xml:space="preserve"> </w:t>
      </w:r>
      <w:r w:rsidR="001F22C1" w:rsidRPr="00D45CDF">
        <w:rPr>
          <w:rFonts w:asciiTheme="minorHAnsi" w:eastAsia="Times New Roman" w:hAnsiTheme="minorHAnsi"/>
          <w:bCs/>
          <w:sz w:val="24"/>
          <w:szCs w:val="24"/>
          <w:lang w:eastAsia="en-GB"/>
        </w:rPr>
        <w:t xml:space="preserve">are enabled </w:t>
      </w:r>
      <w:r w:rsidR="0094754A" w:rsidRPr="00D45CDF">
        <w:rPr>
          <w:rFonts w:asciiTheme="minorHAnsi" w:eastAsia="Times New Roman" w:hAnsiTheme="minorHAnsi"/>
          <w:bCs/>
          <w:sz w:val="24"/>
          <w:szCs w:val="24"/>
          <w:lang w:eastAsia="en-GB"/>
        </w:rPr>
        <w:t xml:space="preserve">by Community and domestic provisions </w:t>
      </w:r>
      <w:r w:rsidR="001F22C1" w:rsidRPr="00D45CDF">
        <w:rPr>
          <w:rFonts w:asciiTheme="minorHAnsi" w:eastAsia="Times New Roman" w:hAnsiTheme="minorHAnsi"/>
          <w:bCs/>
          <w:sz w:val="24"/>
          <w:szCs w:val="24"/>
          <w:lang w:eastAsia="en-GB"/>
        </w:rPr>
        <w:t xml:space="preserve">in England and Wales and in Rwanda respectively. </w:t>
      </w:r>
      <w:r w:rsidR="00270CA2" w:rsidRPr="00D45CDF">
        <w:rPr>
          <w:rFonts w:asciiTheme="minorHAnsi" w:eastAsia="Times New Roman" w:hAnsiTheme="minorHAnsi"/>
          <w:bCs/>
          <w:sz w:val="24"/>
          <w:szCs w:val="24"/>
          <w:lang w:eastAsia="en-GB"/>
        </w:rPr>
        <w:t>This article analyses th</w:t>
      </w:r>
      <w:r w:rsidR="00146162" w:rsidRPr="00D45CDF">
        <w:rPr>
          <w:rFonts w:asciiTheme="minorHAnsi" w:eastAsia="Times New Roman" w:hAnsiTheme="minorHAnsi"/>
          <w:bCs/>
          <w:sz w:val="24"/>
          <w:szCs w:val="24"/>
          <w:lang w:eastAsia="en-GB"/>
        </w:rPr>
        <w:t>e</w:t>
      </w:r>
      <w:r w:rsidR="00270CA2" w:rsidRPr="00D45CDF">
        <w:rPr>
          <w:rFonts w:asciiTheme="minorHAnsi" w:eastAsia="Times New Roman" w:hAnsiTheme="minorHAnsi"/>
          <w:bCs/>
          <w:sz w:val="24"/>
          <w:szCs w:val="24"/>
          <w:lang w:eastAsia="en-GB"/>
        </w:rPr>
        <w:t xml:space="preserve"> </w:t>
      </w:r>
      <w:r w:rsidR="003F6669" w:rsidRPr="00D45CDF">
        <w:rPr>
          <w:rFonts w:asciiTheme="minorHAnsi" w:eastAsia="Times New Roman" w:hAnsiTheme="minorHAnsi"/>
          <w:bCs/>
          <w:sz w:val="24"/>
          <w:szCs w:val="24"/>
          <w:lang w:eastAsia="en-GB"/>
        </w:rPr>
        <w:t xml:space="preserve">EAC’s </w:t>
      </w:r>
      <w:r w:rsidR="00270CA2" w:rsidRPr="00D45CDF">
        <w:rPr>
          <w:rFonts w:asciiTheme="minorHAnsi" w:eastAsia="Times New Roman" w:hAnsiTheme="minorHAnsi"/>
          <w:bCs/>
          <w:sz w:val="24"/>
          <w:szCs w:val="24"/>
          <w:lang w:eastAsia="en-GB"/>
        </w:rPr>
        <w:t>re</w:t>
      </w:r>
      <w:r w:rsidR="003F6669" w:rsidRPr="00D45CDF">
        <w:rPr>
          <w:rFonts w:asciiTheme="minorHAnsi" w:eastAsia="Times New Roman" w:hAnsiTheme="minorHAnsi"/>
          <w:bCs/>
          <w:sz w:val="24"/>
          <w:szCs w:val="24"/>
          <w:lang w:eastAsia="en-GB"/>
        </w:rPr>
        <w:t>luctance</w:t>
      </w:r>
      <w:r w:rsidR="00270CA2" w:rsidRPr="00D45CDF">
        <w:rPr>
          <w:rFonts w:asciiTheme="minorHAnsi" w:eastAsia="Times New Roman" w:hAnsiTheme="minorHAnsi"/>
          <w:bCs/>
          <w:sz w:val="24"/>
          <w:szCs w:val="24"/>
          <w:lang w:eastAsia="en-GB"/>
        </w:rPr>
        <w:t xml:space="preserve"> </w:t>
      </w:r>
      <w:r w:rsidR="00146162" w:rsidRPr="00D45CDF">
        <w:rPr>
          <w:rFonts w:asciiTheme="minorHAnsi" w:eastAsia="Times New Roman" w:hAnsiTheme="minorHAnsi"/>
          <w:bCs/>
          <w:sz w:val="24"/>
          <w:szCs w:val="24"/>
          <w:lang w:eastAsia="en-GB"/>
        </w:rPr>
        <w:t xml:space="preserve">to embrace liberalisation of the market in legal services despite the commitments of the </w:t>
      </w:r>
      <w:r w:rsidR="003F6669" w:rsidRPr="00D45CDF">
        <w:rPr>
          <w:rFonts w:asciiTheme="minorHAnsi" w:eastAsia="Times New Roman" w:hAnsiTheme="minorHAnsi"/>
          <w:bCs/>
          <w:sz w:val="24"/>
          <w:szCs w:val="24"/>
          <w:lang w:eastAsia="en-GB"/>
        </w:rPr>
        <w:t>C</w:t>
      </w:r>
      <w:r w:rsidR="00146162" w:rsidRPr="00D45CDF">
        <w:rPr>
          <w:rFonts w:asciiTheme="minorHAnsi" w:eastAsia="Times New Roman" w:hAnsiTheme="minorHAnsi"/>
          <w:bCs/>
          <w:sz w:val="24"/>
          <w:szCs w:val="24"/>
          <w:lang w:eastAsia="en-GB"/>
        </w:rPr>
        <w:t xml:space="preserve">ommon Market Protocol, </w:t>
      </w:r>
      <w:r w:rsidR="00270CA2" w:rsidRPr="00D45CDF">
        <w:rPr>
          <w:rFonts w:asciiTheme="minorHAnsi" w:eastAsia="Times New Roman" w:hAnsiTheme="minorHAnsi"/>
          <w:bCs/>
          <w:sz w:val="24"/>
          <w:szCs w:val="24"/>
          <w:lang w:eastAsia="en-GB"/>
        </w:rPr>
        <w:t xml:space="preserve">and concludes </w:t>
      </w:r>
      <w:r w:rsidR="00197DDC" w:rsidRPr="00D45CDF">
        <w:rPr>
          <w:rFonts w:asciiTheme="minorHAnsi" w:eastAsia="Times New Roman" w:hAnsiTheme="minorHAnsi"/>
          <w:bCs/>
          <w:sz w:val="24"/>
          <w:szCs w:val="24"/>
          <w:lang w:eastAsia="en-GB"/>
        </w:rPr>
        <w:t xml:space="preserve">finally </w:t>
      </w:r>
      <w:r w:rsidR="00270CA2" w:rsidRPr="00D45CDF">
        <w:rPr>
          <w:rFonts w:asciiTheme="minorHAnsi" w:eastAsia="Times New Roman" w:hAnsiTheme="minorHAnsi"/>
          <w:bCs/>
          <w:sz w:val="24"/>
          <w:szCs w:val="24"/>
          <w:lang w:eastAsia="en-GB"/>
        </w:rPr>
        <w:t>that</w:t>
      </w:r>
      <w:r w:rsidR="00197DDC" w:rsidRPr="00D45CDF">
        <w:rPr>
          <w:rFonts w:asciiTheme="minorHAnsi" w:eastAsia="Times New Roman" w:hAnsiTheme="minorHAnsi"/>
          <w:bCs/>
          <w:sz w:val="24"/>
          <w:szCs w:val="24"/>
          <w:lang w:eastAsia="en-GB"/>
        </w:rPr>
        <w:t>,</w:t>
      </w:r>
      <w:r w:rsidR="00270CA2" w:rsidRPr="00D45CDF">
        <w:rPr>
          <w:rFonts w:asciiTheme="minorHAnsi" w:eastAsia="Times New Roman" w:hAnsiTheme="minorHAnsi"/>
          <w:bCs/>
          <w:sz w:val="24"/>
          <w:szCs w:val="24"/>
          <w:lang w:eastAsia="en-GB"/>
        </w:rPr>
        <w:t xml:space="preserve"> in both contexts, lawyers are losing</w:t>
      </w:r>
      <w:r w:rsidR="00146162" w:rsidRPr="00D45CDF">
        <w:rPr>
          <w:rFonts w:asciiTheme="minorHAnsi" w:eastAsia="Times New Roman" w:hAnsiTheme="minorHAnsi"/>
          <w:bCs/>
          <w:sz w:val="24"/>
          <w:szCs w:val="24"/>
          <w:lang w:eastAsia="en-GB"/>
        </w:rPr>
        <w:t xml:space="preserve"> out</w:t>
      </w:r>
      <w:r w:rsidR="00270CA2" w:rsidRPr="00D45CDF">
        <w:rPr>
          <w:rFonts w:asciiTheme="minorHAnsi" w:eastAsia="Times New Roman" w:hAnsiTheme="minorHAnsi"/>
          <w:bCs/>
          <w:sz w:val="24"/>
          <w:szCs w:val="24"/>
          <w:lang w:eastAsia="en-GB"/>
        </w:rPr>
        <w:t xml:space="preserve"> – EU lawyers practising in the UK, English and Welsh lawyers practising in the EU, seeing their rights to practice restricted</w:t>
      </w:r>
      <w:r w:rsidR="00D56134" w:rsidRPr="00D45CDF">
        <w:rPr>
          <w:rFonts w:asciiTheme="minorHAnsi" w:eastAsia="Times New Roman" w:hAnsiTheme="minorHAnsi"/>
          <w:bCs/>
          <w:sz w:val="24"/>
          <w:szCs w:val="24"/>
          <w:lang w:eastAsia="en-GB"/>
        </w:rPr>
        <w:t>.</w:t>
      </w:r>
      <w:r w:rsidR="00146162" w:rsidRPr="00D45CDF">
        <w:rPr>
          <w:rFonts w:asciiTheme="minorHAnsi" w:eastAsia="Times New Roman" w:hAnsiTheme="minorHAnsi"/>
          <w:bCs/>
          <w:sz w:val="24"/>
          <w:szCs w:val="24"/>
          <w:lang w:eastAsia="en-GB"/>
        </w:rPr>
        <w:t xml:space="preserve"> </w:t>
      </w:r>
      <w:r w:rsidR="00D56134" w:rsidRPr="00D45CDF">
        <w:rPr>
          <w:rFonts w:asciiTheme="minorHAnsi" w:eastAsia="Times New Roman" w:hAnsiTheme="minorHAnsi"/>
          <w:bCs/>
          <w:sz w:val="24"/>
          <w:szCs w:val="24"/>
          <w:lang w:eastAsia="en-GB"/>
        </w:rPr>
        <w:t>S</w:t>
      </w:r>
      <w:r w:rsidR="00270CA2" w:rsidRPr="00D45CDF">
        <w:rPr>
          <w:rFonts w:asciiTheme="minorHAnsi" w:eastAsia="Times New Roman" w:hAnsiTheme="minorHAnsi"/>
          <w:bCs/>
          <w:sz w:val="24"/>
          <w:szCs w:val="24"/>
          <w:lang w:eastAsia="en-GB"/>
        </w:rPr>
        <w:t xml:space="preserve">imilarly, the slow progress to liberalisation of legal services has </w:t>
      </w:r>
      <w:r w:rsidR="00146162" w:rsidRPr="00D45CDF">
        <w:rPr>
          <w:rFonts w:asciiTheme="minorHAnsi" w:eastAsia="Times New Roman" w:hAnsiTheme="minorHAnsi"/>
          <w:bCs/>
          <w:sz w:val="24"/>
          <w:szCs w:val="24"/>
          <w:lang w:eastAsia="en-GB"/>
        </w:rPr>
        <w:t>obstructed</w:t>
      </w:r>
      <w:r w:rsidR="00270CA2" w:rsidRPr="00D45CDF">
        <w:rPr>
          <w:rFonts w:asciiTheme="minorHAnsi" w:eastAsia="Times New Roman" w:hAnsiTheme="minorHAnsi"/>
          <w:bCs/>
          <w:sz w:val="24"/>
          <w:szCs w:val="24"/>
          <w:lang w:eastAsia="en-GB"/>
        </w:rPr>
        <w:t xml:space="preserve"> cross border practice for Rwandan lawyers in the EAC </w:t>
      </w:r>
      <w:r w:rsidR="00306B2F" w:rsidRPr="00D45CDF">
        <w:rPr>
          <w:rFonts w:asciiTheme="minorHAnsi" w:eastAsia="Times New Roman" w:hAnsiTheme="minorHAnsi"/>
          <w:bCs/>
          <w:sz w:val="24"/>
          <w:szCs w:val="24"/>
          <w:lang w:eastAsia="en-GB"/>
        </w:rPr>
        <w:t xml:space="preserve">and </w:t>
      </w:r>
      <w:r w:rsidR="00270CA2" w:rsidRPr="00D45CDF">
        <w:rPr>
          <w:rFonts w:asciiTheme="minorHAnsi" w:eastAsia="Times New Roman" w:hAnsiTheme="minorHAnsi"/>
          <w:bCs/>
          <w:sz w:val="24"/>
          <w:szCs w:val="24"/>
          <w:lang w:eastAsia="en-GB"/>
        </w:rPr>
        <w:t xml:space="preserve">hampered growth in the legal services market. </w:t>
      </w:r>
    </w:p>
    <w:p w14:paraId="0359D8CF" w14:textId="77777777" w:rsidR="00DB3190" w:rsidRDefault="00DB3190" w:rsidP="00DB3190">
      <w:pPr>
        <w:shd w:val="clear" w:color="auto" w:fill="FFFFFF"/>
        <w:spacing w:after="0" w:line="240" w:lineRule="auto"/>
        <w:ind w:left="360"/>
        <w:jc w:val="both"/>
        <w:rPr>
          <w:rFonts w:asciiTheme="minorHAnsi" w:eastAsia="Times New Roman" w:hAnsiTheme="minorHAnsi"/>
          <w:b/>
          <w:color w:val="FF0000"/>
          <w:sz w:val="24"/>
          <w:szCs w:val="24"/>
          <w:lang w:eastAsia="en-GB"/>
        </w:rPr>
      </w:pPr>
    </w:p>
    <w:p w14:paraId="667E1A3D" w14:textId="7DC0FA38" w:rsidR="006325ED" w:rsidRPr="00DB3190" w:rsidRDefault="006325ED" w:rsidP="00DB3190">
      <w:pPr>
        <w:shd w:val="clear" w:color="auto" w:fill="FFFFFF"/>
        <w:spacing w:after="0" w:line="240" w:lineRule="auto"/>
        <w:ind w:left="360"/>
        <w:jc w:val="both"/>
        <w:rPr>
          <w:rFonts w:asciiTheme="minorHAnsi" w:eastAsia="Times New Roman" w:hAnsiTheme="minorHAnsi"/>
          <w:b/>
          <w:color w:val="FF0000"/>
          <w:sz w:val="24"/>
          <w:szCs w:val="24"/>
          <w:lang w:eastAsia="en-GB"/>
        </w:rPr>
      </w:pPr>
      <w:r w:rsidRPr="00D45CDF">
        <w:rPr>
          <w:rFonts w:asciiTheme="minorHAnsi" w:eastAsia="+mj-ea" w:hAnsiTheme="minorHAnsi"/>
          <w:b/>
          <w:bCs/>
          <w:color w:val="000000"/>
          <w:kern w:val="24"/>
          <w:sz w:val="24"/>
          <w:szCs w:val="24"/>
        </w:rPr>
        <w:t>Key words</w:t>
      </w:r>
      <w:r w:rsidR="00DB3190">
        <w:rPr>
          <w:rFonts w:asciiTheme="minorHAnsi" w:eastAsia="Times New Roman" w:hAnsiTheme="minorHAnsi"/>
          <w:b/>
          <w:color w:val="FF0000"/>
          <w:sz w:val="24"/>
          <w:szCs w:val="24"/>
          <w:lang w:eastAsia="en-GB"/>
        </w:rPr>
        <w:t xml:space="preserve">: </w:t>
      </w:r>
      <w:r w:rsidRPr="00D45CDF">
        <w:rPr>
          <w:rFonts w:asciiTheme="minorHAnsi" w:eastAsia="+mj-ea" w:hAnsiTheme="minorHAnsi"/>
          <w:color w:val="000000"/>
          <w:kern w:val="24"/>
          <w:sz w:val="24"/>
          <w:szCs w:val="24"/>
        </w:rPr>
        <w:t>Freedom of movement; legal services; freedom of establishment; European Union; East African Community; Brexit</w:t>
      </w:r>
    </w:p>
    <w:p w14:paraId="0EC18E46" w14:textId="77777777" w:rsidR="006325ED" w:rsidRPr="00D45CDF" w:rsidRDefault="006325ED" w:rsidP="00D45CDF">
      <w:pPr>
        <w:shd w:val="clear" w:color="auto" w:fill="FFFFFF"/>
        <w:spacing w:after="0" w:line="240" w:lineRule="auto"/>
        <w:ind w:left="720"/>
        <w:jc w:val="both"/>
        <w:rPr>
          <w:rFonts w:asciiTheme="minorHAnsi" w:eastAsia="Times New Roman" w:hAnsiTheme="minorHAnsi"/>
          <w:bCs/>
          <w:sz w:val="24"/>
          <w:szCs w:val="24"/>
          <w:lang w:eastAsia="en-GB"/>
        </w:rPr>
      </w:pPr>
    </w:p>
    <w:p w14:paraId="327BCD6D" w14:textId="77777777" w:rsidR="00B73375" w:rsidRPr="00D45CDF" w:rsidRDefault="00B73375" w:rsidP="00D45CDF">
      <w:pPr>
        <w:shd w:val="clear" w:color="auto" w:fill="FFFFFF"/>
        <w:spacing w:after="0" w:line="240" w:lineRule="auto"/>
        <w:ind w:left="360"/>
        <w:jc w:val="both"/>
        <w:rPr>
          <w:rFonts w:asciiTheme="minorHAnsi" w:eastAsia="Times New Roman" w:hAnsiTheme="minorHAnsi"/>
          <w:bCs/>
          <w:sz w:val="24"/>
          <w:szCs w:val="24"/>
          <w:lang w:eastAsia="en-GB"/>
        </w:rPr>
      </w:pPr>
    </w:p>
    <w:p w14:paraId="528498B3" w14:textId="77777777" w:rsidR="00E65A58" w:rsidRPr="00766D95" w:rsidRDefault="00E65A58" w:rsidP="00766D95">
      <w:pPr>
        <w:shd w:val="clear" w:color="auto" w:fill="FFFFFF"/>
        <w:spacing w:after="0" w:line="240" w:lineRule="auto"/>
        <w:jc w:val="both"/>
        <w:rPr>
          <w:rFonts w:asciiTheme="minorHAnsi" w:eastAsia="Times New Roman" w:hAnsiTheme="minorHAnsi"/>
          <w:b/>
          <w:sz w:val="24"/>
          <w:szCs w:val="24"/>
          <w:lang w:eastAsia="en-GB"/>
        </w:rPr>
      </w:pPr>
      <w:r w:rsidRPr="00766D95">
        <w:rPr>
          <w:rFonts w:asciiTheme="minorHAnsi" w:eastAsia="Times New Roman" w:hAnsiTheme="minorHAnsi"/>
          <w:b/>
          <w:sz w:val="24"/>
          <w:szCs w:val="24"/>
          <w:lang w:eastAsia="en-GB"/>
        </w:rPr>
        <w:t>Introduction</w:t>
      </w:r>
    </w:p>
    <w:p w14:paraId="43E2FD85" w14:textId="77777777" w:rsidR="00C024BF" w:rsidRPr="00D45CDF" w:rsidRDefault="00FB28F6" w:rsidP="00D45CDF">
      <w:pPr>
        <w:shd w:val="clear" w:color="auto" w:fill="FFFFFF"/>
        <w:spacing w:line="240" w:lineRule="auto"/>
        <w:jc w:val="both"/>
        <w:rPr>
          <w:rFonts w:asciiTheme="minorHAnsi" w:eastAsia="Times New Roman" w:hAnsiTheme="minorHAnsi"/>
          <w:bCs/>
          <w:sz w:val="24"/>
          <w:szCs w:val="24"/>
          <w:highlight w:val="yellow"/>
          <w:lang w:eastAsia="en-GB"/>
        </w:rPr>
      </w:pPr>
      <w:r w:rsidRPr="00D45CDF">
        <w:rPr>
          <w:rFonts w:asciiTheme="minorHAnsi" w:eastAsiaTheme="minorHAnsi" w:hAnsiTheme="minorHAnsi"/>
          <w:sz w:val="24"/>
          <w:szCs w:val="24"/>
          <w:lang w:eastAsia="en-US"/>
        </w:rPr>
        <w:t>The end of the twentieth century and the start of the twenty-first have seen considerable changes to the way in which legal professionals in Europe are called to operate. The expansion of cross-border trade has signified complex commercial transactions and an internationalisation of the legal profession. The traditional model of the small practice or sole practitioner has given way to large or medium-sized law firms offering a range of commercial services,</w:t>
      </w:r>
      <w:r w:rsidR="00BD09F8" w:rsidRPr="00D45CDF">
        <w:rPr>
          <w:rStyle w:val="FootnoteReference"/>
          <w:rFonts w:asciiTheme="minorHAnsi" w:eastAsiaTheme="minorHAnsi" w:hAnsiTheme="minorHAnsi"/>
          <w:sz w:val="24"/>
          <w:szCs w:val="24"/>
          <w:lang w:eastAsia="en-US"/>
        </w:rPr>
        <w:footnoteReference w:id="2"/>
      </w:r>
      <w:r w:rsidRPr="00D45CDF">
        <w:rPr>
          <w:rFonts w:asciiTheme="minorHAnsi" w:eastAsiaTheme="minorHAnsi" w:hAnsiTheme="minorHAnsi"/>
          <w:sz w:val="24"/>
          <w:szCs w:val="24"/>
          <w:lang w:eastAsia="en-US"/>
        </w:rPr>
        <w:t xml:space="preserve"> either as global law firms in their own right or operating across borders in </w:t>
      </w:r>
      <w:r w:rsidRPr="00D45CDF">
        <w:rPr>
          <w:rFonts w:asciiTheme="minorHAnsi" w:eastAsiaTheme="minorHAnsi" w:hAnsiTheme="minorHAnsi"/>
          <w:sz w:val="24"/>
          <w:szCs w:val="24"/>
          <w:lang w:eastAsia="en-US"/>
        </w:rPr>
        <w:lastRenderedPageBreak/>
        <w:t>collaboration with foreign partners.</w:t>
      </w:r>
      <w:r w:rsidR="00C86335" w:rsidRPr="00D45CDF">
        <w:rPr>
          <w:rStyle w:val="FootnoteReference"/>
          <w:rFonts w:asciiTheme="minorHAnsi" w:eastAsiaTheme="minorHAnsi" w:hAnsiTheme="minorHAnsi"/>
          <w:sz w:val="24"/>
          <w:szCs w:val="24"/>
          <w:lang w:eastAsia="en-US"/>
        </w:rPr>
        <w:footnoteReference w:id="3"/>
      </w:r>
      <w:r w:rsidRPr="00D45CDF">
        <w:rPr>
          <w:rFonts w:asciiTheme="minorHAnsi" w:eastAsiaTheme="minorHAnsi" w:hAnsiTheme="minorHAnsi"/>
          <w:sz w:val="24"/>
          <w:szCs w:val="24"/>
          <w:lang w:eastAsia="en-US"/>
        </w:rPr>
        <w:t xml:space="preserve"> In addition, the deepening of European integration has signified a greater need for </w:t>
      </w:r>
      <w:r w:rsidR="001A2992" w:rsidRPr="00D45CDF">
        <w:rPr>
          <w:rFonts w:asciiTheme="minorHAnsi" w:eastAsiaTheme="minorHAnsi" w:hAnsiTheme="minorHAnsi"/>
          <w:sz w:val="24"/>
          <w:szCs w:val="24"/>
          <w:lang w:eastAsia="en-US"/>
        </w:rPr>
        <w:t xml:space="preserve">legal experts’ </w:t>
      </w:r>
      <w:r w:rsidRPr="00D45CDF">
        <w:rPr>
          <w:rFonts w:asciiTheme="minorHAnsi" w:eastAsiaTheme="minorHAnsi" w:hAnsiTheme="minorHAnsi"/>
          <w:sz w:val="24"/>
          <w:szCs w:val="24"/>
          <w:lang w:eastAsia="en-US"/>
        </w:rPr>
        <w:t xml:space="preserve">advice </w:t>
      </w:r>
      <w:r w:rsidR="001A2992" w:rsidRPr="00D45CDF">
        <w:rPr>
          <w:rFonts w:asciiTheme="minorHAnsi" w:eastAsiaTheme="minorHAnsi" w:hAnsiTheme="minorHAnsi"/>
          <w:sz w:val="24"/>
          <w:szCs w:val="24"/>
          <w:lang w:eastAsia="en-US"/>
        </w:rPr>
        <w:t xml:space="preserve">for consumers and businesses </w:t>
      </w:r>
      <w:r w:rsidRPr="00D45CDF">
        <w:rPr>
          <w:rFonts w:asciiTheme="minorHAnsi" w:eastAsiaTheme="minorHAnsi" w:hAnsiTheme="minorHAnsi"/>
          <w:sz w:val="24"/>
          <w:szCs w:val="24"/>
          <w:lang w:eastAsia="en-US"/>
        </w:rPr>
        <w:t>on EU regulatory frameworks.</w:t>
      </w:r>
      <w:r w:rsidR="00986F93" w:rsidRPr="00D45CDF">
        <w:rPr>
          <w:rFonts w:asciiTheme="minorHAnsi" w:eastAsiaTheme="minorHAnsi" w:hAnsiTheme="minorHAnsi"/>
          <w:sz w:val="24"/>
          <w:szCs w:val="24"/>
          <w:lang w:eastAsia="en-US"/>
        </w:rPr>
        <w:t xml:space="preserve"> </w:t>
      </w:r>
      <w:r w:rsidRPr="00D45CDF">
        <w:rPr>
          <w:rFonts w:asciiTheme="minorHAnsi" w:eastAsiaTheme="minorHAnsi" w:hAnsiTheme="minorHAnsi"/>
          <w:sz w:val="24"/>
          <w:szCs w:val="24"/>
          <w:lang w:eastAsia="en-US"/>
        </w:rPr>
        <w:t xml:space="preserve">However, the different legal frameworks in EU </w:t>
      </w:r>
      <w:r w:rsidR="001D6D90" w:rsidRPr="00D45CDF">
        <w:rPr>
          <w:rFonts w:asciiTheme="minorHAnsi" w:eastAsiaTheme="minorHAnsi" w:hAnsiTheme="minorHAnsi"/>
          <w:sz w:val="24"/>
          <w:szCs w:val="24"/>
          <w:lang w:eastAsia="en-US"/>
        </w:rPr>
        <w:t>Member States</w:t>
      </w:r>
      <w:r w:rsidRPr="00D45CDF">
        <w:rPr>
          <w:rFonts w:asciiTheme="minorHAnsi" w:eastAsiaTheme="minorHAnsi" w:hAnsiTheme="minorHAnsi"/>
          <w:sz w:val="24"/>
          <w:szCs w:val="24"/>
          <w:lang w:eastAsia="en-US"/>
        </w:rPr>
        <w:t xml:space="preserve">, the local character of the law, and the fact that it is a highly regulated profession can create </w:t>
      </w:r>
      <w:r w:rsidR="00C024BF" w:rsidRPr="00D45CDF">
        <w:rPr>
          <w:rFonts w:asciiTheme="minorHAnsi" w:eastAsiaTheme="minorHAnsi" w:hAnsiTheme="minorHAnsi"/>
          <w:sz w:val="24"/>
          <w:szCs w:val="24"/>
          <w:lang w:eastAsia="en-US"/>
        </w:rPr>
        <w:t>obstacle</w:t>
      </w:r>
      <w:r w:rsidRPr="00D45CDF">
        <w:rPr>
          <w:rFonts w:asciiTheme="minorHAnsi" w:eastAsiaTheme="minorHAnsi" w:hAnsiTheme="minorHAnsi"/>
          <w:sz w:val="24"/>
          <w:szCs w:val="24"/>
          <w:lang w:eastAsia="en-US"/>
        </w:rPr>
        <w:t>s</w:t>
      </w:r>
      <w:r w:rsidR="00C024BF" w:rsidRPr="00D45CDF">
        <w:rPr>
          <w:rFonts w:asciiTheme="minorHAnsi" w:eastAsiaTheme="minorHAnsi" w:hAnsiTheme="minorHAnsi"/>
          <w:sz w:val="24"/>
          <w:szCs w:val="24"/>
          <w:lang w:eastAsia="en-US"/>
        </w:rPr>
        <w:t>. T</w:t>
      </w:r>
      <w:r w:rsidR="00C024BF" w:rsidRPr="00D45CDF">
        <w:rPr>
          <w:rFonts w:asciiTheme="minorHAnsi" w:eastAsia="Times New Roman" w:hAnsiTheme="minorHAnsi"/>
          <w:bCs/>
          <w:sz w:val="24"/>
          <w:szCs w:val="24"/>
          <w:lang w:eastAsia="en-GB"/>
        </w:rPr>
        <w:t>he route to FOM of legal services in the EU is accompanied by a plethora of case law, a testimony to the challenges of achieving these freedoms.</w:t>
      </w:r>
      <w:r w:rsidR="00C024BF" w:rsidRPr="00D45CDF">
        <w:rPr>
          <w:rStyle w:val="FootnoteReference"/>
          <w:rFonts w:asciiTheme="minorHAnsi" w:eastAsia="Times New Roman" w:hAnsiTheme="minorHAnsi"/>
          <w:bCs/>
          <w:sz w:val="24"/>
          <w:szCs w:val="24"/>
          <w:lang w:eastAsia="en-GB"/>
        </w:rPr>
        <w:footnoteReference w:id="4"/>
      </w:r>
      <w:r w:rsidR="00C024BF" w:rsidRPr="00D45CDF">
        <w:rPr>
          <w:rFonts w:asciiTheme="minorHAnsi" w:eastAsia="Times New Roman" w:hAnsiTheme="minorHAnsi"/>
          <w:bCs/>
          <w:sz w:val="24"/>
          <w:szCs w:val="24"/>
          <w:lang w:eastAsia="en-GB"/>
        </w:rPr>
        <w:t xml:space="preserve"> </w:t>
      </w:r>
    </w:p>
    <w:p w14:paraId="76249FC5" w14:textId="77777777" w:rsidR="00FB28F6" w:rsidRPr="00D45CDF" w:rsidRDefault="00FB28F6" w:rsidP="00D45CDF">
      <w:pPr>
        <w:shd w:val="clear" w:color="auto" w:fill="FFFFFF"/>
        <w:spacing w:line="240" w:lineRule="auto"/>
        <w:jc w:val="both"/>
        <w:rPr>
          <w:rFonts w:asciiTheme="minorHAnsi" w:eastAsiaTheme="minorHAnsi" w:hAnsiTheme="minorHAnsi"/>
          <w:sz w:val="24"/>
          <w:szCs w:val="24"/>
          <w:lang w:eastAsia="en-US"/>
        </w:rPr>
      </w:pPr>
      <w:r w:rsidRPr="00D45CDF">
        <w:rPr>
          <w:rFonts w:asciiTheme="minorHAnsi" w:eastAsiaTheme="minorHAnsi" w:hAnsiTheme="minorHAnsi"/>
          <w:sz w:val="24"/>
          <w:szCs w:val="24"/>
          <w:lang w:eastAsia="en-US"/>
        </w:rPr>
        <w:t xml:space="preserve">EU </w:t>
      </w:r>
      <w:r w:rsidR="0072355C" w:rsidRPr="00D45CDF">
        <w:rPr>
          <w:rFonts w:asciiTheme="minorHAnsi" w:eastAsiaTheme="minorHAnsi" w:hAnsiTheme="minorHAnsi"/>
          <w:sz w:val="24"/>
          <w:szCs w:val="24"/>
          <w:lang w:eastAsia="en-US"/>
        </w:rPr>
        <w:t>legal texts</w:t>
      </w:r>
      <w:r w:rsidRPr="00D45CDF">
        <w:rPr>
          <w:rFonts w:asciiTheme="minorHAnsi" w:eastAsiaTheme="minorHAnsi" w:hAnsiTheme="minorHAnsi"/>
          <w:sz w:val="24"/>
          <w:szCs w:val="24"/>
          <w:lang w:eastAsia="en-US"/>
        </w:rPr>
        <w:t xml:space="preserve"> and case law </w:t>
      </w:r>
      <w:r w:rsidR="001A2992" w:rsidRPr="00D45CDF">
        <w:rPr>
          <w:rFonts w:asciiTheme="minorHAnsi" w:eastAsiaTheme="minorHAnsi" w:hAnsiTheme="minorHAnsi"/>
          <w:sz w:val="24"/>
          <w:szCs w:val="24"/>
          <w:lang w:eastAsia="en-US"/>
        </w:rPr>
        <w:t>ensur</w:t>
      </w:r>
      <w:r w:rsidR="00D425D7" w:rsidRPr="00D45CDF">
        <w:rPr>
          <w:rFonts w:asciiTheme="minorHAnsi" w:eastAsiaTheme="minorHAnsi" w:hAnsiTheme="minorHAnsi"/>
          <w:sz w:val="24"/>
          <w:szCs w:val="24"/>
          <w:lang w:eastAsia="en-US"/>
        </w:rPr>
        <w:t xml:space="preserve">e </w:t>
      </w:r>
      <w:r w:rsidRPr="00D45CDF">
        <w:rPr>
          <w:rFonts w:asciiTheme="minorHAnsi" w:eastAsiaTheme="minorHAnsi" w:hAnsiTheme="minorHAnsi"/>
          <w:sz w:val="24"/>
          <w:szCs w:val="24"/>
          <w:lang w:eastAsia="en-US"/>
        </w:rPr>
        <w:t>the freedom of movement of legal services, which enables economic growth,</w:t>
      </w:r>
      <w:r w:rsidR="00C86335" w:rsidRPr="00D45CDF">
        <w:rPr>
          <w:rStyle w:val="FootnoteReference"/>
          <w:rFonts w:asciiTheme="minorHAnsi" w:eastAsiaTheme="minorHAnsi" w:hAnsiTheme="minorHAnsi"/>
          <w:sz w:val="24"/>
          <w:szCs w:val="24"/>
          <w:lang w:eastAsia="en-US"/>
        </w:rPr>
        <w:footnoteReference w:id="5"/>
      </w:r>
      <w:r w:rsidRPr="00D45CDF">
        <w:rPr>
          <w:rFonts w:asciiTheme="minorHAnsi" w:eastAsiaTheme="minorHAnsi" w:hAnsiTheme="minorHAnsi"/>
          <w:sz w:val="24"/>
          <w:szCs w:val="24"/>
          <w:lang w:eastAsia="en-US"/>
        </w:rPr>
        <w:t xml:space="preserve"> and at the same time the regulation of legal services. </w:t>
      </w:r>
      <w:r w:rsidR="0072355C" w:rsidRPr="00D45CDF">
        <w:rPr>
          <w:rFonts w:asciiTheme="minorHAnsi" w:eastAsiaTheme="minorHAnsi" w:hAnsiTheme="minorHAnsi"/>
          <w:sz w:val="24"/>
          <w:szCs w:val="24"/>
          <w:lang w:eastAsia="en-US"/>
        </w:rPr>
        <w:t xml:space="preserve">It is not surprising, therefore, that legal professionals in the UK are concerned about the impact that withdrawing from the EU will have on them on both an economic and personal level. </w:t>
      </w:r>
    </w:p>
    <w:p w14:paraId="76123B34" w14:textId="77777777" w:rsidR="0072355C" w:rsidRPr="00D45CDF" w:rsidRDefault="0072355C" w:rsidP="00D45CDF">
      <w:pPr>
        <w:shd w:val="clear" w:color="auto" w:fill="FFFFFF"/>
        <w:spacing w:line="240" w:lineRule="auto"/>
        <w:jc w:val="both"/>
        <w:rPr>
          <w:rFonts w:asciiTheme="minorHAnsi" w:eastAsiaTheme="minorHAnsi" w:hAnsiTheme="minorHAnsi"/>
          <w:sz w:val="24"/>
          <w:szCs w:val="24"/>
          <w:lang w:eastAsia="en-US"/>
        </w:rPr>
      </w:pPr>
      <w:r w:rsidRPr="00D45CDF">
        <w:rPr>
          <w:rFonts w:asciiTheme="minorHAnsi" w:eastAsiaTheme="minorHAnsi" w:hAnsiTheme="minorHAnsi"/>
          <w:sz w:val="24"/>
          <w:szCs w:val="24"/>
          <w:lang w:eastAsia="en-US"/>
        </w:rPr>
        <w:t xml:space="preserve">The EAC, another very successful REC in its own geographical region, currently anticipates FOM of legal services with more reticence and appears to have hit an obstacle in the liberalisation of legal services markets. This article analyses the provisions in both RECs for FOM of legal services, assesses the advantages and perceived disadvantages of FOM of legal services, and examines whether the barriers facing EAC lawyers may be overcome. It reflects on the similarities in the challenges confronting both RECs and questions </w:t>
      </w:r>
      <w:r w:rsidR="001047A2" w:rsidRPr="00D45CDF">
        <w:rPr>
          <w:rFonts w:asciiTheme="minorHAnsi" w:eastAsiaTheme="minorHAnsi" w:hAnsiTheme="minorHAnsi"/>
          <w:sz w:val="24"/>
          <w:szCs w:val="24"/>
          <w:lang w:eastAsia="en-US"/>
        </w:rPr>
        <w:t xml:space="preserve">what </w:t>
      </w:r>
      <w:r w:rsidRPr="00D45CDF">
        <w:rPr>
          <w:rFonts w:asciiTheme="minorHAnsi" w:eastAsiaTheme="minorHAnsi" w:hAnsiTheme="minorHAnsi"/>
          <w:sz w:val="24"/>
          <w:szCs w:val="24"/>
          <w:lang w:eastAsia="en-US"/>
        </w:rPr>
        <w:t>the way forward for them</w:t>
      </w:r>
      <w:r w:rsidR="001047A2" w:rsidRPr="00D45CDF">
        <w:rPr>
          <w:rFonts w:asciiTheme="minorHAnsi" w:eastAsiaTheme="minorHAnsi" w:hAnsiTheme="minorHAnsi"/>
          <w:sz w:val="24"/>
          <w:szCs w:val="24"/>
          <w:lang w:eastAsia="en-US"/>
        </w:rPr>
        <w:t xml:space="preserve"> might be</w:t>
      </w:r>
      <w:r w:rsidRPr="00D45CDF">
        <w:rPr>
          <w:rFonts w:asciiTheme="minorHAnsi" w:eastAsiaTheme="minorHAnsi" w:hAnsiTheme="minorHAnsi"/>
          <w:sz w:val="24"/>
          <w:szCs w:val="24"/>
          <w:lang w:eastAsia="en-US"/>
        </w:rPr>
        <w:t xml:space="preserve">, the one as it leaves </w:t>
      </w:r>
      <w:r w:rsidR="001047A2" w:rsidRPr="00D45CDF">
        <w:rPr>
          <w:rFonts w:asciiTheme="minorHAnsi" w:eastAsiaTheme="minorHAnsi" w:hAnsiTheme="minorHAnsi"/>
          <w:sz w:val="24"/>
          <w:szCs w:val="24"/>
          <w:lang w:eastAsia="en-US"/>
        </w:rPr>
        <w:t xml:space="preserve">profitable relationships in </w:t>
      </w:r>
      <w:r w:rsidRPr="00D45CDF">
        <w:rPr>
          <w:rFonts w:asciiTheme="minorHAnsi" w:eastAsiaTheme="minorHAnsi" w:hAnsiTheme="minorHAnsi"/>
          <w:sz w:val="24"/>
          <w:szCs w:val="24"/>
          <w:lang w:eastAsia="en-US"/>
        </w:rPr>
        <w:t>a highly successful REC, the other as it struggles to</w:t>
      </w:r>
      <w:r w:rsidR="001047A2" w:rsidRPr="00D45CDF">
        <w:rPr>
          <w:rFonts w:asciiTheme="minorHAnsi" w:eastAsiaTheme="minorHAnsi" w:hAnsiTheme="minorHAnsi"/>
          <w:sz w:val="24"/>
          <w:szCs w:val="24"/>
          <w:lang w:eastAsia="en-US"/>
        </w:rPr>
        <w:t xml:space="preserve"> convince key players of the advantage in</w:t>
      </w:r>
      <w:r w:rsidRPr="00D45CDF">
        <w:rPr>
          <w:rFonts w:asciiTheme="minorHAnsi" w:eastAsiaTheme="minorHAnsi" w:hAnsiTheme="minorHAnsi"/>
          <w:sz w:val="24"/>
          <w:szCs w:val="24"/>
          <w:lang w:eastAsia="en-US"/>
        </w:rPr>
        <w:t xml:space="preserve"> mov</w:t>
      </w:r>
      <w:r w:rsidR="001047A2" w:rsidRPr="00D45CDF">
        <w:rPr>
          <w:rFonts w:asciiTheme="minorHAnsi" w:eastAsiaTheme="minorHAnsi" w:hAnsiTheme="minorHAnsi"/>
          <w:sz w:val="24"/>
          <w:szCs w:val="24"/>
          <w:lang w:eastAsia="en-US"/>
        </w:rPr>
        <w:t>ing</w:t>
      </w:r>
      <w:r w:rsidRPr="00D45CDF">
        <w:rPr>
          <w:rFonts w:asciiTheme="minorHAnsi" w:eastAsiaTheme="minorHAnsi" w:hAnsiTheme="minorHAnsi"/>
          <w:sz w:val="24"/>
          <w:szCs w:val="24"/>
          <w:lang w:eastAsia="en-US"/>
        </w:rPr>
        <w:t xml:space="preserve"> towards greater integration of legal services. </w:t>
      </w:r>
    </w:p>
    <w:p w14:paraId="347636CC" w14:textId="77777777" w:rsidR="009B7844" w:rsidRDefault="002F0D41" w:rsidP="00D45CDF">
      <w:pPr>
        <w:shd w:val="clear" w:color="auto" w:fill="FFFFFF"/>
        <w:autoSpaceDE w:val="0"/>
        <w:autoSpaceDN w:val="0"/>
        <w:adjustRightInd w:val="0"/>
        <w:spacing w:line="240" w:lineRule="auto"/>
        <w:jc w:val="both"/>
        <w:rPr>
          <w:rFonts w:asciiTheme="minorHAnsi" w:eastAsiaTheme="minorHAnsi" w:hAnsiTheme="minorHAnsi"/>
          <w:b/>
          <w:sz w:val="24"/>
          <w:szCs w:val="24"/>
          <w:lang w:eastAsia="en-US"/>
        </w:rPr>
      </w:pPr>
      <w:r w:rsidRPr="00D45CDF">
        <w:rPr>
          <w:rFonts w:asciiTheme="minorHAnsi" w:eastAsiaTheme="majorEastAsia" w:hAnsiTheme="minorHAnsi"/>
          <w:bCs/>
          <w:kern w:val="24"/>
          <w:position w:val="1"/>
          <w:sz w:val="24"/>
          <w:szCs w:val="24"/>
          <w:lang w:val="en-US"/>
        </w:rPr>
        <w:t xml:space="preserve">Within the UK, the legal landscape is complicated by the fact that there are three jurisdictions: England and Wales, Scotland, and Northern Ireland, each with two regulatory bodies which oversee the practice of the two branches of the legal profession, solicitors and barristers. This paper will focus on practice in England and Wales. In every case, the use of the word lawyer is understood to describe legal professionals educated to degree level and holding a professional qualification or certificate to practice as a solicitor, barrister or advocate in these </w:t>
      </w:r>
      <w:proofErr w:type="spellStart"/>
      <w:r w:rsidRPr="00D45CDF">
        <w:rPr>
          <w:rFonts w:asciiTheme="minorHAnsi" w:eastAsiaTheme="majorEastAsia" w:hAnsiTheme="minorHAnsi"/>
          <w:bCs/>
          <w:kern w:val="24"/>
          <w:position w:val="1"/>
          <w:sz w:val="24"/>
          <w:szCs w:val="24"/>
          <w:lang w:val="en-US"/>
        </w:rPr>
        <w:t>RECs.</w:t>
      </w:r>
      <w:proofErr w:type="spellEnd"/>
      <w:r w:rsidRPr="00D45CDF">
        <w:rPr>
          <w:rFonts w:asciiTheme="minorHAnsi" w:eastAsiaTheme="minorHAnsi" w:hAnsiTheme="minorHAnsi"/>
          <w:b/>
          <w:sz w:val="24"/>
          <w:szCs w:val="24"/>
          <w:lang w:eastAsia="en-US"/>
        </w:rPr>
        <w:t xml:space="preserve">  </w:t>
      </w:r>
    </w:p>
    <w:p w14:paraId="36210228" w14:textId="77777777" w:rsidR="009B7844" w:rsidRDefault="009B7844">
      <w:pPr>
        <w:rPr>
          <w:rFonts w:asciiTheme="minorHAnsi" w:eastAsiaTheme="minorHAnsi" w:hAnsiTheme="minorHAnsi"/>
          <w:b/>
          <w:sz w:val="24"/>
          <w:szCs w:val="24"/>
          <w:lang w:eastAsia="en-US"/>
        </w:rPr>
      </w:pPr>
      <w:r>
        <w:rPr>
          <w:rFonts w:asciiTheme="minorHAnsi" w:eastAsiaTheme="minorHAnsi" w:hAnsiTheme="minorHAnsi"/>
          <w:b/>
          <w:sz w:val="24"/>
          <w:szCs w:val="24"/>
          <w:lang w:eastAsia="en-US"/>
        </w:rPr>
        <w:br w:type="page"/>
      </w:r>
    </w:p>
    <w:p w14:paraId="73AA10F3" w14:textId="77777777" w:rsidR="00B6646E" w:rsidRDefault="009B7844" w:rsidP="00B6646E">
      <w:pPr>
        <w:shd w:val="clear" w:color="auto" w:fill="FFFFFF"/>
        <w:autoSpaceDE w:val="0"/>
        <w:autoSpaceDN w:val="0"/>
        <w:adjustRightInd w:val="0"/>
        <w:spacing w:line="240" w:lineRule="auto"/>
        <w:jc w:val="center"/>
        <w:rPr>
          <w:rFonts w:asciiTheme="minorHAnsi" w:eastAsiaTheme="minorHAnsi" w:hAnsiTheme="minorHAnsi"/>
          <w:b/>
          <w:sz w:val="28"/>
          <w:szCs w:val="28"/>
          <w:lang w:eastAsia="en-US"/>
        </w:rPr>
      </w:pPr>
      <w:r w:rsidRPr="00B6646E">
        <w:rPr>
          <w:rFonts w:asciiTheme="minorHAnsi" w:eastAsiaTheme="minorHAnsi" w:hAnsiTheme="minorHAnsi"/>
          <w:b/>
          <w:sz w:val="28"/>
          <w:szCs w:val="28"/>
          <w:lang w:eastAsia="en-US"/>
        </w:rPr>
        <w:lastRenderedPageBreak/>
        <w:t>PART ONE</w:t>
      </w:r>
      <w:r w:rsidR="001F3B5F" w:rsidRPr="00B6646E">
        <w:rPr>
          <w:rFonts w:asciiTheme="minorHAnsi" w:eastAsiaTheme="minorHAnsi" w:hAnsiTheme="minorHAnsi"/>
          <w:b/>
          <w:sz w:val="28"/>
          <w:szCs w:val="28"/>
          <w:lang w:eastAsia="en-US"/>
        </w:rPr>
        <w:t>:</w:t>
      </w:r>
      <w:r w:rsidRPr="00B6646E">
        <w:rPr>
          <w:rFonts w:asciiTheme="minorHAnsi" w:eastAsiaTheme="minorHAnsi" w:hAnsiTheme="minorHAnsi"/>
          <w:b/>
          <w:sz w:val="28"/>
          <w:szCs w:val="28"/>
          <w:lang w:eastAsia="en-US"/>
        </w:rPr>
        <w:t xml:space="preserve"> </w:t>
      </w:r>
    </w:p>
    <w:p w14:paraId="2B5C8E67" w14:textId="6DFBE5C1" w:rsidR="008009F1" w:rsidRDefault="009B7844" w:rsidP="00B6646E">
      <w:pPr>
        <w:shd w:val="clear" w:color="auto" w:fill="FFFFFF"/>
        <w:autoSpaceDE w:val="0"/>
        <w:autoSpaceDN w:val="0"/>
        <w:adjustRightInd w:val="0"/>
        <w:spacing w:line="240" w:lineRule="auto"/>
        <w:jc w:val="center"/>
        <w:rPr>
          <w:rFonts w:asciiTheme="minorHAnsi" w:eastAsiaTheme="minorHAnsi" w:hAnsiTheme="minorHAnsi"/>
          <w:b/>
          <w:sz w:val="28"/>
          <w:szCs w:val="28"/>
          <w:lang w:eastAsia="en-US"/>
        </w:rPr>
      </w:pPr>
      <w:r w:rsidRPr="00B6646E">
        <w:rPr>
          <w:rFonts w:asciiTheme="minorHAnsi" w:eastAsiaTheme="minorHAnsi" w:hAnsiTheme="minorHAnsi"/>
          <w:b/>
          <w:sz w:val="28"/>
          <w:szCs w:val="28"/>
          <w:lang w:eastAsia="en-US"/>
        </w:rPr>
        <w:t>FREEDOM OF MOVEMENT OF LEGAL SERVICES IN THE EU</w:t>
      </w:r>
    </w:p>
    <w:p w14:paraId="152008E9" w14:textId="77777777" w:rsidR="00B6646E" w:rsidRPr="00B6646E" w:rsidRDefault="00B6646E" w:rsidP="00B6646E">
      <w:pPr>
        <w:shd w:val="clear" w:color="auto" w:fill="FFFFFF"/>
        <w:autoSpaceDE w:val="0"/>
        <w:autoSpaceDN w:val="0"/>
        <w:adjustRightInd w:val="0"/>
        <w:spacing w:line="240" w:lineRule="auto"/>
        <w:rPr>
          <w:rFonts w:asciiTheme="minorHAnsi" w:eastAsiaTheme="minorHAnsi" w:hAnsiTheme="minorHAnsi"/>
          <w:b/>
          <w:sz w:val="28"/>
          <w:szCs w:val="28"/>
          <w:lang w:eastAsia="en-US"/>
        </w:rPr>
      </w:pPr>
    </w:p>
    <w:p w14:paraId="18CFBF0A" w14:textId="0183AFC7" w:rsidR="00F47E7E" w:rsidRPr="00766D95" w:rsidRDefault="000941DF" w:rsidP="00766D95">
      <w:pPr>
        <w:pStyle w:val="ListParagraph"/>
        <w:numPr>
          <w:ilvl w:val="1"/>
          <w:numId w:val="11"/>
        </w:numPr>
        <w:shd w:val="clear" w:color="auto" w:fill="FFFFFF"/>
        <w:autoSpaceDE w:val="0"/>
        <w:autoSpaceDN w:val="0"/>
        <w:adjustRightInd w:val="0"/>
        <w:spacing w:line="240" w:lineRule="auto"/>
        <w:ind w:left="567" w:hanging="567"/>
        <w:jc w:val="both"/>
        <w:rPr>
          <w:rFonts w:asciiTheme="minorHAnsi" w:hAnsiTheme="minorHAnsi"/>
          <w:b/>
          <w:sz w:val="24"/>
          <w:szCs w:val="24"/>
        </w:rPr>
      </w:pPr>
      <w:r w:rsidRPr="00766D95">
        <w:rPr>
          <w:rFonts w:asciiTheme="minorHAnsi" w:eastAsia="Times New Roman" w:hAnsiTheme="minorHAnsi"/>
          <w:b/>
          <w:sz w:val="24"/>
          <w:szCs w:val="24"/>
          <w:lang w:eastAsia="en-GB"/>
        </w:rPr>
        <w:t>The b</w:t>
      </w:r>
      <w:r w:rsidR="008009F1" w:rsidRPr="00766D95">
        <w:rPr>
          <w:rFonts w:asciiTheme="minorHAnsi" w:eastAsia="Times New Roman" w:hAnsiTheme="minorHAnsi"/>
          <w:b/>
          <w:sz w:val="24"/>
          <w:szCs w:val="24"/>
          <w:lang w:eastAsia="en-GB"/>
        </w:rPr>
        <w:t xml:space="preserve">enefits of the </w:t>
      </w:r>
      <w:r w:rsidR="006C2B7C" w:rsidRPr="00766D95">
        <w:rPr>
          <w:rFonts w:asciiTheme="minorHAnsi" w:eastAsia="Times New Roman" w:hAnsiTheme="minorHAnsi"/>
          <w:b/>
          <w:sz w:val="24"/>
          <w:szCs w:val="24"/>
          <w:lang w:eastAsia="en-GB"/>
        </w:rPr>
        <w:t>f</w:t>
      </w:r>
      <w:r w:rsidRPr="00766D95">
        <w:rPr>
          <w:rFonts w:asciiTheme="minorHAnsi" w:eastAsia="Times New Roman" w:hAnsiTheme="minorHAnsi"/>
          <w:b/>
          <w:sz w:val="24"/>
          <w:szCs w:val="24"/>
          <w:lang w:eastAsia="en-GB"/>
        </w:rPr>
        <w:t xml:space="preserve">reedom of </w:t>
      </w:r>
      <w:r w:rsidR="006C2B7C" w:rsidRPr="00766D95">
        <w:rPr>
          <w:rFonts w:asciiTheme="minorHAnsi" w:eastAsia="Times New Roman" w:hAnsiTheme="minorHAnsi"/>
          <w:b/>
          <w:sz w:val="24"/>
          <w:szCs w:val="24"/>
          <w:lang w:eastAsia="en-GB"/>
        </w:rPr>
        <w:t>m</w:t>
      </w:r>
      <w:r w:rsidRPr="00766D95">
        <w:rPr>
          <w:rFonts w:asciiTheme="minorHAnsi" w:eastAsia="Times New Roman" w:hAnsiTheme="minorHAnsi"/>
          <w:b/>
          <w:sz w:val="24"/>
          <w:szCs w:val="24"/>
          <w:lang w:eastAsia="en-GB"/>
        </w:rPr>
        <w:t>ovement</w:t>
      </w:r>
      <w:r w:rsidR="008009F1" w:rsidRPr="00766D95">
        <w:rPr>
          <w:rFonts w:asciiTheme="minorHAnsi" w:eastAsia="Times New Roman" w:hAnsiTheme="minorHAnsi"/>
          <w:b/>
          <w:sz w:val="24"/>
          <w:szCs w:val="24"/>
          <w:lang w:eastAsia="en-GB"/>
        </w:rPr>
        <w:t xml:space="preserve"> of </w:t>
      </w:r>
      <w:r w:rsidR="00876366" w:rsidRPr="00766D95">
        <w:rPr>
          <w:rFonts w:asciiTheme="minorHAnsi" w:eastAsia="Times New Roman" w:hAnsiTheme="minorHAnsi"/>
          <w:b/>
          <w:sz w:val="24"/>
          <w:szCs w:val="24"/>
          <w:lang w:eastAsia="en-GB"/>
        </w:rPr>
        <w:t>l</w:t>
      </w:r>
      <w:r w:rsidR="008009F1" w:rsidRPr="00766D95">
        <w:rPr>
          <w:rFonts w:asciiTheme="minorHAnsi" w:eastAsia="Times New Roman" w:hAnsiTheme="minorHAnsi"/>
          <w:b/>
          <w:sz w:val="24"/>
          <w:szCs w:val="24"/>
          <w:lang w:eastAsia="en-GB"/>
        </w:rPr>
        <w:t xml:space="preserve">egal </w:t>
      </w:r>
      <w:r w:rsidR="00876366" w:rsidRPr="00766D95">
        <w:rPr>
          <w:rFonts w:asciiTheme="minorHAnsi" w:eastAsia="Times New Roman" w:hAnsiTheme="minorHAnsi"/>
          <w:b/>
          <w:sz w:val="24"/>
          <w:szCs w:val="24"/>
          <w:lang w:eastAsia="en-GB"/>
        </w:rPr>
        <w:t>s</w:t>
      </w:r>
      <w:r w:rsidR="008009F1" w:rsidRPr="00766D95">
        <w:rPr>
          <w:rFonts w:asciiTheme="minorHAnsi" w:eastAsia="Times New Roman" w:hAnsiTheme="minorHAnsi"/>
          <w:b/>
          <w:sz w:val="24"/>
          <w:szCs w:val="24"/>
          <w:lang w:eastAsia="en-GB"/>
        </w:rPr>
        <w:t>ervices in the EU</w:t>
      </w:r>
    </w:p>
    <w:p w14:paraId="74E0B041" w14:textId="77777777" w:rsidR="00FC0F33" w:rsidRPr="00D45CDF" w:rsidRDefault="00EB3A8A" w:rsidP="00D45CDF">
      <w:pPr>
        <w:shd w:val="clear" w:color="auto" w:fill="FFFFFF"/>
        <w:autoSpaceDE w:val="0"/>
        <w:autoSpaceDN w:val="0"/>
        <w:adjustRightInd w:val="0"/>
        <w:spacing w:line="240" w:lineRule="auto"/>
        <w:jc w:val="both"/>
        <w:rPr>
          <w:rFonts w:asciiTheme="minorHAnsi" w:hAnsiTheme="minorHAnsi"/>
          <w:sz w:val="24"/>
          <w:szCs w:val="24"/>
        </w:rPr>
      </w:pPr>
      <w:r w:rsidRPr="00D45CDF">
        <w:rPr>
          <w:rFonts w:asciiTheme="minorHAnsi" w:eastAsiaTheme="minorHAnsi" w:hAnsiTheme="minorHAnsi"/>
          <w:sz w:val="24"/>
          <w:szCs w:val="24"/>
          <w:lang w:eastAsia="en-US"/>
        </w:rPr>
        <w:t xml:space="preserve">The UK has benefitted significantly </w:t>
      </w:r>
      <w:r w:rsidR="008D7964" w:rsidRPr="00D45CDF">
        <w:rPr>
          <w:rFonts w:asciiTheme="minorHAnsi" w:eastAsiaTheme="minorHAnsi" w:hAnsiTheme="minorHAnsi"/>
          <w:sz w:val="24"/>
          <w:szCs w:val="24"/>
          <w:lang w:eastAsia="en-US"/>
        </w:rPr>
        <w:t>from the internationalisation of the legal sector</w:t>
      </w:r>
      <w:r w:rsidR="00A07009" w:rsidRPr="00D45CDF">
        <w:rPr>
          <w:rFonts w:asciiTheme="minorHAnsi" w:eastAsiaTheme="minorHAnsi" w:hAnsiTheme="minorHAnsi"/>
          <w:sz w:val="24"/>
          <w:szCs w:val="24"/>
          <w:lang w:eastAsia="en-US"/>
        </w:rPr>
        <w:t>.</w:t>
      </w:r>
      <w:r w:rsidR="00E620E6" w:rsidRPr="00D45CDF">
        <w:rPr>
          <w:rStyle w:val="FootnoteReference"/>
          <w:rFonts w:asciiTheme="minorHAnsi" w:eastAsiaTheme="minorHAnsi" w:hAnsiTheme="minorHAnsi"/>
          <w:sz w:val="24"/>
          <w:szCs w:val="24"/>
          <w:lang w:eastAsia="en-US"/>
        </w:rPr>
        <w:footnoteReference w:id="6"/>
      </w:r>
      <w:r w:rsidR="00A07009" w:rsidRPr="00D45CDF">
        <w:rPr>
          <w:rFonts w:asciiTheme="minorHAnsi" w:eastAsiaTheme="minorHAnsi" w:hAnsiTheme="minorHAnsi"/>
          <w:sz w:val="24"/>
          <w:szCs w:val="24"/>
          <w:lang w:eastAsia="en-US"/>
        </w:rPr>
        <w:t xml:space="preserve"> </w:t>
      </w:r>
      <w:r w:rsidR="00413239" w:rsidRPr="00D45CDF">
        <w:rPr>
          <w:rFonts w:asciiTheme="minorHAnsi" w:eastAsiaTheme="minorHAnsi" w:hAnsiTheme="minorHAnsi"/>
          <w:sz w:val="24"/>
          <w:szCs w:val="24"/>
          <w:lang w:eastAsia="en-US"/>
        </w:rPr>
        <w:t>This includes</w:t>
      </w:r>
      <w:r w:rsidR="001B0A06" w:rsidRPr="00D45CDF">
        <w:rPr>
          <w:rFonts w:asciiTheme="minorHAnsi" w:eastAsiaTheme="minorHAnsi" w:hAnsiTheme="minorHAnsi"/>
          <w:sz w:val="24"/>
          <w:szCs w:val="24"/>
          <w:lang w:eastAsia="en-US"/>
        </w:rPr>
        <w:t>,</w:t>
      </w:r>
      <w:r w:rsidR="00413239" w:rsidRPr="00D45CDF">
        <w:rPr>
          <w:rFonts w:asciiTheme="minorHAnsi" w:eastAsiaTheme="minorHAnsi" w:hAnsiTheme="minorHAnsi"/>
          <w:sz w:val="24"/>
          <w:szCs w:val="24"/>
          <w:lang w:eastAsia="en-US"/>
        </w:rPr>
        <w:t xml:space="preserve"> among other things</w:t>
      </w:r>
      <w:r w:rsidR="001B0A06" w:rsidRPr="00D45CDF">
        <w:rPr>
          <w:rFonts w:asciiTheme="minorHAnsi" w:eastAsiaTheme="minorHAnsi" w:hAnsiTheme="minorHAnsi"/>
          <w:sz w:val="24"/>
          <w:szCs w:val="24"/>
          <w:lang w:eastAsia="en-US"/>
        </w:rPr>
        <w:t>,</w:t>
      </w:r>
      <w:r w:rsidR="00413239" w:rsidRPr="00D45CDF">
        <w:rPr>
          <w:rFonts w:asciiTheme="minorHAnsi" w:eastAsiaTheme="minorHAnsi" w:hAnsiTheme="minorHAnsi"/>
          <w:sz w:val="24"/>
          <w:szCs w:val="24"/>
          <w:lang w:eastAsia="en-US"/>
        </w:rPr>
        <w:t xml:space="preserve"> </w:t>
      </w:r>
      <w:r w:rsidR="001B0A06" w:rsidRPr="00D45CDF">
        <w:rPr>
          <w:rFonts w:asciiTheme="minorHAnsi" w:eastAsiaTheme="minorHAnsi" w:hAnsiTheme="minorHAnsi"/>
          <w:sz w:val="24"/>
          <w:szCs w:val="24"/>
          <w:lang w:eastAsia="en-US"/>
        </w:rPr>
        <w:t xml:space="preserve">the </w:t>
      </w:r>
      <w:r w:rsidR="00413239" w:rsidRPr="00D45CDF">
        <w:rPr>
          <w:rFonts w:asciiTheme="minorHAnsi" w:eastAsiaTheme="minorHAnsi" w:hAnsiTheme="minorHAnsi"/>
          <w:sz w:val="24"/>
          <w:szCs w:val="24"/>
          <w:lang w:eastAsia="en-US"/>
        </w:rPr>
        <w:t>creation</w:t>
      </w:r>
      <w:r w:rsidR="001B0A06" w:rsidRPr="00D45CDF">
        <w:rPr>
          <w:rFonts w:asciiTheme="minorHAnsi" w:eastAsiaTheme="minorHAnsi" w:hAnsiTheme="minorHAnsi"/>
          <w:sz w:val="24"/>
          <w:szCs w:val="24"/>
          <w:lang w:eastAsia="en-US"/>
        </w:rPr>
        <w:t xml:space="preserve"> of jobs</w:t>
      </w:r>
      <w:r w:rsidR="00413239" w:rsidRPr="00D45CDF">
        <w:rPr>
          <w:rFonts w:asciiTheme="minorHAnsi" w:eastAsiaTheme="minorHAnsi" w:hAnsiTheme="minorHAnsi"/>
          <w:sz w:val="24"/>
          <w:szCs w:val="24"/>
          <w:lang w:eastAsia="en-US"/>
        </w:rPr>
        <w:t xml:space="preserve"> and the promotion of London as the main</w:t>
      </w:r>
      <w:r w:rsidR="001B0A06" w:rsidRPr="00D45CDF">
        <w:rPr>
          <w:rFonts w:asciiTheme="minorHAnsi" w:eastAsiaTheme="minorHAnsi" w:hAnsiTheme="minorHAnsi"/>
          <w:sz w:val="24"/>
          <w:szCs w:val="24"/>
          <w:lang w:eastAsia="en-US"/>
        </w:rPr>
        <w:t xml:space="preserve"> ‘</w:t>
      </w:r>
      <w:r w:rsidR="00413239" w:rsidRPr="00D45CDF">
        <w:rPr>
          <w:rFonts w:asciiTheme="minorHAnsi" w:eastAsiaTheme="minorHAnsi" w:hAnsiTheme="minorHAnsi"/>
          <w:sz w:val="24"/>
          <w:szCs w:val="24"/>
          <w:lang w:eastAsia="en-US"/>
        </w:rPr>
        <w:t>European hub</w:t>
      </w:r>
      <w:r w:rsidR="001B0A06" w:rsidRPr="00D45CDF">
        <w:rPr>
          <w:rFonts w:asciiTheme="minorHAnsi" w:eastAsiaTheme="minorHAnsi" w:hAnsiTheme="minorHAnsi"/>
          <w:sz w:val="24"/>
          <w:szCs w:val="24"/>
          <w:lang w:eastAsia="en-US"/>
        </w:rPr>
        <w:t>’</w:t>
      </w:r>
      <w:r w:rsidR="00413239" w:rsidRPr="00D45CDF">
        <w:rPr>
          <w:rFonts w:asciiTheme="minorHAnsi" w:eastAsiaTheme="minorHAnsi" w:hAnsiTheme="minorHAnsi"/>
          <w:sz w:val="24"/>
          <w:szCs w:val="24"/>
          <w:lang w:eastAsia="en-US"/>
        </w:rPr>
        <w:t xml:space="preserve"> for US law firms</w:t>
      </w:r>
      <w:r w:rsidR="001B0A06" w:rsidRPr="00D45CDF">
        <w:rPr>
          <w:rFonts w:asciiTheme="minorHAnsi" w:eastAsiaTheme="minorHAnsi" w:hAnsiTheme="minorHAnsi"/>
          <w:sz w:val="24"/>
          <w:szCs w:val="24"/>
          <w:lang w:eastAsia="en-US"/>
        </w:rPr>
        <w:t>, which</w:t>
      </w:r>
      <w:r w:rsidR="00413239" w:rsidRPr="00D45CDF">
        <w:rPr>
          <w:rFonts w:asciiTheme="minorHAnsi" w:eastAsiaTheme="minorHAnsi" w:hAnsiTheme="minorHAnsi"/>
          <w:sz w:val="24"/>
          <w:szCs w:val="24"/>
          <w:lang w:eastAsia="en-US"/>
        </w:rPr>
        <w:t xml:space="preserve"> allows them to access the European market.</w:t>
      </w:r>
      <w:r w:rsidR="00A51E4A" w:rsidRPr="00D45CDF">
        <w:rPr>
          <w:rStyle w:val="FootnoteReference"/>
          <w:rFonts w:asciiTheme="minorHAnsi" w:eastAsiaTheme="minorHAnsi" w:hAnsiTheme="minorHAnsi"/>
          <w:sz w:val="24"/>
          <w:szCs w:val="24"/>
          <w:lang w:eastAsia="en-US"/>
        </w:rPr>
        <w:footnoteReference w:id="7"/>
      </w:r>
      <w:r w:rsidR="00FB28F6" w:rsidRPr="00D45CDF">
        <w:rPr>
          <w:rFonts w:asciiTheme="minorHAnsi" w:eastAsiaTheme="minorHAnsi" w:hAnsiTheme="minorHAnsi"/>
          <w:sz w:val="24"/>
          <w:szCs w:val="24"/>
          <w:lang w:eastAsia="en-US"/>
        </w:rPr>
        <w:t xml:space="preserve"> London has become the world’s leading centre for international legal services and dispute resolution</w:t>
      </w:r>
      <w:r w:rsidR="00A735F2" w:rsidRPr="00D45CDF">
        <w:rPr>
          <w:rFonts w:asciiTheme="minorHAnsi" w:eastAsiaTheme="minorHAnsi" w:hAnsiTheme="minorHAnsi"/>
          <w:sz w:val="24"/>
          <w:szCs w:val="24"/>
          <w:lang w:eastAsia="en-US"/>
        </w:rPr>
        <w:t>,</w:t>
      </w:r>
      <w:r w:rsidR="00FB28F6" w:rsidRPr="00D45CDF">
        <w:rPr>
          <w:rFonts w:asciiTheme="minorHAnsi" w:eastAsiaTheme="minorHAnsi" w:hAnsiTheme="minorHAnsi"/>
          <w:sz w:val="24"/>
          <w:szCs w:val="24"/>
          <w:lang w:eastAsia="en-US"/>
        </w:rPr>
        <w:t xml:space="preserve"> </w:t>
      </w:r>
      <w:r w:rsidR="00A07009" w:rsidRPr="00D45CDF">
        <w:rPr>
          <w:rFonts w:asciiTheme="minorHAnsi" w:eastAsiaTheme="minorHAnsi" w:hAnsiTheme="minorHAnsi"/>
          <w:sz w:val="24"/>
          <w:szCs w:val="24"/>
          <w:lang w:eastAsia="en-US"/>
        </w:rPr>
        <w:t xml:space="preserve">due to the preference of </w:t>
      </w:r>
      <w:r w:rsidR="00FB28F6" w:rsidRPr="00D45CDF">
        <w:rPr>
          <w:rFonts w:asciiTheme="minorHAnsi" w:eastAsiaTheme="minorHAnsi" w:hAnsiTheme="minorHAnsi"/>
          <w:sz w:val="24"/>
          <w:szCs w:val="24"/>
          <w:lang w:eastAsia="en-US"/>
        </w:rPr>
        <w:t xml:space="preserve">business parties </w:t>
      </w:r>
      <w:r w:rsidR="00A07009" w:rsidRPr="00D45CDF">
        <w:rPr>
          <w:rFonts w:asciiTheme="minorHAnsi" w:eastAsiaTheme="minorHAnsi" w:hAnsiTheme="minorHAnsi"/>
          <w:sz w:val="24"/>
          <w:szCs w:val="24"/>
          <w:lang w:eastAsia="en-US"/>
        </w:rPr>
        <w:t>for</w:t>
      </w:r>
      <w:r w:rsidR="00FB28F6" w:rsidRPr="00D45CDF">
        <w:rPr>
          <w:rFonts w:asciiTheme="minorHAnsi" w:eastAsiaTheme="minorHAnsi" w:hAnsiTheme="minorHAnsi"/>
          <w:sz w:val="24"/>
          <w:szCs w:val="24"/>
          <w:lang w:eastAsia="en-US"/>
        </w:rPr>
        <w:t xml:space="preserve"> English common law </w:t>
      </w:r>
      <w:r w:rsidR="00A07009" w:rsidRPr="00D45CDF">
        <w:rPr>
          <w:rFonts w:asciiTheme="minorHAnsi" w:eastAsiaTheme="minorHAnsi" w:hAnsiTheme="minorHAnsi"/>
          <w:sz w:val="24"/>
          <w:szCs w:val="24"/>
          <w:lang w:eastAsia="en-US"/>
        </w:rPr>
        <w:t xml:space="preserve">as a means </w:t>
      </w:r>
      <w:r w:rsidR="00FB28F6" w:rsidRPr="00D45CDF">
        <w:rPr>
          <w:rFonts w:asciiTheme="minorHAnsi" w:eastAsiaTheme="minorHAnsi" w:hAnsiTheme="minorHAnsi"/>
          <w:sz w:val="24"/>
          <w:szCs w:val="24"/>
          <w:lang w:eastAsia="en-US"/>
        </w:rPr>
        <w:t>to resolve international commercial disputes.</w:t>
      </w:r>
      <w:r w:rsidR="004331E4" w:rsidRPr="00D45CDF">
        <w:rPr>
          <w:rStyle w:val="FootnoteReference"/>
          <w:rFonts w:asciiTheme="minorHAnsi" w:eastAsiaTheme="minorHAnsi" w:hAnsiTheme="minorHAnsi"/>
          <w:sz w:val="24"/>
          <w:szCs w:val="24"/>
          <w:lang w:eastAsia="en-US"/>
        </w:rPr>
        <w:footnoteReference w:id="8"/>
      </w:r>
      <w:r w:rsidR="002B0276" w:rsidRPr="00D45CDF">
        <w:rPr>
          <w:rFonts w:asciiTheme="minorHAnsi" w:eastAsiaTheme="minorHAnsi" w:hAnsiTheme="minorHAnsi"/>
          <w:sz w:val="24"/>
          <w:szCs w:val="24"/>
          <w:lang w:eastAsia="en-US"/>
        </w:rPr>
        <w:t xml:space="preserve"> </w:t>
      </w:r>
      <w:r w:rsidR="00FB28F6" w:rsidRPr="00D45CDF">
        <w:rPr>
          <w:rFonts w:asciiTheme="minorHAnsi" w:hAnsiTheme="minorHAnsi"/>
          <w:sz w:val="24"/>
          <w:szCs w:val="24"/>
        </w:rPr>
        <w:t xml:space="preserve">This international activity provides a </w:t>
      </w:r>
      <w:r w:rsidR="00A735F2" w:rsidRPr="00D45CDF">
        <w:rPr>
          <w:rFonts w:asciiTheme="minorHAnsi" w:hAnsiTheme="minorHAnsi"/>
          <w:sz w:val="24"/>
          <w:szCs w:val="24"/>
        </w:rPr>
        <w:t>substantial</w:t>
      </w:r>
      <w:r w:rsidR="00854081" w:rsidRPr="00D45CDF">
        <w:rPr>
          <w:rFonts w:asciiTheme="minorHAnsi" w:hAnsiTheme="minorHAnsi"/>
          <w:sz w:val="24"/>
          <w:szCs w:val="24"/>
        </w:rPr>
        <w:t xml:space="preserve"> </w:t>
      </w:r>
      <w:r w:rsidR="00FB28F6" w:rsidRPr="00D45CDF">
        <w:rPr>
          <w:rFonts w:asciiTheme="minorHAnsi" w:hAnsiTheme="minorHAnsi"/>
          <w:sz w:val="24"/>
          <w:szCs w:val="24"/>
        </w:rPr>
        <w:t>source of work for the English Bar</w:t>
      </w:r>
      <w:r w:rsidR="0079502B" w:rsidRPr="00D45CDF">
        <w:rPr>
          <w:rFonts w:asciiTheme="minorHAnsi" w:hAnsiTheme="minorHAnsi"/>
          <w:sz w:val="24"/>
          <w:szCs w:val="24"/>
        </w:rPr>
        <w:t xml:space="preserve"> and for English Law firms</w:t>
      </w:r>
      <w:r w:rsidR="00FB28F6" w:rsidRPr="00D45CDF">
        <w:rPr>
          <w:rFonts w:asciiTheme="minorHAnsi" w:hAnsiTheme="minorHAnsi"/>
          <w:sz w:val="24"/>
          <w:szCs w:val="24"/>
        </w:rPr>
        <w:t>.</w:t>
      </w:r>
      <w:r w:rsidR="0021261B" w:rsidRPr="00D45CDF">
        <w:rPr>
          <w:rFonts w:asciiTheme="minorHAnsi" w:hAnsiTheme="minorHAnsi"/>
          <w:sz w:val="24"/>
          <w:szCs w:val="24"/>
        </w:rPr>
        <w:t xml:space="preserve"> Within this sector of activity, t</w:t>
      </w:r>
      <w:r w:rsidR="00FB28F6" w:rsidRPr="00D45CDF">
        <w:rPr>
          <w:rFonts w:asciiTheme="minorHAnsi" w:hAnsiTheme="minorHAnsi"/>
          <w:sz w:val="24"/>
          <w:szCs w:val="24"/>
        </w:rPr>
        <w:t>he EU holds a significant place.</w:t>
      </w:r>
      <w:r w:rsidR="0002008C" w:rsidRPr="00D45CDF">
        <w:rPr>
          <w:rStyle w:val="FootnoteReference"/>
          <w:rFonts w:asciiTheme="minorHAnsi" w:hAnsiTheme="minorHAnsi"/>
          <w:sz w:val="24"/>
          <w:szCs w:val="24"/>
        </w:rPr>
        <w:footnoteReference w:id="9"/>
      </w:r>
      <w:r w:rsidR="00FB28F6" w:rsidRPr="00D45CDF">
        <w:rPr>
          <w:rFonts w:asciiTheme="minorHAnsi" w:hAnsiTheme="minorHAnsi"/>
          <w:sz w:val="24"/>
          <w:szCs w:val="24"/>
        </w:rPr>
        <w:t xml:space="preserve"> </w:t>
      </w:r>
      <w:r w:rsidR="008926E9" w:rsidRPr="00D45CDF">
        <w:rPr>
          <w:rFonts w:asciiTheme="minorHAnsi" w:hAnsiTheme="minorHAnsi"/>
          <w:sz w:val="24"/>
          <w:szCs w:val="24"/>
        </w:rPr>
        <w:t>A</w:t>
      </w:r>
      <w:r w:rsidR="008926E9" w:rsidRPr="00D45CDF">
        <w:rPr>
          <w:rFonts w:asciiTheme="minorHAnsi" w:eastAsiaTheme="minorHAnsi" w:hAnsiTheme="minorHAnsi"/>
          <w:sz w:val="24"/>
          <w:szCs w:val="24"/>
          <w:lang w:eastAsia="en-US"/>
        </w:rPr>
        <w:t>bout 100 of the foreign UK-based law firms are EU law firms,</w:t>
      </w:r>
      <w:r w:rsidR="008926E9" w:rsidRPr="00D45CDF">
        <w:rPr>
          <w:rStyle w:val="FootnoteReference"/>
          <w:rFonts w:asciiTheme="minorHAnsi" w:eastAsiaTheme="minorHAnsi" w:hAnsiTheme="minorHAnsi"/>
          <w:sz w:val="24"/>
          <w:szCs w:val="24"/>
          <w:lang w:eastAsia="en-US"/>
        </w:rPr>
        <w:footnoteReference w:id="10"/>
      </w:r>
      <w:r w:rsidR="008926E9" w:rsidRPr="00D45CDF">
        <w:rPr>
          <w:rFonts w:asciiTheme="minorHAnsi" w:eastAsiaTheme="minorHAnsi" w:hAnsiTheme="minorHAnsi"/>
          <w:sz w:val="24"/>
          <w:szCs w:val="24"/>
          <w:lang w:eastAsia="en-US"/>
        </w:rPr>
        <w:t xml:space="preserve"> and a significant number of EU lawyers benefit from the EU’s freedom of movement provisions.</w:t>
      </w:r>
      <w:r w:rsidR="008926E9" w:rsidRPr="00D45CDF">
        <w:rPr>
          <w:rStyle w:val="FootnoteReference"/>
          <w:rFonts w:asciiTheme="minorHAnsi" w:eastAsiaTheme="minorHAnsi" w:hAnsiTheme="minorHAnsi"/>
          <w:sz w:val="24"/>
          <w:szCs w:val="24"/>
          <w:lang w:eastAsia="en-US"/>
        </w:rPr>
        <w:footnoteReference w:id="11"/>
      </w:r>
      <w:r w:rsidR="008926E9" w:rsidRPr="00D45CDF">
        <w:rPr>
          <w:rFonts w:asciiTheme="minorHAnsi" w:eastAsiaTheme="minorHAnsi" w:hAnsiTheme="minorHAnsi"/>
          <w:sz w:val="24"/>
          <w:szCs w:val="24"/>
          <w:lang w:eastAsia="en-US"/>
        </w:rPr>
        <w:t xml:space="preserve"> </w:t>
      </w:r>
      <w:r w:rsidR="002F58C3" w:rsidRPr="00D45CDF">
        <w:rPr>
          <w:rFonts w:asciiTheme="minorHAnsi" w:hAnsiTheme="minorHAnsi"/>
          <w:sz w:val="24"/>
          <w:szCs w:val="24"/>
        </w:rPr>
        <w:lastRenderedPageBreak/>
        <w:t>As freedom of movement rights are reciprocal, UK lawyers have also been able to practice in the EU.</w:t>
      </w:r>
      <w:r w:rsidR="002F58C3" w:rsidRPr="00D45CDF">
        <w:rPr>
          <w:rStyle w:val="FootnoteReference"/>
          <w:rFonts w:asciiTheme="minorHAnsi" w:hAnsiTheme="minorHAnsi"/>
          <w:sz w:val="24"/>
          <w:szCs w:val="24"/>
        </w:rPr>
        <w:footnoteReference w:id="12"/>
      </w:r>
      <w:r w:rsidR="002F58C3" w:rsidRPr="00D45CDF">
        <w:rPr>
          <w:rFonts w:asciiTheme="minorHAnsi" w:hAnsiTheme="minorHAnsi"/>
          <w:sz w:val="24"/>
          <w:szCs w:val="24"/>
        </w:rPr>
        <w:t xml:space="preserve"> </w:t>
      </w:r>
    </w:p>
    <w:p w14:paraId="6AD6B4B5" w14:textId="77777777" w:rsidR="005E1730" w:rsidRPr="00D45CDF" w:rsidRDefault="00FB28F6" w:rsidP="006325ED">
      <w:pPr>
        <w:autoSpaceDE w:val="0"/>
        <w:autoSpaceDN w:val="0"/>
        <w:adjustRightInd w:val="0"/>
        <w:spacing w:line="240" w:lineRule="auto"/>
        <w:jc w:val="both"/>
        <w:rPr>
          <w:rFonts w:asciiTheme="minorHAnsi" w:hAnsiTheme="minorHAnsi"/>
          <w:sz w:val="24"/>
          <w:szCs w:val="24"/>
        </w:rPr>
      </w:pPr>
      <w:r w:rsidRPr="00D45CDF">
        <w:rPr>
          <w:rFonts w:asciiTheme="minorHAnsi" w:hAnsiTheme="minorHAnsi"/>
          <w:sz w:val="24"/>
          <w:szCs w:val="24"/>
        </w:rPr>
        <w:t>A rapid rise in cross-border</w:t>
      </w:r>
      <w:r w:rsidR="005C0F87" w:rsidRPr="00D45CDF">
        <w:rPr>
          <w:rFonts w:asciiTheme="minorHAnsi" w:hAnsiTheme="minorHAnsi"/>
          <w:sz w:val="24"/>
          <w:szCs w:val="24"/>
        </w:rPr>
        <w:t xml:space="preserve"> transactions</w:t>
      </w:r>
      <w:r w:rsidRPr="00D45CDF">
        <w:rPr>
          <w:rFonts w:asciiTheme="minorHAnsi" w:hAnsiTheme="minorHAnsi"/>
          <w:sz w:val="24"/>
          <w:szCs w:val="24"/>
        </w:rPr>
        <w:t xml:space="preserve"> in the late nineties helped to </w:t>
      </w:r>
      <w:r w:rsidR="005C0F87" w:rsidRPr="00D45CDF">
        <w:rPr>
          <w:rFonts w:asciiTheme="minorHAnsi" w:hAnsiTheme="minorHAnsi"/>
          <w:sz w:val="24"/>
          <w:szCs w:val="24"/>
        </w:rPr>
        <w:t>stimulate</w:t>
      </w:r>
      <w:r w:rsidRPr="00D45CDF">
        <w:rPr>
          <w:rFonts w:asciiTheme="minorHAnsi" w:hAnsiTheme="minorHAnsi"/>
          <w:sz w:val="24"/>
          <w:szCs w:val="24"/>
        </w:rPr>
        <w:t xml:space="preserve"> </w:t>
      </w:r>
      <w:r w:rsidR="00781A31" w:rsidRPr="00D45CDF">
        <w:rPr>
          <w:rFonts w:asciiTheme="minorHAnsi" w:hAnsiTheme="minorHAnsi"/>
          <w:sz w:val="24"/>
          <w:szCs w:val="24"/>
        </w:rPr>
        <w:t xml:space="preserve">this </w:t>
      </w:r>
      <w:r w:rsidRPr="00D45CDF">
        <w:rPr>
          <w:rFonts w:asciiTheme="minorHAnsi" w:hAnsiTheme="minorHAnsi"/>
          <w:sz w:val="24"/>
          <w:szCs w:val="24"/>
        </w:rPr>
        <w:t xml:space="preserve">demand for </w:t>
      </w:r>
      <w:r w:rsidR="005C0F87" w:rsidRPr="00D45CDF">
        <w:rPr>
          <w:rFonts w:asciiTheme="minorHAnsi" w:hAnsiTheme="minorHAnsi"/>
          <w:sz w:val="24"/>
          <w:szCs w:val="24"/>
        </w:rPr>
        <w:t>legal</w:t>
      </w:r>
      <w:r w:rsidRPr="00D45CDF">
        <w:rPr>
          <w:rFonts w:asciiTheme="minorHAnsi" w:hAnsiTheme="minorHAnsi"/>
          <w:sz w:val="24"/>
          <w:szCs w:val="24"/>
        </w:rPr>
        <w:t xml:space="preserve"> professional services,</w:t>
      </w:r>
      <w:r w:rsidR="004879EA" w:rsidRPr="00D45CDF">
        <w:rPr>
          <w:rStyle w:val="FootnoteReference"/>
          <w:rFonts w:asciiTheme="minorHAnsi" w:hAnsiTheme="minorHAnsi"/>
          <w:sz w:val="24"/>
          <w:szCs w:val="24"/>
        </w:rPr>
        <w:footnoteReference w:id="13"/>
      </w:r>
      <w:r w:rsidRPr="00D45CDF">
        <w:rPr>
          <w:rFonts w:asciiTheme="minorHAnsi" w:hAnsiTheme="minorHAnsi"/>
          <w:sz w:val="24"/>
          <w:szCs w:val="24"/>
        </w:rPr>
        <w:t xml:space="preserve"> </w:t>
      </w:r>
      <w:r w:rsidR="005E1730" w:rsidRPr="00D45CDF">
        <w:rPr>
          <w:rFonts w:asciiTheme="minorHAnsi" w:hAnsiTheme="minorHAnsi"/>
          <w:sz w:val="24"/>
          <w:szCs w:val="24"/>
        </w:rPr>
        <w:t>but there are concerns amongst legal practitioners that</w:t>
      </w:r>
      <w:r w:rsidR="002F58C3" w:rsidRPr="00D45CDF">
        <w:rPr>
          <w:rFonts w:asciiTheme="minorHAnsi" w:hAnsiTheme="minorHAnsi"/>
          <w:sz w:val="24"/>
          <w:szCs w:val="24"/>
        </w:rPr>
        <w:t>, as a consequence of Brexit,</w:t>
      </w:r>
      <w:r w:rsidR="005E1730" w:rsidRPr="00D45CDF">
        <w:rPr>
          <w:rFonts w:asciiTheme="minorHAnsi" w:hAnsiTheme="minorHAnsi"/>
          <w:sz w:val="24"/>
          <w:szCs w:val="24"/>
        </w:rPr>
        <w:t xml:space="preserve"> </w:t>
      </w:r>
      <w:r w:rsidR="005E5D40" w:rsidRPr="00D45CDF">
        <w:rPr>
          <w:rFonts w:asciiTheme="minorHAnsi" w:hAnsiTheme="minorHAnsi"/>
          <w:sz w:val="24"/>
          <w:szCs w:val="24"/>
        </w:rPr>
        <w:t>the loss of freedom of movement</w:t>
      </w:r>
      <w:r w:rsidR="005E1730" w:rsidRPr="00D45CDF">
        <w:rPr>
          <w:rFonts w:asciiTheme="minorHAnsi" w:hAnsiTheme="minorHAnsi"/>
          <w:sz w:val="24"/>
          <w:szCs w:val="24"/>
        </w:rPr>
        <w:t xml:space="preserve"> will have a negative impact</w:t>
      </w:r>
      <w:r w:rsidR="00925570" w:rsidRPr="00D45CDF">
        <w:rPr>
          <w:rFonts w:asciiTheme="minorHAnsi" w:hAnsiTheme="minorHAnsi"/>
          <w:sz w:val="24"/>
          <w:szCs w:val="24"/>
        </w:rPr>
        <w:t xml:space="preserve"> on the UK legal services market</w:t>
      </w:r>
      <w:r w:rsidR="00AC65D8" w:rsidRPr="00D45CDF">
        <w:rPr>
          <w:rFonts w:asciiTheme="minorHAnsi" w:hAnsiTheme="minorHAnsi"/>
          <w:sz w:val="24"/>
          <w:szCs w:val="24"/>
        </w:rPr>
        <w:t>,</w:t>
      </w:r>
      <w:r w:rsidR="004879EA" w:rsidRPr="00D45CDF">
        <w:rPr>
          <w:rStyle w:val="FootnoteReference"/>
          <w:rFonts w:asciiTheme="minorHAnsi" w:hAnsiTheme="minorHAnsi"/>
          <w:sz w:val="24"/>
          <w:szCs w:val="24"/>
        </w:rPr>
        <w:footnoteReference w:id="14"/>
      </w:r>
      <w:r w:rsidR="00AC65D8" w:rsidRPr="00D45CDF">
        <w:rPr>
          <w:rFonts w:asciiTheme="minorHAnsi" w:hAnsiTheme="minorHAnsi"/>
          <w:sz w:val="24"/>
          <w:szCs w:val="24"/>
        </w:rPr>
        <w:t xml:space="preserve"> and, i</w:t>
      </w:r>
      <w:r w:rsidR="00CE5F70" w:rsidRPr="00D45CDF">
        <w:rPr>
          <w:rFonts w:asciiTheme="minorHAnsi" w:hAnsiTheme="minorHAnsi"/>
          <w:sz w:val="24"/>
          <w:szCs w:val="24"/>
        </w:rPr>
        <w:t xml:space="preserve">n an attempt to preserve these rights, </w:t>
      </w:r>
      <w:r w:rsidR="002279AD" w:rsidRPr="00D45CDF">
        <w:rPr>
          <w:rFonts w:asciiTheme="minorHAnsi" w:hAnsiTheme="minorHAnsi"/>
          <w:sz w:val="24"/>
          <w:szCs w:val="24"/>
        </w:rPr>
        <w:t xml:space="preserve">some Anglo-Welsh </w:t>
      </w:r>
      <w:r w:rsidR="00CE5F70" w:rsidRPr="00D45CDF">
        <w:rPr>
          <w:rFonts w:asciiTheme="minorHAnsi" w:hAnsiTheme="minorHAnsi"/>
          <w:sz w:val="24"/>
          <w:szCs w:val="24"/>
        </w:rPr>
        <w:t>lawyers are registering with the Irish professional bodies</w:t>
      </w:r>
      <w:r w:rsidR="002279AD" w:rsidRPr="00D45CDF">
        <w:rPr>
          <w:rFonts w:asciiTheme="minorHAnsi" w:hAnsiTheme="minorHAnsi"/>
          <w:sz w:val="24"/>
          <w:szCs w:val="24"/>
        </w:rPr>
        <w:t>.</w:t>
      </w:r>
      <w:r w:rsidR="003B019E" w:rsidRPr="00D45CDF">
        <w:rPr>
          <w:rStyle w:val="FootnoteReference"/>
          <w:rFonts w:asciiTheme="minorHAnsi" w:hAnsiTheme="minorHAnsi"/>
          <w:sz w:val="24"/>
          <w:szCs w:val="24"/>
        </w:rPr>
        <w:footnoteReference w:id="15"/>
      </w:r>
      <w:r w:rsidR="002279AD" w:rsidRPr="00D45CDF">
        <w:rPr>
          <w:rFonts w:asciiTheme="minorHAnsi" w:hAnsiTheme="minorHAnsi"/>
          <w:sz w:val="24"/>
          <w:szCs w:val="24"/>
        </w:rPr>
        <w:t xml:space="preserve">  </w:t>
      </w:r>
    </w:p>
    <w:p w14:paraId="49DF70C6" w14:textId="77777777" w:rsidR="00FB28F6" w:rsidRPr="00D45CDF" w:rsidRDefault="00B658DF" w:rsidP="006325ED">
      <w:pPr>
        <w:autoSpaceDE w:val="0"/>
        <w:autoSpaceDN w:val="0"/>
        <w:adjustRightInd w:val="0"/>
        <w:spacing w:line="240" w:lineRule="auto"/>
        <w:jc w:val="both"/>
        <w:rPr>
          <w:rFonts w:asciiTheme="minorHAnsi" w:hAnsiTheme="minorHAnsi"/>
          <w:sz w:val="24"/>
          <w:szCs w:val="24"/>
        </w:rPr>
      </w:pPr>
      <w:r>
        <w:rPr>
          <w:rFonts w:asciiTheme="minorHAnsi" w:hAnsiTheme="minorHAnsi"/>
          <w:sz w:val="24"/>
          <w:szCs w:val="24"/>
        </w:rPr>
        <w:t xml:space="preserve">Until January 2021, </w:t>
      </w:r>
      <w:r w:rsidR="00FB28F6" w:rsidRPr="00D45CDF">
        <w:rPr>
          <w:rFonts w:asciiTheme="minorHAnsi" w:hAnsiTheme="minorHAnsi"/>
          <w:sz w:val="24"/>
          <w:szCs w:val="24"/>
        </w:rPr>
        <w:t xml:space="preserve">lawyers can move without imposition of immigration controls between </w:t>
      </w:r>
      <w:r w:rsidR="002279AD" w:rsidRPr="00D45CDF">
        <w:rPr>
          <w:rFonts w:asciiTheme="minorHAnsi" w:hAnsiTheme="minorHAnsi"/>
          <w:sz w:val="24"/>
          <w:szCs w:val="24"/>
        </w:rPr>
        <w:t xml:space="preserve">EU </w:t>
      </w:r>
      <w:r w:rsidR="001D6D90" w:rsidRPr="00D45CDF">
        <w:rPr>
          <w:rFonts w:asciiTheme="minorHAnsi" w:hAnsiTheme="minorHAnsi"/>
          <w:sz w:val="24"/>
          <w:szCs w:val="24"/>
        </w:rPr>
        <w:t>Member States</w:t>
      </w:r>
      <w:r w:rsidR="00FB28F6" w:rsidRPr="00D45CDF">
        <w:rPr>
          <w:rFonts w:asciiTheme="minorHAnsi" w:hAnsiTheme="minorHAnsi"/>
          <w:sz w:val="24"/>
          <w:szCs w:val="24"/>
        </w:rPr>
        <w:t xml:space="preserve"> on a permanent or temporary basis</w:t>
      </w:r>
      <w:r w:rsidR="00BE50B2" w:rsidRPr="00D45CDF">
        <w:rPr>
          <w:rFonts w:asciiTheme="minorHAnsi" w:hAnsiTheme="minorHAnsi"/>
          <w:sz w:val="24"/>
          <w:szCs w:val="24"/>
        </w:rPr>
        <w:t>,</w:t>
      </w:r>
      <w:r w:rsidR="005A2656" w:rsidRPr="00D45CDF">
        <w:rPr>
          <w:rFonts w:asciiTheme="minorHAnsi" w:hAnsiTheme="minorHAnsi"/>
          <w:sz w:val="24"/>
          <w:szCs w:val="24"/>
        </w:rPr>
        <w:t xml:space="preserve"> </w:t>
      </w:r>
      <w:r w:rsidR="009F5549" w:rsidRPr="00D45CDF">
        <w:rPr>
          <w:rFonts w:asciiTheme="minorHAnsi" w:hAnsiTheme="minorHAnsi"/>
          <w:sz w:val="24"/>
          <w:szCs w:val="24"/>
        </w:rPr>
        <w:t>but t</w:t>
      </w:r>
      <w:r w:rsidR="001F1603" w:rsidRPr="00D45CDF">
        <w:rPr>
          <w:rFonts w:asciiTheme="minorHAnsi" w:hAnsiTheme="minorHAnsi"/>
          <w:sz w:val="24"/>
          <w:szCs w:val="24"/>
        </w:rPr>
        <w:t xml:space="preserve">o date, </w:t>
      </w:r>
      <w:r w:rsidR="00431E4E" w:rsidRPr="00D45CDF">
        <w:rPr>
          <w:rFonts w:asciiTheme="minorHAnsi" w:hAnsiTheme="minorHAnsi"/>
          <w:sz w:val="24"/>
          <w:szCs w:val="24"/>
        </w:rPr>
        <w:t xml:space="preserve">there are </w:t>
      </w:r>
      <w:r w:rsidR="001F1603" w:rsidRPr="00D45CDF">
        <w:rPr>
          <w:rFonts w:asciiTheme="minorHAnsi" w:hAnsiTheme="minorHAnsi"/>
          <w:sz w:val="24"/>
          <w:szCs w:val="24"/>
        </w:rPr>
        <w:t>only a few bilateral arrangements regarding future relationships under discussion</w:t>
      </w:r>
      <w:r w:rsidR="007356F7" w:rsidRPr="00D45CDF">
        <w:rPr>
          <w:rFonts w:asciiTheme="minorHAnsi" w:hAnsiTheme="minorHAnsi"/>
          <w:sz w:val="24"/>
          <w:szCs w:val="24"/>
        </w:rPr>
        <w:t xml:space="preserve"> (</w:t>
      </w:r>
      <w:proofErr w:type="spellStart"/>
      <w:r w:rsidR="006F4E97">
        <w:rPr>
          <w:rFonts w:asciiTheme="minorHAnsi" w:hAnsiTheme="minorHAnsi"/>
          <w:sz w:val="24"/>
          <w:szCs w:val="24"/>
        </w:rPr>
        <w:t>eg</w:t>
      </w:r>
      <w:proofErr w:type="spellEnd"/>
      <w:r w:rsidR="006F4E97">
        <w:rPr>
          <w:rFonts w:asciiTheme="minorHAnsi" w:hAnsiTheme="minorHAnsi"/>
          <w:sz w:val="24"/>
          <w:szCs w:val="24"/>
        </w:rPr>
        <w:t xml:space="preserve"> </w:t>
      </w:r>
      <w:r w:rsidR="001F1603" w:rsidRPr="00D45CDF">
        <w:rPr>
          <w:rFonts w:asciiTheme="minorHAnsi" w:hAnsiTheme="minorHAnsi"/>
          <w:sz w:val="24"/>
          <w:szCs w:val="24"/>
        </w:rPr>
        <w:t>with Belgium, France and Germany</w:t>
      </w:r>
      <w:r w:rsidR="00431E4E" w:rsidRPr="00D45CDF">
        <w:rPr>
          <w:rStyle w:val="FootnoteReference"/>
          <w:rFonts w:asciiTheme="minorHAnsi" w:hAnsiTheme="minorHAnsi"/>
          <w:sz w:val="24"/>
          <w:szCs w:val="24"/>
        </w:rPr>
        <w:footnoteReference w:id="16"/>
      </w:r>
      <w:r w:rsidR="007356F7" w:rsidRPr="00D45CDF">
        <w:rPr>
          <w:rFonts w:asciiTheme="minorHAnsi" w:hAnsiTheme="minorHAnsi"/>
          <w:sz w:val="24"/>
          <w:szCs w:val="24"/>
        </w:rPr>
        <w:t>) and some</w:t>
      </w:r>
      <w:r w:rsidR="00D9171F" w:rsidRPr="00D45CDF">
        <w:rPr>
          <w:rFonts w:asciiTheme="minorHAnsi" w:hAnsiTheme="minorHAnsi"/>
          <w:sz w:val="24"/>
          <w:szCs w:val="24"/>
        </w:rPr>
        <w:t xml:space="preserve"> </w:t>
      </w:r>
      <w:r w:rsidR="007356F7" w:rsidRPr="00D45CDF">
        <w:rPr>
          <w:rFonts w:asciiTheme="minorHAnsi" w:hAnsiTheme="minorHAnsi"/>
          <w:sz w:val="24"/>
          <w:szCs w:val="24"/>
        </w:rPr>
        <w:t>M</w:t>
      </w:r>
      <w:r w:rsidR="00D9171F" w:rsidRPr="00D45CDF">
        <w:rPr>
          <w:rFonts w:asciiTheme="minorHAnsi" w:hAnsiTheme="minorHAnsi"/>
          <w:sz w:val="24"/>
          <w:szCs w:val="24"/>
        </w:rPr>
        <w:t xml:space="preserve">emoranda of Understanding outlining possibilities of co-operation </w:t>
      </w:r>
      <w:r w:rsidR="007356F7" w:rsidRPr="00D45CDF">
        <w:rPr>
          <w:rFonts w:asciiTheme="minorHAnsi" w:hAnsiTheme="minorHAnsi"/>
          <w:sz w:val="24"/>
          <w:szCs w:val="24"/>
        </w:rPr>
        <w:t>in training (wi</w:t>
      </w:r>
      <w:r w:rsidR="00D9171F" w:rsidRPr="00D45CDF">
        <w:rPr>
          <w:rFonts w:asciiTheme="minorHAnsi" w:hAnsiTheme="minorHAnsi"/>
          <w:sz w:val="24"/>
          <w:szCs w:val="24"/>
        </w:rPr>
        <w:t>th Poland and Slovakia</w:t>
      </w:r>
      <w:r w:rsidR="007356F7" w:rsidRPr="00D45CDF">
        <w:rPr>
          <w:rFonts w:asciiTheme="minorHAnsi" w:hAnsiTheme="minorHAnsi"/>
          <w:sz w:val="24"/>
          <w:szCs w:val="24"/>
        </w:rPr>
        <w:t>).</w:t>
      </w:r>
    </w:p>
    <w:p w14:paraId="1BF640DC" w14:textId="030DAEA7" w:rsidR="00FB28F6" w:rsidRDefault="00FB28F6" w:rsidP="006325ED">
      <w:pPr>
        <w:shd w:val="clear" w:color="auto" w:fill="FFFFFF"/>
        <w:autoSpaceDE w:val="0"/>
        <w:autoSpaceDN w:val="0"/>
        <w:adjustRightInd w:val="0"/>
        <w:spacing w:before="240" w:line="240" w:lineRule="auto"/>
        <w:jc w:val="both"/>
        <w:rPr>
          <w:rFonts w:asciiTheme="minorHAnsi" w:eastAsiaTheme="minorHAnsi" w:hAnsiTheme="minorHAnsi"/>
          <w:iCs/>
          <w:sz w:val="24"/>
          <w:szCs w:val="24"/>
          <w:lang w:eastAsia="en-US"/>
        </w:rPr>
      </w:pPr>
      <w:r w:rsidRPr="00D45CDF">
        <w:rPr>
          <w:rFonts w:asciiTheme="minorHAnsi" w:hAnsiTheme="minorHAnsi"/>
          <w:iCs/>
          <w:sz w:val="24"/>
          <w:szCs w:val="24"/>
        </w:rPr>
        <w:t xml:space="preserve">Although, in the short term, </w:t>
      </w:r>
      <w:r w:rsidR="00570BBF" w:rsidRPr="00D45CDF">
        <w:rPr>
          <w:rFonts w:asciiTheme="minorHAnsi" w:hAnsiTheme="minorHAnsi"/>
          <w:iCs/>
          <w:sz w:val="24"/>
          <w:szCs w:val="24"/>
        </w:rPr>
        <w:t xml:space="preserve">Brexit is likely to create </w:t>
      </w:r>
      <w:r w:rsidRPr="00D45CDF">
        <w:rPr>
          <w:rFonts w:asciiTheme="minorHAnsi" w:hAnsiTheme="minorHAnsi"/>
          <w:iCs/>
          <w:sz w:val="24"/>
          <w:szCs w:val="24"/>
        </w:rPr>
        <w:t>a rise in demand for legal work, t</w:t>
      </w:r>
      <w:r w:rsidRPr="00D45CDF">
        <w:rPr>
          <w:rFonts w:asciiTheme="minorHAnsi" w:hAnsiTheme="minorHAnsi"/>
          <w:iCs/>
          <w:sz w:val="24"/>
          <w:szCs w:val="24"/>
          <w:shd w:val="clear" w:color="auto" w:fill="FFFFFF"/>
        </w:rPr>
        <w:t>he</w:t>
      </w:r>
      <w:r w:rsidR="00570BBF" w:rsidRPr="00D45CDF">
        <w:rPr>
          <w:rFonts w:asciiTheme="minorHAnsi" w:hAnsiTheme="minorHAnsi"/>
          <w:iCs/>
          <w:sz w:val="24"/>
          <w:szCs w:val="24"/>
          <w:shd w:val="clear" w:color="auto" w:fill="FFFFFF"/>
        </w:rPr>
        <w:t xml:space="preserve"> legal sector</w:t>
      </w:r>
      <w:r w:rsidRPr="00D45CDF">
        <w:rPr>
          <w:rFonts w:asciiTheme="minorHAnsi" w:hAnsiTheme="minorHAnsi"/>
          <w:iCs/>
          <w:sz w:val="24"/>
          <w:szCs w:val="24"/>
          <w:shd w:val="clear" w:color="auto" w:fill="FFFFFF"/>
        </w:rPr>
        <w:t xml:space="preserve"> expect</w:t>
      </w:r>
      <w:r w:rsidR="00570BBF" w:rsidRPr="00D45CDF">
        <w:rPr>
          <w:rFonts w:asciiTheme="minorHAnsi" w:hAnsiTheme="minorHAnsi"/>
          <w:iCs/>
          <w:sz w:val="24"/>
          <w:szCs w:val="24"/>
          <w:shd w:val="clear" w:color="auto" w:fill="FFFFFF"/>
        </w:rPr>
        <w:t xml:space="preserve">s </w:t>
      </w:r>
      <w:r w:rsidRPr="00D45CDF">
        <w:rPr>
          <w:rFonts w:asciiTheme="minorHAnsi" w:hAnsiTheme="minorHAnsi"/>
          <w:iCs/>
          <w:sz w:val="24"/>
          <w:szCs w:val="24"/>
          <w:shd w:val="clear" w:color="auto" w:fill="FFFFFF"/>
        </w:rPr>
        <w:t xml:space="preserve">to be negatively affected by the </w:t>
      </w:r>
      <w:r w:rsidR="00570BBF" w:rsidRPr="00D45CDF">
        <w:rPr>
          <w:rFonts w:asciiTheme="minorHAnsi" w:hAnsiTheme="minorHAnsi"/>
          <w:iCs/>
          <w:sz w:val="24"/>
          <w:szCs w:val="24"/>
          <w:shd w:val="clear" w:color="auto" w:fill="FFFFFF"/>
        </w:rPr>
        <w:t>transition and loss of freedom of movement</w:t>
      </w:r>
      <w:r w:rsidRPr="00D45CDF">
        <w:rPr>
          <w:rFonts w:asciiTheme="minorHAnsi" w:hAnsiTheme="minorHAnsi"/>
          <w:iCs/>
          <w:sz w:val="24"/>
          <w:szCs w:val="24"/>
          <w:shd w:val="clear" w:color="auto" w:fill="FFFFFF"/>
        </w:rPr>
        <w:t>, with turnover in growth expected to fall</w:t>
      </w:r>
      <w:r w:rsidR="00A6784E" w:rsidRPr="00D45CDF">
        <w:rPr>
          <w:rFonts w:asciiTheme="minorHAnsi" w:hAnsiTheme="minorHAnsi"/>
          <w:iCs/>
          <w:sz w:val="24"/>
          <w:szCs w:val="24"/>
          <w:shd w:val="clear" w:color="auto" w:fill="FFFFFF"/>
        </w:rPr>
        <w:t xml:space="preserve"> in the long term</w:t>
      </w:r>
      <w:r w:rsidRPr="00D45CDF">
        <w:rPr>
          <w:rFonts w:asciiTheme="minorHAnsi" w:eastAsiaTheme="minorHAnsi" w:hAnsiTheme="minorHAnsi"/>
          <w:iCs/>
          <w:sz w:val="24"/>
          <w:szCs w:val="24"/>
          <w:lang w:eastAsia="en-US"/>
        </w:rPr>
        <w:t>.</w:t>
      </w:r>
      <w:r w:rsidR="005420D1" w:rsidRPr="00D45CDF">
        <w:rPr>
          <w:rStyle w:val="FootnoteReference"/>
          <w:rFonts w:asciiTheme="minorHAnsi" w:eastAsiaTheme="minorHAnsi" w:hAnsiTheme="minorHAnsi"/>
          <w:iCs/>
          <w:sz w:val="24"/>
          <w:szCs w:val="24"/>
          <w:lang w:eastAsia="en-US"/>
        </w:rPr>
        <w:footnoteReference w:id="17"/>
      </w:r>
    </w:p>
    <w:p w14:paraId="3EF1DDC9" w14:textId="77777777" w:rsidR="007C7528" w:rsidRPr="00D45CDF" w:rsidRDefault="007C7528" w:rsidP="006325ED">
      <w:pPr>
        <w:shd w:val="clear" w:color="auto" w:fill="FFFFFF"/>
        <w:autoSpaceDE w:val="0"/>
        <w:autoSpaceDN w:val="0"/>
        <w:adjustRightInd w:val="0"/>
        <w:spacing w:before="240" w:line="240" w:lineRule="auto"/>
        <w:jc w:val="both"/>
        <w:rPr>
          <w:rFonts w:asciiTheme="minorHAnsi" w:eastAsiaTheme="minorHAnsi" w:hAnsiTheme="minorHAnsi"/>
          <w:iCs/>
          <w:sz w:val="24"/>
          <w:szCs w:val="24"/>
          <w:lang w:eastAsia="en-US"/>
        </w:rPr>
      </w:pPr>
    </w:p>
    <w:p w14:paraId="51230519" w14:textId="77777777" w:rsidR="00FB28F6" w:rsidRPr="00766D95" w:rsidRDefault="00ED2541" w:rsidP="00766D95">
      <w:pPr>
        <w:pStyle w:val="ListParagraph"/>
        <w:numPr>
          <w:ilvl w:val="1"/>
          <w:numId w:val="11"/>
        </w:numPr>
        <w:autoSpaceDE w:val="0"/>
        <w:autoSpaceDN w:val="0"/>
        <w:adjustRightInd w:val="0"/>
        <w:spacing w:after="0" w:line="240" w:lineRule="auto"/>
        <w:ind w:left="426" w:hanging="426"/>
        <w:rPr>
          <w:rFonts w:asciiTheme="minorHAnsi" w:eastAsiaTheme="minorHAnsi" w:hAnsiTheme="minorHAnsi"/>
          <w:b/>
          <w:sz w:val="24"/>
          <w:szCs w:val="24"/>
          <w:lang w:eastAsia="en-US"/>
        </w:rPr>
      </w:pPr>
      <w:r w:rsidRPr="00766D95">
        <w:rPr>
          <w:rFonts w:asciiTheme="minorHAnsi" w:eastAsiaTheme="minorHAnsi" w:hAnsiTheme="minorHAnsi"/>
          <w:b/>
          <w:bCs/>
          <w:sz w:val="24"/>
          <w:szCs w:val="24"/>
          <w:lang w:eastAsia="en-US"/>
        </w:rPr>
        <w:lastRenderedPageBreak/>
        <w:t xml:space="preserve">Legal framework for the FOM of </w:t>
      </w:r>
      <w:r w:rsidR="00FB28F6" w:rsidRPr="00766D95">
        <w:rPr>
          <w:rFonts w:asciiTheme="minorHAnsi" w:eastAsiaTheme="minorHAnsi" w:hAnsiTheme="minorHAnsi"/>
          <w:b/>
          <w:bCs/>
          <w:sz w:val="24"/>
          <w:szCs w:val="24"/>
          <w:lang w:eastAsia="en-US"/>
        </w:rPr>
        <w:t>legal services in the EU</w:t>
      </w:r>
      <w:r w:rsidR="000941DF" w:rsidRPr="00766D95">
        <w:rPr>
          <w:rFonts w:asciiTheme="minorHAnsi" w:eastAsiaTheme="minorHAnsi" w:hAnsiTheme="minorHAnsi"/>
          <w:b/>
          <w:bCs/>
          <w:sz w:val="24"/>
          <w:szCs w:val="24"/>
          <w:lang w:eastAsia="en-US"/>
        </w:rPr>
        <w:t xml:space="preserve"> </w:t>
      </w:r>
    </w:p>
    <w:p w14:paraId="47876D5E" w14:textId="77777777" w:rsidR="00E353B2" w:rsidRPr="00D45CDF" w:rsidRDefault="00D610CA" w:rsidP="00D45CDF">
      <w:pPr>
        <w:shd w:val="clear" w:color="auto" w:fill="FFFFFF"/>
        <w:autoSpaceDE w:val="0"/>
        <w:autoSpaceDN w:val="0"/>
        <w:adjustRightInd w:val="0"/>
        <w:spacing w:before="240" w:line="240" w:lineRule="auto"/>
        <w:jc w:val="both"/>
        <w:rPr>
          <w:rFonts w:asciiTheme="minorHAnsi" w:hAnsiTheme="minorHAnsi"/>
          <w:color w:val="111111"/>
          <w:sz w:val="24"/>
          <w:szCs w:val="24"/>
          <w:shd w:val="clear" w:color="auto" w:fill="FFFFFF"/>
        </w:rPr>
      </w:pPr>
      <w:r w:rsidRPr="005A461D">
        <w:rPr>
          <w:rFonts w:asciiTheme="minorHAnsi" w:hAnsiTheme="minorHAnsi"/>
          <w:sz w:val="24"/>
          <w:szCs w:val="24"/>
          <w:shd w:val="clear" w:color="auto" w:fill="FFFFFF" w:themeFill="background1"/>
        </w:rPr>
        <w:t xml:space="preserve">The </w:t>
      </w:r>
      <w:r w:rsidR="00D248C4" w:rsidRPr="005A461D">
        <w:rPr>
          <w:rFonts w:asciiTheme="minorHAnsi" w:hAnsiTheme="minorHAnsi"/>
          <w:sz w:val="24"/>
          <w:szCs w:val="24"/>
          <w:shd w:val="clear" w:color="auto" w:fill="FFFFFF" w:themeFill="background1"/>
        </w:rPr>
        <w:t xml:space="preserve">four fundamental </w:t>
      </w:r>
      <w:r w:rsidRPr="005A461D">
        <w:rPr>
          <w:rFonts w:asciiTheme="minorHAnsi" w:hAnsiTheme="minorHAnsi"/>
          <w:sz w:val="24"/>
          <w:szCs w:val="24"/>
          <w:shd w:val="clear" w:color="auto" w:fill="FFFFFF" w:themeFill="background1"/>
        </w:rPr>
        <w:t>freedom</w:t>
      </w:r>
      <w:r w:rsidR="00D248C4" w:rsidRPr="005A461D">
        <w:rPr>
          <w:rFonts w:asciiTheme="minorHAnsi" w:hAnsiTheme="minorHAnsi"/>
          <w:sz w:val="24"/>
          <w:szCs w:val="24"/>
          <w:shd w:val="clear" w:color="auto" w:fill="FFFFFF" w:themeFill="background1"/>
        </w:rPr>
        <w:t>s of movement</w:t>
      </w:r>
      <w:r w:rsidR="009B302A" w:rsidRPr="005A461D">
        <w:rPr>
          <w:rFonts w:asciiTheme="minorHAnsi" w:hAnsiTheme="minorHAnsi"/>
          <w:sz w:val="24"/>
          <w:szCs w:val="24"/>
          <w:shd w:val="clear" w:color="auto" w:fill="FFFFFF" w:themeFill="background1"/>
        </w:rPr>
        <w:t xml:space="preserve"> were </w:t>
      </w:r>
      <w:r w:rsidR="00201704" w:rsidRPr="005A461D">
        <w:rPr>
          <w:rFonts w:asciiTheme="minorHAnsi" w:hAnsiTheme="minorHAnsi"/>
          <w:sz w:val="24"/>
          <w:szCs w:val="24"/>
          <w:shd w:val="clear" w:color="auto" w:fill="FFFFFF" w:themeFill="background1"/>
        </w:rPr>
        <w:t xml:space="preserve">initially </w:t>
      </w:r>
      <w:r w:rsidR="009B302A" w:rsidRPr="005A461D">
        <w:rPr>
          <w:rFonts w:asciiTheme="minorHAnsi" w:hAnsiTheme="minorHAnsi"/>
          <w:sz w:val="24"/>
          <w:szCs w:val="24"/>
          <w:shd w:val="clear" w:color="auto" w:fill="FFFFFF" w:themeFill="background1"/>
        </w:rPr>
        <w:t xml:space="preserve">set out in the Treaty establishing the European </w:t>
      </w:r>
      <w:r w:rsidR="00103A96" w:rsidRPr="005A461D">
        <w:rPr>
          <w:rFonts w:asciiTheme="minorHAnsi" w:hAnsiTheme="minorHAnsi"/>
          <w:sz w:val="24"/>
          <w:szCs w:val="24"/>
          <w:shd w:val="clear" w:color="auto" w:fill="FFFFFF" w:themeFill="background1"/>
        </w:rPr>
        <w:t xml:space="preserve">Economic </w:t>
      </w:r>
      <w:r w:rsidR="009B302A" w:rsidRPr="005A461D">
        <w:rPr>
          <w:rFonts w:asciiTheme="minorHAnsi" w:hAnsiTheme="minorHAnsi"/>
          <w:sz w:val="24"/>
          <w:szCs w:val="24"/>
          <w:shd w:val="clear" w:color="auto" w:fill="FFFFFF" w:themeFill="background1"/>
        </w:rPr>
        <w:t xml:space="preserve">Community </w:t>
      </w:r>
      <w:r w:rsidR="00D248C4" w:rsidRPr="005A461D">
        <w:rPr>
          <w:rFonts w:asciiTheme="minorHAnsi" w:hAnsiTheme="minorHAnsi"/>
          <w:sz w:val="24"/>
          <w:szCs w:val="24"/>
          <w:shd w:val="clear" w:color="auto" w:fill="FFFFFF" w:themeFill="background1"/>
        </w:rPr>
        <w:t>(</w:t>
      </w:r>
      <w:r w:rsidR="00D564DE" w:rsidRPr="005A461D">
        <w:rPr>
          <w:rFonts w:asciiTheme="minorHAnsi" w:hAnsiTheme="minorHAnsi"/>
          <w:sz w:val="24"/>
          <w:szCs w:val="24"/>
          <w:shd w:val="clear" w:color="auto" w:fill="FFFFFF" w:themeFill="background1"/>
        </w:rPr>
        <w:t>T</w:t>
      </w:r>
      <w:r w:rsidR="007262AD" w:rsidRPr="005A461D">
        <w:rPr>
          <w:rFonts w:asciiTheme="minorHAnsi" w:hAnsiTheme="minorHAnsi"/>
          <w:sz w:val="24"/>
          <w:szCs w:val="24"/>
          <w:shd w:val="clear" w:color="auto" w:fill="FFFFFF" w:themeFill="background1"/>
        </w:rPr>
        <w:t>EC</w:t>
      </w:r>
      <w:r w:rsidR="00D248C4" w:rsidRPr="005A461D">
        <w:rPr>
          <w:rFonts w:asciiTheme="minorHAnsi" w:hAnsiTheme="minorHAnsi"/>
          <w:sz w:val="24"/>
          <w:szCs w:val="24"/>
          <w:shd w:val="clear" w:color="auto" w:fill="FFFFFF" w:themeFill="background1"/>
        </w:rPr>
        <w:t>)</w:t>
      </w:r>
      <w:r w:rsidR="00B07D95" w:rsidRPr="005A461D">
        <w:rPr>
          <w:rFonts w:asciiTheme="minorHAnsi" w:hAnsiTheme="minorHAnsi"/>
          <w:sz w:val="24"/>
          <w:szCs w:val="24"/>
          <w:shd w:val="clear" w:color="auto" w:fill="FFFFFF" w:themeFill="background1"/>
        </w:rPr>
        <w:t xml:space="preserve"> - </w:t>
      </w:r>
      <w:r w:rsidR="00CB7787" w:rsidRPr="005A461D">
        <w:rPr>
          <w:rFonts w:asciiTheme="minorHAnsi" w:hAnsiTheme="minorHAnsi"/>
          <w:sz w:val="24"/>
          <w:szCs w:val="24"/>
          <w:shd w:val="clear" w:color="auto" w:fill="FFFFFF" w:themeFill="background1"/>
        </w:rPr>
        <w:t>the Treaty of Rome</w:t>
      </w:r>
      <w:r w:rsidR="00B07D95" w:rsidRPr="005A461D">
        <w:rPr>
          <w:rFonts w:asciiTheme="minorHAnsi" w:hAnsiTheme="minorHAnsi"/>
          <w:sz w:val="24"/>
          <w:szCs w:val="24"/>
          <w:shd w:val="clear" w:color="auto" w:fill="FFFFFF" w:themeFill="background1"/>
        </w:rPr>
        <w:t xml:space="preserve"> -</w:t>
      </w:r>
      <w:r w:rsidR="00D248C4" w:rsidRPr="005A461D">
        <w:rPr>
          <w:rFonts w:asciiTheme="minorHAnsi" w:hAnsiTheme="minorHAnsi"/>
          <w:sz w:val="24"/>
          <w:szCs w:val="24"/>
          <w:shd w:val="clear" w:color="auto" w:fill="FFFFFF" w:themeFill="background1"/>
        </w:rPr>
        <w:t xml:space="preserve"> </w:t>
      </w:r>
      <w:r w:rsidR="009B302A" w:rsidRPr="005A461D">
        <w:rPr>
          <w:rFonts w:asciiTheme="minorHAnsi" w:hAnsiTheme="minorHAnsi"/>
          <w:sz w:val="24"/>
          <w:szCs w:val="24"/>
          <w:shd w:val="clear" w:color="auto" w:fill="FFFFFF" w:themeFill="background1"/>
        </w:rPr>
        <w:t>signed in 1957</w:t>
      </w:r>
      <w:r w:rsidR="00201704" w:rsidRPr="005A461D">
        <w:rPr>
          <w:rFonts w:asciiTheme="minorHAnsi" w:hAnsiTheme="minorHAnsi"/>
          <w:sz w:val="24"/>
          <w:szCs w:val="24"/>
          <w:shd w:val="clear" w:color="auto" w:fill="FFFFFF" w:themeFill="background1"/>
        </w:rPr>
        <w:t>.</w:t>
      </w:r>
      <w:r w:rsidR="009B302A" w:rsidRPr="005A461D">
        <w:rPr>
          <w:rFonts w:asciiTheme="minorHAnsi" w:hAnsiTheme="minorHAnsi"/>
          <w:sz w:val="24"/>
          <w:szCs w:val="24"/>
          <w:shd w:val="clear" w:color="auto" w:fill="FFFFFF" w:themeFill="background1"/>
        </w:rPr>
        <w:t xml:space="preserve"> </w:t>
      </w:r>
      <w:r w:rsidR="00201704" w:rsidRPr="005A461D">
        <w:rPr>
          <w:rFonts w:asciiTheme="minorHAnsi" w:hAnsiTheme="minorHAnsi"/>
          <w:sz w:val="24"/>
          <w:szCs w:val="24"/>
          <w:shd w:val="clear" w:color="auto" w:fill="FFFFFF" w:themeFill="background1"/>
        </w:rPr>
        <w:t xml:space="preserve">They can now be found </w:t>
      </w:r>
      <w:r w:rsidR="009B302A" w:rsidRPr="005A461D">
        <w:rPr>
          <w:rFonts w:asciiTheme="minorHAnsi" w:hAnsiTheme="minorHAnsi"/>
          <w:sz w:val="24"/>
          <w:szCs w:val="24"/>
          <w:shd w:val="clear" w:color="auto" w:fill="FFFFFF" w:themeFill="background1"/>
        </w:rPr>
        <w:t>in the Treaty on the Functioning of the European Union</w:t>
      </w:r>
      <w:r w:rsidR="00F32B73" w:rsidRPr="005A461D">
        <w:rPr>
          <w:rFonts w:asciiTheme="minorHAnsi" w:hAnsiTheme="minorHAnsi"/>
          <w:sz w:val="24"/>
          <w:szCs w:val="24"/>
          <w:shd w:val="clear" w:color="auto" w:fill="FFFFFF" w:themeFill="background1"/>
        </w:rPr>
        <w:t xml:space="preserve"> (TFEU)</w:t>
      </w:r>
      <w:r w:rsidR="00201704" w:rsidRPr="005A461D">
        <w:rPr>
          <w:rFonts w:asciiTheme="minorHAnsi" w:hAnsiTheme="minorHAnsi"/>
          <w:sz w:val="24"/>
          <w:szCs w:val="24"/>
          <w:shd w:val="clear" w:color="auto" w:fill="FFFFFF" w:themeFill="background1"/>
        </w:rPr>
        <w:t>,</w:t>
      </w:r>
      <w:r w:rsidR="000A262B" w:rsidRPr="005A461D">
        <w:rPr>
          <w:rFonts w:asciiTheme="minorHAnsi" w:hAnsiTheme="minorHAnsi"/>
          <w:sz w:val="24"/>
          <w:szCs w:val="24"/>
          <w:shd w:val="clear" w:color="auto" w:fill="FFFFFF" w:themeFill="background1"/>
        </w:rPr>
        <w:t xml:space="preserve"> </w:t>
      </w:r>
      <w:r w:rsidR="00CB7787" w:rsidRPr="005A461D">
        <w:rPr>
          <w:rFonts w:asciiTheme="minorHAnsi" w:hAnsiTheme="minorHAnsi"/>
          <w:sz w:val="24"/>
          <w:szCs w:val="24"/>
          <w:shd w:val="clear" w:color="auto" w:fill="FFFFFF" w:themeFill="background1"/>
        </w:rPr>
        <w:t xml:space="preserve">which, along with the Treaty on European Union, contain the provisions of the EEC Treaty as it was amended </w:t>
      </w:r>
      <w:r w:rsidR="00201704" w:rsidRPr="005A461D">
        <w:rPr>
          <w:rFonts w:asciiTheme="minorHAnsi" w:hAnsiTheme="minorHAnsi"/>
          <w:sz w:val="24"/>
          <w:szCs w:val="24"/>
          <w:shd w:val="clear" w:color="auto" w:fill="FFFFFF" w:themeFill="background1"/>
        </w:rPr>
        <w:t>following the Treaty of Lisbon.</w:t>
      </w:r>
      <w:r w:rsidR="009B302A" w:rsidRPr="005A461D">
        <w:rPr>
          <w:rFonts w:asciiTheme="minorHAnsi" w:hAnsiTheme="minorHAnsi"/>
          <w:sz w:val="24"/>
          <w:szCs w:val="24"/>
          <w:shd w:val="clear" w:color="auto" w:fill="FFFFFF" w:themeFill="background1"/>
        </w:rPr>
        <w:t xml:space="preserve"> The</w:t>
      </w:r>
      <w:r w:rsidR="00201704" w:rsidRPr="005A461D">
        <w:rPr>
          <w:rFonts w:asciiTheme="minorHAnsi" w:hAnsiTheme="minorHAnsi"/>
          <w:sz w:val="24"/>
          <w:szCs w:val="24"/>
          <w:shd w:val="clear" w:color="auto" w:fill="FFFFFF" w:themeFill="background1"/>
        </w:rPr>
        <w:t xml:space="preserve"> </w:t>
      </w:r>
      <w:r w:rsidR="007F0F9C" w:rsidRPr="005A461D">
        <w:rPr>
          <w:rFonts w:asciiTheme="minorHAnsi" w:hAnsiTheme="minorHAnsi"/>
          <w:sz w:val="24"/>
          <w:szCs w:val="24"/>
          <w:shd w:val="clear" w:color="auto" w:fill="FFFFFF" w:themeFill="background1"/>
        </w:rPr>
        <w:t xml:space="preserve">Single European Act of </w:t>
      </w:r>
      <w:r w:rsidRPr="005A461D">
        <w:rPr>
          <w:rFonts w:asciiTheme="minorHAnsi" w:hAnsiTheme="minorHAnsi"/>
          <w:sz w:val="24"/>
          <w:szCs w:val="24"/>
          <w:shd w:val="clear" w:color="auto" w:fill="FFFFFF" w:themeFill="background1"/>
        </w:rPr>
        <w:t>1986</w:t>
      </w:r>
      <w:r w:rsidR="00FC51F3" w:rsidRPr="005A461D">
        <w:rPr>
          <w:rFonts w:asciiTheme="minorHAnsi" w:hAnsiTheme="minorHAnsi"/>
          <w:sz w:val="24"/>
          <w:szCs w:val="24"/>
          <w:shd w:val="clear" w:color="auto" w:fill="FFFFFF" w:themeFill="background1"/>
        </w:rPr>
        <w:t xml:space="preserve"> (SEA)</w:t>
      </w:r>
      <w:r w:rsidR="007F0F9C" w:rsidRPr="005A461D">
        <w:rPr>
          <w:rFonts w:asciiTheme="minorHAnsi" w:hAnsiTheme="minorHAnsi"/>
          <w:sz w:val="24"/>
          <w:szCs w:val="24"/>
          <w:shd w:val="clear" w:color="auto" w:fill="FFFFFF" w:themeFill="background1"/>
        </w:rPr>
        <w:t xml:space="preserve">, which </w:t>
      </w:r>
      <w:r w:rsidR="00635819" w:rsidRPr="005A461D">
        <w:rPr>
          <w:rFonts w:asciiTheme="minorHAnsi" w:hAnsiTheme="minorHAnsi"/>
          <w:sz w:val="24"/>
          <w:szCs w:val="24"/>
          <w:shd w:val="clear" w:color="auto" w:fill="FFFFFF" w:themeFill="background1"/>
        </w:rPr>
        <w:t>provide</w:t>
      </w:r>
      <w:r w:rsidR="00053D8C" w:rsidRPr="005A461D">
        <w:rPr>
          <w:rFonts w:asciiTheme="minorHAnsi" w:hAnsiTheme="minorHAnsi"/>
          <w:sz w:val="24"/>
          <w:szCs w:val="24"/>
          <w:shd w:val="clear" w:color="auto" w:fill="FFFFFF" w:themeFill="background1"/>
        </w:rPr>
        <w:t>d</w:t>
      </w:r>
      <w:r w:rsidR="005F342D" w:rsidRPr="005A461D">
        <w:rPr>
          <w:rFonts w:asciiTheme="minorHAnsi" w:hAnsiTheme="minorHAnsi"/>
          <w:sz w:val="24"/>
          <w:szCs w:val="24"/>
          <w:shd w:val="clear" w:color="auto" w:fill="FFFFFF" w:themeFill="background1"/>
        </w:rPr>
        <w:t xml:space="preserve"> for </w:t>
      </w:r>
      <w:r w:rsidR="007250BE" w:rsidRPr="005A461D">
        <w:rPr>
          <w:rFonts w:asciiTheme="minorHAnsi" w:hAnsiTheme="minorHAnsi"/>
          <w:sz w:val="24"/>
          <w:szCs w:val="24"/>
          <w:shd w:val="clear" w:color="auto" w:fill="FFFFFF" w:themeFill="background1"/>
        </w:rPr>
        <w:t xml:space="preserve">the completion of the internal market and </w:t>
      </w:r>
      <w:r w:rsidR="005F342D" w:rsidRPr="005A461D">
        <w:rPr>
          <w:rFonts w:asciiTheme="minorHAnsi" w:hAnsiTheme="minorHAnsi"/>
          <w:sz w:val="24"/>
          <w:szCs w:val="24"/>
          <w:shd w:val="clear" w:color="auto" w:fill="FFFFFF" w:themeFill="background1"/>
        </w:rPr>
        <w:t>the movement without restriction of</w:t>
      </w:r>
      <w:r w:rsidRPr="005A461D">
        <w:rPr>
          <w:rFonts w:asciiTheme="minorHAnsi" w:hAnsiTheme="minorHAnsi"/>
          <w:sz w:val="24"/>
          <w:szCs w:val="24"/>
          <w:shd w:val="clear" w:color="auto" w:fill="FFFFFF" w:themeFill="background1"/>
        </w:rPr>
        <w:t xml:space="preserve"> goods, services, capital and persons within the EU</w:t>
      </w:r>
      <w:r w:rsidR="005F342D" w:rsidRPr="005A461D">
        <w:rPr>
          <w:rFonts w:asciiTheme="minorHAnsi" w:hAnsiTheme="minorHAnsi"/>
          <w:sz w:val="24"/>
          <w:szCs w:val="24"/>
          <w:shd w:val="clear" w:color="auto" w:fill="FFFFFF" w:themeFill="background1"/>
        </w:rPr>
        <w:t xml:space="preserve"> </w:t>
      </w:r>
      <w:r w:rsidR="00944BFE" w:rsidRPr="005A461D">
        <w:rPr>
          <w:rFonts w:asciiTheme="minorHAnsi" w:hAnsiTheme="minorHAnsi"/>
          <w:sz w:val="24"/>
          <w:szCs w:val="24"/>
          <w:shd w:val="clear" w:color="auto" w:fill="FFFFFF" w:themeFill="background1"/>
        </w:rPr>
        <w:t>by 1992</w:t>
      </w:r>
      <w:r w:rsidR="00DD44A4" w:rsidRPr="005A461D">
        <w:rPr>
          <w:rFonts w:asciiTheme="minorHAnsi" w:hAnsiTheme="minorHAnsi"/>
          <w:sz w:val="24"/>
          <w:szCs w:val="24"/>
          <w:shd w:val="clear" w:color="auto" w:fill="FFFFFF" w:themeFill="background1"/>
        </w:rPr>
        <w:t>, furthered the implementation of the freedoms</w:t>
      </w:r>
      <w:r w:rsidR="0002704E" w:rsidRPr="005A461D">
        <w:rPr>
          <w:rStyle w:val="FootnoteReference"/>
          <w:rFonts w:asciiTheme="minorHAnsi" w:hAnsiTheme="minorHAnsi"/>
          <w:sz w:val="24"/>
          <w:szCs w:val="24"/>
          <w:shd w:val="clear" w:color="auto" w:fill="FFFFFF" w:themeFill="background1"/>
        </w:rPr>
        <w:footnoteReference w:id="18"/>
      </w:r>
      <w:r w:rsidR="00B07D95" w:rsidRPr="005A461D">
        <w:rPr>
          <w:rFonts w:asciiTheme="minorHAnsi" w:hAnsiTheme="minorHAnsi"/>
          <w:sz w:val="24"/>
          <w:szCs w:val="24"/>
          <w:shd w:val="clear" w:color="auto" w:fill="FFFFFF" w:themeFill="background1"/>
        </w:rPr>
        <w:t xml:space="preserve"> which form the basis upon which the freedom of movement of lawyers and legal services is built.</w:t>
      </w:r>
      <w:r w:rsidRPr="005A461D">
        <w:rPr>
          <w:rFonts w:asciiTheme="minorHAnsi" w:hAnsiTheme="minorHAnsi"/>
          <w:sz w:val="24"/>
          <w:szCs w:val="24"/>
        </w:rPr>
        <w:t xml:space="preserve"> </w:t>
      </w:r>
      <w:r w:rsidR="00053D8C" w:rsidRPr="005A461D">
        <w:rPr>
          <w:rFonts w:asciiTheme="minorHAnsi" w:hAnsiTheme="minorHAnsi"/>
          <w:sz w:val="24"/>
          <w:szCs w:val="24"/>
        </w:rPr>
        <w:t>Th</w:t>
      </w:r>
      <w:r w:rsidR="005A26B6" w:rsidRPr="005A461D">
        <w:rPr>
          <w:rFonts w:asciiTheme="minorHAnsi" w:hAnsiTheme="minorHAnsi"/>
          <w:sz w:val="24"/>
          <w:szCs w:val="24"/>
        </w:rPr>
        <w:t xml:space="preserve">e aim in constructing the </w:t>
      </w:r>
      <w:r w:rsidR="009E4CFF" w:rsidRPr="005A461D">
        <w:rPr>
          <w:rFonts w:asciiTheme="minorHAnsi" w:hAnsiTheme="minorHAnsi"/>
          <w:sz w:val="24"/>
          <w:szCs w:val="24"/>
        </w:rPr>
        <w:t>common market</w:t>
      </w:r>
      <w:r w:rsidR="005A26B6" w:rsidRPr="005A461D">
        <w:rPr>
          <w:rFonts w:asciiTheme="minorHAnsi" w:hAnsiTheme="minorHAnsi"/>
          <w:sz w:val="24"/>
          <w:szCs w:val="24"/>
        </w:rPr>
        <w:t xml:space="preserve"> had been </w:t>
      </w:r>
      <w:r w:rsidR="009E4CFF" w:rsidRPr="005A461D">
        <w:rPr>
          <w:rFonts w:asciiTheme="minorHAnsi" w:hAnsiTheme="minorHAnsi"/>
          <w:sz w:val="24"/>
          <w:szCs w:val="24"/>
        </w:rPr>
        <w:t xml:space="preserve">to consolidate peace in </w:t>
      </w:r>
      <w:r w:rsidR="0018485F" w:rsidRPr="005A461D">
        <w:rPr>
          <w:rFonts w:asciiTheme="minorHAnsi" w:hAnsiTheme="minorHAnsi"/>
          <w:sz w:val="24"/>
          <w:szCs w:val="24"/>
        </w:rPr>
        <w:t xml:space="preserve">post-war </w:t>
      </w:r>
      <w:r w:rsidR="009E4CFF" w:rsidRPr="005A461D">
        <w:rPr>
          <w:rFonts w:asciiTheme="minorHAnsi" w:hAnsiTheme="minorHAnsi"/>
          <w:sz w:val="24"/>
          <w:szCs w:val="24"/>
        </w:rPr>
        <w:t>Europe and promote economic prosperity</w:t>
      </w:r>
      <w:r w:rsidR="00B07D95" w:rsidRPr="005A461D">
        <w:rPr>
          <w:rFonts w:asciiTheme="minorHAnsi" w:hAnsiTheme="minorHAnsi"/>
          <w:sz w:val="24"/>
          <w:szCs w:val="24"/>
        </w:rPr>
        <w:t>, t</w:t>
      </w:r>
      <w:r w:rsidR="005A26B6" w:rsidRPr="005A461D">
        <w:rPr>
          <w:rFonts w:asciiTheme="minorHAnsi" w:hAnsiTheme="minorHAnsi"/>
          <w:sz w:val="24"/>
          <w:szCs w:val="24"/>
        </w:rPr>
        <w:t>his latter to be achieved by removing</w:t>
      </w:r>
      <w:r w:rsidR="009E4CFF" w:rsidRPr="005A461D">
        <w:rPr>
          <w:rFonts w:asciiTheme="minorHAnsi" w:hAnsiTheme="minorHAnsi"/>
          <w:sz w:val="24"/>
          <w:szCs w:val="24"/>
        </w:rPr>
        <w:t xml:space="preserve"> </w:t>
      </w:r>
      <w:r w:rsidR="002D2114" w:rsidRPr="005A461D">
        <w:rPr>
          <w:rFonts w:asciiTheme="minorHAnsi" w:hAnsiTheme="minorHAnsi"/>
          <w:sz w:val="24"/>
          <w:szCs w:val="24"/>
          <w:shd w:val="clear" w:color="auto" w:fill="FFFFFF"/>
        </w:rPr>
        <w:t xml:space="preserve">barriers to trade </w:t>
      </w:r>
      <w:r w:rsidR="000B5C90" w:rsidRPr="005A461D">
        <w:rPr>
          <w:rFonts w:asciiTheme="minorHAnsi" w:hAnsiTheme="minorHAnsi"/>
          <w:sz w:val="24"/>
          <w:szCs w:val="24"/>
          <w:shd w:val="clear" w:color="auto" w:fill="FFFFFF"/>
        </w:rPr>
        <w:t xml:space="preserve">between </w:t>
      </w:r>
      <w:r w:rsidR="001D6D90" w:rsidRPr="005A461D">
        <w:rPr>
          <w:rFonts w:asciiTheme="minorHAnsi" w:hAnsiTheme="minorHAnsi"/>
          <w:sz w:val="24"/>
          <w:szCs w:val="24"/>
          <w:shd w:val="clear" w:color="auto" w:fill="FFFFFF"/>
        </w:rPr>
        <w:t>Member States</w:t>
      </w:r>
      <w:r w:rsidR="00F22A91" w:rsidRPr="005A461D">
        <w:rPr>
          <w:rFonts w:asciiTheme="minorHAnsi" w:hAnsiTheme="minorHAnsi"/>
          <w:sz w:val="24"/>
          <w:szCs w:val="24"/>
          <w:shd w:val="clear" w:color="auto" w:fill="FFFFFF"/>
        </w:rPr>
        <w:t>,</w:t>
      </w:r>
      <w:r w:rsidR="0093645A" w:rsidRPr="005A461D">
        <w:rPr>
          <w:rFonts w:asciiTheme="minorHAnsi" w:hAnsiTheme="minorHAnsi"/>
          <w:sz w:val="24"/>
          <w:szCs w:val="24"/>
          <w:shd w:val="clear" w:color="auto" w:fill="FFFFFF"/>
        </w:rPr>
        <w:t xml:space="preserve"> such as</w:t>
      </w:r>
      <w:r w:rsidR="00415761" w:rsidRPr="005A461D">
        <w:rPr>
          <w:rFonts w:asciiTheme="minorHAnsi" w:hAnsiTheme="minorHAnsi"/>
          <w:sz w:val="24"/>
          <w:szCs w:val="24"/>
          <w:shd w:val="clear" w:color="auto" w:fill="FFFFFF"/>
        </w:rPr>
        <w:t xml:space="preserve"> tariffs</w:t>
      </w:r>
      <w:r w:rsidR="000B5C90" w:rsidRPr="005A461D">
        <w:rPr>
          <w:rFonts w:asciiTheme="minorHAnsi" w:hAnsiTheme="minorHAnsi"/>
          <w:sz w:val="24"/>
          <w:szCs w:val="24"/>
          <w:shd w:val="clear" w:color="auto" w:fill="FFFFFF"/>
        </w:rPr>
        <w:t xml:space="preserve"> </w:t>
      </w:r>
      <w:r w:rsidR="00415761" w:rsidRPr="005A461D">
        <w:rPr>
          <w:rFonts w:asciiTheme="minorHAnsi" w:hAnsiTheme="minorHAnsi"/>
          <w:sz w:val="24"/>
          <w:szCs w:val="24"/>
          <w:shd w:val="clear" w:color="auto" w:fill="FFFFFF"/>
        </w:rPr>
        <w:t>and quotas</w:t>
      </w:r>
      <w:r w:rsidR="00F22A91" w:rsidRPr="005A461D">
        <w:rPr>
          <w:rFonts w:asciiTheme="minorHAnsi" w:hAnsiTheme="minorHAnsi"/>
          <w:sz w:val="24"/>
          <w:szCs w:val="24"/>
          <w:shd w:val="clear" w:color="auto" w:fill="FFFFFF"/>
        </w:rPr>
        <w:t>,</w:t>
      </w:r>
      <w:r w:rsidR="00FC51F3" w:rsidRPr="005A461D">
        <w:rPr>
          <w:rFonts w:asciiTheme="minorHAnsi" w:hAnsiTheme="minorHAnsi"/>
          <w:sz w:val="24"/>
          <w:szCs w:val="24"/>
          <w:shd w:val="clear" w:color="auto" w:fill="FFFFFF"/>
        </w:rPr>
        <w:t xml:space="preserve"> </w:t>
      </w:r>
      <w:r w:rsidR="005A26B6" w:rsidRPr="005A461D">
        <w:rPr>
          <w:rFonts w:asciiTheme="minorHAnsi" w:hAnsiTheme="minorHAnsi"/>
          <w:sz w:val="24"/>
          <w:szCs w:val="24"/>
          <w:shd w:val="clear" w:color="auto" w:fill="FFFFFF"/>
        </w:rPr>
        <w:t>which are generally considered to raise the cost of traded goods and decrease efficiency and productivity</w:t>
      </w:r>
      <w:r w:rsidR="00DD40BA" w:rsidRPr="005A461D">
        <w:rPr>
          <w:rFonts w:asciiTheme="minorHAnsi" w:hAnsiTheme="minorHAnsi"/>
          <w:sz w:val="24"/>
          <w:szCs w:val="24"/>
          <w:shd w:val="clear" w:color="auto" w:fill="FFFFFF"/>
        </w:rPr>
        <w:t xml:space="preserve">. </w:t>
      </w:r>
      <w:r w:rsidR="00F22A91" w:rsidRPr="005A461D">
        <w:rPr>
          <w:rFonts w:asciiTheme="minorHAnsi" w:hAnsiTheme="minorHAnsi"/>
          <w:sz w:val="24"/>
          <w:szCs w:val="24"/>
          <w:shd w:val="clear" w:color="auto" w:fill="FFFFFF"/>
        </w:rPr>
        <w:t>Despite the existence of the common market</w:t>
      </w:r>
      <w:r w:rsidR="00B07D95" w:rsidRPr="005A461D">
        <w:rPr>
          <w:rFonts w:asciiTheme="minorHAnsi" w:hAnsiTheme="minorHAnsi"/>
          <w:sz w:val="24"/>
          <w:szCs w:val="24"/>
          <w:shd w:val="clear" w:color="auto" w:fill="FFFFFF"/>
        </w:rPr>
        <w:t xml:space="preserve"> and jurisprudence</w:t>
      </w:r>
      <w:r w:rsidR="001D1811" w:rsidRPr="005A461D">
        <w:rPr>
          <w:rFonts w:asciiTheme="minorHAnsi" w:hAnsiTheme="minorHAnsi"/>
          <w:sz w:val="24"/>
          <w:szCs w:val="24"/>
          <w:shd w:val="clear" w:color="auto" w:fill="FFFFFF"/>
        </w:rPr>
        <w:t xml:space="preserve"> on FOM</w:t>
      </w:r>
      <w:r w:rsidR="00B07D95" w:rsidRPr="005A461D">
        <w:rPr>
          <w:rFonts w:asciiTheme="minorHAnsi" w:hAnsiTheme="minorHAnsi"/>
          <w:sz w:val="24"/>
          <w:szCs w:val="24"/>
          <w:shd w:val="clear" w:color="auto" w:fill="FFFFFF"/>
        </w:rPr>
        <w:t xml:space="preserve"> from the European Court of Justice (ECJ)</w:t>
      </w:r>
      <w:r w:rsidR="00F22A91" w:rsidRPr="005A461D">
        <w:rPr>
          <w:rFonts w:asciiTheme="minorHAnsi" w:hAnsiTheme="minorHAnsi"/>
          <w:sz w:val="24"/>
          <w:szCs w:val="24"/>
          <w:shd w:val="clear" w:color="auto" w:fill="FFFFFF"/>
        </w:rPr>
        <w:t>, significant barriers to trade still existed within the EU in the 1980s.</w:t>
      </w:r>
      <w:r w:rsidR="00F22A91" w:rsidRPr="005A461D">
        <w:rPr>
          <w:rFonts w:asciiTheme="minorHAnsi" w:hAnsiTheme="minorHAnsi"/>
          <w:sz w:val="24"/>
          <w:szCs w:val="24"/>
        </w:rPr>
        <w:t xml:space="preserve"> </w:t>
      </w:r>
      <w:r w:rsidR="0019608F" w:rsidRPr="005A461D">
        <w:rPr>
          <w:rFonts w:asciiTheme="minorHAnsi" w:hAnsiTheme="minorHAnsi"/>
          <w:sz w:val="24"/>
          <w:szCs w:val="24"/>
        </w:rPr>
        <w:t>S</w:t>
      </w:r>
      <w:r w:rsidR="000F734C" w:rsidRPr="005A461D">
        <w:rPr>
          <w:rFonts w:asciiTheme="minorHAnsi" w:hAnsiTheme="minorHAnsi"/>
          <w:sz w:val="24"/>
          <w:szCs w:val="24"/>
        </w:rPr>
        <w:t>ince 1993, the single market has created a single territory, which today numbers more than 500 million inhabitants</w:t>
      </w:r>
      <w:r w:rsidR="00C402AC" w:rsidRPr="005A461D">
        <w:rPr>
          <w:rFonts w:asciiTheme="minorHAnsi" w:hAnsiTheme="minorHAnsi"/>
          <w:sz w:val="24"/>
          <w:szCs w:val="24"/>
        </w:rPr>
        <w:t xml:space="preserve"> and</w:t>
      </w:r>
      <w:r w:rsidR="00AD2EAD" w:rsidRPr="005A461D">
        <w:rPr>
          <w:rFonts w:asciiTheme="minorHAnsi" w:hAnsiTheme="minorHAnsi"/>
          <w:sz w:val="24"/>
          <w:szCs w:val="24"/>
        </w:rPr>
        <w:t xml:space="preserve"> over the years,</w:t>
      </w:r>
      <w:r w:rsidR="000F734C" w:rsidRPr="005A461D">
        <w:rPr>
          <w:rFonts w:asciiTheme="minorHAnsi" w:hAnsiTheme="minorHAnsi"/>
          <w:sz w:val="24"/>
          <w:szCs w:val="24"/>
        </w:rPr>
        <w:t xml:space="preserve"> internal borders and regulatory restrictions to the free movement of goods and services have been </w:t>
      </w:r>
      <w:r w:rsidR="00B07D95" w:rsidRPr="005A461D">
        <w:rPr>
          <w:rFonts w:asciiTheme="minorHAnsi" w:hAnsiTheme="minorHAnsi"/>
          <w:sz w:val="24"/>
          <w:szCs w:val="24"/>
        </w:rPr>
        <w:t>dismantled</w:t>
      </w:r>
      <w:r w:rsidR="000F734C" w:rsidRPr="005A461D">
        <w:rPr>
          <w:rFonts w:asciiTheme="minorHAnsi" w:hAnsiTheme="minorHAnsi"/>
          <w:sz w:val="24"/>
          <w:szCs w:val="24"/>
        </w:rPr>
        <w:t>.</w:t>
      </w:r>
      <w:r w:rsidR="000F734C" w:rsidRPr="005A461D">
        <w:rPr>
          <w:rStyle w:val="FootnoteReference"/>
          <w:rFonts w:asciiTheme="minorHAnsi" w:hAnsiTheme="minorHAnsi"/>
          <w:sz w:val="24"/>
          <w:szCs w:val="24"/>
        </w:rPr>
        <w:footnoteReference w:id="19"/>
      </w:r>
      <w:r w:rsidR="00CE6998" w:rsidRPr="005A461D">
        <w:rPr>
          <w:rFonts w:asciiTheme="minorHAnsi" w:hAnsiTheme="minorHAnsi"/>
          <w:sz w:val="24"/>
          <w:szCs w:val="24"/>
          <w:shd w:val="clear" w:color="auto" w:fill="FFFFFF"/>
        </w:rPr>
        <w:t xml:space="preserve"> </w:t>
      </w:r>
      <w:r w:rsidR="00FE0A8A" w:rsidRPr="005A461D">
        <w:rPr>
          <w:rFonts w:asciiTheme="minorHAnsi" w:hAnsiTheme="minorHAnsi"/>
          <w:sz w:val="24"/>
          <w:szCs w:val="24"/>
          <w:shd w:val="clear" w:color="auto" w:fill="FFFFFF"/>
        </w:rPr>
        <w:t>At the same time, u</w:t>
      </w:r>
      <w:r w:rsidR="00415761" w:rsidRPr="005A461D">
        <w:rPr>
          <w:rFonts w:asciiTheme="minorHAnsi" w:hAnsiTheme="minorHAnsi"/>
          <w:sz w:val="24"/>
          <w:szCs w:val="24"/>
          <w:shd w:val="clear" w:color="auto" w:fill="FFFFFF"/>
        </w:rPr>
        <w:t xml:space="preserve">nrestricted </w:t>
      </w:r>
      <w:r w:rsidR="00415761" w:rsidRPr="005A461D">
        <w:rPr>
          <w:rFonts w:asciiTheme="minorHAnsi" w:hAnsiTheme="minorHAnsi"/>
          <w:color w:val="111111"/>
          <w:sz w:val="24"/>
          <w:szCs w:val="24"/>
          <w:shd w:val="clear" w:color="auto" w:fill="FFFFFF"/>
        </w:rPr>
        <w:t xml:space="preserve">movement of people throughout the </w:t>
      </w:r>
      <w:r w:rsidR="00635819" w:rsidRPr="005A461D">
        <w:rPr>
          <w:rFonts w:asciiTheme="minorHAnsi" w:hAnsiTheme="minorHAnsi"/>
          <w:color w:val="111111"/>
          <w:sz w:val="24"/>
          <w:szCs w:val="24"/>
          <w:shd w:val="clear" w:color="auto" w:fill="FFFFFF"/>
        </w:rPr>
        <w:t>territory</w:t>
      </w:r>
      <w:r w:rsidR="00202C9A" w:rsidRPr="005A461D">
        <w:rPr>
          <w:rFonts w:asciiTheme="minorHAnsi" w:hAnsiTheme="minorHAnsi"/>
          <w:color w:val="111111"/>
          <w:sz w:val="24"/>
          <w:szCs w:val="24"/>
          <w:shd w:val="clear" w:color="auto" w:fill="FFFFFF"/>
        </w:rPr>
        <w:t xml:space="preserve"> </w:t>
      </w:r>
      <w:r w:rsidR="000F734C" w:rsidRPr="005A461D">
        <w:rPr>
          <w:rFonts w:asciiTheme="minorHAnsi" w:hAnsiTheme="minorHAnsi"/>
          <w:color w:val="111111"/>
          <w:sz w:val="24"/>
          <w:szCs w:val="24"/>
          <w:shd w:val="clear" w:color="auto" w:fill="FFFFFF"/>
        </w:rPr>
        <w:t xml:space="preserve">has </w:t>
      </w:r>
      <w:r w:rsidR="0093645A" w:rsidRPr="005A461D">
        <w:rPr>
          <w:rFonts w:asciiTheme="minorHAnsi" w:hAnsiTheme="minorHAnsi"/>
          <w:color w:val="111111"/>
          <w:sz w:val="24"/>
          <w:szCs w:val="24"/>
          <w:shd w:val="clear" w:color="auto" w:fill="FFFFFF"/>
        </w:rPr>
        <w:t>enable</w:t>
      </w:r>
      <w:r w:rsidR="00202C9A" w:rsidRPr="005A461D">
        <w:rPr>
          <w:rFonts w:asciiTheme="minorHAnsi" w:hAnsiTheme="minorHAnsi"/>
          <w:color w:val="111111"/>
          <w:sz w:val="24"/>
          <w:szCs w:val="24"/>
          <w:shd w:val="clear" w:color="auto" w:fill="FFFFFF"/>
        </w:rPr>
        <w:t>d</w:t>
      </w:r>
      <w:r w:rsidR="0093645A" w:rsidRPr="005A461D">
        <w:rPr>
          <w:rFonts w:asciiTheme="minorHAnsi" w:hAnsiTheme="minorHAnsi"/>
          <w:color w:val="111111"/>
          <w:sz w:val="24"/>
          <w:szCs w:val="24"/>
          <w:shd w:val="clear" w:color="auto" w:fill="FFFFFF"/>
        </w:rPr>
        <w:t xml:space="preserve"> the workforce to move freely to find employment and provide labour where there </w:t>
      </w:r>
      <w:r w:rsidR="00C402AC" w:rsidRPr="005A461D">
        <w:rPr>
          <w:rFonts w:asciiTheme="minorHAnsi" w:hAnsiTheme="minorHAnsi"/>
          <w:color w:val="111111"/>
          <w:sz w:val="24"/>
          <w:szCs w:val="24"/>
          <w:shd w:val="clear" w:color="auto" w:fill="FFFFFF"/>
        </w:rPr>
        <w:t>i</w:t>
      </w:r>
      <w:r w:rsidR="0093645A" w:rsidRPr="005A461D">
        <w:rPr>
          <w:rFonts w:asciiTheme="minorHAnsi" w:hAnsiTheme="minorHAnsi"/>
          <w:color w:val="111111"/>
          <w:sz w:val="24"/>
          <w:szCs w:val="24"/>
          <w:shd w:val="clear" w:color="auto" w:fill="FFFFFF"/>
        </w:rPr>
        <w:t xml:space="preserve">s a </w:t>
      </w:r>
      <w:r w:rsidR="00635819" w:rsidRPr="005A461D">
        <w:rPr>
          <w:rFonts w:asciiTheme="minorHAnsi" w:hAnsiTheme="minorHAnsi"/>
          <w:color w:val="111111"/>
          <w:sz w:val="24"/>
          <w:szCs w:val="24"/>
          <w:shd w:val="clear" w:color="auto" w:fill="FFFFFF"/>
        </w:rPr>
        <w:t xml:space="preserve">greater </w:t>
      </w:r>
      <w:r w:rsidR="0093645A" w:rsidRPr="005A461D">
        <w:rPr>
          <w:rFonts w:asciiTheme="minorHAnsi" w:hAnsiTheme="minorHAnsi"/>
          <w:color w:val="111111"/>
          <w:sz w:val="24"/>
          <w:szCs w:val="24"/>
          <w:shd w:val="clear" w:color="auto" w:fill="FFFFFF"/>
        </w:rPr>
        <w:t>demand</w:t>
      </w:r>
      <w:r w:rsidR="00635819" w:rsidRPr="005A461D">
        <w:rPr>
          <w:rFonts w:asciiTheme="minorHAnsi" w:hAnsiTheme="minorHAnsi"/>
          <w:color w:val="111111"/>
          <w:sz w:val="24"/>
          <w:szCs w:val="24"/>
          <w:shd w:val="clear" w:color="auto" w:fill="FFFFFF"/>
        </w:rPr>
        <w:t xml:space="preserve"> than supp</w:t>
      </w:r>
      <w:r w:rsidR="00635819" w:rsidRPr="005A461D">
        <w:rPr>
          <w:rFonts w:asciiTheme="minorHAnsi" w:hAnsiTheme="minorHAnsi"/>
          <w:sz w:val="24"/>
          <w:szCs w:val="24"/>
          <w:shd w:val="clear" w:color="auto" w:fill="FFFFFF"/>
        </w:rPr>
        <w:t>ly</w:t>
      </w:r>
      <w:r w:rsidR="00D345D2" w:rsidRPr="005A461D">
        <w:rPr>
          <w:rFonts w:asciiTheme="minorHAnsi" w:hAnsiTheme="minorHAnsi"/>
          <w:sz w:val="24"/>
          <w:szCs w:val="24"/>
          <w:shd w:val="clear" w:color="auto" w:fill="FFFFFF"/>
        </w:rPr>
        <w:t>,</w:t>
      </w:r>
      <w:r w:rsidR="00B07D95" w:rsidRPr="005A461D">
        <w:rPr>
          <w:rFonts w:asciiTheme="minorHAnsi" w:hAnsiTheme="minorHAnsi"/>
          <w:sz w:val="24"/>
          <w:szCs w:val="24"/>
          <w:shd w:val="clear" w:color="auto" w:fill="FFFFFF"/>
        </w:rPr>
        <w:t xml:space="preserve"> to pursue career choices</w:t>
      </w:r>
      <w:r w:rsidR="00C9738A" w:rsidRPr="005A461D">
        <w:rPr>
          <w:rFonts w:asciiTheme="minorHAnsi" w:hAnsiTheme="minorHAnsi"/>
          <w:sz w:val="24"/>
          <w:szCs w:val="24"/>
          <w:shd w:val="clear" w:color="auto" w:fill="FFFFFF"/>
        </w:rPr>
        <w:t xml:space="preserve"> in another member state</w:t>
      </w:r>
      <w:r w:rsidR="00D345D2" w:rsidRPr="005A461D">
        <w:rPr>
          <w:rFonts w:asciiTheme="minorHAnsi" w:hAnsiTheme="minorHAnsi"/>
          <w:sz w:val="24"/>
          <w:szCs w:val="24"/>
          <w:shd w:val="clear" w:color="auto" w:fill="FFFFFF"/>
        </w:rPr>
        <w:t xml:space="preserve">, or to </w:t>
      </w:r>
      <w:r w:rsidR="00367C5C" w:rsidRPr="005A461D">
        <w:rPr>
          <w:rFonts w:asciiTheme="minorHAnsi" w:hAnsiTheme="minorHAnsi"/>
          <w:sz w:val="24"/>
          <w:szCs w:val="24"/>
          <w:shd w:val="clear" w:color="auto" w:fill="FFFFFF"/>
        </w:rPr>
        <w:t>achieve family reunification</w:t>
      </w:r>
      <w:r w:rsidR="00635819" w:rsidRPr="005A461D">
        <w:rPr>
          <w:rFonts w:asciiTheme="minorHAnsi" w:hAnsiTheme="minorHAnsi"/>
          <w:color w:val="111111"/>
          <w:sz w:val="24"/>
          <w:szCs w:val="24"/>
          <w:shd w:val="clear" w:color="auto" w:fill="FFFFFF"/>
        </w:rPr>
        <w:t xml:space="preserve">. </w:t>
      </w:r>
      <w:r w:rsidR="00D86CE7" w:rsidRPr="005A461D">
        <w:rPr>
          <w:rFonts w:asciiTheme="minorHAnsi" w:hAnsiTheme="minorHAnsi"/>
          <w:color w:val="111111"/>
          <w:sz w:val="24"/>
          <w:szCs w:val="24"/>
          <w:shd w:val="clear" w:color="auto" w:fill="FFFFFF"/>
        </w:rPr>
        <w:t xml:space="preserve">Initially viewed as factors of production, </w:t>
      </w:r>
      <w:r w:rsidR="00CA0652" w:rsidRPr="005A461D">
        <w:rPr>
          <w:rFonts w:asciiTheme="minorHAnsi" w:hAnsiTheme="minorHAnsi"/>
          <w:color w:val="111111"/>
          <w:sz w:val="24"/>
          <w:szCs w:val="24"/>
          <w:shd w:val="clear" w:color="auto" w:fill="FFFFFF"/>
        </w:rPr>
        <w:t>workers and their families are now considered</w:t>
      </w:r>
      <w:r w:rsidR="00D86CE7" w:rsidRPr="005A461D">
        <w:rPr>
          <w:rFonts w:asciiTheme="minorHAnsi" w:hAnsiTheme="minorHAnsi"/>
          <w:color w:val="111111"/>
          <w:sz w:val="24"/>
          <w:szCs w:val="24"/>
          <w:shd w:val="clear" w:color="auto" w:fill="FFFFFF"/>
        </w:rPr>
        <w:t xml:space="preserve"> citizens of the EU,</w:t>
      </w:r>
      <w:r w:rsidR="00D86CE7" w:rsidRPr="005A461D">
        <w:rPr>
          <w:rStyle w:val="FootnoteReference"/>
          <w:rFonts w:asciiTheme="minorHAnsi" w:hAnsiTheme="minorHAnsi"/>
          <w:color w:val="111111"/>
          <w:sz w:val="24"/>
          <w:szCs w:val="24"/>
          <w:shd w:val="clear" w:color="auto" w:fill="FFFFFF"/>
        </w:rPr>
        <w:footnoteReference w:id="20"/>
      </w:r>
      <w:r w:rsidR="00D86CE7" w:rsidRPr="005A461D">
        <w:rPr>
          <w:rFonts w:asciiTheme="minorHAnsi" w:hAnsiTheme="minorHAnsi"/>
          <w:color w:val="111111"/>
          <w:sz w:val="24"/>
          <w:szCs w:val="24"/>
          <w:shd w:val="clear" w:color="auto" w:fill="FFFFFF"/>
        </w:rPr>
        <w:t xml:space="preserve"> </w:t>
      </w:r>
      <w:r w:rsidR="004E175F" w:rsidRPr="005A461D">
        <w:rPr>
          <w:rFonts w:asciiTheme="minorHAnsi" w:hAnsiTheme="minorHAnsi"/>
          <w:color w:val="111111"/>
          <w:sz w:val="24"/>
          <w:szCs w:val="24"/>
          <w:shd w:val="clear" w:color="auto" w:fill="FFFFFF"/>
        </w:rPr>
        <w:t xml:space="preserve">and </w:t>
      </w:r>
      <w:r w:rsidR="0095506A" w:rsidRPr="005A461D">
        <w:rPr>
          <w:rFonts w:asciiTheme="minorHAnsi" w:hAnsiTheme="minorHAnsi"/>
          <w:color w:val="111111"/>
          <w:sz w:val="24"/>
          <w:szCs w:val="24"/>
          <w:shd w:val="clear" w:color="auto" w:fill="FFFFFF"/>
        </w:rPr>
        <w:t xml:space="preserve">are </w:t>
      </w:r>
      <w:r w:rsidR="004E175F" w:rsidRPr="005A461D">
        <w:rPr>
          <w:rFonts w:asciiTheme="minorHAnsi" w:hAnsiTheme="minorHAnsi"/>
          <w:color w:val="111111"/>
          <w:sz w:val="24"/>
          <w:szCs w:val="24"/>
          <w:shd w:val="clear" w:color="auto" w:fill="FFFFFF"/>
        </w:rPr>
        <w:t>possessed of</w:t>
      </w:r>
      <w:r w:rsidR="00661774" w:rsidRPr="005A461D">
        <w:rPr>
          <w:rFonts w:asciiTheme="minorHAnsi" w:hAnsiTheme="minorHAnsi"/>
          <w:color w:val="111111"/>
          <w:sz w:val="24"/>
          <w:szCs w:val="24"/>
          <w:shd w:val="clear" w:color="auto" w:fill="FFFFFF"/>
        </w:rPr>
        <w:t xml:space="preserve"> a range of</w:t>
      </w:r>
      <w:r w:rsidR="00D86CE7" w:rsidRPr="005A461D">
        <w:rPr>
          <w:rFonts w:asciiTheme="minorHAnsi" w:hAnsiTheme="minorHAnsi"/>
          <w:color w:val="111111"/>
          <w:sz w:val="24"/>
          <w:szCs w:val="24"/>
          <w:shd w:val="clear" w:color="auto" w:fill="FFFFFF"/>
        </w:rPr>
        <w:t xml:space="preserve"> rights </w:t>
      </w:r>
      <w:r w:rsidR="00972679" w:rsidRPr="005A461D">
        <w:rPr>
          <w:rFonts w:asciiTheme="minorHAnsi" w:hAnsiTheme="minorHAnsi"/>
          <w:color w:val="111111"/>
          <w:sz w:val="24"/>
          <w:szCs w:val="24"/>
          <w:shd w:val="clear" w:color="auto" w:fill="FFFFFF"/>
        </w:rPr>
        <w:t xml:space="preserve">in the host member state </w:t>
      </w:r>
      <w:r w:rsidR="00D86CE7" w:rsidRPr="005A461D">
        <w:rPr>
          <w:rFonts w:asciiTheme="minorHAnsi" w:hAnsiTheme="minorHAnsi"/>
          <w:color w:val="111111"/>
          <w:sz w:val="24"/>
          <w:szCs w:val="24"/>
          <w:shd w:val="clear" w:color="auto" w:fill="FFFFFF"/>
        </w:rPr>
        <w:t>based on EU law</w:t>
      </w:r>
      <w:r w:rsidR="00CA0652" w:rsidRPr="005A461D">
        <w:rPr>
          <w:rFonts w:asciiTheme="minorHAnsi" w:hAnsiTheme="minorHAnsi"/>
          <w:color w:val="111111"/>
          <w:sz w:val="24"/>
          <w:szCs w:val="24"/>
          <w:shd w:val="clear" w:color="auto" w:fill="FFFFFF"/>
        </w:rPr>
        <w:t xml:space="preserve">. </w:t>
      </w:r>
      <w:r w:rsidR="00825D40" w:rsidRPr="005A461D">
        <w:rPr>
          <w:rFonts w:asciiTheme="minorHAnsi" w:hAnsiTheme="minorHAnsi"/>
          <w:color w:val="111111"/>
          <w:sz w:val="24"/>
          <w:szCs w:val="24"/>
          <w:shd w:val="clear" w:color="auto" w:fill="FFFFFF"/>
        </w:rPr>
        <w:t xml:space="preserve">Like workers, the self-employed also enjoy free movement rights: the </w:t>
      </w:r>
      <w:r w:rsidR="000233B6" w:rsidRPr="005A461D">
        <w:rPr>
          <w:rFonts w:asciiTheme="minorHAnsi" w:hAnsiTheme="minorHAnsi"/>
          <w:color w:val="111111"/>
          <w:sz w:val="24"/>
          <w:szCs w:val="24"/>
          <w:shd w:val="clear" w:color="auto" w:fill="FFFFFF"/>
        </w:rPr>
        <w:t xml:space="preserve">right to provide services in another member state and the </w:t>
      </w:r>
      <w:r w:rsidR="00825D40" w:rsidRPr="005A461D">
        <w:rPr>
          <w:rFonts w:asciiTheme="minorHAnsi" w:hAnsiTheme="minorHAnsi"/>
          <w:color w:val="111111"/>
          <w:sz w:val="24"/>
          <w:szCs w:val="24"/>
          <w:shd w:val="clear" w:color="auto" w:fill="FFFFFF"/>
        </w:rPr>
        <w:t>right to establish themselves</w:t>
      </w:r>
      <w:r w:rsidR="000233B6" w:rsidRPr="005A461D">
        <w:rPr>
          <w:rFonts w:asciiTheme="minorHAnsi" w:hAnsiTheme="minorHAnsi"/>
          <w:color w:val="111111"/>
          <w:sz w:val="24"/>
          <w:szCs w:val="24"/>
          <w:shd w:val="clear" w:color="auto" w:fill="FFFFFF"/>
        </w:rPr>
        <w:t>, and the right to settle their families with them</w:t>
      </w:r>
      <w:r w:rsidR="00825D40" w:rsidRPr="005A461D">
        <w:rPr>
          <w:rFonts w:asciiTheme="minorHAnsi" w:hAnsiTheme="minorHAnsi"/>
          <w:color w:val="111111"/>
          <w:sz w:val="24"/>
          <w:szCs w:val="24"/>
          <w:shd w:val="clear" w:color="auto" w:fill="FFFFFF"/>
        </w:rPr>
        <w:t xml:space="preserve">. </w:t>
      </w:r>
      <w:r w:rsidR="00C471A8" w:rsidRPr="005A461D">
        <w:rPr>
          <w:rFonts w:asciiTheme="minorHAnsi" w:hAnsiTheme="minorHAnsi"/>
          <w:color w:val="111111"/>
          <w:sz w:val="24"/>
          <w:szCs w:val="24"/>
          <w:shd w:val="clear" w:color="auto" w:fill="FFFFFF"/>
        </w:rPr>
        <w:t xml:space="preserve">These free movement provisions </w:t>
      </w:r>
      <w:r w:rsidR="00FB28F6" w:rsidRPr="005A461D">
        <w:rPr>
          <w:rFonts w:asciiTheme="minorHAnsi" w:eastAsiaTheme="majorEastAsia" w:hAnsiTheme="minorHAnsi"/>
          <w:bCs/>
          <w:kern w:val="24"/>
          <w:position w:val="1"/>
          <w:sz w:val="24"/>
          <w:szCs w:val="24"/>
          <w:lang w:val="en-US"/>
        </w:rPr>
        <w:t>enable lawyers to practice across borders within the EU.</w:t>
      </w:r>
      <w:r w:rsidR="003B2E73" w:rsidRPr="00D45CDF">
        <w:rPr>
          <w:rFonts w:asciiTheme="minorHAnsi" w:eastAsiaTheme="majorEastAsia" w:hAnsiTheme="minorHAnsi"/>
          <w:bCs/>
          <w:kern w:val="24"/>
          <w:position w:val="1"/>
          <w:sz w:val="24"/>
          <w:szCs w:val="24"/>
          <w:lang w:val="en-US"/>
        </w:rPr>
        <w:t xml:space="preserve"> </w:t>
      </w:r>
    </w:p>
    <w:p w14:paraId="317B8E75" w14:textId="77777777" w:rsidR="00E62A8D" w:rsidRPr="00D45CDF" w:rsidRDefault="00FB28F6" w:rsidP="00D45CDF">
      <w:pPr>
        <w:shd w:val="clear" w:color="auto" w:fill="FFFFFF"/>
        <w:spacing w:before="240" w:line="240" w:lineRule="auto"/>
        <w:jc w:val="both"/>
        <w:rPr>
          <w:rFonts w:asciiTheme="minorHAnsi" w:eastAsiaTheme="majorEastAsia" w:hAnsiTheme="minorHAnsi"/>
          <w:bCs/>
          <w:kern w:val="24"/>
          <w:position w:val="1"/>
          <w:sz w:val="24"/>
          <w:szCs w:val="24"/>
          <w:lang w:val="en-US"/>
        </w:rPr>
      </w:pPr>
      <w:r w:rsidRPr="00D45CDF">
        <w:rPr>
          <w:rFonts w:asciiTheme="minorHAnsi" w:eastAsiaTheme="majorEastAsia" w:hAnsiTheme="minorHAnsi"/>
          <w:bCs/>
          <w:kern w:val="24"/>
          <w:position w:val="1"/>
          <w:sz w:val="24"/>
          <w:szCs w:val="24"/>
          <w:lang w:val="en-US"/>
        </w:rPr>
        <w:t xml:space="preserve">The principle EU Treaty provisions </w:t>
      </w:r>
      <w:r w:rsidR="00097332" w:rsidRPr="00D45CDF">
        <w:rPr>
          <w:rFonts w:asciiTheme="minorHAnsi" w:eastAsiaTheme="majorEastAsia" w:hAnsiTheme="minorHAnsi"/>
          <w:bCs/>
          <w:kern w:val="24"/>
          <w:position w:val="1"/>
          <w:sz w:val="24"/>
          <w:szCs w:val="24"/>
          <w:lang w:val="en-US"/>
        </w:rPr>
        <w:t xml:space="preserve">regarding freedom of movement </w:t>
      </w:r>
      <w:r w:rsidRPr="00D45CDF">
        <w:rPr>
          <w:rFonts w:asciiTheme="minorHAnsi" w:eastAsiaTheme="majorEastAsia" w:hAnsiTheme="minorHAnsi"/>
          <w:bCs/>
          <w:kern w:val="24"/>
          <w:position w:val="1"/>
          <w:sz w:val="24"/>
          <w:szCs w:val="24"/>
          <w:lang w:val="en-US"/>
        </w:rPr>
        <w:t xml:space="preserve">are found in Articles 45, 49 </w:t>
      </w:r>
      <w:r w:rsidR="00C21CB7" w:rsidRPr="00D45CDF">
        <w:rPr>
          <w:rFonts w:asciiTheme="minorHAnsi" w:eastAsiaTheme="majorEastAsia" w:hAnsiTheme="minorHAnsi"/>
          <w:bCs/>
          <w:kern w:val="24"/>
          <w:position w:val="1"/>
          <w:sz w:val="24"/>
          <w:szCs w:val="24"/>
          <w:lang w:val="en-US"/>
        </w:rPr>
        <w:t xml:space="preserve">and </w:t>
      </w:r>
      <w:r w:rsidRPr="00D45CDF">
        <w:rPr>
          <w:rFonts w:asciiTheme="minorHAnsi" w:eastAsiaTheme="majorEastAsia" w:hAnsiTheme="minorHAnsi"/>
          <w:bCs/>
          <w:kern w:val="24"/>
          <w:position w:val="1"/>
          <w:sz w:val="24"/>
          <w:szCs w:val="24"/>
          <w:lang w:val="en-US"/>
        </w:rPr>
        <w:t>56</w:t>
      </w:r>
      <w:r w:rsidR="00A07120" w:rsidRPr="00D45CDF">
        <w:rPr>
          <w:rFonts w:asciiTheme="minorHAnsi" w:eastAsiaTheme="majorEastAsia" w:hAnsiTheme="minorHAnsi"/>
          <w:bCs/>
          <w:kern w:val="24"/>
          <w:position w:val="1"/>
          <w:sz w:val="24"/>
          <w:szCs w:val="24"/>
          <w:lang w:val="en-US"/>
        </w:rPr>
        <w:t xml:space="preserve"> </w:t>
      </w:r>
      <w:r w:rsidRPr="00D45CDF">
        <w:rPr>
          <w:rFonts w:asciiTheme="minorHAnsi" w:eastAsiaTheme="majorEastAsia" w:hAnsiTheme="minorHAnsi"/>
          <w:bCs/>
          <w:kern w:val="24"/>
          <w:position w:val="1"/>
          <w:sz w:val="24"/>
          <w:szCs w:val="24"/>
          <w:lang w:val="en-US"/>
        </w:rPr>
        <w:t>of the T</w:t>
      </w:r>
      <w:r w:rsidR="0032332B" w:rsidRPr="00D45CDF">
        <w:rPr>
          <w:rFonts w:asciiTheme="minorHAnsi" w:eastAsiaTheme="majorEastAsia" w:hAnsiTheme="minorHAnsi"/>
          <w:bCs/>
          <w:kern w:val="24"/>
          <w:position w:val="1"/>
          <w:sz w:val="24"/>
          <w:szCs w:val="24"/>
          <w:lang w:val="en-US"/>
        </w:rPr>
        <w:t>FEU</w:t>
      </w:r>
      <w:r w:rsidR="00785AFA" w:rsidRPr="00D45CDF">
        <w:rPr>
          <w:rFonts w:asciiTheme="minorHAnsi" w:eastAsiaTheme="majorEastAsia" w:hAnsiTheme="minorHAnsi"/>
          <w:bCs/>
          <w:kern w:val="24"/>
          <w:position w:val="1"/>
          <w:sz w:val="24"/>
          <w:szCs w:val="24"/>
          <w:lang w:val="en-US"/>
        </w:rPr>
        <w:t xml:space="preserve"> (ex Articles 39, 43 and 49 </w:t>
      </w:r>
      <w:r w:rsidR="00D564DE" w:rsidRPr="00D45CDF">
        <w:rPr>
          <w:rFonts w:asciiTheme="minorHAnsi" w:eastAsiaTheme="majorEastAsia" w:hAnsiTheme="minorHAnsi"/>
          <w:bCs/>
          <w:kern w:val="24"/>
          <w:position w:val="1"/>
          <w:sz w:val="24"/>
          <w:szCs w:val="24"/>
          <w:lang w:val="en-US"/>
        </w:rPr>
        <w:t>TEC</w:t>
      </w:r>
      <w:r w:rsidR="00785AFA" w:rsidRPr="00D45CDF">
        <w:rPr>
          <w:rFonts w:asciiTheme="minorHAnsi" w:eastAsiaTheme="majorEastAsia" w:hAnsiTheme="minorHAnsi"/>
          <w:bCs/>
          <w:kern w:val="24"/>
          <w:position w:val="1"/>
          <w:sz w:val="24"/>
          <w:szCs w:val="24"/>
          <w:lang w:val="en-US"/>
        </w:rPr>
        <w:t>)</w:t>
      </w:r>
      <w:r w:rsidRPr="00D45CDF">
        <w:rPr>
          <w:rFonts w:asciiTheme="minorHAnsi" w:eastAsiaTheme="majorEastAsia" w:hAnsiTheme="minorHAnsi"/>
          <w:bCs/>
          <w:kern w:val="24"/>
          <w:position w:val="1"/>
          <w:sz w:val="24"/>
          <w:szCs w:val="24"/>
          <w:lang w:val="en-US"/>
        </w:rPr>
        <w:t xml:space="preserve">. These articles provide for the freedom of movement of </w:t>
      </w:r>
      <w:r w:rsidR="00422E4D" w:rsidRPr="00D45CDF">
        <w:rPr>
          <w:rFonts w:asciiTheme="minorHAnsi" w:eastAsiaTheme="majorEastAsia" w:hAnsiTheme="minorHAnsi"/>
          <w:bCs/>
          <w:kern w:val="24"/>
          <w:position w:val="1"/>
          <w:sz w:val="24"/>
          <w:szCs w:val="24"/>
          <w:lang w:val="en-US"/>
        </w:rPr>
        <w:t>worker</w:t>
      </w:r>
      <w:r w:rsidR="00E62A8D" w:rsidRPr="00D45CDF">
        <w:rPr>
          <w:rFonts w:asciiTheme="minorHAnsi" w:eastAsiaTheme="majorEastAsia" w:hAnsiTheme="minorHAnsi"/>
          <w:bCs/>
          <w:kern w:val="24"/>
          <w:position w:val="1"/>
          <w:sz w:val="24"/>
          <w:szCs w:val="24"/>
          <w:lang w:val="en-US"/>
        </w:rPr>
        <w:t>s</w:t>
      </w:r>
      <w:r w:rsidRPr="00D45CDF">
        <w:rPr>
          <w:rFonts w:asciiTheme="minorHAnsi" w:eastAsiaTheme="majorEastAsia" w:hAnsiTheme="minorHAnsi"/>
          <w:bCs/>
          <w:kern w:val="24"/>
          <w:position w:val="1"/>
          <w:sz w:val="24"/>
          <w:szCs w:val="24"/>
          <w:lang w:val="en-US"/>
        </w:rPr>
        <w:t>, the freedom of establishment in another EU member state and the free movement of services across borders respectively.</w:t>
      </w:r>
      <w:r w:rsidR="00011815" w:rsidRPr="00D45CDF">
        <w:rPr>
          <w:rFonts w:asciiTheme="minorHAnsi" w:eastAsiaTheme="majorEastAsia" w:hAnsiTheme="minorHAnsi"/>
          <w:bCs/>
          <w:kern w:val="24"/>
          <w:position w:val="1"/>
          <w:sz w:val="24"/>
          <w:szCs w:val="24"/>
          <w:lang w:val="en-US"/>
        </w:rPr>
        <w:t xml:space="preserve"> Initially</w:t>
      </w:r>
      <w:r w:rsidR="00A27135" w:rsidRPr="00D45CDF">
        <w:rPr>
          <w:rFonts w:asciiTheme="minorHAnsi" w:eastAsiaTheme="majorEastAsia" w:hAnsiTheme="minorHAnsi"/>
          <w:bCs/>
          <w:kern w:val="24"/>
          <w:position w:val="1"/>
          <w:sz w:val="24"/>
          <w:szCs w:val="24"/>
          <w:lang w:val="en-US"/>
        </w:rPr>
        <w:t xml:space="preserve">, according to </w:t>
      </w:r>
      <w:r w:rsidR="006727B3" w:rsidRPr="00D45CDF">
        <w:rPr>
          <w:rFonts w:asciiTheme="minorHAnsi" w:eastAsiaTheme="majorEastAsia" w:hAnsiTheme="minorHAnsi"/>
          <w:bCs/>
          <w:kern w:val="24"/>
          <w:position w:val="1"/>
          <w:sz w:val="24"/>
          <w:szCs w:val="24"/>
          <w:lang w:val="en-US"/>
        </w:rPr>
        <w:t xml:space="preserve">former ECJ </w:t>
      </w:r>
      <w:r w:rsidR="00A27135" w:rsidRPr="00D45CDF">
        <w:rPr>
          <w:rFonts w:asciiTheme="minorHAnsi" w:eastAsiaTheme="majorEastAsia" w:hAnsiTheme="minorHAnsi"/>
          <w:bCs/>
          <w:kern w:val="24"/>
          <w:position w:val="1"/>
          <w:sz w:val="24"/>
          <w:szCs w:val="24"/>
          <w:lang w:val="en-US"/>
        </w:rPr>
        <w:t>Judge Mancini</w:t>
      </w:r>
      <w:r w:rsidR="002172C1" w:rsidRPr="00D45CDF">
        <w:rPr>
          <w:rFonts w:asciiTheme="minorHAnsi" w:eastAsiaTheme="majorEastAsia" w:hAnsiTheme="minorHAnsi"/>
          <w:bCs/>
          <w:kern w:val="24"/>
          <w:position w:val="1"/>
          <w:sz w:val="24"/>
          <w:szCs w:val="24"/>
          <w:lang w:val="en-US"/>
        </w:rPr>
        <w:t>,</w:t>
      </w:r>
      <w:r w:rsidR="00A27135" w:rsidRPr="00D45CDF">
        <w:rPr>
          <w:rFonts w:asciiTheme="minorHAnsi" w:eastAsiaTheme="majorEastAsia" w:hAnsiTheme="minorHAnsi"/>
          <w:bCs/>
          <w:kern w:val="24"/>
          <w:position w:val="1"/>
          <w:sz w:val="24"/>
          <w:szCs w:val="24"/>
          <w:lang w:val="en-US"/>
        </w:rPr>
        <w:t xml:space="preserve"> ‘Community Law did not purport to have an impact on internal rules governing individual employment relationships… except in so far as was necessary to do so in order to eliminate the obstacles which hindered the integration of workers coming from other </w:t>
      </w:r>
      <w:r w:rsidR="001D6D90" w:rsidRPr="00D45CDF">
        <w:rPr>
          <w:rFonts w:asciiTheme="minorHAnsi" w:eastAsiaTheme="majorEastAsia" w:hAnsiTheme="minorHAnsi"/>
          <w:bCs/>
          <w:kern w:val="24"/>
          <w:position w:val="1"/>
          <w:sz w:val="24"/>
          <w:szCs w:val="24"/>
          <w:lang w:val="en-US"/>
        </w:rPr>
        <w:t>Member States</w:t>
      </w:r>
      <w:r w:rsidR="00A27135" w:rsidRPr="00D45CDF">
        <w:rPr>
          <w:rFonts w:asciiTheme="minorHAnsi" w:eastAsiaTheme="majorEastAsia" w:hAnsiTheme="minorHAnsi"/>
          <w:bCs/>
          <w:kern w:val="24"/>
          <w:position w:val="1"/>
          <w:sz w:val="24"/>
          <w:szCs w:val="24"/>
          <w:lang w:val="en-US"/>
        </w:rPr>
        <w:t xml:space="preserve">,’ but </w:t>
      </w:r>
      <w:r w:rsidR="006727B3" w:rsidRPr="00D45CDF">
        <w:rPr>
          <w:rFonts w:asciiTheme="minorHAnsi" w:eastAsiaTheme="majorEastAsia" w:hAnsiTheme="minorHAnsi"/>
          <w:bCs/>
          <w:kern w:val="24"/>
          <w:position w:val="1"/>
          <w:sz w:val="24"/>
          <w:szCs w:val="24"/>
          <w:lang w:val="en-US"/>
        </w:rPr>
        <w:t xml:space="preserve">the </w:t>
      </w:r>
      <w:r w:rsidR="00A27135" w:rsidRPr="00D45CDF">
        <w:rPr>
          <w:rFonts w:asciiTheme="minorHAnsi" w:eastAsiaTheme="majorEastAsia" w:hAnsiTheme="minorHAnsi"/>
          <w:bCs/>
          <w:kern w:val="24"/>
          <w:position w:val="1"/>
          <w:sz w:val="24"/>
          <w:szCs w:val="24"/>
          <w:lang w:val="en-US"/>
        </w:rPr>
        <w:t>ECJ ha</w:t>
      </w:r>
      <w:r w:rsidR="006727B3" w:rsidRPr="00D45CDF">
        <w:rPr>
          <w:rFonts w:asciiTheme="minorHAnsi" w:eastAsiaTheme="majorEastAsia" w:hAnsiTheme="minorHAnsi"/>
          <w:bCs/>
          <w:kern w:val="24"/>
          <w:position w:val="1"/>
          <w:sz w:val="24"/>
          <w:szCs w:val="24"/>
          <w:lang w:val="en-US"/>
        </w:rPr>
        <w:t>s</w:t>
      </w:r>
      <w:r w:rsidR="00A27135" w:rsidRPr="00D45CDF">
        <w:rPr>
          <w:rFonts w:asciiTheme="minorHAnsi" w:eastAsiaTheme="majorEastAsia" w:hAnsiTheme="minorHAnsi"/>
          <w:bCs/>
          <w:kern w:val="24"/>
          <w:position w:val="1"/>
          <w:sz w:val="24"/>
          <w:szCs w:val="24"/>
          <w:lang w:val="en-US"/>
        </w:rPr>
        <w:t xml:space="preserve"> progressively taken a leading role in </w:t>
      </w:r>
      <w:r w:rsidR="00336BF5" w:rsidRPr="00D45CDF">
        <w:rPr>
          <w:rFonts w:asciiTheme="minorHAnsi" w:eastAsiaTheme="majorEastAsia" w:hAnsiTheme="minorHAnsi"/>
          <w:bCs/>
          <w:kern w:val="24"/>
          <w:position w:val="1"/>
          <w:sz w:val="24"/>
          <w:szCs w:val="24"/>
          <w:lang w:val="en-US"/>
        </w:rPr>
        <w:t xml:space="preserve">defining and </w:t>
      </w:r>
      <w:r w:rsidR="00A27135" w:rsidRPr="00D45CDF">
        <w:rPr>
          <w:rFonts w:asciiTheme="minorHAnsi" w:eastAsiaTheme="majorEastAsia" w:hAnsiTheme="minorHAnsi"/>
          <w:bCs/>
          <w:kern w:val="24"/>
          <w:position w:val="1"/>
          <w:sz w:val="24"/>
          <w:szCs w:val="24"/>
          <w:lang w:val="en-US"/>
        </w:rPr>
        <w:t>con</w:t>
      </w:r>
      <w:r w:rsidR="005B2712" w:rsidRPr="00D45CDF">
        <w:rPr>
          <w:rFonts w:asciiTheme="minorHAnsi" w:eastAsiaTheme="majorEastAsia" w:hAnsiTheme="minorHAnsi"/>
          <w:bCs/>
          <w:kern w:val="24"/>
          <w:position w:val="1"/>
          <w:sz w:val="24"/>
          <w:szCs w:val="24"/>
          <w:lang w:val="en-US"/>
        </w:rPr>
        <w:t>firming</w:t>
      </w:r>
      <w:r w:rsidR="00A27135" w:rsidRPr="00D45CDF">
        <w:rPr>
          <w:rFonts w:asciiTheme="minorHAnsi" w:eastAsiaTheme="majorEastAsia" w:hAnsiTheme="minorHAnsi"/>
          <w:bCs/>
          <w:kern w:val="24"/>
          <w:position w:val="1"/>
          <w:sz w:val="24"/>
          <w:szCs w:val="24"/>
          <w:lang w:val="en-US"/>
        </w:rPr>
        <w:t xml:space="preserve"> the FOM rights o</w:t>
      </w:r>
      <w:r w:rsidR="00923704" w:rsidRPr="00D45CDF">
        <w:rPr>
          <w:rFonts w:asciiTheme="minorHAnsi" w:eastAsiaTheme="majorEastAsia" w:hAnsiTheme="minorHAnsi"/>
          <w:bCs/>
          <w:kern w:val="24"/>
          <w:position w:val="1"/>
          <w:sz w:val="24"/>
          <w:szCs w:val="24"/>
          <w:lang w:val="en-US"/>
        </w:rPr>
        <w:t>f</w:t>
      </w:r>
      <w:r w:rsidR="00A27135" w:rsidRPr="00D45CDF">
        <w:rPr>
          <w:rFonts w:asciiTheme="minorHAnsi" w:eastAsiaTheme="majorEastAsia" w:hAnsiTheme="minorHAnsi"/>
          <w:bCs/>
          <w:kern w:val="24"/>
          <w:position w:val="1"/>
          <w:sz w:val="24"/>
          <w:szCs w:val="24"/>
          <w:lang w:val="en-US"/>
        </w:rPr>
        <w:t xml:space="preserve"> workers</w:t>
      </w:r>
      <w:r w:rsidR="00011815" w:rsidRPr="00D45CDF">
        <w:rPr>
          <w:rFonts w:asciiTheme="minorHAnsi" w:eastAsiaTheme="majorEastAsia" w:hAnsiTheme="minorHAnsi"/>
          <w:bCs/>
          <w:kern w:val="24"/>
          <w:position w:val="1"/>
          <w:sz w:val="24"/>
          <w:szCs w:val="24"/>
          <w:lang w:val="en-US"/>
        </w:rPr>
        <w:t xml:space="preserve"> ‘extend[</w:t>
      </w:r>
      <w:proofErr w:type="spellStart"/>
      <w:r w:rsidR="00011815" w:rsidRPr="00D45CDF">
        <w:rPr>
          <w:rFonts w:asciiTheme="minorHAnsi" w:eastAsiaTheme="majorEastAsia" w:hAnsiTheme="minorHAnsi"/>
          <w:bCs/>
          <w:kern w:val="24"/>
          <w:position w:val="1"/>
          <w:sz w:val="24"/>
          <w:szCs w:val="24"/>
          <w:lang w:val="en-US"/>
        </w:rPr>
        <w:t>ing</w:t>
      </w:r>
      <w:proofErr w:type="spellEnd"/>
      <w:r w:rsidR="00011815" w:rsidRPr="00D45CDF">
        <w:rPr>
          <w:rFonts w:asciiTheme="minorHAnsi" w:eastAsiaTheme="majorEastAsia" w:hAnsiTheme="minorHAnsi"/>
          <w:bCs/>
          <w:kern w:val="24"/>
          <w:position w:val="1"/>
          <w:sz w:val="24"/>
          <w:szCs w:val="24"/>
          <w:lang w:val="en-US"/>
        </w:rPr>
        <w:t xml:space="preserve">] the jurisdiction of the Community to make up for the set-backs … suffered at the decision-making level at the hands of the </w:t>
      </w:r>
      <w:r w:rsidR="001D6D90" w:rsidRPr="00D45CDF">
        <w:rPr>
          <w:rFonts w:asciiTheme="minorHAnsi" w:eastAsiaTheme="majorEastAsia" w:hAnsiTheme="minorHAnsi"/>
          <w:bCs/>
          <w:kern w:val="24"/>
          <w:position w:val="1"/>
          <w:sz w:val="24"/>
          <w:szCs w:val="24"/>
          <w:lang w:val="en-US"/>
        </w:rPr>
        <w:t>Member States</w:t>
      </w:r>
      <w:r w:rsidR="00EC3E68" w:rsidRPr="00D45CDF">
        <w:rPr>
          <w:rFonts w:asciiTheme="minorHAnsi" w:eastAsiaTheme="majorEastAsia" w:hAnsiTheme="minorHAnsi"/>
          <w:bCs/>
          <w:kern w:val="24"/>
          <w:position w:val="1"/>
          <w:sz w:val="24"/>
          <w:szCs w:val="24"/>
          <w:lang w:val="en-US"/>
        </w:rPr>
        <w:t>.’</w:t>
      </w:r>
      <w:r w:rsidR="003B2E73" w:rsidRPr="00D45CDF">
        <w:rPr>
          <w:rFonts w:asciiTheme="minorHAnsi" w:eastAsiaTheme="majorEastAsia" w:hAnsiTheme="minorHAnsi"/>
          <w:bCs/>
          <w:kern w:val="24"/>
          <w:position w:val="1"/>
          <w:sz w:val="24"/>
          <w:szCs w:val="24"/>
          <w:lang w:val="en-US"/>
        </w:rPr>
        <w:t xml:space="preserve"> Migrant workers are </w:t>
      </w:r>
      <w:r w:rsidR="003B2E73" w:rsidRPr="00D45CDF">
        <w:rPr>
          <w:rFonts w:asciiTheme="minorHAnsi" w:eastAsiaTheme="majorEastAsia" w:hAnsiTheme="minorHAnsi"/>
          <w:bCs/>
          <w:kern w:val="24"/>
          <w:position w:val="1"/>
          <w:sz w:val="24"/>
          <w:szCs w:val="24"/>
          <w:lang w:val="en-US"/>
        </w:rPr>
        <w:lastRenderedPageBreak/>
        <w:t xml:space="preserve">not now required to comply with the </w:t>
      </w:r>
      <w:r w:rsidR="00FC4AE9" w:rsidRPr="00D45CDF">
        <w:rPr>
          <w:rFonts w:asciiTheme="minorHAnsi" w:eastAsiaTheme="majorEastAsia" w:hAnsiTheme="minorHAnsi"/>
          <w:bCs/>
          <w:kern w:val="24"/>
          <w:position w:val="1"/>
          <w:sz w:val="24"/>
          <w:szCs w:val="24"/>
          <w:lang w:val="en-US"/>
        </w:rPr>
        <w:t>hurdles</w:t>
      </w:r>
      <w:r w:rsidR="003B2E73" w:rsidRPr="00D45CDF">
        <w:rPr>
          <w:rFonts w:asciiTheme="minorHAnsi" w:eastAsiaTheme="majorEastAsia" w:hAnsiTheme="minorHAnsi"/>
          <w:bCs/>
          <w:kern w:val="24"/>
          <w:position w:val="1"/>
          <w:sz w:val="24"/>
          <w:szCs w:val="24"/>
          <w:lang w:val="en-US"/>
        </w:rPr>
        <w:t xml:space="preserve"> which confronted them in the past, and the Court’s interpretation of the rules has literally be</w:t>
      </w:r>
      <w:r w:rsidR="00CF36A7" w:rsidRPr="00D45CDF">
        <w:rPr>
          <w:rFonts w:asciiTheme="minorHAnsi" w:eastAsiaTheme="majorEastAsia" w:hAnsiTheme="minorHAnsi"/>
          <w:bCs/>
          <w:kern w:val="24"/>
          <w:position w:val="1"/>
          <w:sz w:val="24"/>
          <w:szCs w:val="24"/>
          <w:lang w:val="en-US"/>
        </w:rPr>
        <w:t>en</w:t>
      </w:r>
      <w:r w:rsidR="003B2E73" w:rsidRPr="00D45CDF">
        <w:rPr>
          <w:rFonts w:asciiTheme="minorHAnsi" w:eastAsiaTheme="majorEastAsia" w:hAnsiTheme="minorHAnsi"/>
          <w:bCs/>
          <w:kern w:val="24"/>
          <w:position w:val="1"/>
          <w:sz w:val="24"/>
          <w:szCs w:val="24"/>
          <w:lang w:val="en-US"/>
        </w:rPr>
        <w:t xml:space="preserve"> ‘emancipatory’.</w:t>
      </w:r>
      <w:r w:rsidR="00011815" w:rsidRPr="00D45CDF">
        <w:rPr>
          <w:rStyle w:val="FootnoteReference"/>
          <w:rFonts w:asciiTheme="minorHAnsi" w:eastAsiaTheme="majorEastAsia" w:hAnsiTheme="minorHAnsi"/>
          <w:bCs/>
          <w:kern w:val="24"/>
          <w:position w:val="1"/>
          <w:sz w:val="24"/>
          <w:szCs w:val="24"/>
          <w:lang w:val="en-US"/>
        </w:rPr>
        <w:footnoteReference w:id="21"/>
      </w:r>
      <w:r w:rsidR="00A27135" w:rsidRPr="00D45CDF">
        <w:rPr>
          <w:rFonts w:asciiTheme="minorHAnsi" w:eastAsiaTheme="majorEastAsia" w:hAnsiTheme="minorHAnsi"/>
          <w:bCs/>
          <w:kern w:val="24"/>
          <w:position w:val="1"/>
          <w:sz w:val="24"/>
          <w:szCs w:val="24"/>
          <w:lang w:val="en-US"/>
        </w:rPr>
        <w:t xml:space="preserve"> </w:t>
      </w:r>
    </w:p>
    <w:p w14:paraId="6C14FA24" w14:textId="77777777" w:rsidR="00AC3109" w:rsidRPr="00D45CDF" w:rsidRDefault="00B9189C" w:rsidP="00D45CDF">
      <w:pPr>
        <w:shd w:val="clear" w:color="auto" w:fill="FFFFFF"/>
        <w:spacing w:before="240" w:line="240" w:lineRule="auto"/>
        <w:jc w:val="both"/>
        <w:rPr>
          <w:rFonts w:asciiTheme="minorHAnsi" w:hAnsiTheme="minorHAnsi"/>
          <w:sz w:val="24"/>
          <w:szCs w:val="24"/>
        </w:rPr>
      </w:pPr>
      <w:r w:rsidRPr="00D45CDF">
        <w:rPr>
          <w:rFonts w:asciiTheme="minorHAnsi" w:eastAsiaTheme="majorEastAsia" w:hAnsiTheme="minorHAnsi"/>
          <w:bCs/>
          <w:kern w:val="24"/>
          <w:position w:val="1"/>
          <w:sz w:val="24"/>
          <w:szCs w:val="24"/>
          <w:lang w:val="en-US"/>
        </w:rPr>
        <w:t>Article 45 TFEU lays out the framework for the free movement of workers</w:t>
      </w:r>
      <w:r w:rsidR="00422E4D" w:rsidRPr="00D45CDF">
        <w:rPr>
          <w:rFonts w:asciiTheme="minorHAnsi" w:eastAsiaTheme="majorEastAsia" w:hAnsiTheme="minorHAnsi"/>
          <w:bCs/>
          <w:kern w:val="24"/>
          <w:position w:val="1"/>
          <w:sz w:val="24"/>
          <w:szCs w:val="24"/>
          <w:lang w:val="en-US"/>
        </w:rPr>
        <w:t xml:space="preserve">, </w:t>
      </w:r>
      <w:r w:rsidR="00DC3FA8" w:rsidRPr="00D45CDF">
        <w:rPr>
          <w:rFonts w:asciiTheme="minorHAnsi" w:eastAsiaTheme="majorEastAsia" w:hAnsiTheme="minorHAnsi"/>
          <w:bCs/>
          <w:kern w:val="24"/>
          <w:position w:val="1"/>
          <w:sz w:val="24"/>
          <w:szCs w:val="24"/>
          <w:lang w:val="en-US"/>
        </w:rPr>
        <w:t xml:space="preserve">and </w:t>
      </w:r>
      <w:r w:rsidR="00422E4D" w:rsidRPr="00D45CDF">
        <w:rPr>
          <w:rFonts w:asciiTheme="minorHAnsi" w:eastAsiaTheme="majorEastAsia" w:hAnsiTheme="minorHAnsi"/>
          <w:bCs/>
          <w:kern w:val="24"/>
          <w:position w:val="1"/>
          <w:sz w:val="24"/>
          <w:szCs w:val="24"/>
          <w:lang w:val="en-US"/>
        </w:rPr>
        <w:t>stat</w:t>
      </w:r>
      <w:r w:rsidR="00DC3FA8" w:rsidRPr="00D45CDF">
        <w:rPr>
          <w:rFonts w:asciiTheme="minorHAnsi" w:eastAsiaTheme="majorEastAsia" w:hAnsiTheme="minorHAnsi"/>
          <w:bCs/>
          <w:kern w:val="24"/>
          <w:position w:val="1"/>
          <w:sz w:val="24"/>
          <w:szCs w:val="24"/>
          <w:lang w:val="en-US"/>
        </w:rPr>
        <w:t>es</w:t>
      </w:r>
      <w:r w:rsidR="00422E4D" w:rsidRPr="00D45CDF">
        <w:rPr>
          <w:rFonts w:asciiTheme="minorHAnsi" w:eastAsiaTheme="majorEastAsia" w:hAnsiTheme="minorHAnsi"/>
          <w:bCs/>
          <w:kern w:val="24"/>
          <w:position w:val="1"/>
          <w:sz w:val="24"/>
          <w:szCs w:val="24"/>
          <w:lang w:val="en-US"/>
        </w:rPr>
        <w:t xml:space="preserve"> that their freedom of movement ‘</w:t>
      </w:r>
      <w:r w:rsidR="00DC3FA8" w:rsidRPr="00D45CDF">
        <w:rPr>
          <w:rFonts w:asciiTheme="minorHAnsi" w:eastAsiaTheme="majorEastAsia" w:hAnsiTheme="minorHAnsi"/>
          <w:bCs/>
          <w:kern w:val="24"/>
          <w:position w:val="1"/>
          <w:sz w:val="24"/>
          <w:szCs w:val="24"/>
          <w:lang w:val="en-US"/>
        </w:rPr>
        <w:t xml:space="preserve">… </w:t>
      </w:r>
      <w:r w:rsidR="00422E4D" w:rsidRPr="00D45CDF">
        <w:rPr>
          <w:rFonts w:asciiTheme="minorHAnsi" w:eastAsiaTheme="majorEastAsia" w:hAnsiTheme="minorHAnsi"/>
          <w:bCs/>
          <w:kern w:val="24"/>
          <w:position w:val="1"/>
          <w:sz w:val="24"/>
          <w:szCs w:val="24"/>
          <w:lang w:val="en-US"/>
        </w:rPr>
        <w:t xml:space="preserve">shall entail the abolition of any discrimination based on nationality between workers of the </w:t>
      </w:r>
      <w:r w:rsidR="001D6D90" w:rsidRPr="00D45CDF">
        <w:rPr>
          <w:rFonts w:asciiTheme="minorHAnsi" w:eastAsiaTheme="majorEastAsia" w:hAnsiTheme="minorHAnsi"/>
          <w:bCs/>
          <w:kern w:val="24"/>
          <w:position w:val="1"/>
          <w:sz w:val="24"/>
          <w:szCs w:val="24"/>
          <w:lang w:val="en-US"/>
        </w:rPr>
        <w:t>Member States</w:t>
      </w:r>
      <w:r w:rsidR="00422E4D" w:rsidRPr="00D45CDF">
        <w:rPr>
          <w:rFonts w:asciiTheme="minorHAnsi" w:eastAsiaTheme="majorEastAsia" w:hAnsiTheme="minorHAnsi"/>
          <w:bCs/>
          <w:kern w:val="24"/>
          <w:position w:val="1"/>
          <w:sz w:val="24"/>
          <w:szCs w:val="24"/>
          <w:lang w:val="en-US"/>
        </w:rPr>
        <w:t xml:space="preserve"> as regards employment, remuneration and other conditions of work and employment.’</w:t>
      </w:r>
      <w:r w:rsidR="00422E4D" w:rsidRPr="00D45CDF">
        <w:rPr>
          <w:rStyle w:val="FootnoteReference"/>
          <w:rFonts w:asciiTheme="minorHAnsi" w:eastAsiaTheme="majorEastAsia" w:hAnsiTheme="minorHAnsi"/>
          <w:bCs/>
          <w:kern w:val="24"/>
          <w:position w:val="1"/>
          <w:sz w:val="24"/>
          <w:szCs w:val="24"/>
          <w:lang w:val="en-US"/>
        </w:rPr>
        <w:footnoteReference w:id="22"/>
      </w:r>
      <w:r w:rsidR="00DC3FA8" w:rsidRPr="00D45CDF">
        <w:rPr>
          <w:rFonts w:asciiTheme="minorHAnsi" w:eastAsiaTheme="majorEastAsia" w:hAnsiTheme="minorHAnsi"/>
          <w:bCs/>
          <w:kern w:val="24"/>
          <w:position w:val="1"/>
          <w:sz w:val="24"/>
          <w:szCs w:val="24"/>
          <w:lang w:val="en-US"/>
        </w:rPr>
        <w:t xml:space="preserve"> </w:t>
      </w:r>
      <w:r w:rsidR="00001C66" w:rsidRPr="00D45CDF">
        <w:rPr>
          <w:rFonts w:asciiTheme="minorHAnsi" w:hAnsiTheme="minorHAnsi"/>
          <w:sz w:val="24"/>
          <w:szCs w:val="24"/>
        </w:rPr>
        <w:t xml:space="preserve">No definition of </w:t>
      </w:r>
      <w:r w:rsidR="0080478C" w:rsidRPr="00D45CDF">
        <w:rPr>
          <w:rFonts w:asciiTheme="minorHAnsi" w:hAnsiTheme="minorHAnsi"/>
          <w:sz w:val="24"/>
          <w:szCs w:val="24"/>
        </w:rPr>
        <w:t xml:space="preserve">what constitutes a </w:t>
      </w:r>
      <w:r w:rsidR="00001C66" w:rsidRPr="00D45CDF">
        <w:rPr>
          <w:rFonts w:asciiTheme="minorHAnsi" w:hAnsiTheme="minorHAnsi"/>
          <w:sz w:val="24"/>
          <w:szCs w:val="24"/>
        </w:rPr>
        <w:t>worker</w:t>
      </w:r>
      <w:r w:rsidR="00BD34EE" w:rsidRPr="00D45CDF">
        <w:rPr>
          <w:rFonts w:asciiTheme="minorHAnsi" w:hAnsiTheme="minorHAnsi"/>
          <w:sz w:val="24"/>
          <w:szCs w:val="24"/>
        </w:rPr>
        <w:t xml:space="preserve"> was</w:t>
      </w:r>
      <w:r w:rsidR="00D41C36" w:rsidRPr="00D45CDF">
        <w:rPr>
          <w:rFonts w:asciiTheme="minorHAnsi" w:hAnsiTheme="minorHAnsi"/>
          <w:sz w:val="24"/>
          <w:szCs w:val="24"/>
        </w:rPr>
        <w:t xml:space="preserve"> or is</w:t>
      </w:r>
      <w:r w:rsidR="00BD34EE" w:rsidRPr="00D45CDF">
        <w:rPr>
          <w:rFonts w:asciiTheme="minorHAnsi" w:hAnsiTheme="minorHAnsi"/>
          <w:sz w:val="24"/>
          <w:szCs w:val="24"/>
        </w:rPr>
        <w:t xml:space="preserve"> </w:t>
      </w:r>
      <w:r w:rsidR="00AB6D97" w:rsidRPr="00D45CDF">
        <w:rPr>
          <w:rFonts w:asciiTheme="minorHAnsi" w:hAnsiTheme="minorHAnsi"/>
          <w:sz w:val="24"/>
          <w:szCs w:val="24"/>
        </w:rPr>
        <w:t>provide</w:t>
      </w:r>
      <w:r w:rsidR="00001C66" w:rsidRPr="00D45CDF">
        <w:rPr>
          <w:rFonts w:asciiTheme="minorHAnsi" w:hAnsiTheme="minorHAnsi"/>
          <w:sz w:val="24"/>
          <w:szCs w:val="24"/>
        </w:rPr>
        <w:t>d in the Treaties o</w:t>
      </w:r>
      <w:r w:rsidR="0080478C" w:rsidRPr="00D45CDF">
        <w:rPr>
          <w:rFonts w:asciiTheme="minorHAnsi" w:hAnsiTheme="minorHAnsi"/>
          <w:sz w:val="24"/>
          <w:szCs w:val="24"/>
        </w:rPr>
        <w:t>r</w:t>
      </w:r>
      <w:r w:rsidR="00001C66" w:rsidRPr="00D45CDF">
        <w:rPr>
          <w:rFonts w:asciiTheme="minorHAnsi" w:hAnsiTheme="minorHAnsi"/>
          <w:sz w:val="24"/>
          <w:szCs w:val="24"/>
        </w:rPr>
        <w:t xml:space="preserve"> </w:t>
      </w:r>
      <w:r w:rsidR="0080478C" w:rsidRPr="00D45CDF">
        <w:rPr>
          <w:rFonts w:asciiTheme="minorHAnsi" w:hAnsiTheme="minorHAnsi"/>
          <w:sz w:val="24"/>
          <w:szCs w:val="24"/>
        </w:rPr>
        <w:t>in EU</w:t>
      </w:r>
      <w:r w:rsidR="00001C66" w:rsidRPr="00D45CDF">
        <w:rPr>
          <w:rFonts w:asciiTheme="minorHAnsi" w:hAnsiTheme="minorHAnsi"/>
          <w:sz w:val="24"/>
          <w:szCs w:val="24"/>
        </w:rPr>
        <w:t xml:space="preserve"> </w:t>
      </w:r>
      <w:r w:rsidR="0080478C" w:rsidRPr="00D45CDF">
        <w:rPr>
          <w:rFonts w:asciiTheme="minorHAnsi" w:hAnsiTheme="minorHAnsi"/>
          <w:sz w:val="24"/>
          <w:szCs w:val="24"/>
        </w:rPr>
        <w:t>legislation</w:t>
      </w:r>
      <w:r w:rsidR="00806CAC" w:rsidRPr="00D45CDF">
        <w:rPr>
          <w:rFonts w:asciiTheme="minorHAnsi" w:hAnsiTheme="minorHAnsi"/>
          <w:sz w:val="24"/>
          <w:szCs w:val="24"/>
        </w:rPr>
        <w:t xml:space="preserve"> </w:t>
      </w:r>
      <w:r w:rsidR="008F64D4" w:rsidRPr="00D45CDF">
        <w:rPr>
          <w:rFonts w:asciiTheme="minorHAnsi" w:hAnsiTheme="minorHAnsi"/>
          <w:sz w:val="24"/>
          <w:szCs w:val="24"/>
        </w:rPr>
        <w:t>(</w:t>
      </w:r>
      <w:r w:rsidR="00806CAC" w:rsidRPr="00D45CDF">
        <w:rPr>
          <w:rFonts w:asciiTheme="minorHAnsi" w:hAnsiTheme="minorHAnsi"/>
          <w:sz w:val="24"/>
          <w:szCs w:val="24"/>
        </w:rPr>
        <w:t xml:space="preserve">other than </w:t>
      </w:r>
      <w:r w:rsidR="008F64D4" w:rsidRPr="00D45CDF">
        <w:rPr>
          <w:rFonts w:asciiTheme="minorHAnsi" w:hAnsiTheme="minorHAnsi"/>
          <w:sz w:val="24"/>
          <w:szCs w:val="24"/>
        </w:rPr>
        <w:t xml:space="preserve">in </w:t>
      </w:r>
      <w:r w:rsidR="00806CAC" w:rsidRPr="00D45CDF">
        <w:rPr>
          <w:rFonts w:asciiTheme="minorHAnsi" w:hAnsiTheme="minorHAnsi"/>
          <w:sz w:val="24"/>
          <w:szCs w:val="24"/>
        </w:rPr>
        <w:t xml:space="preserve">contrast </w:t>
      </w:r>
      <w:r w:rsidR="008F64D4" w:rsidRPr="00D45CDF">
        <w:rPr>
          <w:rFonts w:asciiTheme="minorHAnsi" w:hAnsiTheme="minorHAnsi"/>
          <w:sz w:val="24"/>
          <w:szCs w:val="24"/>
        </w:rPr>
        <w:t>to</w:t>
      </w:r>
      <w:r w:rsidR="00806CAC" w:rsidRPr="00D45CDF">
        <w:rPr>
          <w:rFonts w:asciiTheme="minorHAnsi" w:hAnsiTheme="minorHAnsi"/>
          <w:sz w:val="24"/>
          <w:szCs w:val="24"/>
        </w:rPr>
        <w:t xml:space="preserve"> the freedom to pursue self-employed activities</w:t>
      </w:r>
      <w:r w:rsidR="008F64D4" w:rsidRPr="00D45CDF">
        <w:rPr>
          <w:rFonts w:asciiTheme="minorHAnsi" w:hAnsiTheme="minorHAnsi"/>
          <w:sz w:val="24"/>
          <w:szCs w:val="24"/>
        </w:rPr>
        <w:t xml:space="preserve"> </w:t>
      </w:r>
      <w:r w:rsidR="00806CAC" w:rsidRPr="00D45CDF">
        <w:rPr>
          <w:rFonts w:asciiTheme="minorHAnsi" w:hAnsiTheme="minorHAnsi"/>
          <w:sz w:val="24"/>
          <w:szCs w:val="24"/>
        </w:rPr>
        <w:t xml:space="preserve">and the freedom to provide services </w:t>
      </w:r>
      <w:r w:rsidR="008F64D4" w:rsidRPr="00D45CDF">
        <w:rPr>
          <w:rFonts w:asciiTheme="minorHAnsi" w:hAnsiTheme="minorHAnsi"/>
          <w:sz w:val="24"/>
          <w:szCs w:val="24"/>
        </w:rPr>
        <w:t>expressed in Articles 49 and</w:t>
      </w:r>
      <w:r w:rsidR="00806CAC" w:rsidRPr="00D45CDF">
        <w:rPr>
          <w:rFonts w:asciiTheme="minorHAnsi" w:hAnsiTheme="minorHAnsi"/>
          <w:sz w:val="24"/>
          <w:szCs w:val="24"/>
        </w:rPr>
        <w:t xml:space="preserve"> 56</w:t>
      </w:r>
      <w:r w:rsidR="008F64D4" w:rsidRPr="00D45CDF">
        <w:rPr>
          <w:rFonts w:asciiTheme="minorHAnsi" w:hAnsiTheme="minorHAnsi"/>
          <w:sz w:val="24"/>
          <w:szCs w:val="24"/>
        </w:rPr>
        <w:t>),</w:t>
      </w:r>
      <w:r w:rsidR="009C0FC0" w:rsidRPr="00D45CDF">
        <w:rPr>
          <w:rFonts w:asciiTheme="minorHAnsi" w:hAnsiTheme="minorHAnsi"/>
          <w:sz w:val="24"/>
          <w:szCs w:val="24"/>
        </w:rPr>
        <w:t xml:space="preserve"> a situation which </w:t>
      </w:r>
      <w:r w:rsidR="002D3E73" w:rsidRPr="00D45CDF">
        <w:rPr>
          <w:rFonts w:asciiTheme="minorHAnsi" w:hAnsiTheme="minorHAnsi"/>
          <w:sz w:val="24"/>
          <w:szCs w:val="24"/>
        </w:rPr>
        <w:t xml:space="preserve">could </w:t>
      </w:r>
      <w:r w:rsidR="009C0FC0" w:rsidRPr="00D45CDF">
        <w:rPr>
          <w:rFonts w:asciiTheme="minorHAnsi" w:hAnsiTheme="minorHAnsi"/>
          <w:sz w:val="24"/>
          <w:szCs w:val="24"/>
        </w:rPr>
        <w:t>risk leading to inconsistency in application</w:t>
      </w:r>
      <w:r w:rsidR="008F64D4" w:rsidRPr="00D45CDF">
        <w:rPr>
          <w:rFonts w:asciiTheme="minorHAnsi" w:hAnsiTheme="minorHAnsi"/>
          <w:sz w:val="24"/>
          <w:szCs w:val="24"/>
        </w:rPr>
        <w:t>.</w:t>
      </w:r>
      <w:r w:rsidR="00BD34EE" w:rsidRPr="00D45CDF">
        <w:rPr>
          <w:rStyle w:val="FootnoteReference"/>
          <w:rFonts w:asciiTheme="minorHAnsi" w:hAnsiTheme="minorHAnsi"/>
          <w:sz w:val="24"/>
          <w:szCs w:val="24"/>
        </w:rPr>
        <w:footnoteReference w:id="23"/>
      </w:r>
      <w:r w:rsidR="00B93DFE" w:rsidRPr="00D45CDF">
        <w:rPr>
          <w:rFonts w:asciiTheme="minorHAnsi" w:hAnsiTheme="minorHAnsi"/>
          <w:sz w:val="24"/>
          <w:szCs w:val="24"/>
        </w:rPr>
        <w:t xml:space="preserve"> </w:t>
      </w:r>
      <w:r w:rsidR="008F64D4" w:rsidRPr="00D45CDF">
        <w:rPr>
          <w:rFonts w:asciiTheme="minorHAnsi" w:hAnsiTheme="minorHAnsi"/>
          <w:sz w:val="24"/>
          <w:szCs w:val="24"/>
        </w:rPr>
        <w:t>T</w:t>
      </w:r>
      <w:r w:rsidR="008A0E93" w:rsidRPr="00D45CDF">
        <w:rPr>
          <w:rFonts w:asciiTheme="minorHAnsi" w:hAnsiTheme="minorHAnsi"/>
          <w:sz w:val="24"/>
          <w:szCs w:val="24"/>
        </w:rPr>
        <w:t xml:space="preserve">he task </w:t>
      </w:r>
      <w:r w:rsidR="000677A3" w:rsidRPr="00D45CDF">
        <w:rPr>
          <w:rFonts w:asciiTheme="minorHAnsi" w:hAnsiTheme="minorHAnsi"/>
          <w:sz w:val="24"/>
          <w:szCs w:val="24"/>
        </w:rPr>
        <w:t>therefore</w:t>
      </w:r>
      <w:r w:rsidR="00AB6D97" w:rsidRPr="00D45CDF">
        <w:rPr>
          <w:rFonts w:asciiTheme="minorHAnsi" w:hAnsiTheme="minorHAnsi"/>
          <w:sz w:val="24"/>
          <w:szCs w:val="24"/>
        </w:rPr>
        <w:t xml:space="preserve"> f</w:t>
      </w:r>
      <w:r w:rsidR="00472250" w:rsidRPr="00D45CDF">
        <w:rPr>
          <w:rFonts w:asciiTheme="minorHAnsi" w:hAnsiTheme="minorHAnsi"/>
          <w:sz w:val="24"/>
          <w:szCs w:val="24"/>
        </w:rPr>
        <w:t>e</w:t>
      </w:r>
      <w:r w:rsidR="00AB6D97" w:rsidRPr="00D45CDF">
        <w:rPr>
          <w:rFonts w:asciiTheme="minorHAnsi" w:hAnsiTheme="minorHAnsi"/>
          <w:sz w:val="24"/>
          <w:szCs w:val="24"/>
        </w:rPr>
        <w:t>ll to the C</w:t>
      </w:r>
      <w:r w:rsidR="000677A3" w:rsidRPr="00D45CDF">
        <w:rPr>
          <w:rFonts w:asciiTheme="minorHAnsi" w:hAnsiTheme="minorHAnsi"/>
          <w:sz w:val="24"/>
          <w:szCs w:val="24"/>
        </w:rPr>
        <w:t xml:space="preserve">ourt of </w:t>
      </w:r>
      <w:r w:rsidR="00AB6D97" w:rsidRPr="00D45CDF">
        <w:rPr>
          <w:rFonts w:asciiTheme="minorHAnsi" w:hAnsiTheme="minorHAnsi"/>
          <w:sz w:val="24"/>
          <w:szCs w:val="24"/>
        </w:rPr>
        <w:t>J</w:t>
      </w:r>
      <w:r w:rsidR="000677A3" w:rsidRPr="00D45CDF">
        <w:rPr>
          <w:rFonts w:asciiTheme="minorHAnsi" w:hAnsiTheme="minorHAnsi"/>
          <w:sz w:val="24"/>
          <w:szCs w:val="24"/>
        </w:rPr>
        <w:t>ustice</w:t>
      </w:r>
      <w:r w:rsidR="00AB6D97" w:rsidRPr="00D45CDF">
        <w:rPr>
          <w:rFonts w:asciiTheme="minorHAnsi" w:hAnsiTheme="minorHAnsi"/>
          <w:sz w:val="24"/>
          <w:szCs w:val="24"/>
        </w:rPr>
        <w:t xml:space="preserve"> to develop </w:t>
      </w:r>
      <w:r w:rsidR="004C0BB1" w:rsidRPr="00D45CDF">
        <w:rPr>
          <w:rFonts w:asciiTheme="minorHAnsi" w:hAnsiTheme="minorHAnsi"/>
          <w:sz w:val="24"/>
          <w:szCs w:val="24"/>
        </w:rPr>
        <w:t xml:space="preserve">a definition </w:t>
      </w:r>
      <w:r w:rsidR="00AB6D97" w:rsidRPr="00D45CDF">
        <w:rPr>
          <w:rFonts w:asciiTheme="minorHAnsi" w:hAnsiTheme="minorHAnsi"/>
          <w:sz w:val="24"/>
          <w:szCs w:val="24"/>
        </w:rPr>
        <w:t>via case law</w:t>
      </w:r>
      <w:r w:rsidR="0080478C" w:rsidRPr="00D45CDF">
        <w:rPr>
          <w:rFonts w:asciiTheme="minorHAnsi" w:hAnsiTheme="minorHAnsi"/>
          <w:sz w:val="24"/>
          <w:szCs w:val="24"/>
        </w:rPr>
        <w:t xml:space="preserve">, a role which it adopted </w:t>
      </w:r>
      <w:r w:rsidR="00AA7D5B" w:rsidRPr="00D45CDF">
        <w:rPr>
          <w:rFonts w:asciiTheme="minorHAnsi" w:hAnsiTheme="minorHAnsi"/>
          <w:sz w:val="24"/>
          <w:szCs w:val="24"/>
        </w:rPr>
        <w:t>resolutely</w:t>
      </w:r>
      <w:r w:rsidR="00472250" w:rsidRPr="00D45CDF">
        <w:rPr>
          <w:rFonts w:asciiTheme="minorHAnsi" w:hAnsiTheme="minorHAnsi"/>
          <w:sz w:val="24"/>
          <w:szCs w:val="24"/>
        </w:rPr>
        <w:t xml:space="preserve"> from an early juncture</w:t>
      </w:r>
      <w:r w:rsidR="00AA7D5B" w:rsidRPr="00D45CDF">
        <w:rPr>
          <w:rFonts w:asciiTheme="minorHAnsi" w:hAnsiTheme="minorHAnsi"/>
          <w:sz w:val="24"/>
          <w:szCs w:val="24"/>
        </w:rPr>
        <w:t xml:space="preserve">, </w:t>
      </w:r>
      <w:r w:rsidR="0080478C" w:rsidRPr="00D45CDF">
        <w:rPr>
          <w:rFonts w:asciiTheme="minorHAnsi" w:hAnsiTheme="minorHAnsi"/>
          <w:sz w:val="24"/>
          <w:szCs w:val="24"/>
        </w:rPr>
        <w:t xml:space="preserve">in order to avoid </w:t>
      </w:r>
      <w:r w:rsidR="001D6D90" w:rsidRPr="00D45CDF">
        <w:rPr>
          <w:rFonts w:asciiTheme="minorHAnsi" w:hAnsiTheme="minorHAnsi"/>
          <w:sz w:val="24"/>
          <w:szCs w:val="24"/>
        </w:rPr>
        <w:t>Member States</w:t>
      </w:r>
      <w:r w:rsidR="0080478C" w:rsidRPr="00D45CDF">
        <w:rPr>
          <w:rFonts w:asciiTheme="minorHAnsi" w:hAnsiTheme="minorHAnsi"/>
          <w:sz w:val="24"/>
          <w:szCs w:val="24"/>
        </w:rPr>
        <w:t xml:space="preserve"> ‘modify[</w:t>
      </w:r>
      <w:proofErr w:type="spellStart"/>
      <w:r w:rsidR="0080478C" w:rsidRPr="00D45CDF">
        <w:rPr>
          <w:rFonts w:asciiTheme="minorHAnsi" w:hAnsiTheme="minorHAnsi"/>
          <w:sz w:val="24"/>
          <w:szCs w:val="24"/>
        </w:rPr>
        <w:t>ing</w:t>
      </w:r>
      <w:proofErr w:type="spellEnd"/>
      <w:r w:rsidR="0080478C" w:rsidRPr="00D45CDF">
        <w:rPr>
          <w:rFonts w:asciiTheme="minorHAnsi" w:hAnsiTheme="minorHAnsi"/>
          <w:sz w:val="24"/>
          <w:szCs w:val="24"/>
        </w:rPr>
        <w:t>] the meaning of the concept of “migrant worker”’ and eliminating ‘at will the protection afforded by the Treaty to certain categories of person.</w:t>
      </w:r>
      <w:r w:rsidR="00D41C36" w:rsidRPr="00D45CDF">
        <w:rPr>
          <w:rFonts w:asciiTheme="minorHAnsi" w:hAnsiTheme="minorHAnsi"/>
          <w:sz w:val="24"/>
          <w:szCs w:val="24"/>
        </w:rPr>
        <w:t>’</w:t>
      </w:r>
      <w:r w:rsidR="00D41C36" w:rsidRPr="00D45CDF">
        <w:rPr>
          <w:rStyle w:val="FootnoteReference"/>
          <w:rFonts w:asciiTheme="minorHAnsi" w:hAnsiTheme="minorHAnsi"/>
          <w:sz w:val="24"/>
          <w:szCs w:val="24"/>
        </w:rPr>
        <w:footnoteReference w:id="24"/>
      </w:r>
      <w:r w:rsidR="0080478C" w:rsidRPr="00D45CDF">
        <w:rPr>
          <w:rFonts w:asciiTheme="minorHAnsi" w:hAnsiTheme="minorHAnsi"/>
          <w:sz w:val="24"/>
          <w:szCs w:val="24"/>
        </w:rPr>
        <w:t xml:space="preserve"> </w:t>
      </w:r>
      <w:r w:rsidR="00665A3D" w:rsidRPr="00D45CDF">
        <w:rPr>
          <w:rFonts w:asciiTheme="minorHAnsi" w:hAnsiTheme="minorHAnsi"/>
          <w:sz w:val="24"/>
          <w:szCs w:val="24"/>
        </w:rPr>
        <w:t xml:space="preserve">In the words of </w:t>
      </w:r>
      <w:r w:rsidR="008F64D4" w:rsidRPr="00D45CDF">
        <w:rPr>
          <w:rFonts w:asciiTheme="minorHAnsi" w:hAnsiTheme="minorHAnsi"/>
          <w:sz w:val="24"/>
          <w:szCs w:val="24"/>
        </w:rPr>
        <w:t xml:space="preserve">Judge </w:t>
      </w:r>
      <w:r w:rsidR="00665A3D" w:rsidRPr="00D45CDF">
        <w:rPr>
          <w:rFonts w:asciiTheme="minorHAnsi" w:hAnsiTheme="minorHAnsi"/>
          <w:sz w:val="24"/>
          <w:szCs w:val="24"/>
        </w:rPr>
        <w:t>Mancini ‘the Court conferred on itself what we might describe as a hermeneutic monopoly for the purpose of counteracting the unequal and discriminatory application of the rules on freedom of movement</w:t>
      </w:r>
      <w:r w:rsidR="008F64D4" w:rsidRPr="00D45CDF">
        <w:rPr>
          <w:rFonts w:asciiTheme="minorHAnsi" w:hAnsiTheme="minorHAnsi"/>
          <w:sz w:val="24"/>
          <w:szCs w:val="24"/>
        </w:rPr>
        <w:t>,</w:t>
      </w:r>
      <w:r w:rsidR="00665A3D" w:rsidRPr="00D45CDF">
        <w:rPr>
          <w:rFonts w:asciiTheme="minorHAnsi" w:hAnsiTheme="minorHAnsi"/>
          <w:sz w:val="24"/>
          <w:szCs w:val="24"/>
        </w:rPr>
        <w:t>’</w:t>
      </w:r>
      <w:r w:rsidR="00665A3D" w:rsidRPr="00D45CDF">
        <w:rPr>
          <w:rStyle w:val="FootnoteReference"/>
          <w:rFonts w:asciiTheme="minorHAnsi" w:hAnsiTheme="minorHAnsi"/>
          <w:sz w:val="24"/>
          <w:szCs w:val="24"/>
        </w:rPr>
        <w:footnoteReference w:id="25"/>
      </w:r>
      <w:r w:rsidR="008F64D4" w:rsidRPr="00D45CDF">
        <w:rPr>
          <w:rFonts w:asciiTheme="minorHAnsi" w:hAnsiTheme="minorHAnsi"/>
          <w:sz w:val="24"/>
          <w:szCs w:val="24"/>
        </w:rPr>
        <w:t xml:space="preserve"> and thus ‘</w:t>
      </w:r>
      <w:r w:rsidR="00BC7718" w:rsidRPr="00D45CDF">
        <w:rPr>
          <w:rFonts w:asciiTheme="minorHAnsi" w:hAnsiTheme="minorHAnsi"/>
          <w:sz w:val="24"/>
          <w:szCs w:val="24"/>
        </w:rPr>
        <w:t>claimed ultimate authority to define its meaning and scope.’</w:t>
      </w:r>
      <w:r w:rsidR="00BC7718" w:rsidRPr="00D45CDF">
        <w:rPr>
          <w:rStyle w:val="FootnoteReference"/>
          <w:rFonts w:asciiTheme="minorHAnsi" w:hAnsiTheme="minorHAnsi"/>
          <w:sz w:val="24"/>
          <w:szCs w:val="24"/>
        </w:rPr>
        <w:footnoteReference w:id="26"/>
      </w:r>
      <w:r w:rsidR="00BC7718" w:rsidRPr="00D45CDF">
        <w:rPr>
          <w:rFonts w:asciiTheme="minorHAnsi" w:hAnsiTheme="minorHAnsi"/>
          <w:sz w:val="24"/>
          <w:szCs w:val="24"/>
        </w:rPr>
        <w:t xml:space="preserve"> </w:t>
      </w:r>
      <w:r w:rsidR="0086746E" w:rsidRPr="00D45CDF">
        <w:rPr>
          <w:rFonts w:asciiTheme="minorHAnsi" w:hAnsiTheme="minorHAnsi"/>
          <w:sz w:val="24"/>
          <w:szCs w:val="24"/>
        </w:rPr>
        <w:t xml:space="preserve">The </w:t>
      </w:r>
      <w:r w:rsidR="000677A3" w:rsidRPr="00D45CDF">
        <w:rPr>
          <w:rFonts w:asciiTheme="minorHAnsi" w:hAnsiTheme="minorHAnsi"/>
          <w:sz w:val="24"/>
          <w:szCs w:val="24"/>
        </w:rPr>
        <w:t>ECJ</w:t>
      </w:r>
      <w:r w:rsidR="0086746E" w:rsidRPr="00D45CDF">
        <w:rPr>
          <w:rFonts w:asciiTheme="minorHAnsi" w:hAnsiTheme="minorHAnsi"/>
          <w:sz w:val="24"/>
          <w:szCs w:val="24"/>
        </w:rPr>
        <w:t xml:space="preserve"> has </w:t>
      </w:r>
      <w:r w:rsidR="00A409E2" w:rsidRPr="00D45CDF">
        <w:rPr>
          <w:rFonts w:asciiTheme="minorHAnsi" w:hAnsiTheme="minorHAnsi"/>
          <w:sz w:val="24"/>
          <w:szCs w:val="24"/>
        </w:rPr>
        <w:t>crafted a wide and inclusive definition of</w:t>
      </w:r>
      <w:r w:rsidR="0086746E" w:rsidRPr="00D45CDF">
        <w:rPr>
          <w:rFonts w:asciiTheme="minorHAnsi" w:hAnsiTheme="minorHAnsi"/>
          <w:sz w:val="24"/>
          <w:szCs w:val="24"/>
        </w:rPr>
        <w:t xml:space="preserve"> worker status</w:t>
      </w:r>
      <w:r w:rsidR="00C06254" w:rsidRPr="00D45CDF">
        <w:rPr>
          <w:rFonts w:asciiTheme="minorHAnsi" w:hAnsiTheme="minorHAnsi"/>
          <w:sz w:val="24"/>
          <w:szCs w:val="24"/>
        </w:rPr>
        <w:t xml:space="preserve">, </w:t>
      </w:r>
      <w:r w:rsidR="007C2569" w:rsidRPr="00D45CDF">
        <w:rPr>
          <w:rFonts w:asciiTheme="minorHAnsi" w:hAnsiTheme="minorHAnsi"/>
          <w:sz w:val="24"/>
          <w:szCs w:val="24"/>
        </w:rPr>
        <w:t xml:space="preserve">and </w:t>
      </w:r>
      <w:r w:rsidR="00786391" w:rsidRPr="00D45CDF">
        <w:rPr>
          <w:rFonts w:asciiTheme="minorHAnsi" w:hAnsiTheme="minorHAnsi"/>
          <w:sz w:val="24"/>
          <w:szCs w:val="24"/>
        </w:rPr>
        <w:t>this</w:t>
      </w:r>
      <w:r w:rsidR="0065008A" w:rsidRPr="00D45CDF">
        <w:rPr>
          <w:rFonts w:asciiTheme="minorHAnsi" w:hAnsiTheme="minorHAnsi"/>
          <w:sz w:val="24"/>
          <w:szCs w:val="24"/>
        </w:rPr>
        <w:t xml:space="preserve"> </w:t>
      </w:r>
      <w:r w:rsidR="00FA6EF8" w:rsidRPr="00D45CDF">
        <w:rPr>
          <w:rFonts w:asciiTheme="minorHAnsi" w:hAnsiTheme="minorHAnsi"/>
          <w:sz w:val="24"/>
          <w:szCs w:val="24"/>
        </w:rPr>
        <w:t>is</w:t>
      </w:r>
      <w:r w:rsidR="0020712A" w:rsidRPr="00D45CDF">
        <w:rPr>
          <w:rFonts w:asciiTheme="minorHAnsi" w:hAnsiTheme="minorHAnsi"/>
          <w:sz w:val="24"/>
          <w:szCs w:val="24"/>
        </w:rPr>
        <w:t xml:space="preserve"> now</w:t>
      </w:r>
      <w:r w:rsidR="00D64603" w:rsidRPr="00D45CDF">
        <w:rPr>
          <w:rFonts w:asciiTheme="minorHAnsi" w:hAnsiTheme="minorHAnsi"/>
          <w:sz w:val="24"/>
          <w:szCs w:val="24"/>
        </w:rPr>
        <w:t xml:space="preserve"> found </w:t>
      </w:r>
      <w:r w:rsidR="00DC3FA8" w:rsidRPr="00D45CDF">
        <w:rPr>
          <w:rFonts w:asciiTheme="minorHAnsi" w:hAnsiTheme="minorHAnsi"/>
          <w:sz w:val="24"/>
          <w:szCs w:val="24"/>
        </w:rPr>
        <w:t xml:space="preserve">in </w:t>
      </w:r>
      <w:r w:rsidR="00DC3FA8" w:rsidRPr="00D45CDF">
        <w:rPr>
          <w:rFonts w:asciiTheme="minorHAnsi" w:hAnsiTheme="minorHAnsi"/>
          <w:i/>
          <w:iCs/>
          <w:sz w:val="24"/>
          <w:szCs w:val="24"/>
        </w:rPr>
        <w:t>Lawrie-Blum</w:t>
      </w:r>
      <w:r w:rsidR="00C06254" w:rsidRPr="00D45CDF">
        <w:rPr>
          <w:rFonts w:asciiTheme="minorHAnsi" w:hAnsiTheme="minorHAnsi"/>
          <w:sz w:val="24"/>
          <w:szCs w:val="24"/>
        </w:rPr>
        <w:t>.</w:t>
      </w:r>
      <w:r w:rsidR="00AB6D97" w:rsidRPr="00D45CDF">
        <w:rPr>
          <w:rFonts w:asciiTheme="minorHAnsi" w:hAnsiTheme="minorHAnsi"/>
          <w:sz w:val="24"/>
          <w:szCs w:val="24"/>
        </w:rPr>
        <w:t xml:space="preserve"> </w:t>
      </w:r>
      <w:r w:rsidR="00C06254" w:rsidRPr="00D45CDF">
        <w:rPr>
          <w:rFonts w:asciiTheme="minorHAnsi" w:hAnsiTheme="minorHAnsi"/>
          <w:sz w:val="24"/>
          <w:szCs w:val="24"/>
        </w:rPr>
        <w:t>T</w:t>
      </w:r>
      <w:r w:rsidR="00DC3FA8" w:rsidRPr="00D45CDF">
        <w:rPr>
          <w:rFonts w:asciiTheme="minorHAnsi" w:hAnsiTheme="minorHAnsi"/>
          <w:sz w:val="24"/>
          <w:szCs w:val="24"/>
        </w:rPr>
        <w:t>he essential feature of an employment relationship is found to be</w:t>
      </w:r>
      <w:r w:rsidR="00DC3FA8" w:rsidRPr="00D45CDF">
        <w:rPr>
          <w:rFonts w:asciiTheme="minorHAnsi" w:eastAsiaTheme="majorEastAsia" w:hAnsiTheme="minorHAnsi"/>
          <w:bCs/>
          <w:kern w:val="24"/>
          <w:position w:val="1"/>
          <w:sz w:val="24"/>
          <w:szCs w:val="24"/>
          <w:lang w:val="en-US"/>
        </w:rPr>
        <w:t xml:space="preserve"> satisfied if ‘for a certain period of time a person performs services for and under the direction of another person in return for which he receives remuneration.’</w:t>
      </w:r>
      <w:r w:rsidR="00DC3FA8" w:rsidRPr="00D45CDF">
        <w:rPr>
          <w:rStyle w:val="FootnoteReference"/>
          <w:rFonts w:asciiTheme="minorHAnsi" w:eastAsiaTheme="majorEastAsia" w:hAnsiTheme="minorHAnsi"/>
          <w:bCs/>
          <w:kern w:val="24"/>
          <w:position w:val="1"/>
          <w:sz w:val="24"/>
          <w:szCs w:val="24"/>
          <w:lang w:val="en-US"/>
        </w:rPr>
        <w:footnoteReference w:id="27"/>
      </w:r>
      <w:r w:rsidR="00DC3FA8" w:rsidRPr="00D45CDF">
        <w:rPr>
          <w:rFonts w:asciiTheme="minorHAnsi" w:eastAsiaTheme="majorEastAsia" w:hAnsiTheme="minorHAnsi"/>
          <w:bCs/>
          <w:kern w:val="24"/>
          <w:position w:val="1"/>
          <w:sz w:val="24"/>
          <w:szCs w:val="24"/>
          <w:lang w:val="en-US"/>
        </w:rPr>
        <w:t xml:space="preserve"> </w:t>
      </w:r>
      <w:r w:rsidR="00E37A15" w:rsidRPr="00D45CDF">
        <w:rPr>
          <w:rFonts w:asciiTheme="minorHAnsi" w:eastAsiaTheme="majorEastAsia" w:hAnsiTheme="minorHAnsi"/>
          <w:bCs/>
          <w:kern w:val="24"/>
          <w:position w:val="1"/>
          <w:sz w:val="24"/>
          <w:szCs w:val="24"/>
          <w:lang w:val="en-US"/>
        </w:rPr>
        <w:t xml:space="preserve">This combines a </w:t>
      </w:r>
      <w:r w:rsidR="00E37A15" w:rsidRPr="00D45CDF">
        <w:rPr>
          <w:rFonts w:asciiTheme="minorHAnsi" w:hAnsiTheme="minorHAnsi"/>
          <w:sz w:val="24"/>
          <w:szCs w:val="24"/>
        </w:rPr>
        <w:t xml:space="preserve">‘subordination’ requirement and a </w:t>
      </w:r>
      <w:r w:rsidR="000C63B2" w:rsidRPr="00D45CDF">
        <w:rPr>
          <w:rFonts w:asciiTheme="minorHAnsi" w:hAnsiTheme="minorHAnsi"/>
          <w:sz w:val="24"/>
          <w:szCs w:val="24"/>
        </w:rPr>
        <w:t>‘</w:t>
      </w:r>
      <w:r w:rsidR="00E37A15" w:rsidRPr="00D45CDF">
        <w:rPr>
          <w:rFonts w:asciiTheme="minorHAnsi" w:hAnsiTheme="minorHAnsi"/>
          <w:sz w:val="24"/>
          <w:szCs w:val="24"/>
        </w:rPr>
        <w:t>remuneration requirement</w:t>
      </w:r>
      <w:r w:rsidR="000C63B2" w:rsidRPr="00D45CDF">
        <w:rPr>
          <w:rFonts w:asciiTheme="minorHAnsi" w:hAnsiTheme="minorHAnsi"/>
          <w:sz w:val="24"/>
          <w:szCs w:val="24"/>
        </w:rPr>
        <w:t>’</w:t>
      </w:r>
      <w:r w:rsidR="00E37A15" w:rsidRPr="00D45CDF">
        <w:rPr>
          <w:rFonts w:asciiTheme="minorHAnsi" w:hAnsiTheme="minorHAnsi"/>
          <w:sz w:val="24"/>
          <w:szCs w:val="24"/>
        </w:rPr>
        <w:t xml:space="preserve"> (</w:t>
      </w:r>
      <w:r w:rsidR="004E594E" w:rsidRPr="00D45CDF">
        <w:rPr>
          <w:rFonts w:asciiTheme="minorHAnsi" w:hAnsiTheme="minorHAnsi"/>
          <w:sz w:val="24"/>
          <w:szCs w:val="24"/>
        </w:rPr>
        <w:t xml:space="preserve">which the ECJ </w:t>
      </w:r>
      <w:r w:rsidR="00E37A15" w:rsidRPr="00D45CDF">
        <w:rPr>
          <w:rFonts w:asciiTheme="minorHAnsi" w:hAnsiTheme="minorHAnsi"/>
          <w:sz w:val="24"/>
          <w:szCs w:val="24"/>
        </w:rPr>
        <w:t>see</w:t>
      </w:r>
      <w:r w:rsidR="004E594E" w:rsidRPr="00D45CDF">
        <w:rPr>
          <w:rFonts w:asciiTheme="minorHAnsi" w:hAnsiTheme="minorHAnsi"/>
          <w:sz w:val="24"/>
          <w:szCs w:val="24"/>
        </w:rPr>
        <w:t>s</w:t>
      </w:r>
      <w:r w:rsidR="00E37A15" w:rsidRPr="00D45CDF">
        <w:rPr>
          <w:rFonts w:asciiTheme="minorHAnsi" w:hAnsiTheme="minorHAnsi"/>
          <w:sz w:val="24"/>
          <w:szCs w:val="24"/>
        </w:rPr>
        <w:t xml:space="preserve"> in the broadest sense, including remuneration via benefits in kind and subsidies from public funds</w:t>
      </w:r>
      <w:r w:rsidR="00E37A15" w:rsidRPr="00D45CDF">
        <w:rPr>
          <w:rStyle w:val="FootnoteReference"/>
          <w:rFonts w:asciiTheme="minorHAnsi" w:hAnsiTheme="minorHAnsi"/>
          <w:sz w:val="24"/>
          <w:szCs w:val="24"/>
        </w:rPr>
        <w:footnoteReference w:id="28"/>
      </w:r>
      <w:r w:rsidR="00E37A15" w:rsidRPr="00D45CDF">
        <w:rPr>
          <w:rFonts w:asciiTheme="minorHAnsi" w:hAnsiTheme="minorHAnsi"/>
          <w:sz w:val="24"/>
          <w:szCs w:val="24"/>
        </w:rPr>
        <w:t>)</w:t>
      </w:r>
      <w:r w:rsidR="00F671CB" w:rsidRPr="00D45CDF">
        <w:rPr>
          <w:rFonts w:asciiTheme="minorHAnsi" w:hAnsiTheme="minorHAnsi"/>
          <w:sz w:val="24"/>
          <w:szCs w:val="24"/>
        </w:rPr>
        <w:t xml:space="preserve">, and builds on the foundation provided </w:t>
      </w:r>
      <w:r w:rsidR="00D855CC" w:rsidRPr="00D45CDF">
        <w:rPr>
          <w:rFonts w:asciiTheme="minorHAnsi" w:hAnsiTheme="minorHAnsi"/>
          <w:sz w:val="24"/>
          <w:szCs w:val="24"/>
        </w:rPr>
        <w:t>by</w:t>
      </w:r>
      <w:r w:rsidR="00F671CB" w:rsidRPr="00D45CDF">
        <w:rPr>
          <w:rFonts w:asciiTheme="minorHAnsi" w:hAnsiTheme="minorHAnsi"/>
          <w:sz w:val="24"/>
          <w:szCs w:val="24"/>
        </w:rPr>
        <w:t xml:space="preserve"> </w:t>
      </w:r>
      <w:r w:rsidR="00F671CB" w:rsidRPr="00D45CDF">
        <w:rPr>
          <w:rFonts w:asciiTheme="minorHAnsi" w:hAnsiTheme="minorHAnsi"/>
          <w:i/>
          <w:iCs/>
          <w:sz w:val="24"/>
          <w:szCs w:val="24"/>
        </w:rPr>
        <w:t>Levin</w:t>
      </w:r>
      <w:r w:rsidR="00F671CB" w:rsidRPr="00D45CDF">
        <w:rPr>
          <w:rFonts w:asciiTheme="minorHAnsi" w:hAnsiTheme="minorHAnsi"/>
          <w:sz w:val="24"/>
          <w:szCs w:val="24"/>
        </w:rPr>
        <w:t xml:space="preserve"> in 1982</w:t>
      </w:r>
      <w:r w:rsidR="000C63B2" w:rsidRPr="00D45CDF">
        <w:rPr>
          <w:rFonts w:asciiTheme="minorHAnsi" w:hAnsiTheme="minorHAnsi"/>
          <w:sz w:val="24"/>
          <w:szCs w:val="24"/>
        </w:rPr>
        <w:t>,</w:t>
      </w:r>
      <w:r w:rsidR="00F671CB" w:rsidRPr="00D45CDF">
        <w:rPr>
          <w:rFonts w:asciiTheme="minorHAnsi" w:hAnsiTheme="minorHAnsi"/>
          <w:sz w:val="24"/>
          <w:szCs w:val="24"/>
        </w:rPr>
        <w:t xml:space="preserve"> that the ‘rules cover only the pursuit of effective and genuine activities, to the exclusion of activities on such a small scale as to be regarded as purely marginal and ancillary</w:t>
      </w:r>
      <w:r w:rsidR="00E37A15" w:rsidRPr="00D45CDF">
        <w:rPr>
          <w:rFonts w:asciiTheme="minorHAnsi" w:hAnsiTheme="minorHAnsi"/>
          <w:sz w:val="24"/>
          <w:szCs w:val="24"/>
        </w:rPr>
        <w:t>.</w:t>
      </w:r>
      <w:r w:rsidR="00F671CB" w:rsidRPr="00D45CDF">
        <w:rPr>
          <w:rFonts w:asciiTheme="minorHAnsi" w:hAnsiTheme="minorHAnsi"/>
          <w:sz w:val="24"/>
          <w:szCs w:val="24"/>
        </w:rPr>
        <w:t>’</w:t>
      </w:r>
      <w:r w:rsidR="00F671CB" w:rsidRPr="00D45CDF">
        <w:rPr>
          <w:rStyle w:val="FootnoteReference"/>
          <w:rFonts w:asciiTheme="minorHAnsi" w:hAnsiTheme="minorHAnsi"/>
          <w:sz w:val="24"/>
          <w:szCs w:val="24"/>
        </w:rPr>
        <w:footnoteReference w:id="29"/>
      </w:r>
      <w:r w:rsidR="00E37A15" w:rsidRPr="00D45CDF">
        <w:rPr>
          <w:rFonts w:asciiTheme="minorHAnsi" w:eastAsiaTheme="majorEastAsia" w:hAnsiTheme="minorHAnsi"/>
          <w:bCs/>
          <w:kern w:val="24"/>
          <w:position w:val="1"/>
          <w:sz w:val="24"/>
          <w:szCs w:val="24"/>
          <w:lang w:val="en-US"/>
        </w:rPr>
        <w:t xml:space="preserve"> </w:t>
      </w:r>
      <w:r w:rsidR="00DC3FA8" w:rsidRPr="00D45CDF">
        <w:rPr>
          <w:rFonts w:asciiTheme="minorHAnsi" w:eastAsiaTheme="majorEastAsia" w:hAnsiTheme="minorHAnsi"/>
          <w:bCs/>
          <w:kern w:val="24"/>
          <w:position w:val="1"/>
          <w:sz w:val="24"/>
          <w:szCs w:val="24"/>
          <w:lang w:val="en-US"/>
        </w:rPr>
        <w:t xml:space="preserve">EU migrant </w:t>
      </w:r>
      <w:r w:rsidR="00D45D00" w:rsidRPr="00D45CDF">
        <w:rPr>
          <w:rFonts w:asciiTheme="minorHAnsi" w:eastAsiaTheme="majorEastAsia" w:hAnsiTheme="minorHAnsi"/>
          <w:bCs/>
          <w:kern w:val="24"/>
          <w:position w:val="1"/>
          <w:sz w:val="24"/>
          <w:szCs w:val="24"/>
          <w:lang w:val="en-US"/>
        </w:rPr>
        <w:t>salaried lawyers</w:t>
      </w:r>
      <w:r w:rsidR="004E594E" w:rsidRPr="00D45CDF">
        <w:rPr>
          <w:rFonts w:asciiTheme="minorHAnsi" w:eastAsiaTheme="majorEastAsia" w:hAnsiTheme="minorHAnsi"/>
          <w:bCs/>
          <w:kern w:val="24"/>
          <w:position w:val="1"/>
          <w:sz w:val="24"/>
          <w:szCs w:val="24"/>
          <w:lang w:val="en-US"/>
        </w:rPr>
        <w:t>, even engaged on part-time contracts,</w:t>
      </w:r>
      <w:r w:rsidR="00DC3FA8" w:rsidRPr="00D45CDF">
        <w:rPr>
          <w:rFonts w:asciiTheme="minorHAnsi" w:eastAsiaTheme="majorEastAsia" w:hAnsiTheme="minorHAnsi"/>
          <w:bCs/>
          <w:kern w:val="24"/>
          <w:position w:val="1"/>
          <w:sz w:val="24"/>
          <w:szCs w:val="24"/>
          <w:lang w:val="en-US"/>
        </w:rPr>
        <w:t xml:space="preserve"> are therefore entitled to equal treatment </w:t>
      </w:r>
      <w:r w:rsidR="00DC3FA8" w:rsidRPr="00D45CDF">
        <w:rPr>
          <w:rFonts w:asciiTheme="minorHAnsi" w:hAnsiTheme="minorHAnsi"/>
          <w:sz w:val="24"/>
          <w:szCs w:val="24"/>
        </w:rPr>
        <w:t>alongside workers in the host state.</w:t>
      </w:r>
      <w:r w:rsidR="00E66776" w:rsidRPr="00D45CDF">
        <w:rPr>
          <w:rFonts w:asciiTheme="minorHAnsi" w:hAnsiTheme="minorHAnsi"/>
          <w:sz w:val="24"/>
          <w:szCs w:val="24"/>
        </w:rPr>
        <w:t xml:space="preserve"> In contrast, ‘any activity which a person performs</w:t>
      </w:r>
      <w:r w:rsidR="00E66776" w:rsidRPr="00D45CDF">
        <w:rPr>
          <w:rFonts w:asciiTheme="minorHAnsi" w:hAnsiTheme="minorHAnsi"/>
          <w:color w:val="000000"/>
          <w:sz w:val="24"/>
          <w:szCs w:val="24"/>
        </w:rPr>
        <w:t xml:space="preserve"> outside a relationship of subordination must be classified as an activity pursued in a self-employed capacity</w:t>
      </w:r>
      <w:r w:rsidR="00EC38A1" w:rsidRPr="00D45CDF">
        <w:rPr>
          <w:rFonts w:asciiTheme="minorHAnsi" w:hAnsiTheme="minorHAnsi"/>
          <w:color w:val="000000"/>
          <w:sz w:val="24"/>
          <w:szCs w:val="24"/>
        </w:rPr>
        <w:t>,</w:t>
      </w:r>
      <w:r w:rsidR="00E66776" w:rsidRPr="00D45CDF">
        <w:rPr>
          <w:rFonts w:asciiTheme="minorHAnsi" w:hAnsiTheme="minorHAnsi"/>
          <w:color w:val="000000"/>
          <w:sz w:val="24"/>
          <w:szCs w:val="24"/>
        </w:rPr>
        <w:t>’</w:t>
      </w:r>
      <w:r w:rsidR="00E66776" w:rsidRPr="00D45CDF">
        <w:rPr>
          <w:rStyle w:val="FootnoteReference"/>
          <w:rFonts w:asciiTheme="minorHAnsi" w:hAnsiTheme="minorHAnsi"/>
          <w:color w:val="000000"/>
          <w:sz w:val="24"/>
          <w:szCs w:val="24"/>
        </w:rPr>
        <w:footnoteReference w:id="30"/>
      </w:r>
      <w:r w:rsidR="00E66776" w:rsidRPr="00D45CDF">
        <w:rPr>
          <w:rFonts w:asciiTheme="minorHAnsi" w:hAnsiTheme="minorHAnsi"/>
          <w:color w:val="000000"/>
          <w:sz w:val="24"/>
          <w:szCs w:val="24"/>
        </w:rPr>
        <w:t xml:space="preserve"> </w:t>
      </w:r>
      <w:r w:rsidR="00EC38A1" w:rsidRPr="00D45CDF">
        <w:rPr>
          <w:rFonts w:asciiTheme="minorHAnsi" w:hAnsiTheme="minorHAnsi"/>
          <w:color w:val="000000"/>
          <w:sz w:val="24"/>
          <w:szCs w:val="24"/>
        </w:rPr>
        <w:t xml:space="preserve">which </w:t>
      </w:r>
      <w:r w:rsidR="003D6120" w:rsidRPr="00D45CDF">
        <w:rPr>
          <w:rFonts w:asciiTheme="minorHAnsi" w:hAnsiTheme="minorHAnsi"/>
          <w:color w:val="000000"/>
          <w:sz w:val="24"/>
          <w:szCs w:val="24"/>
        </w:rPr>
        <w:t xml:space="preserve">is </w:t>
      </w:r>
      <w:r w:rsidR="00E66776" w:rsidRPr="00D45CDF">
        <w:rPr>
          <w:rFonts w:asciiTheme="minorHAnsi" w:hAnsiTheme="minorHAnsi"/>
          <w:color w:val="000000"/>
          <w:sz w:val="24"/>
          <w:szCs w:val="24"/>
        </w:rPr>
        <w:t xml:space="preserve">protected by different </w:t>
      </w:r>
      <w:r w:rsidR="00C5626B" w:rsidRPr="00D45CDF">
        <w:rPr>
          <w:rFonts w:asciiTheme="minorHAnsi" w:hAnsiTheme="minorHAnsi"/>
          <w:color w:val="000000"/>
          <w:sz w:val="24"/>
          <w:szCs w:val="24"/>
        </w:rPr>
        <w:t xml:space="preserve">FOM </w:t>
      </w:r>
      <w:r w:rsidR="00E66776" w:rsidRPr="00D45CDF">
        <w:rPr>
          <w:rFonts w:asciiTheme="minorHAnsi" w:hAnsiTheme="minorHAnsi"/>
          <w:color w:val="000000"/>
          <w:sz w:val="24"/>
          <w:szCs w:val="24"/>
        </w:rPr>
        <w:t xml:space="preserve">provisions. </w:t>
      </w:r>
    </w:p>
    <w:p w14:paraId="7BCD1689" w14:textId="77777777" w:rsidR="00E62A8D" w:rsidRPr="00D45CDF" w:rsidRDefault="00AC3109" w:rsidP="00D45CDF">
      <w:pPr>
        <w:shd w:val="clear" w:color="auto" w:fill="FFFFFF"/>
        <w:spacing w:before="240" w:line="240" w:lineRule="auto"/>
        <w:jc w:val="both"/>
        <w:rPr>
          <w:rFonts w:asciiTheme="minorHAnsi" w:eastAsiaTheme="majorEastAsia" w:hAnsiTheme="minorHAnsi"/>
          <w:bCs/>
          <w:kern w:val="24"/>
          <w:position w:val="1"/>
          <w:sz w:val="24"/>
          <w:szCs w:val="24"/>
          <w:lang w:val="en-US"/>
        </w:rPr>
      </w:pPr>
      <w:r w:rsidRPr="00D45CDF">
        <w:rPr>
          <w:rFonts w:asciiTheme="minorHAnsi" w:eastAsiaTheme="majorEastAsia" w:hAnsiTheme="minorHAnsi"/>
          <w:bCs/>
          <w:kern w:val="24"/>
          <w:position w:val="1"/>
          <w:sz w:val="24"/>
          <w:szCs w:val="24"/>
          <w:lang w:val="en-US"/>
        </w:rPr>
        <w:t>The right to freedom of establishment is contained in Article 49 TFEU</w:t>
      </w:r>
      <w:r w:rsidR="00B30300" w:rsidRPr="00D45CDF">
        <w:rPr>
          <w:rFonts w:asciiTheme="minorHAnsi" w:eastAsiaTheme="majorEastAsia" w:hAnsiTheme="minorHAnsi"/>
          <w:bCs/>
          <w:kern w:val="24"/>
          <w:position w:val="1"/>
          <w:sz w:val="24"/>
          <w:szCs w:val="24"/>
          <w:lang w:val="en-US"/>
        </w:rPr>
        <w:t>, which</w:t>
      </w:r>
      <w:r w:rsidRPr="00D45CDF">
        <w:rPr>
          <w:rFonts w:asciiTheme="minorHAnsi" w:eastAsiaTheme="majorEastAsia" w:hAnsiTheme="minorHAnsi"/>
          <w:bCs/>
          <w:kern w:val="24"/>
          <w:position w:val="1"/>
          <w:sz w:val="24"/>
          <w:szCs w:val="24"/>
          <w:lang w:val="en-US"/>
        </w:rPr>
        <w:t xml:space="preserve"> allows nationals of </w:t>
      </w:r>
      <w:r w:rsidR="001D6D90" w:rsidRPr="00D45CDF">
        <w:rPr>
          <w:rFonts w:asciiTheme="minorHAnsi" w:eastAsiaTheme="majorEastAsia" w:hAnsiTheme="minorHAnsi"/>
          <w:bCs/>
          <w:kern w:val="24"/>
          <w:position w:val="1"/>
          <w:sz w:val="24"/>
          <w:szCs w:val="24"/>
          <w:lang w:val="en-US"/>
        </w:rPr>
        <w:t>Member States</w:t>
      </w:r>
      <w:r w:rsidRPr="00D45CDF">
        <w:rPr>
          <w:rFonts w:asciiTheme="minorHAnsi" w:eastAsiaTheme="majorEastAsia" w:hAnsiTheme="minorHAnsi"/>
          <w:bCs/>
          <w:kern w:val="24"/>
          <w:position w:val="1"/>
          <w:sz w:val="24"/>
          <w:szCs w:val="24"/>
          <w:lang w:val="en-US"/>
        </w:rPr>
        <w:t xml:space="preserve"> to ‘take up and pursue activities as self-employed persons’ and to set up firms ‘under the conditions laid down for </w:t>
      </w:r>
      <w:r w:rsidR="00B6340A" w:rsidRPr="00D45CDF">
        <w:rPr>
          <w:rFonts w:asciiTheme="minorHAnsi" w:eastAsiaTheme="majorEastAsia" w:hAnsiTheme="minorHAnsi"/>
          <w:bCs/>
          <w:kern w:val="24"/>
          <w:position w:val="1"/>
          <w:sz w:val="24"/>
          <w:szCs w:val="24"/>
          <w:lang w:val="en-US"/>
        </w:rPr>
        <w:t xml:space="preserve">[their] </w:t>
      </w:r>
      <w:r w:rsidRPr="00D45CDF">
        <w:rPr>
          <w:rFonts w:asciiTheme="minorHAnsi" w:eastAsiaTheme="majorEastAsia" w:hAnsiTheme="minorHAnsi"/>
          <w:bCs/>
          <w:kern w:val="24"/>
          <w:position w:val="1"/>
          <w:sz w:val="24"/>
          <w:szCs w:val="24"/>
          <w:lang w:val="en-US"/>
        </w:rPr>
        <w:t>own nationals’</w:t>
      </w:r>
      <w:r w:rsidR="009225A8" w:rsidRPr="00D45CDF">
        <w:rPr>
          <w:rFonts w:asciiTheme="minorHAnsi" w:eastAsiaTheme="majorEastAsia" w:hAnsiTheme="minorHAnsi"/>
          <w:bCs/>
          <w:kern w:val="24"/>
          <w:position w:val="1"/>
          <w:sz w:val="24"/>
          <w:szCs w:val="24"/>
          <w:lang w:val="en-US"/>
        </w:rPr>
        <w:t xml:space="preserve">. </w:t>
      </w:r>
      <w:r w:rsidR="00755A04" w:rsidRPr="00D45CDF">
        <w:rPr>
          <w:rFonts w:asciiTheme="minorHAnsi" w:eastAsiaTheme="majorEastAsia" w:hAnsiTheme="minorHAnsi"/>
          <w:bCs/>
          <w:kern w:val="24"/>
          <w:position w:val="1"/>
          <w:sz w:val="24"/>
          <w:szCs w:val="24"/>
          <w:lang w:val="en-US"/>
        </w:rPr>
        <w:t xml:space="preserve">Discrimination </w:t>
      </w:r>
      <w:r w:rsidR="009225A8" w:rsidRPr="00D45CDF">
        <w:rPr>
          <w:rFonts w:asciiTheme="minorHAnsi" w:eastAsiaTheme="majorEastAsia" w:hAnsiTheme="minorHAnsi"/>
          <w:bCs/>
          <w:kern w:val="24"/>
          <w:position w:val="1"/>
          <w:sz w:val="24"/>
          <w:szCs w:val="24"/>
          <w:lang w:val="en-US"/>
        </w:rPr>
        <w:t>against them on grounds of nationality</w:t>
      </w:r>
      <w:r w:rsidR="00755A04" w:rsidRPr="00D45CDF">
        <w:rPr>
          <w:rFonts w:asciiTheme="minorHAnsi" w:eastAsiaTheme="majorEastAsia" w:hAnsiTheme="minorHAnsi"/>
          <w:bCs/>
          <w:kern w:val="24"/>
          <w:position w:val="1"/>
          <w:sz w:val="24"/>
          <w:szCs w:val="24"/>
          <w:lang w:val="en-US"/>
        </w:rPr>
        <w:t xml:space="preserve"> is</w:t>
      </w:r>
      <w:r w:rsidR="009225A8" w:rsidRPr="00D45CDF">
        <w:rPr>
          <w:rFonts w:asciiTheme="minorHAnsi" w:eastAsiaTheme="majorEastAsia" w:hAnsiTheme="minorHAnsi"/>
          <w:bCs/>
          <w:kern w:val="24"/>
          <w:position w:val="1"/>
          <w:sz w:val="24"/>
          <w:szCs w:val="24"/>
          <w:lang w:val="en-US"/>
        </w:rPr>
        <w:t xml:space="preserve"> </w:t>
      </w:r>
      <w:r w:rsidR="00755A04" w:rsidRPr="00D45CDF">
        <w:rPr>
          <w:rFonts w:asciiTheme="minorHAnsi" w:eastAsiaTheme="majorEastAsia" w:hAnsiTheme="minorHAnsi"/>
          <w:bCs/>
          <w:kern w:val="24"/>
          <w:position w:val="1"/>
          <w:sz w:val="24"/>
          <w:szCs w:val="24"/>
          <w:lang w:val="en-US"/>
        </w:rPr>
        <w:t xml:space="preserve">prohibited </w:t>
      </w:r>
      <w:r w:rsidR="009225A8" w:rsidRPr="00D45CDF">
        <w:rPr>
          <w:rFonts w:asciiTheme="minorHAnsi" w:eastAsiaTheme="majorEastAsia" w:hAnsiTheme="minorHAnsi"/>
          <w:bCs/>
          <w:kern w:val="24"/>
          <w:position w:val="1"/>
          <w:sz w:val="24"/>
          <w:szCs w:val="24"/>
          <w:lang w:val="en-US"/>
        </w:rPr>
        <w:t xml:space="preserve">and </w:t>
      </w:r>
      <w:r w:rsidR="00840538" w:rsidRPr="00D45CDF">
        <w:rPr>
          <w:rFonts w:asciiTheme="minorHAnsi" w:eastAsiaTheme="majorEastAsia" w:hAnsiTheme="minorHAnsi"/>
          <w:bCs/>
          <w:kern w:val="24"/>
          <w:position w:val="1"/>
          <w:sz w:val="24"/>
          <w:szCs w:val="24"/>
          <w:lang w:val="en-US"/>
        </w:rPr>
        <w:t>the</w:t>
      </w:r>
      <w:r w:rsidR="00755A04" w:rsidRPr="00D45CDF">
        <w:rPr>
          <w:rFonts w:asciiTheme="minorHAnsi" w:eastAsiaTheme="majorEastAsia" w:hAnsiTheme="minorHAnsi"/>
          <w:bCs/>
          <w:kern w:val="24"/>
          <w:position w:val="1"/>
          <w:sz w:val="24"/>
          <w:szCs w:val="24"/>
          <w:lang w:val="en-US"/>
        </w:rPr>
        <w:t>y are</w:t>
      </w:r>
      <w:r w:rsidR="00840538" w:rsidRPr="00D45CDF">
        <w:rPr>
          <w:rFonts w:asciiTheme="minorHAnsi" w:eastAsiaTheme="majorEastAsia" w:hAnsiTheme="minorHAnsi"/>
          <w:bCs/>
          <w:kern w:val="24"/>
          <w:position w:val="1"/>
          <w:sz w:val="24"/>
          <w:szCs w:val="24"/>
          <w:lang w:val="en-US"/>
        </w:rPr>
        <w:t xml:space="preserve"> </w:t>
      </w:r>
      <w:r w:rsidR="00755A04" w:rsidRPr="00D45CDF">
        <w:rPr>
          <w:rFonts w:asciiTheme="minorHAnsi" w:eastAsiaTheme="majorEastAsia" w:hAnsiTheme="minorHAnsi"/>
          <w:bCs/>
          <w:kern w:val="24"/>
          <w:position w:val="1"/>
          <w:sz w:val="24"/>
          <w:szCs w:val="24"/>
          <w:lang w:val="en-US"/>
        </w:rPr>
        <w:t xml:space="preserve">granted </w:t>
      </w:r>
      <w:r w:rsidR="0064674F" w:rsidRPr="00D45CDF">
        <w:rPr>
          <w:rFonts w:asciiTheme="minorHAnsi" w:eastAsiaTheme="majorEastAsia" w:hAnsiTheme="minorHAnsi"/>
          <w:bCs/>
          <w:kern w:val="24"/>
          <w:position w:val="1"/>
          <w:sz w:val="24"/>
          <w:szCs w:val="24"/>
          <w:lang w:val="en-US"/>
        </w:rPr>
        <w:t xml:space="preserve">the possibility </w:t>
      </w:r>
      <w:r w:rsidR="00B6340A" w:rsidRPr="00D45CDF">
        <w:rPr>
          <w:rFonts w:asciiTheme="minorHAnsi" w:eastAsiaTheme="majorEastAsia" w:hAnsiTheme="minorHAnsi"/>
          <w:bCs/>
          <w:kern w:val="24"/>
          <w:position w:val="1"/>
          <w:sz w:val="24"/>
          <w:szCs w:val="24"/>
          <w:lang w:val="en-US"/>
        </w:rPr>
        <w:t xml:space="preserve">to </w:t>
      </w:r>
      <w:r w:rsidR="00E12008" w:rsidRPr="00D45CDF">
        <w:rPr>
          <w:rFonts w:asciiTheme="minorHAnsi" w:eastAsiaTheme="majorEastAsia" w:hAnsiTheme="minorHAnsi"/>
          <w:bCs/>
          <w:kern w:val="24"/>
          <w:position w:val="1"/>
          <w:sz w:val="24"/>
          <w:szCs w:val="24"/>
          <w:lang w:val="en-US"/>
        </w:rPr>
        <w:t xml:space="preserve">be engaged in </w:t>
      </w:r>
      <w:r w:rsidR="00E12008" w:rsidRPr="00D45CDF">
        <w:rPr>
          <w:rFonts w:asciiTheme="minorHAnsi" w:eastAsiaTheme="majorEastAsia" w:hAnsiTheme="minorHAnsi"/>
          <w:bCs/>
          <w:kern w:val="24"/>
          <w:position w:val="1"/>
          <w:sz w:val="24"/>
          <w:szCs w:val="24"/>
          <w:lang w:val="en-US"/>
        </w:rPr>
        <w:lastRenderedPageBreak/>
        <w:t xml:space="preserve">the economic activity of their host state in a durable manner and, as expressed in </w:t>
      </w:r>
      <w:proofErr w:type="spellStart"/>
      <w:r w:rsidR="00E12008" w:rsidRPr="00D45CDF">
        <w:rPr>
          <w:rFonts w:asciiTheme="minorHAnsi" w:eastAsiaTheme="majorEastAsia" w:hAnsiTheme="minorHAnsi"/>
          <w:bCs/>
          <w:i/>
          <w:iCs/>
          <w:kern w:val="24"/>
          <w:position w:val="1"/>
          <w:sz w:val="24"/>
          <w:szCs w:val="24"/>
          <w:lang w:val="en-US"/>
        </w:rPr>
        <w:t>Gebhard</w:t>
      </w:r>
      <w:proofErr w:type="spellEnd"/>
      <w:r w:rsidR="00534624" w:rsidRPr="00D45CDF">
        <w:rPr>
          <w:rFonts w:asciiTheme="minorHAnsi" w:eastAsiaTheme="majorEastAsia" w:hAnsiTheme="minorHAnsi"/>
          <w:bCs/>
          <w:i/>
          <w:iCs/>
          <w:kern w:val="24"/>
          <w:position w:val="1"/>
          <w:sz w:val="24"/>
          <w:szCs w:val="24"/>
          <w:lang w:val="en-US"/>
        </w:rPr>
        <w:t>,</w:t>
      </w:r>
      <w:r w:rsidR="00156AB4" w:rsidRPr="00D45CDF">
        <w:rPr>
          <w:rFonts w:asciiTheme="minorHAnsi" w:eastAsiaTheme="majorEastAsia" w:hAnsiTheme="minorHAnsi"/>
          <w:bCs/>
          <w:i/>
          <w:iCs/>
          <w:kern w:val="24"/>
          <w:position w:val="1"/>
          <w:sz w:val="24"/>
          <w:szCs w:val="24"/>
          <w:lang w:val="en-US"/>
        </w:rPr>
        <w:t xml:space="preserve"> </w:t>
      </w:r>
      <w:r w:rsidR="0051297B" w:rsidRPr="00D45CDF">
        <w:rPr>
          <w:rFonts w:asciiTheme="minorHAnsi" w:eastAsiaTheme="majorEastAsia" w:hAnsiTheme="minorHAnsi"/>
          <w:bCs/>
          <w:kern w:val="24"/>
          <w:position w:val="1"/>
          <w:sz w:val="24"/>
          <w:szCs w:val="24"/>
          <w:lang w:val="en-US"/>
        </w:rPr>
        <w:t>‘</w:t>
      </w:r>
      <w:r w:rsidR="00B6340A" w:rsidRPr="00D45CDF">
        <w:rPr>
          <w:rFonts w:asciiTheme="minorHAnsi" w:eastAsiaTheme="majorEastAsia" w:hAnsiTheme="minorHAnsi"/>
          <w:bCs/>
          <w:kern w:val="24"/>
          <w:position w:val="1"/>
          <w:sz w:val="24"/>
          <w:szCs w:val="24"/>
          <w:lang w:val="en-US"/>
        </w:rPr>
        <w:t xml:space="preserve">pursue </w:t>
      </w:r>
      <w:r w:rsidR="00B6340A" w:rsidRPr="00D45CDF">
        <w:rPr>
          <w:rFonts w:asciiTheme="minorHAnsi" w:hAnsiTheme="minorHAnsi"/>
          <w:sz w:val="24"/>
          <w:szCs w:val="24"/>
        </w:rPr>
        <w:t>professional activity on a stable and continuous basis in another Member State</w:t>
      </w:r>
      <w:r w:rsidR="0051297B" w:rsidRPr="00D45CDF">
        <w:rPr>
          <w:rFonts w:asciiTheme="minorHAnsi" w:hAnsiTheme="minorHAnsi"/>
          <w:sz w:val="24"/>
          <w:szCs w:val="24"/>
        </w:rPr>
        <w:t>’.</w:t>
      </w:r>
      <w:r w:rsidR="00B6340A" w:rsidRPr="00D45CDF">
        <w:rPr>
          <w:rStyle w:val="FootnoteReference"/>
          <w:rFonts w:asciiTheme="minorHAnsi" w:hAnsiTheme="minorHAnsi"/>
          <w:sz w:val="24"/>
          <w:szCs w:val="24"/>
        </w:rPr>
        <w:footnoteReference w:id="31"/>
      </w:r>
      <w:r w:rsidR="006B0C48" w:rsidRPr="00D45CDF">
        <w:rPr>
          <w:rFonts w:asciiTheme="minorHAnsi" w:eastAsiaTheme="majorEastAsia" w:hAnsiTheme="minorHAnsi"/>
          <w:bCs/>
          <w:kern w:val="24"/>
          <w:position w:val="1"/>
          <w:sz w:val="24"/>
          <w:szCs w:val="24"/>
          <w:lang w:val="en-US"/>
        </w:rPr>
        <w:t xml:space="preserve"> </w:t>
      </w:r>
      <w:r w:rsidR="00A948BB" w:rsidRPr="00D45CDF">
        <w:rPr>
          <w:rFonts w:asciiTheme="minorHAnsi" w:eastAsiaTheme="majorEastAsia" w:hAnsiTheme="minorHAnsi"/>
          <w:bCs/>
          <w:kern w:val="24"/>
          <w:position w:val="1"/>
          <w:sz w:val="24"/>
          <w:szCs w:val="24"/>
          <w:lang w:val="en-US"/>
        </w:rPr>
        <w:t xml:space="preserve">In </w:t>
      </w:r>
      <w:proofErr w:type="spellStart"/>
      <w:r w:rsidR="00A948BB" w:rsidRPr="00D45CDF">
        <w:rPr>
          <w:rFonts w:asciiTheme="minorHAnsi" w:eastAsiaTheme="majorEastAsia" w:hAnsiTheme="minorHAnsi"/>
          <w:bCs/>
          <w:i/>
          <w:iCs/>
          <w:kern w:val="24"/>
          <w:position w:val="1"/>
          <w:sz w:val="24"/>
          <w:szCs w:val="24"/>
          <w:lang w:val="en-US"/>
        </w:rPr>
        <w:t>Reyners</w:t>
      </w:r>
      <w:proofErr w:type="spellEnd"/>
      <w:r w:rsidR="00A948BB" w:rsidRPr="00D45CDF">
        <w:rPr>
          <w:rFonts w:asciiTheme="minorHAnsi" w:eastAsiaTheme="majorEastAsia" w:hAnsiTheme="minorHAnsi"/>
          <w:bCs/>
          <w:kern w:val="24"/>
          <w:position w:val="1"/>
          <w:sz w:val="24"/>
          <w:szCs w:val="24"/>
          <w:lang w:val="en-US"/>
        </w:rPr>
        <w:t xml:space="preserve"> in 1974, the ECJ </w:t>
      </w:r>
      <w:r w:rsidR="00014DC2" w:rsidRPr="00D45CDF">
        <w:rPr>
          <w:rFonts w:asciiTheme="minorHAnsi" w:eastAsiaTheme="majorEastAsia" w:hAnsiTheme="minorHAnsi"/>
          <w:bCs/>
          <w:kern w:val="24"/>
          <w:position w:val="1"/>
          <w:sz w:val="24"/>
          <w:szCs w:val="24"/>
          <w:lang w:val="en-US"/>
        </w:rPr>
        <w:t>affirmed</w:t>
      </w:r>
      <w:r w:rsidR="0098541B" w:rsidRPr="00D45CDF">
        <w:rPr>
          <w:rFonts w:asciiTheme="minorHAnsi" w:eastAsiaTheme="majorEastAsia" w:hAnsiTheme="minorHAnsi"/>
          <w:bCs/>
          <w:kern w:val="24"/>
          <w:position w:val="1"/>
          <w:sz w:val="24"/>
          <w:szCs w:val="24"/>
          <w:lang w:val="en-US"/>
        </w:rPr>
        <w:t xml:space="preserve"> </w:t>
      </w:r>
      <w:r w:rsidR="00A948BB" w:rsidRPr="00D45CDF">
        <w:rPr>
          <w:rFonts w:asciiTheme="minorHAnsi" w:eastAsiaTheme="majorEastAsia" w:hAnsiTheme="minorHAnsi"/>
          <w:bCs/>
          <w:kern w:val="24"/>
          <w:position w:val="1"/>
          <w:sz w:val="24"/>
          <w:szCs w:val="24"/>
          <w:lang w:val="en-US"/>
        </w:rPr>
        <w:t xml:space="preserve">the right of self-employed </w:t>
      </w:r>
      <w:r w:rsidR="0098541B" w:rsidRPr="00D45CDF">
        <w:rPr>
          <w:rFonts w:asciiTheme="minorHAnsi" w:eastAsiaTheme="majorEastAsia" w:hAnsiTheme="minorHAnsi"/>
          <w:bCs/>
          <w:kern w:val="24"/>
          <w:position w:val="1"/>
          <w:sz w:val="24"/>
          <w:szCs w:val="24"/>
          <w:lang w:val="en-US"/>
        </w:rPr>
        <w:t xml:space="preserve">migrants </w:t>
      </w:r>
      <w:r w:rsidR="00A948BB" w:rsidRPr="00D45CDF">
        <w:rPr>
          <w:rFonts w:asciiTheme="minorHAnsi" w:eastAsiaTheme="majorEastAsia" w:hAnsiTheme="minorHAnsi"/>
          <w:bCs/>
          <w:kern w:val="24"/>
          <w:position w:val="1"/>
          <w:sz w:val="24"/>
          <w:szCs w:val="24"/>
          <w:lang w:val="en-US"/>
        </w:rPr>
        <w:t>to establish themselves</w:t>
      </w:r>
      <w:r w:rsidR="0098541B" w:rsidRPr="00D45CDF">
        <w:rPr>
          <w:rFonts w:asciiTheme="minorHAnsi" w:eastAsiaTheme="majorEastAsia" w:hAnsiTheme="minorHAnsi"/>
          <w:bCs/>
          <w:kern w:val="24"/>
          <w:position w:val="1"/>
          <w:sz w:val="24"/>
          <w:szCs w:val="24"/>
          <w:lang w:val="en-US"/>
        </w:rPr>
        <w:t xml:space="preserve">, </w:t>
      </w:r>
      <w:r w:rsidR="00014DC2" w:rsidRPr="00D45CDF">
        <w:rPr>
          <w:rFonts w:asciiTheme="minorHAnsi" w:eastAsiaTheme="majorEastAsia" w:hAnsiTheme="minorHAnsi"/>
          <w:bCs/>
          <w:kern w:val="24"/>
          <w:position w:val="1"/>
          <w:sz w:val="24"/>
          <w:szCs w:val="24"/>
          <w:lang w:val="en-US"/>
        </w:rPr>
        <w:t xml:space="preserve">confirming the principle of non-discrimination, </w:t>
      </w:r>
      <w:r w:rsidR="0098541B" w:rsidRPr="00D45CDF">
        <w:rPr>
          <w:rFonts w:asciiTheme="minorHAnsi" w:eastAsiaTheme="majorEastAsia" w:hAnsiTheme="minorHAnsi"/>
          <w:bCs/>
          <w:kern w:val="24"/>
          <w:position w:val="1"/>
          <w:sz w:val="24"/>
          <w:szCs w:val="24"/>
          <w:lang w:val="en-US"/>
        </w:rPr>
        <w:t xml:space="preserve">and </w:t>
      </w:r>
      <w:r w:rsidR="00014DC2" w:rsidRPr="00D45CDF">
        <w:rPr>
          <w:rFonts w:asciiTheme="minorHAnsi" w:eastAsiaTheme="majorEastAsia" w:hAnsiTheme="minorHAnsi"/>
          <w:bCs/>
          <w:kern w:val="24"/>
          <w:position w:val="1"/>
          <w:sz w:val="24"/>
          <w:szCs w:val="24"/>
          <w:lang w:val="en-US"/>
        </w:rPr>
        <w:t>asserted</w:t>
      </w:r>
      <w:r w:rsidR="0098541B" w:rsidRPr="00D45CDF">
        <w:rPr>
          <w:rFonts w:asciiTheme="minorHAnsi" w:eastAsiaTheme="majorEastAsia" w:hAnsiTheme="minorHAnsi"/>
          <w:bCs/>
          <w:kern w:val="24"/>
          <w:position w:val="1"/>
          <w:sz w:val="24"/>
          <w:szCs w:val="24"/>
          <w:lang w:val="en-US"/>
        </w:rPr>
        <w:t xml:space="preserve"> this</w:t>
      </w:r>
      <w:r w:rsidR="00A948BB" w:rsidRPr="00D45CDF">
        <w:rPr>
          <w:rFonts w:asciiTheme="minorHAnsi" w:eastAsiaTheme="majorEastAsia" w:hAnsiTheme="minorHAnsi"/>
          <w:bCs/>
          <w:kern w:val="24"/>
          <w:position w:val="1"/>
          <w:sz w:val="24"/>
          <w:szCs w:val="24"/>
          <w:lang w:val="en-US"/>
        </w:rPr>
        <w:t xml:space="preserve"> </w:t>
      </w:r>
      <w:r w:rsidR="00014DC2" w:rsidRPr="00D45CDF">
        <w:rPr>
          <w:rFonts w:asciiTheme="minorHAnsi" w:eastAsiaTheme="majorEastAsia" w:hAnsiTheme="minorHAnsi"/>
          <w:bCs/>
          <w:kern w:val="24"/>
          <w:position w:val="1"/>
          <w:sz w:val="24"/>
          <w:szCs w:val="24"/>
          <w:lang w:val="en-US"/>
        </w:rPr>
        <w:t xml:space="preserve">as </w:t>
      </w:r>
      <w:r w:rsidR="00A948BB" w:rsidRPr="00D45CDF">
        <w:rPr>
          <w:rFonts w:asciiTheme="minorHAnsi" w:eastAsiaTheme="majorEastAsia" w:hAnsiTheme="minorHAnsi"/>
          <w:bCs/>
          <w:kern w:val="24"/>
          <w:position w:val="1"/>
          <w:sz w:val="24"/>
          <w:szCs w:val="24"/>
          <w:lang w:val="en-US"/>
        </w:rPr>
        <w:t xml:space="preserve">directly effective, </w:t>
      </w:r>
      <w:r w:rsidR="0098541B" w:rsidRPr="00D45CDF">
        <w:rPr>
          <w:rFonts w:asciiTheme="minorHAnsi" w:eastAsiaTheme="majorEastAsia" w:hAnsiTheme="minorHAnsi"/>
          <w:bCs/>
          <w:kern w:val="24"/>
          <w:position w:val="1"/>
          <w:sz w:val="24"/>
          <w:szCs w:val="24"/>
          <w:lang w:val="en-US"/>
        </w:rPr>
        <w:t>even though the</w:t>
      </w:r>
      <w:r w:rsidR="00A948BB" w:rsidRPr="00D45CDF">
        <w:rPr>
          <w:rFonts w:asciiTheme="minorHAnsi" w:eastAsiaTheme="majorEastAsia" w:hAnsiTheme="minorHAnsi"/>
          <w:bCs/>
          <w:kern w:val="24"/>
          <w:position w:val="1"/>
          <w:sz w:val="24"/>
          <w:szCs w:val="24"/>
          <w:lang w:val="en-US"/>
        </w:rPr>
        <w:t xml:space="preserve"> implementing measures at Community or national levels</w:t>
      </w:r>
      <w:r w:rsidR="0098541B" w:rsidRPr="00D45CDF">
        <w:rPr>
          <w:rFonts w:asciiTheme="minorHAnsi" w:eastAsiaTheme="majorEastAsia" w:hAnsiTheme="minorHAnsi"/>
          <w:bCs/>
          <w:kern w:val="24"/>
          <w:position w:val="1"/>
          <w:sz w:val="24"/>
          <w:szCs w:val="24"/>
          <w:lang w:val="en-US"/>
        </w:rPr>
        <w:t xml:space="preserve"> </w:t>
      </w:r>
      <w:r w:rsidR="00D81690" w:rsidRPr="00D45CDF">
        <w:rPr>
          <w:rFonts w:asciiTheme="minorHAnsi" w:eastAsiaTheme="majorEastAsia" w:hAnsiTheme="minorHAnsi"/>
          <w:bCs/>
          <w:kern w:val="24"/>
          <w:position w:val="1"/>
          <w:sz w:val="24"/>
          <w:szCs w:val="24"/>
          <w:lang w:val="en-US"/>
        </w:rPr>
        <w:t>may</w:t>
      </w:r>
      <w:r w:rsidR="0098541B" w:rsidRPr="00D45CDF">
        <w:rPr>
          <w:rFonts w:asciiTheme="minorHAnsi" w:eastAsiaTheme="majorEastAsia" w:hAnsiTheme="minorHAnsi"/>
          <w:bCs/>
          <w:kern w:val="24"/>
          <w:position w:val="1"/>
          <w:sz w:val="24"/>
          <w:szCs w:val="24"/>
          <w:lang w:val="en-US"/>
        </w:rPr>
        <w:t xml:space="preserve"> not</w:t>
      </w:r>
      <w:r w:rsidR="00D81690" w:rsidRPr="00D45CDF">
        <w:rPr>
          <w:rFonts w:asciiTheme="minorHAnsi" w:eastAsiaTheme="majorEastAsia" w:hAnsiTheme="minorHAnsi"/>
          <w:bCs/>
          <w:kern w:val="24"/>
          <w:position w:val="1"/>
          <w:sz w:val="24"/>
          <w:szCs w:val="24"/>
          <w:lang w:val="en-US"/>
        </w:rPr>
        <w:t xml:space="preserve"> be</w:t>
      </w:r>
      <w:r w:rsidR="0098541B" w:rsidRPr="00D45CDF">
        <w:rPr>
          <w:rFonts w:asciiTheme="minorHAnsi" w:eastAsiaTheme="majorEastAsia" w:hAnsiTheme="minorHAnsi"/>
          <w:bCs/>
          <w:kern w:val="24"/>
          <w:position w:val="1"/>
          <w:sz w:val="24"/>
          <w:szCs w:val="24"/>
          <w:lang w:val="en-US"/>
        </w:rPr>
        <w:t xml:space="preserve"> fully in place</w:t>
      </w:r>
      <w:r w:rsidR="00A948BB" w:rsidRPr="00D45CDF">
        <w:rPr>
          <w:rFonts w:asciiTheme="minorHAnsi" w:eastAsiaTheme="majorEastAsia" w:hAnsiTheme="minorHAnsi"/>
          <w:bCs/>
          <w:kern w:val="24"/>
          <w:position w:val="1"/>
          <w:sz w:val="24"/>
          <w:szCs w:val="24"/>
          <w:lang w:val="en-US"/>
        </w:rPr>
        <w:t>.</w:t>
      </w:r>
      <w:r w:rsidR="00A948BB" w:rsidRPr="00D45CDF">
        <w:rPr>
          <w:rStyle w:val="FootnoteReference"/>
          <w:rFonts w:asciiTheme="minorHAnsi" w:eastAsiaTheme="majorEastAsia" w:hAnsiTheme="minorHAnsi"/>
          <w:bCs/>
          <w:kern w:val="24"/>
          <w:position w:val="1"/>
          <w:sz w:val="24"/>
          <w:szCs w:val="24"/>
          <w:lang w:val="en-US"/>
        </w:rPr>
        <w:footnoteReference w:id="32"/>
      </w:r>
      <w:r w:rsidR="00A948BB" w:rsidRPr="00D45CDF">
        <w:rPr>
          <w:rFonts w:asciiTheme="minorHAnsi" w:eastAsiaTheme="majorEastAsia" w:hAnsiTheme="minorHAnsi"/>
          <w:bCs/>
          <w:kern w:val="24"/>
          <w:position w:val="1"/>
          <w:sz w:val="24"/>
          <w:szCs w:val="24"/>
          <w:lang w:val="en-US"/>
        </w:rPr>
        <w:t xml:space="preserve">  </w:t>
      </w:r>
      <w:r w:rsidR="00156AB4" w:rsidRPr="00D45CDF">
        <w:rPr>
          <w:rFonts w:asciiTheme="minorHAnsi" w:eastAsiaTheme="majorEastAsia" w:hAnsiTheme="minorHAnsi"/>
          <w:bCs/>
          <w:kern w:val="24"/>
          <w:position w:val="1"/>
          <w:sz w:val="24"/>
          <w:szCs w:val="24"/>
          <w:lang w:val="en-US"/>
        </w:rPr>
        <w:t xml:space="preserve">This freedom of establishment extends also to legal persons, defined in Article 54, thus to law firms, </w:t>
      </w:r>
      <w:r w:rsidR="002125E5" w:rsidRPr="00D45CDF">
        <w:rPr>
          <w:rFonts w:asciiTheme="minorHAnsi" w:eastAsiaTheme="majorEastAsia" w:hAnsiTheme="minorHAnsi"/>
          <w:bCs/>
          <w:kern w:val="24"/>
          <w:position w:val="1"/>
          <w:sz w:val="24"/>
          <w:szCs w:val="24"/>
          <w:lang w:val="en-US"/>
        </w:rPr>
        <w:t>and these m</w:t>
      </w:r>
      <w:r w:rsidR="00156AB4" w:rsidRPr="00D45CDF">
        <w:rPr>
          <w:rFonts w:asciiTheme="minorHAnsi" w:eastAsiaTheme="majorEastAsia" w:hAnsiTheme="minorHAnsi"/>
          <w:bCs/>
          <w:kern w:val="24"/>
          <w:position w:val="1"/>
          <w:sz w:val="24"/>
          <w:szCs w:val="24"/>
          <w:lang w:val="en-US"/>
        </w:rPr>
        <w:t>ay</w:t>
      </w:r>
      <w:r w:rsidR="0029535F" w:rsidRPr="00D45CDF">
        <w:rPr>
          <w:rFonts w:asciiTheme="minorHAnsi" w:eastAsiaTheme="majorEastAsia" w:hAnsiTheme="minorHAnsi"/>
          <w:bCs/>
          <w:kern w:val="24"/>
          <w:position w:val="1"/>
          <w:sz w:val="24"/>
          <w:szCs w:val="24"/>
          <w:lang w:val="en-US"/>
        </w:rPr>
        <w:t xml:space="preserve"> </w:t>
      </w:r>
      <w:r w:rsidR="0033666B" w:rsidRPr="00D45CDF">
        <w:rPr>
          <w:rFonts w:asciiTheme="minorHAnsi" w:eastAsiaTheme="majorEastAsia" w:hAnsiTheme="minorHAnsi"/>
          <w:bCs/>
          <w:kern w:val="24"/>
          <w:position w:val="1"/>
          <w:sz w:val="24"/>
          <w:szCs w:val="24"/>
          <w:lang w:val="en-US"/>
        </w:rPr>
        <w:t>additionally</w:t>
      </w:r>
      <w:r w:rsidR="00156AB4" w:rsidRPr="00D45CDF">
        <w:rPr>
          <w:rFonts w:asciiTheme="minorHAnsi" w:eastAsiaTheme="majorEastAsia" w:hAnsiTheme="minorHAnsi"/>
          <w:bCs/>
          <w:kern w:val="24"/>
          <w:position w:val="1"/>
          <w:sz w:val="24"/>
          <w:szCs w:val="24"/>
          <w:lang w:val="en-US"/>
        </w:rPr>
        <w:t xml:space="preserve"> set up subsidiaries in another Member State</w:t>
      </w:r>
      <w:r w:rsidR="0033666B" w:rsidRPr="00D45CDF">
        <w:rPr>
          <w:rFonts w:asciiTheme="minorHAnsi" w:eastAsiaTheme="majorEastAsia" w:hAnsiTheme="minorHAnsi"/>
          <w:bCs/>
          <w:kern w:val="24"/>
          <w:position w:val="1"/>
          <w:sz w:val="24"/>
          <w:szCs w:val="24"/>
          <w:lang w:val="en-US"/>
        </w:rPr>
        <w:t xml:space="preserve"> as well</w:t>
      </w:r>
      <w:r w:rsidR="00156AB4" w:rsidRPr="00D45CDF">
        <w:rPr>
          <w:rFonts w:asciiTheme="minorHAnsi" w:eastAsiaTheme="majorEastAsia" w:hAnsiTheme="minorHAnsi"/>
          <w:bCs/>
          <w:kern w:val="24"/>
          <w:position w:val="1"/>
          <w:sz w:val="24"/>
          <w:szCs w:val="24"/>
          <w:lang w:val="en-US"/>
        </w:rPr>
        <w:t>.</w:t>
      </w:r>
      <w:r w:rsidR="00156AB4" w:rsidRPr="00D45CDF">
        <w:rPr>
          <w:rStyle w:val="FootnoteReference"/>
          <w:rFonts w:asciiTheme="minorHAnsi" w:eastAsiaTheme="majorEastAsia" w:hAnsiTheme="minorHAnsi"/>
          <w:bCs/>
          <w:kern w:val="24"/>
          <w:position w:val="1"/>
          <w:sz w:val="24"/>
          <w:szCs w:val="24"/>
          <w:lang w:val="en-US"/>
        </w:rPr>
        <w:footnoteReference w:id="33"/>
      </w:r>
      <w:r w:rsidR="0088507D" w:rsidRPr="00D45CDF">
        <w:rPr>
          <w:rFonts w:asciiTheme="minorHAnsi" w:eastAsiaTheme="majorEastAsia" w:hAnsiTheme="minorHAnsi"/>
          <w:bCs/>
          <w:kern w:val="24"/>
          <w:position w:val="1"/>
          <w:sz w:val="24"/>
          <w:szCs w:val="24"/>
          <w:lang w:val="en-US"/>
        </w:rPr>
        <w:t xml:space="preserve"> Law firms have increasingly availed themselves of this opportunity to extend the reach of their business</w:t>
      </w:r>
      <w:r w:rsidR="00AA7D5B" w:rsidRPr="00D45CDF">
        <w:rPr>
          <w:rFonts w:asciiTheme="minorHAnsi" w:eastAsiaTheme="majorEastAsia" w:hAnsiTheme="minorHAnsi"/>
          <w:bCs/>
          <w:kern w:val="24"/>
          <w:position w:val="1"/>
          <w:sz w:val="24"/>
          <w:szCs w:val="24"/>
          <w:lang w:val="en-US"/>
        </w:rPr>
        <w:t xml:space="preserve"> into other EU </w:t>
      </w:r>
      <w:r w:rsidR="001D6D90" w:rsidRPr="00D45CDF">
        <w:rPr>
          <w:rFonts w:asciiTheme="minorHAnsi" w:eastAsiaTheme="majorEastAsia" w:hAnsiTheme="minorHAnsi"/>
          <w:bCs/>
          <w:kern w:val="24"/>
          <w:position w:val="1"/>
          <w:sz w:val="24"/>
          <w:szCs w:val="24"/>
          <w:lang w:val="en-US"/>
        </w:rPr>
        <w:t>Member States</w:t>
      </w:r>
      <w:r w:rsidR="0088507D" w:rsidRPr="00D45CDF">
        <w:rPr>
          <w:rFonts w:asciiTheme="minorHAnsi" w:eastAsiaTheme="majorEastAsia" w:hAnsiTheme="minorHAnsi"/>
          <w:bCs/>
          <w:kern w:val="24"/>
          <w:position w:val="1"/>
          <w:sz w:val="24"/>
          <w:szCs w:val="24"/>
          <w:lang w:val="en-US"/>
        </w:rPr>
        <w:t xml:space="preserve">. </w:t>
      </w:r>
    </w:p>
    <w:p w14:paraId="05E66F7F" w14:textId="77777777" w:rsidR="001607CE" w:rsidRPr="00D45CDF" w:rsidRDefault="001607CE" w:rsidP="00D45CDF">
      <w:pPr>
        <w:shd w:val="clear" w:color="auto" w:fill="FFFFFF"/>
        <w:spacing w:before="240" w:line="240" w:lineRule="auto"/>
        <w:jc w:val="both"/>
        <w:rPr>
          <w:rFonts w:asciiTheme="minorHAnsi" w:eastAsiaTheme="majorEastAsia" w:hAnsiTheme="minorHAnsi"/>
          <w:bCs/>
          <w:kern w:val="24"/>
          <w:position w:val="1"/>
          <w:sz w:val="24"/>
          <w:szCs w:val="24"/>
          <w:lang w:val="en-US"/>
        </w:rPr>
      </w:pPr>
      <w:r w:rsidRPr="00D45CDF">
        <w:rPr>
          <w:rFonts w:asciiTheme="minorHAnsi" w:eastAsiaTheme="majorEastAsia" w:hAnsiTheme="minorHAnsi"/>
          <w:bCs/>
          <w:kern w:val="24"/>
          <w:position w:val="1"/>
          <w:sz w:val="24"/>
          <w:szCs w:val="24"/>
          <w:lang w:val="en-US"/>
        </w:rPr>
        <w:t>The initial focus of the European economy was on trade in goods when the internal market was established</w:t>
      </w:r>
      <w:r w:rsidR="00470A15" w:rsidRPr="00D45CDF">
        <w:rPr>
          <w:rFonts w:asciiTheme="minorHAnsi" w:eastAsiaTheme="majorEastAsia" w:hAnsiTheme="minorHAnsi"/>
          <w:bCs/>
          <w:kern w:val="24"/>
          <w:position w:val="1"/>
          <w:sz w:val="24"/>
          <w:szCs w:val="24"/>
          <w:lang w:val="en-US"/>
        </w:rPr>
        <w:t>, but services have become increasingly important and now constitute over 70% of the European economy.</w:t>
      </w:r>
      <w:r w:rsidR="005726AE" w:rsidRPr="00D45CDF">
        <w:rPr>
          <w:rStyle w:val="FootnoteReference"/>
          <w:rFonts w:asciiTheme="minorHAnsi" w:eastAsiaTheme="majorEastAsia" w:hAnsiTheme="minorHAnsi"/>
          <w:bCs/>
          <w:kern w:val="24"/>
          <w:position w:val="1"/>
          <w:sz w:val="24"/>
          <w:szCs w:val="24"/>
          <w:lang w:val="en-US"/>
        </w:rPr>
        <w:footnoteReference w:id="34"/>
      </w:r>
      <w:r w:rsidR="00470A15" w:rsidRPr="00D45CDF">
        <w:rPr>
          <w:rFonts w:asciiTheme="minorHAnsi" w:eastAsiaTheme="majorEastAsia" w:hAnsiTheme="minorHAnsi"/>
          <w:bCs/>
          <w:kern w:val="24"/>
          <w:position w:val="1"/>
          <w:sz w:val="24"/>
          <w:szCs w:val="24"/>
          <w:lang w:val="en-US"/>
        </w:rPr>
        <w:t xml:space="preserve"> The freedom to provide services is laid out in Article 56 TFEU, </w:t>
      </w:r>
      <w:r w:rsidR="000F17C8" w:rsidRPr="00D45CDF">
        <w:rPr>
          <w:rFonts w:asciiTheme="minorHAnsi" w:eastAsiaTheme="majorEastAsia" w:hAnsiTheme="minorHAnsi"/>
          <w:bCs/>
          <w:kern w:val="24"/>
          <w:position w:val="1"/>
          <w:sz w:val="24"/>
          <w:szCs w:val="24"/>
          <w:lang w:val="en-US"/>
        </w:rPr>
        <w:t xml:space="preserve">which prohibits ‘restrictions on the freedom to provide services within the Union … in respect of nationals of </w:t>
      </w:r>
      <w:r w:rsidR="001D6D90" w:rsidRPr="00D45CDF">
        <w:rPr>
          <w:rFonts w:asciiTheme="minorHAnsi" w:eastAsiaTheme="majorEastAsia" w:hAnsiTheme="minorHAnsi"/>
          <w:bCs/>
          <w:kern w:val="24"/>
          <w:position w:val="1"/>
          <w:sz w:val="24"/>
          <w:szCs w:val="24"/>
          <w:lang w:val="en-US"/>
        </w:rPr>
        <w:t>Member States</w:t>
      </w:r>
      <w:r w:rsidR="000F17C8" w:rsidRPr="00D45CDF">
        <w:rPr>
          <w:rFonts w:asciiTheme="minorHAnsi" w:eastAsiaTheme="majorEastAsia" w:hAnsiTheme="minorHAnsi"/>
          <w:bCs/>
          <w:kern w:val="24"/>
          <w:position w:val="1"/>
          <w:sz w:val="24"/>
          <w:szCs w:val="24"/>
          <w:lang w:val="en-US"/>
        </w:rPr>
        <w:t xml:space="preserve"> who are established in a Member State other than that of the person for whom the services are intended.’ </w:t>
      </w:r>
      <w:r w:rsidR="009C42B0" w:rsidRPr="00D45CDF">
        <w:rPr>
          <w:rFonts w:asciiTheme="minorHAnsi" w:eastAsiaTheme="majorEastAsia" w:hAnsiTheme="minorHAnsi"/>
          <w:bCs/>
          <w:kern w:val="24"/>
          <w:position w:val="1"/>
          <w:sz w:val="24"/>
          <w:szCs w:val="24"/>
          <w:lang w:val="en-US"/>
        </w:rPr>
        <w:t>Article 57 TFEU defines services as activities that are ‘normally provided for remuneration’ and ‘not governed by the provisions relating to the freedom of movement for goods, capital and persons’, highlighting ‘the professions’ as a category of services.</w:t>
      </w:r>
      <w:r w:rsidR="007939C2" w:rsidRPr="00D45CDF">
        <w:rPr>
          <w:rFonts w:asciiTheme="minorHAnsi" w:eastAsiaTheme="majorEastAsia" w:hAnsiTheme="minorHAnsi"/>
          <w:bCs/>
          <w:kern w:val="24"/>
          <w:position w:val="1"/>
          <w:sz w:val="24"/>
          <w:szCs w:val="24"/>
          <w:lang w:val="en-US"/>
        </w:rPr>
        <w:t xml:space="preserve"> It stipulates specifically that ‘the person providing a service may … temporarily pursue his activity in the Member State where the service is provided, under the same conditions as are imposed by that state on its own nationals. These articles provide the basis for lawyers to work across borders on a temporary basis.</w:t>
      </w:r>
      <w:r w:rsidR="002176D9" w:rsidRPr="00D45CDF">
        <w:rPr>
          <w:rFonts w:asciiTheme="minorHAnsi" w:eastAsiaTheme="majorEastAsia" w:hAnsiTheme="minorHAnsi"/>
          <w:bCs/>
          <w:kern w:val="24"/>
          <w:position w:val="1"/>
          <w:sz w:val="24"/>
          <w:szCs w:val="24"/>
          <w:lang w:val="en-US"/>
        </w:rPr>
        <w:t xml:space="preserve"> The fact that a lawyer </w:t>
      </w:r>
      <w:r w:rsidR="000A0729" w:rsidRPr="00D45CDF">
        <w:rPr>
          <w:rFonts w:asciiTheme="minorHAnsi" w:eastAsiaTheme="majorEastAsia" w:hAnsiTheme="minorHAnsi"/>
          <w:bCs/>
          <w:kern w:val="24"/>
          <w:position w:val="1"/>
          <w:sz w:val="24"/>
          <w:szCs w:val="24"/>
          <w:lang w:val="en-US"/>
        </w:rPr>
        <w:t xml:space="preserve">is </w:t>
      </w:r>
      <w:r w:rsidR="002176D9" w:rsidRPr="00D45CDF">
        <w:rPr>
          <w:rFonts w:asciiTheme="minorHAnsi" w:eastAsiaTheme="majorEastAsia" w:hAnsiTheme="minorHAnsi"/>
          <w:bCs/>
          <w:kern w:val="24"/>
          <w:position w:val="1"/>
          <w:sz w:val="24"/>
          <w:szCs w:val="24"/>
          <w:lang w:val="en-US"/>
        </w:rPr>
        <w:t>provid</w:t>
      </w:r>
      <w:r w:rsidR="000A0729" w:rsidRPr="00D45CDF">
        <w:rPr>
          <w:rFonts w:asciiTheme="minorHAnsi" w:eastAsiaTheme="majorEastAsia" w:hAnsiTheme="minorHAnsi"/>
          <w:bCs/>
          <w:kern w:val="24"/>
          <w:position w:val="1"/>
          <w:sz w:val="24"/>
          <w:szCs w:val="24"/>
          <w:lang w:val="en-US"/>
        </w:rPr>
        <w:t>ing</w:t>
      </w:r>
      <w:r w:rsidR="002176D9" w:rsidRPr="00D45CDF">
        <w:rPr>
          <w:rFonts w:asciiTheme="minorHAnsi" w:eastAsiaTheme="majorEastAsia" w:hAnsiTheme="minorHAnsi"/>
          <w:bCs/>
          <w:kern w:val="24"/>
          <w:position w:val="1"/>
          <w:sz w:val="24"/>
          <w:szCs w:val="24"/>
          <w:lang w:val="en-US"/>
        </w:rPr>
        <w:t xml:space="preserve"> services on a temporary basis </w:t>
      </w:r>
      <w:r w:rsidR="000A0729" w:rsidRPr="00D45CDF">
        <w:rPr>
          <w:rFonts w:asciiTheme="minorHAnsi" w:eastAsiaTheme="majorEastAsia" w:hAnsiTheme="minorHAnsi"/>
          <w:bCs/>
          <w:kern w:val="24"/>
          <w:position w:val="1"/>
          <w:sz w:val="24"/>
          <w:szCs w:val="24"/>
          <w:lang w:val="en-US"/>
        </w:rPr>
        <w:t xml:space="preserve">rather than establishing him or herself </w:t>
      </w:r>
      <w:r w:rsidR="002176D9" w:rsidRPr="00D45CDF">
        <w:rPr>
          <w:rFonts w:asciiTheme="minorHAnsi" w:eastAsiaTheme="majorEastAsia" w:hAnsiTheme="minorHAnsi"/>
          <w:bCs/>
          <w:kern w:val="24"/>
          <w:position w:val="1"/>
          <w:sz w:val="24"/>
          <w:szCs w:val="24"/>
          <w:lang w:val="en-US"/>
        </w:rPr>
        <w:t xml:space="preserve">does not prevent him or her from equipping him or herself with ‘some form of infrastructure in </w:t>
      </w:r>
      <w:r w:rsidR="000A0729" w:rsidRPr="00D45CDF">
        <w:rPr>
          <w:rFonts w:asciiTheme="minorHAnsi" w:eastAsiaTheme="majorEastAsia" w:hAnsiTheme="minorHAnsi"/>
          <w:bCs/>
          <w:kern w:val="24"/>
          <w:position w:val="1"/>
          <w:sz w:val="24"/>
          <w:szCs w:val="24"/>
          <w:lang w:val="en-US"/>
        </w:rPr>
        <w:t>t</w:t>
      </w:r>
      <w:r w:rsidR="002176D9" w:rsidRPr="00D45CDF">
        <w:rPr>
          <w:rFonts w:asciiTheme="minorHAnsi" w:eastAsiaTheme="majorEastAsia" w:hAnsiTheme="minorHAnsi"/>
          <w:bCs/>
          <w:kern w:val="24"/>
          <w:position w:val="1"/>
          <w:sz w:val="24"/>
          <w:szCs w:val="24"/>
          <w:lang w:val="en-US"/>
        </w:rPr>
        <w:t>h</w:t>
      </w:r>
      <w:r w:rsidR="000A0729" w:rsidRPr="00D45CDF">
        <w:rPr>
          <w:rFonts w:asciiTheme="minorHAnsi" w:eastAsiaTheme="majorEastAsia" w:hAnsiTheme="minorHAnsi"/>
          <w:bCs/>
          <w:kern w:val="24"/>
          <w:position w:val="1"/>
          <w:sz w:val="24"/>
          <w:szCs w:val="24"/>
          <w:lang w:val="en-US"/>
        </w:rPr>
        <w:t>e</w:t>
      </w:r>
      <w:r w:rsidR="002176D9" w:rsidRPr="00D45CDF">
        <w:rPr>
          <w:rFonts w:asciiTheme="minorHAnsi" w:eastAsiaTheme="majorEastAsia" w:hAnsiTheme="minorHAnsi"/>
          <w:bCs/>
          <w:kern w:val="24"/>
          <w:position w:val="1"/>
          <w:sz w:val="24"/>
          <w:szCs w:val="24"/>
          <w:lang w:val="en-US"/>
        </w:rPr>
        <w:t xml:space="preserve"> host Member State (including an office, chambers or consulting rooms) … for the purpose of performing the services in question</w:t>
      </w:r>
      <w:r w:rsidR="002A354D" w:rsidRPr="00D45CDF">
        <w:rPr>
          <w:rFonts w:asciiTheme="minorHAnsi" w:eastAsiaTheme="majorEastAsia" w:hAnsiTheme="minorHAnsi"/>
          <w:bCs/>
          <w:kern w:val="24"/>
          <w:position w:val="1"/>
          <w:sz w:val="24"/>
          <w:szCs w:val="24"/>
          <w:lang w:val="en-US"/>
        </w:rPr>
        <w:t>,</w:t>
      </w:r>
      <w:r w:rsidR="002176D9" w:rsidRPr="00D45CDF">
        <w:rPr>
          <w:rFonts w:asciiTheme="minorHAnsi" w:eastAsiaTheme="majorEastAsia" w:hAnsiTheme="minorHAnsi"/>
          <w:bCs/>
          <w:kern w:val="24"/>
          <w:position w:val="1"/>
          <w:sz w:val="24"/>
          <w:szCs w:val="24"/>
          <w:lang w:val="en-US"/>
        </w:rPr>
        <w:t>’</w:t>
      </w:r>
      <w:r w:rsidR="002176D9" w:rsidRPr="00D45CDF">
        <w:rPr>
          <w:rStyle w:val="FootnoteReference"/>
          <w:rFonts w:asciiTheme="minorHAnsi" w:eastAsiaTheme="majorEastAsia" w:hAnsiTheme="minorHAnsi"/>
          <w:bCs/>
          <w:kern w:val="24"/>
          <w:position w:val="1"/>
          <w:sz w:val="24"/>
          <w:szCs w:val="24"/>
          <w:lang w:val="en-US"/>
        </w:rPr>
        <w:footnoteReference w:id="35"/>
      </w:r>
      <w:r w:rsidR="002A354D" w:rsidRPr="00D45CDF">
        <w:rPr>
          <w:rFonts w:asciiTheme="minorHAnsi" w:eastAsiaTheme="majorEastAsia" w:hAnsiTheme="minorHAnsi"/>
          <w:bCs/>
          <w:kern w:val="24"/>
          <w:position w:val="1"/>
          <w:sz w:val="24"/>
          <w:szCs w:val="24"/>
          <w:lang w:val="en-US"/>
        </w:rPr>
        <w:t xml:space="preserve"> nor for providing those services </w:t>
      </w:r>
      <w:r w:rsidR="007E1662" w:rsidRPr="00D45CDF">
        <w:rPr>
          <w:rFonts w:asciiTheme="minorHAnsi" w:eastAsiaTheme="majorEastAsia" w:hAnsiTheme="minorHAnsi"/>
          <w:bCs/>
          <w:kern w:val="24"/>
          <w:position w:val="1"/>
          <w:sz w:val="24"/>
          <w:szCs w:val="24"/>
          <w:lang w:val="en-US"/>
        </w:rPr>
        <w:t xml:space="preserve">regularly or </w:t>
      </w:r>
      <w:r w:rsidR="002A354D" w:rsidRPr="00D45CDF">
        <w:rPr>
          <w:rFonts w:asciiTheme="minorHAnsi" w:eastAsiaTheme="majorEastAsia" w:hAnsiTheme="minorHAnsi"/>
          <w:bCs/>
          <w:kern w:val="24"/>
          <w:position w:val="1"/>
          <w:sz w:val="24"/>
          <w:szCs w:val="24"/>
          <w:lang w:val="en-US"/>
        </w:rPr>
        <w:t>for a sustained period of time.</w:t>
      </w:r>
      <w:r w:rsidR="00621D85" w:rsidRPr="00D45CDF">
        <w:rPr>
          <w:rStyle w:val="FootnoteReference"/>
          <w:rFonts w:asciiTheme="minorHAnsi" w:eastAsiaTheme="majorEastAsia" w:hAnsiTheme="minorHAnsi"/>
          <w:bCs/>
          <w:kern w:val="24"/>
          <w:position w:val="1"/>
          <w:sz w:val="24"/>
          <w:szCs w:val="24"/>
          <w:lang w:val="en-US"/>
        </w:rPr>
        <w:footnoteReference w:id="36"/>
      </w:r>
      <w:r w:rsidR="002A354D" w:rsidRPr="00D45CDF">
        <w:rPr>
          <w:rFonts w:asciiTheme="minorHAnsi" w:eastAsiaTheme="majorEastAsia" w:hAnsiTheme="minorHAnsi"/>
          <w:bCs/>
          <w:kern w:val="24"/>
          <w:position w:val="1"/>
          <w:sz w:val="24"/>
          <w:szCs w:val="24"/>
          <w:lang w:val="en-US"/>
        </w:rPr>
        <w:t xml:space="preserve"> </w:t>
      </w:r>
      <w:r w:rsidR="007948B2" w:rsidRPr="00D45CDF">
        <w:rPr>
          <w:rFonts w:asciiTheme="minorHAnsi" w:eastAsiaTheme="majorEastAsia" w:hAnsiTheme="minorHAnsi"/>
          <w:bCs/>
          <w:kern w:val="24"/>
          <w:position w:val="1"/>
          <w:sz w:val="24"/>
          <w:szCs w:val="24"/>
          <w:lang w:val="en-US"/>
        </w:rPr>
        <w:t>Article 56 only applies where a cross-border element is concerned</w:t>
      </w:r>
      <w:r w:rsidR="00722E50" w:rsidRPr="00D45CDF">
        <w:rPr>
          <w:rFonts w:asciiTheme="minorHAnsi" w:eastAsiaTheme="majorEastAsia" w:hAnsiTheme="minorHAnsi"/>
          <w:bCs/>
          <w:kern w:val="24"/>
          <w:position w:val="1"/>
          <w:sz w:val="24"/>
          <w:szCs w:val="24"/>
          <w:lang w:val="en-US"/>
        </w:rPr>
        <w:t xml:space="preserve">, but </w:t>
      </w:r>
      <w:r w:rsidR="00CD0ACF" w:rsidRPr="00D45CDF">
        <w:rPr>
          <w:rFonts w:asciiTheme="minorHAnsi" w:eastAsiaTheme="majorEastAsia" w:hAnsiTheme="minorHAnsi"/>
          <w:bCs/>
          <w:kern w:val="24"/>
          <w:position w:val="1"/>
          <w:sz w:val="24"/>
          <w:szCs w:val="24"/>
          <w:lang w:val="en-US"/>
        </w:rPr>
        <w:t>both</w:t>
      </w:r>
      <w:r w:rsidR="00722E50" w:rsidRPr="00D45CDF">
        <w:rPr>
          <w:rFonts w:asciiTheme="minorHAnsi" w:eastAsiaTheme="majorEastAsia" w:hAnsiTheme="minorHAnsi"/>
          <w:bCs/>
          <w:kern w:val="24"/>
          <w:position w:val="1"/>
          <w:sz w:val="24"/>
          <w:szCs w:val="24"/>
          <w:lang w:val="en-US"/>
        </w:rPr>
        <w:t xml:space="preserve"> service provider and recipient</w:t>
      </w:r>
      <w:r w:rsidR="00CD0ACF" w:rsidRPr="00D45CDF">
        <w:rPr>
          <w:rFonts w:asciiTheme="minorHAnsi" w:eastAsiaTheme="majorEastAsia" w:hAnsiTheme="minorHAnsi"/>
          <w:bCs/>
          <w:kern w:val="24"/>
          <w:position w:val="1"/>
          <w:sz w:val="24"/>
          <w:szCs w:val="24"/>
          <w:lang w:val="en-US"/>
        </w:rPr>
        <w:t xml:space="preserve"> may rely on this provision.</w:t>
      </w:r>
      <w:r w:rsidR="00722E50" w:rsidRPr="00D45CDF">
        <w:rPr>
          <w:rStyle w:val="FootnoteReference"/>
          <w:rFonts w:asciiTheme="minorHAnsi" w:eastAsiaTheme="majorEastAsia" w:hAnsiTheme="minorHAnsi"/>
          <w:bCs/>
          <w:kern w:val="24"/>
          <w:position w:val="1"/>
          <w:sz w:val="24"/>
          <w:szCs w:val="24"/>
          <w:lang w:val="en-US"/>
        </w:rPr>
        <w:footnoteReference w:id="37"/>
      </w:r>
      <w:r w:rsidR="00CD0ACF" w:rsidRPr="00D45CDF">
        <w:rPr>
          <w:rFonts w:asciiTheme="minorHAnsi" w:eastAsiaTheme="majorEastAsia" w:hAnsiTheme="minorHAnsi"/>
          <w:bCs/>
          <w:kern w:val="24"/>
          <w:position w:val="1"/>
          <w:sz w:val="24"/>
          <w:szCs w:val="24"/>
          <w:lang w:val="en-US"/>
        </w:rPr>
        <w:t xml:space="preserve"> </w:t>
      </w:r>
      <w:proofErr w:type="spellStart"/>
      <w:r w:rsidR="00CD0ACF" w:rsidRPr="00D45CDF">
        <w:rPr>
          <w:rFonts w:asciiTheme="minorHAnsi" w:eastAsiaTheme="majorEastAsia" w:hAnsiTheme="minorHAnsi"/>
          <w:bCs/>
          <w:kern w:val="24"/>
          <w:position w:val="1"/>
          <w:sz w:val="24"/>
          <w:szCs w:val="24"/>
          <w:lang w:val="en-US"/>
        </w:rPr>
        <w:t>Cuyvers</w:t>
      </w:r>
      <w:proofErr w:type="spellEnd"/>
      <w:r w:rsidR="00CD0ACF" w:rsidRPr="00D45CDF">
        <w:rPr>
          <w:rFonts w:asciiTheme="minorHAnsi" w:eastAsiaTheme="majorEastAsia" w:hAnsiTheme="minorHAnsi"/>
          <w:bCs/>
          <w:kern w:val="24"/>
          <w:position w:val="1"/>
          <w:sz w:val="24"/>
          <w:szCs w:val="24"/>
          <w:lang w:val="en-US"/>
        </w:rPr>
        <w:t xml:space="preserve"> explains</w:t>
      </w:r>
      <w:r w:rsidR="00246060" w:rsidRPr="00D45CDF">
        <w:rPr>
          <w:rFonts w:asciiTheme="minorHAnsi" w:eastAsiaTheme="majorEastAsia" w:hAnsiTheme="minorHAnsi"/>
          <w:bCs/>
          <w:kern w:val="24"/>
          <w:position w:val="1"/>
          <w:sz w:val="24"/>
          <w:szCs w:val="24"/>
          <w:lang w:val="en-US"/>
        </w:rPr>
        <w:t xml:space="preserve"> the breadth of the possibilities available under the FOM of legal services</w:t>
      </w:r>
      <w:r w:rsidR="00CD0ACF" w:rsidRPr="00D45CDF">
        <w:rPr>
          <w:rFonts w:asciiTheme="minorHAnsi" w:eastAsiaTheme="majorEastAsia" w:hAnsiTheme="minorHAnsi"/>
          <w:bCs/>
          <w:kern w:val="24"/>
          <w:position w:val="1"/>
          <w:sz w:val="24"/>
          <w:szCs w:val="24"/>
          <w:lang w:val="en-US"/>
        </w:rPr>
        <w:t xml:space="preserve">: </w:t>
      </w:r>
    </w:p>
    <w:p w14:paraId="74501A00" w14:textId="77777777" w:rsidR="00F70A12" w:rsidRPr="00D45CDF" w:rsidRDefault="00F70A12" w:rsidP="00D45CDF">
      <w:pPr>
        <w:shd w:val="clear" w:color="auto" w:fill="FFFFFF"/>
        <w:spacing w:before="240" w:line="240" w:lineRule="auto"/>
        <w:ind w:left="720"/>
        <w:jc w:val="both"/>
        <w:rPr>
          <w:rFonts w:asciiTheme="minorHAnsi" w:hAnsiTheme="minorHAnsi"/>
          <w:sz w:val="24"/>
          <w:szCs w:val="24"/>
        </w:rPr>
      </w:pPr>
      <w:r w:rsidRPr="00D45CDF">
        <w:rPr>
          <w:rFonts w:asciiTheme="minorHAnsi" w:eastAsiaTheme="majorEastAsia" w:hAnsiTheme="minorHAnsi"/>
          <w:bCs/>
          <w:kern w:val="24"/>
          <w:position w:val="1"/>
          <w:sz w:val="24"/>
          <w:szCs w:val="24"/>
          <w:lang w:val="en-US"/>
        </w:rPr>
        <w:t xml:space="preserve">‘Four possible cross-border scenarios can be envisioned. Firstly, the service provider may travel to another </w:t>
      </w:r>
      <w:r w:rsidR="00B90EB5" w:rsidRPr="00D45CDF">
        <w:rPr>
          <w:rFonts w:asciiTheme="minorHAnsi" w:eastAsiaTheme="majorEastAsia" w:hAnsiTheme="minorHAnsi"/>
          <w:bCs/>
          <w:kern w:val="24"/>
          <w:position w:val="1"/>
          <w:sz w:val="24"/>
          <w:szCs w:val="24"/>
          <w:lang w:val="en-US"/>
        </w:rPr>
        <w:t>M</w:t>
      </w:r>
      <w:r w:rsidRPr="00D45CDF">
        <w:rPr>
          <w:rFonts w:asciiTheme="minorHAnsi" w:eastAsiaTheme="majorEastAsia" w:hAnsiTheme="minorHAnsi"/>
          <w:bCs/>
          <w:kern w:val="24"/>
          <w:position w:val="1"/>
          <w:sz w:val="24"/>
          <w:szCs w:val="24"/>
          <w:lang w:val="en-US"/>
        </w:rPr>
        <w:t xml:space="preserve">ember </w:t>
      </w:r>
      <w:r w:rsidR="00B90EB5" w:rsidRPr="00D45CDF">
        <w:rPr>
          <w:rFonts w:asciiTheme="minorHAnsi" w:eastAsiaTheme="majorEastAsia" w:hAnsiTheme="minorHAnsi"/>
          <w:bCs/>
          <w:kern w:val="24"/>
          <w:position w:val="1"/>
          <w:sz w:val="24"/>
          <w:szCs w:val="24"/>
          <w:lang w:val="en-US"/>
        </w:rPr>
        <w:t>S</w:t>
      </w:r>
      <w:r w:rsidRPr="00D45CDF">
        <w:rPr>
          <w:rFonts w:asciiTheme="minorHAnsi" w:eastAsiaTheme="majorEastAsia" w:hAnsiTheme="minorHAnsi"/>
          <w:bCs/>
          <w:kern w:val="24"/>
          <w:position w:val="1"/>
          <w:sz w:val="24"/>
          <w:szCs w:val="24"/>
          <w:lang w:val="en-US"/>
        </w:rPr>
        <w:t xml:space="preserve">tate to provide a service. Secondly… service recipients may travel to another </w:t>
      </w:r>
      <w:r w:rsidR="00B90EB5" w:rsidRPr="00D45CDF">
        <w:rPr>
          <w:rFonts w:asciiTheme="minorHAnsi" w:eastAsiaTheme="majorEastAsia" w:hAnsiTheme="minorHAnsi"/>
          <w:bCs/>
          <w:kern w:val="24"/>
          <w:position w:val="1"/>
          <w:sz w:val="24"/>
          <w:szCs w:val="24"/>
          <w:lang w:val="en-US"/>
        </w:rPr>
        <w:t>M</w:t>
      </w:r>
      <w:r w:rsidRPr="00D45CDF">
        <w:rPr>
          <w:rFonts w:asciiTheme="minorHAnsi" w:eastAsiaTheme="majorEastAsia" w:hAnsiTheme="minorHAnsi"/>
          <w:bCs/>
          <w:kern w:val="24"/>
          <w:position w:val="1"/>
          <w:sz w:val="24"/>
          <w:szCs w:val="24"/>
          <w:lang w:val="en-US"/>
        </w:rPr>
        <w:t xml:space="preserve">ember </w:t>
      </w:r>
      <w:r w:rsidR="00B90EB5" w:rsidRPr="00D45CDF">
        <w:rPr>
          <w:rFonts w:asciiTheme="minorHAnsi" w:eastAsiaTheme="majorEastAsia" w:hAnsiTheme="minorHAnsi"/>
          <w:bCs/>
          <w:kern w:val="24"/>
          <w:position w:val="1"/>
          <w:sz w:val="24"/>
          <w:szCs w:val="24"/>
          <w:lang w:val="en-US"/>
        </w:rPr>
        <w:t>S</w:t>
      </w:r>
      <w:r w:rsidRPr="00D45CDF">
        <w:rPr>
          <w:rFonts w:asciiTheme="minorHAnsi" w:eastAsiaTheme="majorEastAsia" w:hAnsiTheme="minorHAnsi"/>
          <w:bCs/>
          <w:kern w:val="24"/>
          <w:position w:val="1"/>
          <w:sz w:val="24"/>
          <w:szCs w:val="24"/>
          <w:lang w:val="en-US"/>
        </w:rPr>
        <w:t xml:space="preserve">tate to receive a service. Thirdly, the service itself may </w:t>
      </w:r>
      <w:r w:rsidRPr="00D45CDF">
        <w:rPr>
          <w:rFonts w:asciiTheme="minorHAnsi" w:eastAsiaTheme="majorEastAsia" w:hAnsiTheme="minorHAnsi"/>
          <w:bCs/>
          <w:kern w:val="24"/>
          <w:position w:val="1"/>
          <w:sz w:val="24"/>
          <w:szCs w:val="24"/>
          <w:lang w:val="en-US"/>
        </w:rPr>
        <w:lastRenderedPageBreak/>
        <w:t xml:space="preserve">cross a border, for example via the internet. Fourthly, the service provider and the service recipient may travel together to another </w:t>
      </w:r>
      <w:r w:rsidR="00B90EB5" w:rsidRPr="00D45CDF">
        <w:rPr>
          <w:rFonts w:asciiTheme="minorHAnsi" w:eastAsiaTheme="majorEastAsia" w:hAnsiTheme="minorHAnsi"/>
          <w:bCs/>
          <w:kern w:val="24"/>
          <w:position w:val="1"/>
          <w:sz w:val="24"/>
          <w:szCs w:val="24"/>
          <w:lang w:val="en-US"/>
        </w:rPr>
        <w:t>M</w:t>
      </w:r>
      <w:r w:rsidRPr="00D45CDF">
        <w:rPr>
          <w:rFonts w:asciiTheme="minorHAnsi" w:eastAsiaTheme="majorEastAsia" w:hAnsiTheme="minorHAnsi"/>
          <w:bCs/>
          <w:kern w:val="24"/>
          <w:position w:val="1"/>
          <w:sz w:val="24"/>
          <w:szCs w:val="24"/>
          <w:lang w:val="en-US"/>
        </w:rPr>
        <w:t xml:space="preserve">ember </w:t>
      </w:r>
      <w:r w:rsidR="00B90EB5" w:rsidRPr="00D45CDF">
        <w:rPr>
          <w:rFonts w:asciiTheme="minorHAnsi" w:eastAsiaTheme="majorEastAsia" w:hAnsiTheme="minorHAnsi"/>
          <w:bCs/>
          <w:kern w:val="24"/>
          <w:position w:val="1"/>
          <w:sz w:val="24"/>
          <w:szCs w:val="24"/>
          <w:lang w:val="en-US"/>
        </w:rPr>
        <w:t>S</w:t>
      </w:r>
      <w:r w:rsidRPr="00D45CDF">
        <w:rPr>
          <w:rFonts w:asciiTheme="minorHAnsi" w:eastAsiaTheme="majorEastAsia" w:hAnsiTheme="minorHAnsi"/>
          <w:bCs/>
          <w:kern w:val="24"/>
          <w:position w:val="1"/>
          <w:sz w:val="24"/>
          <w:szCs w:val="24"/>
          <w:lang w:val="en-US"/>
        </w:rPr>
        <w:t>tate, for an example with an Irish consultant joining his Irish client on a business trip to Malta.’</w:t>
      </w:r>
      <w:r w:rsidRPr="00D45CDF">
        <w:rPr>
          <w:rStyle w:val="FootnoteReference"/>
          <w:rFonts w:asciiTheme="minorHAnsi" w:eastAsiaTheme="majorEastAsia" w:hAnsiTheme="minorHAnsi"/>
          <w:bCs/>
          <w:kern w:val="24"/>
          <w:position w:val="1"/>
          <w:sz w:val="24"/>
          <w:szCs w:val="24"/>
          <w:lang w:val="en-US"/>
        </w:rPr>
        <w:footnoteReference w:id="38"/>
      </w:r>
    </w:p>
    <w:p w14:paraId="40025B0D" w14:textId="77777777" w:rsidR="006032B7" w:rsidRPr="00D45CDF" w:rsidRDefault="00005EF8" w:rsidP="00D45CDF">
      <w:pPr>
        <w:shd w:val="clear" w:color="auto" w:fill="FFFFFF"/>
        <w:spacing w:before="240" w:line="240" w:lineRule="auto"/>
        <w:jc w:val="both"/>
        <w:rPr>
          <w:rFonts w:asciiTheme="minorHAnsi" w:eastAsiaTheme="majorEastAsia" w:hAnsiTheme="minorHAnsi"/>
          <w:bCs/>
          <w:kern w:val="24"/>
          <w:position w:val="1"/>
          <w:sz w:val="24"/>
          <w:szCs w:val="24"/>
          <w:lang w:val="en-US"/>
        </w:rPr>
      </w:pPr>
      <w:r w:rsidRPr="00D45CDF">
        <w:rPr>
          <w:rFonts w:asciiTheme="minorHAnsi" w:eastAsiaTheme="majorEastAsia" w:hAnsiTheme="minorHAnsi"/>
          <w:bCs/>
          <w:kern w:val="24"/>
          <w:position w:val="1"/>
          <w:sz w:val="24"/>
          <w:szCs w:val="24"/>
          <w:lang w:val="en-US"/>
        </w:rPr>
        <w:t xml:space="preserve">Article 53 TFEU provides for the </w:t>
      </w:r>
      <w:r w:rsidR="00AA2680" w:rsidRPr="00D45CDF">
        <w:rPr>
          <w:rFonts w:asciiTheme="minorHAnsi" w:eastAsiaTheme="majorEastAsia" w:hAnsiTheme="minorHAnsi"/>
          <w:bCs/>
          <w:kern w:val="24"/>
          <w:position w:val="1"/>
          <w:sz w:val="24"/>
          <w:szCs w:val="24"/>
          <w:lang w:val="en-US"/>
        </w:rPr>
        <w:t xml:space="preserve">issuing of </w:t>
      </w:r>
      <w:r w:rsidR="00D804A1" w:rsidRPr="00D45CDF">
        <w:rPr>
          <w:rFonts w:asciiTheme="minorHAnsi" w:eastAsiaTheme="majorEastAsia" w:hAnsiTheme="minorHAnsi"/>
          <w:bCs/>
          <w:kern w:val="24"/>
          <w:position w:val="1"/>
          <w:sz w:val="24"/>
          <w:szCs w:val="24"/>
          <w:lang w:val="en-US"/>
        </w:rPr>
        <w:t>d</w:t>
      </w:r>
      <w:r w:rsidR="00AA2680" w:rsidRPr="00D45CDF">
        <w:rPr>
          <w:rFonts w:asciiTheme="minorHAnsi" w:eastAsiaTheme="majorEastAsia" w:hAnsiTheme="minorHAnsi"/>
          <w:bCs/>
          <w:kern w:val="24"/>
          <w:position w:val="1"/>
          <w:sz w:val="24"/>
          <w:szCs w:val="24"/>
          <w:lang w:val="en-US"/>
        </w:rPr>
        <w:t xml:space="preserve">irectives to bring about the </w:t>
      </w:r>
      <w:r w:rsidRPr="00D45CDF">
        <w:rPr>
          <w:rFonts w:asciiTheme="minorHAnsi" w:eastAsiaTheme="majorEastAsia" w:hAnsiTheme="minorHAnsi"/>
          <w:bCs/>
          <w:kern w:val="24"/>
          <w:position w:val="1"/>
          <w:sz w:val="24"/>
          <w:szCs w:val="24"/>
          <w:lang w:val="en-US"/>
        </w:rPr>
        <w:t>mutual recognition of diplomas, certificates and other evidence of formal qualifications</w:t>
      </w:r>
      <w:r w:rsidR="006032B7" w:rsidRPr="00D45CDF">
        <w:rPr>
          <w:rFonts w:asciiTheme="minorHAnsi" w:eastAsiaTheme="majorEastAsia" w:hAnsiTheme="minorHAnsi"/>
          <w:bCs/>
          <w:kern w:val="24"/>
          <w:position w:val="1"/>
          <w:sz w:val="24"/>
          <w:szCs w:val="24"/>
          <w:lang w:val="en-US"/>
        </w:rPr>
        <w:t>.</w:t>
      </w:r>
    </w:p>
    <w:p w14:paraId="356BCEAD" w14:textId="77777777" w:rsidR="001C4DDB" w:rsidRPr="00D45CDF" w:rsidRDefault="00FB28F6" w:rsidP="00D45CDF">
      <w:pPr>
        <w:shd w:val="clear" w:color="auto" w:fill="FFFFFF"/>
        <w:spacing w:before="240" w:line="240" w:lineRule="auto"/>
        <w:jc w:val="both"/>
        <w:rPr>
          <w:rFonts w:asciiTheme="minorHAnsi" w:eastAsiaTheme="majorEastAsia" w:hAnsiTheme="minorHAnsi"/>
          <w:bCs/>
          <w:kern w:val="24"/>
          <w:position w:val="1"/>
          <w:sz w:val="24"/>
          <w:szCs w:val="24"/>
          <w:lang w:val="en-US"/>
        </w:rPr>
      </w:pPr>
      <w:r w:rsidRPr="00D45CDF">
        <w:rPr>
          <w:rFonts w:asciiTheme="minorHAnsi" w:eastAsiaTheme="majorEastAsia" w:hAnsiTheme="minorHAnsi"/>
          <w:bCs/>
          <w:kern w:val="24"/>
          <w:position w:val="1"/>
          <w:sz w:val="24"/>
          <w:szCs w:val="24"/>
          <w:lang w:val="en-US"/>
        </w:rPr>
        <w:t>The</w:t>
      </w:r>
      <w:r w:rsidR="00531CC1" w:rsidRPr="00D45CDF">
        <w:rPr>
          <w:rFonts w:asciiTheme="minorHAnsi" w:eastAsiaTheme="majorEastAsia" w:hAnsiTheme="minorHAnsi"/>
          <w:bCs/>
          <w:kern w:val="24"/>
          <w:position w:val="1"/>
          <w:sz w:val="24"/>
          <w:szCs w:val="24"/>
          <w:lang w:val="en-US"/>
        </w:rPr>
        <w:t xml:space="preserve"> </w:t>
      </w:r>
      <w:r w:rsidR="00E837AF" w:rsidRPr="00D45CDF">
        <w:rPr>
          <w:rFonts w:asciiTheme="minorHAnsi" w:eastAsiaTheme="majorEastAsia" w:hAnsiTheme="minorHAnsi"/>
          <w:bCs/>
          <w:kern w:val="24"/>
          <w:position w:val="1"/>
          <w:sz w:val="24"/>
          <w:szCs w:val="24"/>
          <w:lang w:val="en-US"/>
        </w:rPr>
        <w:t>provisions</w:t>
      </w:r>
      <w:r w:rsidR="00531CC1" w:rsidRPr="00D45CDF">
        <w:rPr>
          <w:rFonts w:asciiTheme="minorHAnsi" w:eastAsiaTheme="majorEastAsia" w:hAnsiTheme="minorHAnsi"/>
          <w:bCs/>
          <w:kern w:val="24"/>
          <w:position w:val="1"/>
          <w:sz w:val="24"/>
          <w:szCs w:val="24"/>
          <w:lang w:val="en-US"/>
        </w:rPr>
        <w:t xml:space="preserve"> contained in these Articles</w:t>
      </w:r>
      <w:r w:rsidR="00E837AF" w:rsidRPr="00D45CDF">
        <w:rPr>
          <w:rFonts w:asciiTheme="minorHAnsi" w:eastAsiaTheme="majorEastAsia" w:hAnsiTheme="minorHAnsi"/>
          <w:bCs/>
          <w:kern w:val="24"/>
          <w:position w:val="1"/>
          <w:sz w:val="24"/>
          <w:szCs w:val="24"/>
          <w:lang w:val="en-US"/>
        </w:rPr>
        <w:t xml:space="preserve"> </w:t>
      </w:r>
      <w:r w:rsidRPr="00D45CDF">
        <w:rPr>
          <w:rFonts w:asciiTheme="minorHAnsi" w:eastAsiaTheme="majorEastAsia" w:hAnsiTheme="minorHAnsi"/>
          <w:bCs/>
          <w:kern w:val="24"/>
          <w:position w:val="1"/>
          <w:sz w:val="24"/>
          <w:szCs w:val="24"/>
          <w:lang w:val="en-US"/>
        </w:rPr>
        <w:t>are fleshed out by a number of Directives</w:t>
      </w:r>
      <w:r w:rsidR="00A07120" w:rsidRPr="00D45CDF">
        <w:rPr>
          <w:rFonts w:asciiTheme="minorHAnsi" w:eastAsiaTheme="majorEastAsia" w:hAnsiTheme="minorHAnsi"/>
          <w:bCs/>
          <w:kern w:val="24"/>
          <w:position w:val="1"/>
          <w:sz w:val="24"/>
          <w:szCs w:val="24"/>
          <w:lang w:val="en-US"/>
        </w:rPr>
        <w:t>,</w:t>
      </w:r>
      <w:r w:rsidR="007C509C" w:rsidRPr="00D45CDF">
        <w:rPr>
          <w:rFonts w:asciiTheme="minorHAnsi" w:eastAsiaTheme="majorEastAsia" w:hAnsiTheme="minorHAnsi"/>
          <w:bCs/>
          <w:kern w:val="24"/>
          <w:position w:val="1"/>
          <w:sz w:val="24"/>
          <w:szCs w:val="24"/>
          <w:lang w:val="en-US"/>
        </w:rPr>
        <w:t xml:space="preserve"> </w:t>
      </w:r>
      <w:r w:rsidR="006032B7" w:rsidRPr="00D45CDF">
        <w:rPr>
          <w:rFonts w:asciiTheme="minorHAnsi" w:eastAsiaTheme="majorEastAsia" w:hAnsiTheme="minorHAnsi"/>
          <w:bCs/>
          <w:kern w:val="24"/>
          <w:position w:val="1"/>
          <w:sz w:val="24"/>
          <w:szCs w:val="24"/>
          <w:lang w:val="en-US"/>
        </w:rPr>
        <w:t xml:space="preserve">which are then translated into the domestic law of the </w:t>
      </w:r>
      <w:r w:rsidR="001D6D90" w:rsidRPr="00D45CDF">
        <w:rPr>
          <w:rFonts w:asciiTheme="minorHAnsi" w:eastAsiaTheme="majorEastAsia" w:hAnsiTheme="minorHAnsi"/>
          <w:bCs/>
          <w:kern w:val="24"/>
          <w:position w:val="1"/>
          <w:sz w:val="24"/>
          <w:szCs w:val="24"/>
          <w:lang w:val="en-US"/>
        </w:rPr>
        <w:t>Member States</w:t>
      </w:r>
      <w:r w:rsidR="006032B7" w:rsidRPr="00D45CDF">
        <w:rPr>
          <w:rFonts w:asciiTheme="minorHAnsi" w:eastAsiaTheme="majorEastAsia" w:hAnsiTheme="minorHAnsi"/>
          <w:bCs/>
          <w:kern w:val="24"/>
          <w:position w:val="1"/>
          <w:sz w:val="24"/>
          <w:szCs w:val="24"/>
          <w:lang w:val="en-US"/>
        </w:rPr>
        <w:t xml:space="preserve"> by local laws and regulations</w:t>
      </w:r>
      <w:r w:rsidR="00851A25" w:rsidRPr="00D45CDF">
        <w:rPr>
          <w:rFonts w:asciiTheme="minorHAnsi" w:eastAsiaTheme="majorEastAsia" w:hAnsiTheme="minorHAnsi"/>
          <w:bCs/>
          <w:kern w:val="24"/>
          <w:position w:val="1"/>
          <w:sz w:val="24"/>
          <w:szCs w:val="24"/>
          <w:lang w:val="en-US"/>
        </w:rPr>
        <w:t>. The freedoms</w:t>
      </w:r>
      <w:r w:rsidR="006032B7" w:rsidRPr="00D45CDF">
        <w:rPr>
          <w:rFonts w:asciiTheme="minorHAnsi" w:eastAsiaTheme="majorEastAsia" w:hAnsiTheme="minorHAnsi"/>
          <w:bCs/>
          <w:kern w:val="24"/>
          <w:position w:val="1"/>
          <w:sz w:val="24"/>
          <w:szCs w:val="24"/>
          <w:lang w:val="en-US"/>
        </w:rPr>
        <w:t xml:space="preserve"> </w:t>
      </w:r>
      <w:r w:rsidR="006F45A8" w:rsidRPr="00D45CDF">
        <w:rPr>
          <w:rFonts w:asciiTheme="minorHAnsi" w:eastAsiaTheme="majorEastAsia" w:hAnsiTheme="minorHAnsi"/>
          <w:bCs/>
          <w:kern w:val="24"/>
          <w:position w:val="1"/>
          <w:sz w:val="24"/>
          <w:szCs w:val="24"/>
          <w:lang w:val="en-US"/>
        </w:rPr>
        <w:t xml:space="preserve">extend </w:t>
      </w:r>
      <w:r w:rsidR="006032B7" w:rsidRPr="00D45CDF">
        <w:rPr>
          <w:rFonts w:asciiTheme="minorHAnsi" w:eastAsiaTheme="majorEastAsia" w:hAnsiTheme="minorHAnsi"/>
          <w:bCs/>
          <w:kern w:val="24"/>
          <w:position w:val="1"/>
          <w:sz w:val="24"/>
          <w:szCs w:val="24"/>
          <w:lang w:val="en-US"/>
        </w:rPr>
        <w:t xml:space="preserve">to the legal professions, regardless of the ‘relatively deep differences’ in entry requirements and ‘the varying structures, customs, cultures, and legal traditions’ </w:t>
      </w:r>
      <w:r w:rsidR="003D469D" w:rsidRPr="00D45CDF">
        <w:rPr>
          <w:rFonts w:asciiTheme="minorHAnsi" w:eastAsiaTheme="majorEastAsia" w:hAnsiTheme="minorHAnsi"/>
          <w:bCs/>
          <w:kern w:val="24"/>
          <w:position w:val="1"/>
          <w:sz w:val="24"/>
          <w:szCs w:val="24"/>
          <w:lang w:val="en-US"/>
        </w:rPr>
        <w:t xml:space="preserve">of individual </w:t>
      </w:r>
      <w:r w:rsidR="001D6D90" w:rsidRPr="00D45CDF">
        <w:rPr>
          <w:rFonts w:asciiTheme="minorHAnsi" w:eastAsiaTheme="majorEastAsia" w:hAnsiTheme="minorHAnsi"/>
          <w:bCs/>
          <w:kern w:val="24"/>
          <w:position w:val="1"/>
          <w:sz w:val="24"/>
          <w:szCs w:val="24"/>
          <w:lang w:val="en-US"/>
        </w:rPr>
        <w:t>Member States</w:t>
      </w:r>
      <w:r w:rsidR="003D469D" w:rsidRPr="00D45CDF">
        <w:rPr>
          <w:rFonts w:asciiTheme="minorHAnsi" w:eastAsiaTheme="majorEastAsia" w:hAnsiTheme="minorHAnsi"/>
          <w:bCs/>
          <w:kern w:val="24"/>
          <w:position w:val="1"/>
          <w:sz w:val="24"/>
          <w:szCs w:val="24"/>
          <w:lang w:val="en-US"/>
        </w:rPr>
        <w:t xml:space="preserve"> </w:t>
      </w:r>
      <w:r w:rsidR="006032B7" w:rsidRPr="00D45CDF">
        <w:rPr>
          <w:rFonts w:asciiTheme="minorHAnsi" w:eastAsiaTheme="majorEastAsia" w:hAnsiTheme="minorHAnsi"/>
          <w:bCs/>
          <w:kern w:val="24"/>
          <w:position w:val="1"/>
          <w:sz w:val="24"/>
          <w:szCs w:val="24"/>
          <w:lang w:val="en-US"/>
        </w:rPr>
        <w:t>across the EU</w:t>
      </w:r>
      <w:r w:rsidR="00AB1684" w:rsidRPr="00D45CDF">
        <w:rPr>
          <w:rFonts w:asciiTheme="minorHAnsi" w:eastAsiaTheme="majorEastAsia" w:hAnsiTheme="minorHAnsi"/>
          <w:bCs/>
          <w:kern w:val="24"/>
          <w:position w:val="1"/>
          <w:sz w:val="24"/>
          <w:szCs w:val="24"/>
          <w:lang w:val="en-US"/>
        </w:rPr>
        <w:t>, which have caused obstacles to the FOM of lawyers and legal services in the past</w:t>
      </w:r>
      <w:r w:rsidR="006032B7" w:rsidRPr="00D45CDF">
        <w:rPr>
          <w:rFonts w:asciiTheme="minorHAnsi" w:eastAsiaTheme="majorEastAsia" w:hAnsiTheme="minorHAnsi"/>
          <w:bCs/>
          <w:kern w:val="24"/>
          <w:position w:val="1"/>
          <w:sz w:val="24"/>
          <w:szCs w:val="24"/>
          <w:lang w:val="en-US"/>
        </w:rPr>
        <w:t>.</w:t>
      </w:r>
      <w:r w:rsidR="006032B7" w:rsidRPr="00D45CDF">
        <w:rPr>
          <w:rStyle w:val="FootnoteReference"/>
          <w:rFonts w:asciiTheme="minorHAnsi" w:eastAsiaTheme="majorEastAsia" w:hAnsiTheme="minorHAnsi"/>
          <w:bCs/>
          <w:kern w:val="24"/>
          <w:position w:val="1"/>
          <w:sz w:val="24"/>
          <w:szCs w:val="24"/>
          <w:lang w:val="en-US"/>
        </w:rPr>
        <w:footnoteReference w:id="39"/>
      </w:r>
      <w:r w:rsidR="000E5FC4" w:rsidRPr="00D45CDF">
        <w:rPr>
          <w:rFonts w:asciiTheme="minorHAnsi" w:eastAsiaTheme="majorEastAsia" w:hAnsiTheme="minorHAnsi"/>
          <w:bCs/>
          <w:kern w:val="24"/>
          <w:position w:val="1"/>
          <w:sz w:val="24"/>
          <w:szCs w:val="24"/>
          <w:lang w:val="en-US"/>
        </w:rPr>
        <w:t xml:space="preserve"> A</w:t>
      </w:r>
      <w:r w:rsidR="006F45A8" w:rsidRPr="00D45CDF">
        <w:rPr>
          <w:rFonts w:asciiTheme="minorHAnsi" w:eastAsiaTheme="majorEastAsia" w:hAnsiTheme="minorHAnsi"/>
          <w:bCs/>
          <w:kern w:val="24"/>
          <w:position w:val="1"/>
          <w:sz w:val="24"/>
          <w:szCs w:val="24"/>
          <w:lang w:val="en-US"/>
        </w:rPr>
        <w:t>n abundance</w:t>
      </w:r>
      <w:r w:rsidR="000E5FC4" w:rsidRPr="00D45CDF">
        <w:rPr>
          <w:rFonts w:asciiTheme="minorHAnsi" w:eastAsiaTheme="majorEastAsia" w:hAnsiTheme="minorHAnsi"/>
          <w:bCs/>
          <w:kern w:val="24"/>
          <w:position w:val="1"/>
          <w:sz w:val="24"/>
          <w:szCs w:val="24"/>
          <w:lang w:val="en-US"/>
        </w:rPr>
        <w:t xml:space="preserve"> of case law</w:t>
      </w:r>
      <w:r w:rsidR="001B7853" w:rsidRPr="00D45CDF">
        <w:rPr>
          <w:rFonts w:asciiTheme="minorHAnsi" w:eastAsiaTheme="majorEastAsia" w:hAnsiTheme="minorHAnsi"/>
          <w:bCs/>
          <w:kern w:val="24"/>
          <w:position w:val="1"/>
          <w:sz w:val="24"/>
          <w:szCs w:val="24"/>
          <w:lang w:val="en-US"/>
        </w:rPr>
        <w:t xml:space="preserve"> in the 1970s and 1980s</w:t>
      </w:r>
      <w:r w:rsidR="000E5FC4" w:rsidRPr="00D45CDF">
        <w:rPr>
          <w:rFonts w:asciiTheme="minorHAnsi" w:eastAsiaTheme="majorEastAsia" w:hAnsiTheme="minorHAnsi"/>
          <w:bCs/>
          <w:kern w:val="24"/>
          <w:position w:val="1"/>
          <w:sz w:val="24"/>
          <w:szCs w:val="24"/>
          <w:lang w:val="en-US"/>
        </w:rPr>
        <w:t xml:space="preserve"> is testimony to the i</w:t>
      </w:r>
      <w:r w:rsidR="001C4DDB" w:rsidRPr="00D45CDF">
        <w:rPr>
          <w:rFonts w:asciiTheme="minorHAnsi" w:eastAsiaTheme="majorEastAsia" w:hAnsiTheme="minorHAnsi"/>
          <w:bCs/>
          <w:kern w:val="24"/>
          <w:position w:val="1"/>
          <w:sz w:val="24"/>
          <w:szCs w:val="24"/>
          <w:lang w:val="en-US"/>
        </w:rPr>
        <w:t>nitial re</w:t>
      </w:r>
      <w:r w:rsidR="004E20D8" w:rsidRPr="00D45CDF">
        <w:rPr>
          <w:rFonts w:asciiTheme="minorHAnsi" w:eastAsiaTheme="majorEastAsia" w:hAnsiTheme="minorHAnsi"/>
          <w:bCs/>
          <w:kern w:val="24"/>
          <w:position w:val="1"/>
          <w:sz w:val="24"/>
          <w:szCs w:val="24"/>
          <w:lang w:val="en-US"/>
        </w:rPr>
        <w:t>ticence</w:t>
      </w:r>
      <w:r w:rsidR="001C4DDB" w:rsidRPr="00D45CDF">
        <w:rPr>
          <w:rFonts w:asciiTheme="minorHAnsi" w:eastAsiaTheme="majorEastAsia" w:hAnsiTheme="minorHAnsi"/>
          <w:bCs/>
          <w:kern w:val="24"/>
          <w:position w:val="1"/>
          <w:sz w:val="24"/>
          <w:szCs w:val="24"/>
          <w:lang w:val="en-US"/>
        </w:rPr>
        <w:t xml:space="preserve"> to apply the general </w:t>
      </w:r>
      <w:proofErr w:type="spellStart"/>
      <w:r w:rsidR="001C4DDB" w:rsidRPr="00D45CDF">
        <w:rPr>
          <w:rFonts w:asciiTheme="minorHAnsi" w:eastAsiaTheme="majorEastAsia" w:hAnsiTheme="minorHAnsi"/>
          <w:bCs/>
          <w:kern w:val="24"/>
          <w:position w:val="1"/>
          <w:sz w:val="24"/>
          <w:szCs w:val="24"/>
          <w:lang w:val="en-US"/>
        </w:rPr>
        <w:t>liberalising</w:t>
      </w:r>
      <w:proofErr w:type="spellEnd"/>
      <w:r w:rsidR="001C4DDB" w:rsidRPr="00D45CDF">
        <w:rPr>
          <w:rFonts w:asciiTheme="minorHAnsi" w:eastAsiaTheme="majorEastAsia" w:hAnsiTheme="minorHAnsi"/>
          <w:bCs/>
          <w:kern w:val="24"/>
          <w:position w:val="1"/>
          <w:sz w:val="24"/>
          <w:szCs w:val="24"/>
          <w:lang w:val="en-US"/>
        </w:rPr>
        <w:t xml:space="preserve"> provisions on the freedom to provide services and the freedom of establishment to the legal professions</w:t>
      </w:r>
      <w:r w:rsidR="00851A25" w:rsidRPr="00D45CDF">
        <w:rPr>
          <w:rFonts w:asciiTheme="minorHAnsi" w:eastAsiaTheme="majorEastAsia" w:hAnsiTheme="minorHAnsi"/>
          <w:bCs/>
          <w:kern w:val="24"/>
          <w:position w:val="1"/>
          <w:sz w:val="24"/>
          <w:szCs w:val="24"/>
          <w:lang w:val="en-US"/>
        </w:rPr>
        <w:t>.</w:t>
      </w:r>
      <w:r w:rsidR="001C4DDB" w:rsidRPr="00D45CDF">
        <w:rPr>
          <w:rStyle w:val="FootnoteReference"/>
          <w:rFonts w:asciiTheme="minorHAnsi" w:eastAsiaTheme="majorEastAsia" w:hAnsiTheme="minorHAnsi"/>
          <w:bCs/>
          <w:kern w:val="24"/>
          <w:position w:val="1"/>
          <w:sz w:val="24"/>
          <w:szCs w:val="24"/>
          <w:lang w:val="en-US"/>
        </w:rPr>
        <w:footnoteReference w:id="40"/>
      </w:r>
      <w:r w:rsidR="001C4DDB" w:rsidRPr="00D45CDF">
        <w:rPr>
          <w:rFonts w:asciiTheme="minorHAnsi" w:eastAsiaTheme="majorEastAsia" w:hAnsiTheme="minorHAnsi"/>
          <w:bCs/>
          <w:kern w:val="24"/>
          <w:position w:val="1"/>
          <w:sz w:val="24"/>
          <w:szCs w:val="24"/>
          <w:lang w:val="en-US"/>
        </w:rPr>
        <w:t xml:space="preserve"> </w:t>
      </w:r>
      <w:r w:rsidR="00851A25" w:rsidRPr="00D45CDF">
        <w:rPr>
          <w:rFonts w:asciiTheme="minorHAnsi" w:eastAsiaTheme="majorEastAsia" w:hAnsiTheme="minorHAnsi"/>
          <w:bCs/>
          <w:kern w:val="24"/>
          <w:position w:val="1"/>
          <w:sz w:val="24"/>
          <w:szCs w:val="24"/>
          <w:lang w:val="en-US"/>
        </w:rPr>
        <w:t>H</w:t>
      </w:r>
      <w:r w:rsidR="001C4DDB" w:rsidRPr="00D45CDF">
        <w:rPr>
          <w:rFonts w:asciiTheme="minorHAnsi" w:eastAsiaTheme="majorEastAsia" w:hAnsiTheme="minorHAnsi"/>
          <w:bCs/>
          <w:kern w:val="24"/>
          <w:position w:val="1"/>
          <w:sz w:val="24"/>
          <w:szCs w:val="24"/>
          <w:lang w:val="en-US"/>
        </w:rPr>
        <w:t xml:space="preserve">owever, </w:t>
      </w:r>
      <w:r w:rsidR="007C21BE" w:rsidRPr="00D45CDF">
        <w:rPr>
          <w:rFonts w:asciiTheme="minorHAnsi" w:eastAsiaTheme="majorEastAsia" w:hAnsiTheme="minorHAnsi"/>
          <w:bCs/>
          <w:kern w:val="24"/>
          <w:position w:val="1"/>
          <w:sz w:val="24"/>
          <w:szCs w:val="24"/>
          <w:lang w:val="en-US"/>
        </w:rPr>
        <w:t>the only</w:t>
      </w:r>
      <w:r w:rsidR="00F56CFF" w:rsidRPr="00D45CDF">
        <w:rPr>
          <w:rFonts w:asciiTheme="minorHAnsi" w:eastAsiaTheme="majorEastAsia" w:hAnsiTheme="minorHAnsi"/>
          <w:bCs/>
          <w:kern w:val="24"/>
          <w:position w:val="1"/>
          <w:sz w:val="24"/>
          <w:szCs w:val="24"/>
          <w:lang w:val="en-US"/>
        </w:rPr>
        <w:t xml:space="preserve"> </w:t>
      </w:r>
      <w:r w:rsidR="001C4DDB" w:rsidRPr="00D45CDF">
        <w:rPr>
          <w:rFonts w:asciiTheme="minorHAnsi" w:eastAsiaTheme="majorEastAsia" w:hAnsiTheme="minorHAnsi"/>
          <w:bCs/>
          <w:kern w:val="24"/>
          <w:position w:val="1"/>
          <w:sz w:val="24"/>
          <w:szCs w:val="24"/>
          <w:lang w:val="en-US"/>
        </w:rPr>
        <w:t>exception</w:t>
      </w:r>
      <w:r w:rsidR="00931482" w:rsidRPr="00D45CDF">
        <w:rPr>
          <w:rFonts w:asciiTheme="minorHAnsi" w:eastAsiaTheme="majorEastAsia" w:hAnsiTheme="minorHAnsi"/>
          <w:bCs/>
          <w:kern w:val="24"/>
          <w:position w:val="1"/>
          <w:sz w:val="24"/>
          <w:szCs w:val="24"/>
          <w:lang w:val="en-US"/>
        </w:rPr>
        <w:t xml:space="preserve"> to the freedom of movement rights</w:t>
      </w:r>
      <w:r w:rsidR="00F56CFF" w:rsidRPr="00D45CDF">
        <w:rPr>
          <w:rFonts w:asciiTheme="minorHAnsi" w:eastAsiaTheme="majorEastAsia" w:hAnsiTheme="minorHAnsi"/>
          <w:bCs/>
          <w:kern w:val="24"/>
          <w:position w:val="1"/>
          <w:sz w:val="24"/>
          <w:szCs w:val="24"/>
          <w:lang w:val="en-US"/>
        </w:rPr>
        <w:t xml:space="preserve"> s</w:t>
      </w:r>
      <w:r w:rsidR="007C21BE" w:rsidRPr="00D45CDF">
        <w:rPr>
          <w:rFonts w:asciiTheme="minorHAnsi" w:eastAsiaTheme="majorEastAsia" w:hAnsiTheme="minorHAnsi"/>
          <w:bCs/>
          <w:kern w:val="24"/>
          <w:position w:val="1"/>
          <w:sz w:val="24"/>
          <w:szCs w:val="24"/>
          <w:lang w:val="en-US"/>
        </w:rPr>
        <w:t>pecifically</w:t>
      </w:r>
      <w:r w:rsidR="00F56CFF" w:rsidRPr="00D45CDF">
        <w:rPr>
          <w:rFonts w:asciiTheme="minorHAnsi" w:eastAsiaTheme="majorEastAsia" w:hAnsiTheme="minorHAnsi"/>
          <w:bCs/>
          <w:kern w:val="24"/>
          <w:position w:val="1"/>
          <w:sz w:val="24"/>
          <w:szCs w:val="24"/>
          <w:lang w:val="en-US"/>
        </w:rPr>
        <w:t xml:space="preserve"> made </w:t>
      </w:r>
      <w:r w:rsidR="001C4DDB" w:rsidRPr="00D45CDF">
        <w:rPr>
          <w:rFonts w:asciiTheme="minorHAnsi" w:eastAsiaTheme="majorEastAsia" w:hAnsiTheme="minorHAnsi"/>
          <w:bCs/>
          <w:kern w:val="24"/>
          <w:position w:val="1"/>
          <w:sz w:val="24"/>
          <w:szCs w:val="24"/>
          <w:lang w:val="en-US"/>
        </w:rPr>
        <w:t xml:space="preserve">in the </w:t>
      </w:r>
      <w:r w:rsidR="007C21BE" w:rsidRPr="00D45CDF">
        <w:rPr>
          <w:rFonts w:asciiTheme="minorHAnsi" w:eastAsiaTheme="majorEastAsia" w:hAnsiTheme="minorHAnsi"/>
          <w:bCs/>
          <w:kern w:val="24"/>
          <w:position w:val="1"/>
          <w:sz w:val="24"/>
          <w:szCs w:val="24"/>
          <w:lang w:val="en-US"/>
        </w:rPr>
        <w:t>EEC</w:t>
      </w:r>
      <w:r w:rsidR="001C4DDB" w:rsidRPr="00D45CDF">
        <w:rPr>
          <w:rFonts w:asciiTheme="minorHAnsi" w:eastAsiaTheme="majorEastAsia" w:hAnsiTheme="minorHAnsi"/>
          <w:bCs/>
          <w:kern w:val="24"/>
          <w:position w:val="1"/>
          <w:sz w:val="24"/>
          <w:szCs w:val="24"/>
          <w:lang w:val="en-US"/>
        </w:rPr>
        <w:t xml:space="preserve"> Treaty </w:t>
      </w:r>
      <w:r w:rsidR="007C21BE" w:rsidRPr="00D45CDF">
        <w:rPr>
          <w:rFonts w:asciiTheme="minorHAnsi" w:eastAsiaTheme="majorEastAsia" w:hAnsiTheme="minorHAnsi"/>
          <w:bCs/>
          <w:kern w:val="24"/>
          <w:position w:val="1"/>
          <w:sz w:val="24"/>
          <w:szCs w:val="24"/>
          <w:lang w:val="en-US"/>
        </w:rPr>
        <w:t>relates to</w:t>
      </w:r>
      <w:r w:rsidR="001C4DDB" w:rsidRPr="00D45CDF">
        <w:rPr>
          <w:rFonts w:asciiTheme="minorHAnsi" w:eastAsiaTheme="majorEastAsia" w:hAnsiTheme="minorHAnsi"/>
          <w:bCs/>
          <w:kern w:val="24"/>
          <w:position w:val="1"/>
          <w:sz w:val="24"/>
          <w:szCs w:val="24"/>
          <w:lang w:val="en-US"/>
        </w:rPr>
        <w:t xml:space="preserve"> employment within public </w:t>
      </w:r>
      <w:r w:rsidR="00B77B74" w:rsidRPr="00D45CDF">
        <w:rPr>
          <w:rFonts w:asciiTheme="minorHAnsi" w:eastAsiaTheme="majorEastAsia" w:hAnsiTheme="minorHAnsi"/>
          <w:bCs/>
          <w:kern w:val="24"/>
          <w:position w:val="1"/>
          <w:sz w:val="24"/>
          <w:szCs w:val="24"/>
          <w:lang w:val="en-US"/>
        </w:rPr>
        <w:t>services</w:t>
      </w:r>
      <w:r w:rsidR="00F56CFF" w:rsidRPr="00D45CDF">
        <w:rPr>
          <w:rFonts w:asciiTheme="minorHAnsi" w:eastAsiaTheme="majorEastAsia" w:hAnsiTheme="minorHAnsi"/>
          <w:bCs/>
          <w:kern w:val="24"/>
          <w:position w:val="1"/>
          <w:sz w:val="24"/>
          <w:szCs w:val="24"/>
          <w:lang w:val="en-US"/>
        </w:rPr>
        <w:t xml:space="preserve"> and</w:t>
      </w:r>
      <w:r w:rsidR="001C4DDB" w:rsidRPr="00D45CDF">
        <w:rPr>
          <w:rFonts w:asciiTheme="minorHAnsi" w:eastAsiaTheme="majorEastAsia" w:hAnsiTheme="minorHAnsi"/>
          <w:bCs/>
          <w:kern w:val="24"/>
          <w:position w:val="1"/>
          <w:sz w:val="24"/>
          <w:szCs w:val="24"/>
          <w:lang w:val="en-US"/>
        </w:rPr>
        <w:t xml:space="preserve"> </w:t>
      </w:r>
      <w:r w:rsidR="00F56CFF" w:rsidRPr="00D45CDF">
        <w:rPr>
          <w:rFonts w:asciiTheme="minorHAnsi" w:eastAsiaTheme="majorEastAsia" w:hAnsiTheme="minorHAnsi"/>
          <w:bCs/>
          <w:kern w:val="24"/>
          <w:position w:val="1"/>
          <w:sz w:val="24"/>
          <w:szCs w:val="24"/>
          <w:lang w:val="en-US"/>
        </w:rPr>
        <w:t>activities connected with the exercise of official authority, which does not affect the</w:t>
      </w:r>
      <w:r w:rsidR="001C4DDB" w:rsidRPr="00D45CDF">
        <w:rPr>
          <w:rFonts w:asciiTheme="minorHAnsi" w:eastAsiaTheme="majorEastAsia" w:hAnsiTheme="minorHAnsi"/>
          <w:bCs/>
          <w:kern w:val="24"/>
          <w:position w:val="1"/>
          <w:sz w:val="24"/>
          <w:szCs w:val="24"/>
          <w:lang w:val="en-US"/>
        </w:rPr>
        <w:t xml:space="preserve"> majority of</w:t>
      </w:r>
      <w:r w:rsidR="007E4E73" w:rsidRPr="00D45CDF">
        <w:rPr>
          <w:rFonts w:asciiTheme="minorHAnsi" w:eastAsiaTheme="majorEastAsia" w:hAnsiTheme="minorHAnsi"/>
          <w:bCs/>
          <w:kern w:val="24"/>
          <w:position w:val="1"/>
          <w:sz w:val="24"/>
          <w:szCs w:val="24"/>
          <w:lang w:val="en-US"/>
        </w:rPr>
        <w:t xml:space="preserve"> work carried out by lawyers</w:t>
      </w:r>
      <w:r w:rsidR="004A3E14" w:rsidRPr="00D45CDF">
        <w:rPr>
          <w:rFonts w:asciiTheme="minorHAnsi" w:eastAsiaTheme="majorEastAsia" w:hAnsiTheme="minorHAnsi"/>
          <w:bCs/>
          <w:kern w:val="24"/>
          <w:position w:val="1"/>
          <w:sz w:val="24"/>
          <w:szCs w:val="24"/>
          <w:lang w:val="en-US"/>
        </w:rPr>
        <w:t>,</w:t>
      </w:r>
      <w:r w:rsidR="00F56CFF" w:rsidRPr="00D45CDF">
        <w:rPr>
          <w:rStyle w:val="FootnoteReference"/>
          <w:rFonts w:asciiTheme="minorHAnsi" w:eastAsiaTheme="majorEastAsia" w:hAnsiTheme="minorHAnsi"/>
          <w:bCs/>
          <w:kern w:val="24"/>
          <w:position w:val="1"/>
          <w:sz w:val="24"/>
          <w:szCs w:val="24"/>
          <w:lang w:val="en-US"/>
        </w:rPr>
        <w:footnoteReference w:id="41"/>
      </w:r>
      <w:r w:rsidR="004A3E14" w:rsidRPr="00D45CDF">
        <w:rPr>
          <w:rFonts w:asciiTheme="minorHAnsi" w:eastAsiaTheme="majorEastAsia" w:hAnsiTheme="minorHAnsi"/>
          <w:bCs/>
          <w:kern w:val="24"/>
          <w:position w:val="1"/>
          <w:sz w:val="24"/>
          <w:szCs w:val="24"/>
          <w:lang w:val="en-US"/>
        </w:rPr>
        <w:t xml:space="preserve"> a</w:t>
      </w:r>
      <w:r w:rsidR="00FA17E4" w:rsidRPr="00D45CDF">
        <w:rPr>
          <w:rFonts w:asciiTheme="minorHAnsi" w:eastAsiaTheme="majorEastAsia" w:hAnsiTheme="minorHAnsi"/>
          <w:bCs/>
          <w:kern w:val="24"/>
          <w:position w:val="1"/>
          <w:sz w:val="24"/>
          <w:szCs w:val="24"/>
          <w:lang w:val="en-US"/>
        </w:rPr>
        <w:t>nd</w:t>
      </w:r>
      <w:r w:rsidR="004E20D8" w:rsidRPr="00D45CDF">
        <w:rPr>
          <w:rFonts w:asciiTheme="minorHAnsi" w:eastAsiaTheme="majorEastAsia" w:hAnsiTheme="minorHAnsi"/>
          <w:bCs/>
          <w:kern w:val="24"/>
          <w:position w:val="1"/>
          <w:sz w:val="24"/>
          <w:szCs w:val="24"/>
          <w:lang w:val="en-US"/>
        </w:rPr>
        <w:t>, in 1974,</w:t>
      </w:r>
      <w:r w:rsidR="00FA17E4" w:rsidRPr="00D45CDF">
        <w:rPr>
          <w:rFonts w:asciiTheme="minorHAnsi" w:eastAsiaTheme="majorEastAsia" w:hAnsiTheme="minorHAnsi"/>
          <w:bCs/>
          <w:kern w:val="24"/>
          <w:position w:val="1"/>
          <w:sz w:val="24"/>
          <w:szCs w:val="24"/>
          <w:lang w:val="en-US"/>
        </w:rPr>
        <w:t xml:space="preserve"> </w:t>
      </w:r>
      <w:proofErr w:type="spellStart"/>
      <w:r w:rsidR="004A3E14" w:rsidRPr="00D45CDF">
        <w:rPr>
          <w:rFonts w:asciiTheme="minorHAnsi" w:eastAsiaTheme="majorEastAsia" w:hAnsiTheme="minorHAnsi"/>
          <w:bCs/>
          <w:i/>
          <w:iCs/>
          <w:kern w:val="24"/>
          <w:position w:val="1"/>
          <w:sz w:val="24"/>
          <w:szCs w:val="24"/>
          <w:lang w:val="en-US"/>
        </w:rPr>
        <w:t>Reyners</w:t>
      </w:r>
      <w:proofErr w:type="spellEnd"/>
      <w:r w:rsidR="004B746C" w:rsidRPr="00D45CDF">
        <w:rPr>
          <w:rFonts w:asciiTheme="minorHAnsi" w:eastAsiaTheme="majorEastAsia" w:hAnsiTheme="minorHAnsi"/>
          <w:bCs/>
          <w:i/>
          <w:iCs/>
          <w:kern w:val="24"/>
          <w:position w:val="1"/>
          <w:sz w:val="24"/>
          <w:szCs w:val="24"/>
          <w:lang w:val="en-US"/>
        </w:rPr>
        <w:t xml:space="preserve"> </w:t>
      </w:r>
      <w:r w:rsidR="004E20D8" w:rsidRPr="00D45CDF">
        <w:rPr>
          <w:rFonts w:asciiTheme="minorHAnsi" w:eastAsiaTheme="majorEastAsia" w:hAnsiTheme="minorHAnsi"/>
          <w:bCs/>
          <w:kern w:val="24"/>
          <w:position w:val="1"/>
          <w:sz w:val="24"/>
          <w:szCs w:val="24"/>
          <w:lang w:val="en-US"/>
        </w:rPr>
        <w:t>confirmed that lawyers are not caught by the exception</w:t>
      </w:r>
      <w:r w:rsidR="004A3E14" w:rsidRPr="00D45CDF">
        <w:rPr>
          <w:rFonts w:asciiTheme="minorHAnsi" w:eastAsiaTheme="majorEastAsia" w:hAnsiTheme="minorHAnsi"/>
          <w:bCs/>
          <w:kern w:val="24"/>
          <w:position w:val="1"/>
          <w:sz w:val="24"/>
          <w:szCs w:val="24"/>
          <w:lang w:val="en-US"/>
        </w:rPr>
        <w:t>.</w:t>
      </w:r>
      <w:r w:rsidR="004A3E14" w:rsidRPr="00D45CDF">
        <w:rPr>
          <w:rStyle w:val="FootnoteReference"/>
          <w:rFonts w:asciiTheme="minorHAnsi" w:eastAsiaTheme="majorEastAsia" w:hAnsiTheme="minorHAnsi"/>
          <w:bCs/>
          <w:kern w:val="24"/>
          <w:position w:val="1"/>
          <w:sz w:val="24"/>
          <w:szCs w:val="24"/>
          <w:lang w:val="en-US"/>
        </w:rPr>
        <w:footnoteReference w:id="42"/>
      </w:r>
      <w:r w:rsidR="004A3E14" w:rsidRPr="00D45CDF">
        <w:rPr>
          <w:rFonts w:asciiTheme="minorHAnsi" w:eastAsiaTheme="majorEastAsia" w:hAnsiTheme="minorHAnsi"/>
          <w:bCs/>
          <w:kern w:val="24"/>
          <w:position w:val="1"/>
          <w:sz w:val="24"/>
          <w:szCs w:val="24"/>
          <w:lang w:val="en-US"/>
        </w:rPr>
        <w:t xml:space="preserve"> </w:t>
      </w:r>
      <w:r w:rsidR="00851A25" w:rsidRPr="00D45CDF">
        <w:rPr>
          <w:rFonts w:asciiTheme="minorHAnsi" w:eastAsiaTheme="majorEastAsia" w:hAnsiTheme="minorHAnsi"/>
          <w:bCs/>
          <w:kern w:val="24"/>
          <w:position w:val="1"/>
          <w:sz w:val="24"/>
          <w:szCs w:val="24"/>
          <w:lang w:val="en-US"/>
        </w:rPr>
        <w:t>T</w:t>
      </w:r>
      <w:r w:rsidR="000E5FC4" w:rsidRPr="00D45CDF">
        <w:rPr>
          <w:rFonts w:asciiTheme="minorHAnsi" w:eastAsiaTheme="majorEastAsia" w:hAnsiTheme="minorHAnsi"/>
          <w:bCs/>
          <w:kern w:val="24"/>
          <w:position w:val="1"/>
          <w:sz w:val="24"/>
          <w:szCs w:val="24"/>
          <w:lang w:val="en-US"/>
        </w:rPr>
        <w:t>he Directives w</w:t>
      </w:r>
      <w:r w:rsidR="00851A25" w:rsidRPr="00D45CDF">
        <w:rPr>
          <w:rFonts w:asciiTheme="minorHAnsi" w:eastAsiaTheme="majorEastAsia" w:hAnsiTheme="minorHAnsi"/>
          <w:bCs/>
          <w:kern w:val="24"/>
          <w:position w:val="1"/>
          <w:sz w:val="24"/>
          <w:szCs w:val="24"/>
          <w:lang w:val="en-US"/>
        </w:rPr>
        <w:t>h</w:t>
      </w:r>
      <w:r w:rsidR="000E5FC4" w:rsidRPr="00D45CDF">
        <w:rPr>
          <w:rFonts w:asciiTheme="minorHAnsi" w:eastAsiaTheme="majorEastAsia" w:hAnsiTheme="minorHAnsi"/>
          <w:bCs/>
          <w:kern w:val="24"/>
          <w:position w:val="1"/>
          <w:sz w:val="24"/>
          <w:szCs w:val="24"/>
          <w:lang w:val="en-US"/>
        </w:rPr>
        <w:t>i</w:t>
      </w:r>
      <w:r w:rsidR="00851A25" w:rsidRPr="00D45CDF">
        <w:rPr>
          <w:rFonts w:asciiTheme="minorHAnsi" w:eastAsiaTheme="majorEastAsia" w:hAnsiTheme="minorHAnsi"/>
          <w:bCs/>
          <w:kern w:val="24"/>
          <w:position w:val="1"/>
          <w:sz w:val="24"/>
          <w:szCs w:val="24"/>
          <w:lang w:val="en-US"/>
        </w:rPr>
        <w:t>c</w:t>
      </w:r>
      <w:r w:rsidR="000E5FC4" w:rsidRPr="00D45CDF">
        <w:rPr>
          <w:rFonts w:asciiTheme="minorHAnsi" w:eastAsiaTheme="majorEastAsia" w:hAnsiTheme="minorHAnsi"/>
          <w:bCs/>
          <w:kern w:val="24"/>
          <w:position w:val="1"/>
          <w:sz w:val="24"/>
          <w:szCs w:val="24"/>
          <w:lang w:val="en-US"/>
        </w:rPr>
        <w:t xml:space="preserve">h refer specifically to the legal professions now confirm without doubt that </w:t>
      </w:r>
      <w:r w:rsidR="00851A25" w:rsidRPr="00D45CDF">
        <w:rPr>
          <w:rFonts w:asciiTheme="minorHAnsi" w:eastAsiaTheme="majorEastAsia" w:hAnsiTheme="minorHAnsi"/>
          <w:bCs/>
          <w:kern w:val="24"/>
          <w:position w:val="1"/>
          <w:sz w:val="24"/>
          <w:szCs w:val="24"/>
          <w:lang w:val="en-US"/>
        </w:rPr>
        <w:t xml:space="preserve">lawyers also </w:t>
      </w:r>
      <w:r w:rsidR="004C467F" w:rsidRPr="00D45CDF">
        <w:rPr>
          <w:rFonts w:asciiTheme="minorHAnsi" w:eastAsiaTheme="majorEastAsia" w:hAnsiTheme="minorHAnsi"/>
          <w:bCs/>
          <w:kern w:val="24"/>
          <w:position w:val="1"/>
          <w:sz w:val="24"/>
          <w:szCs w:val="24"/>
          <w:lang w:val="en-US"/>
        </w:rPr>
        <w:t xml:space="preserve">are entitled to </w:t>
      </w:r>
      <w:r w:rsidR="00851A25" w:rsidRPr="00D45CDF">
        <w:rPr>
          <w:rFonts w:asciiTheme="minorHAnsi" w:eastAsiaTheme="majorEastAsia" w:hAnsiTheme="minorHAnsi"/>
          <w:bCs/>
          <w:kern w:val="24"/>
          <w:position w:val="1"/>
          <w:sz w:val="24"/>
          <w:szCs w:val="24"/>
          <w:lang w:val="en-US"/>
        </w:rPr>
        <w:t xml:space="preserve">benefit from </w:t>
      </w:r>
      <w:r w:rsidR="000E5FC4" w:rsidRPr="00D45CDF">
        <w:rPr>
          <w:rFonts w:asciiTheme="minorHAnsi" w:eastAsiaTheme="majorEastAsia" w:hAnsiTheme="minorHAnsi"/>
          <w:bCs/>
          <w:kern w:val="24"/>
          <w:position w:val="1"/>
          <w:sz w:val="24"/>
          <w:szCs w:val="24"/>
          <w:lang w:val="en-US"/>
        </w:rPr>
        <w:t xml:space="preserve">the freedoms. </w:t>
      </w:r>
    </w:p>
    <w:p w14:paraId="03E48B3B" w14:textId="77777777" w:rsidR="00FB28F6" w:rsidRPr="00D45CDF" w:rsidRDefault="002842A8" w:rsidP="00197A40">
      <w:pPr>
        <w:autoSpaceDE w:val="0"/>
        <w:autoSpaceDN w:val="0"/>
        <w:adjustRightInd w:val="0"/>
        <w:spacing w:line="240" w:lineRule="auto"/>
        <w:jc w:val="both"/>
        <w:rPr>
          <w:rFonts w:asciiTheme="minorHAnsi" w:eastAsiaTheme="minorHAnsi" w:hAnsiTheme="minorHAnsi"/>
          <w:sz w:val="24"/>
          <w:szCs w:val="24"/>
          <w:lang w:eastAsia="en-US"/>
        </w:rPr>
      </w:pPr>
      <w:r w:rsidRPr="00D45CDF">
        <w:rPr>
          <w:rFonts w:asciiTheme="minorHAnsi" w:eastAsiaTheme="minorHAnsi" w:hAnsiTheme="minorHAnsi"/>
          <w:sz w:val="24"/>
          <w:szCs w:val="24"/>
          <w:lang w:eastAsia="en-US"/>
        </w:rPr>
        <w:t>T</w:t>
      </w:r>
      <w:r w:rsidR="00FB28F6" w:rsidRPr="00D45CDF">
        <w:rPr>
          <w:rFonts w:asciiTheme="minorHAnsi" w:eastAsiaTheme="minorHAnsi" w:hAnsiTheme="minorHAnsi"/>
          <w:sz w:val="24"/>
          <w:szCs w:val="24"/>
          <w:lang w:eastAsia="en-US"/>
        </w:rPr>
        <w:t>he following provisions</w:t>
      </w:r>
      <w:r w:rsidRPr="00D45CDF">
        <w:rPr>
          <w:rFonts w:asciiTheme="minorHAnsi" w:eastAsiaTheme="minorHAnsi" w:hAnsiTheme="minorHAnsi"/>
          <w:sz w:val="24"/>
          <w:szCs w:val="24"/>
          <w:lang w:eastAsia="en-US"/>
        </w:rPr>
        <w:t xml:space="preserve"> outline the freedom of movement rights of self-employed EU lawyers across the EU</w:t>
      </w:r>
      <w:r w:rsidR="00FB28F6" w:rsidRPr="00D45CDF">
        <w:rPr>
          <w:rFonts w:asciiTheme="minorHAnsi" w:eastAsiaTheme="minorHAnsi" w:hAnsiTheme="minorHAnsi"/>
          <w:sz w:val="24"/>
          <w:szCs w:val="24"/>
          <w:lang w:eastAsia="en-US"/>
        </w:rPr>
        <w:t xml:space="preserve">: </w:t>
      </w:r>
      <w:proofErr w:type="spellStart"/>
      <w:r w:rsidR="00FB28F6" w:rsidRPr="00D45CDF">
        <w:rPr>
          <w:rFonts w:asciiTheme="minorHAnsi" w:eastAsiaTheme="minorHAnsi" w:hAnsiTheme="minorHAnsi"/>
          <w:sz w:val="24"/>
          <w:szCs w:val="24"/>
          <w:lang w:eastAsia="en-US"/>
        </w:rPr>
        <w:t>i</w:t>
      </w:r>
      <w:proofErr w:type="spellEnd"/>
      <w:r w:rsidR="00FB28F6" w:rsidRPr="00D45CDF">
        <w:rPr>
          <w:rFonts w:asciiTheme="minorHAnsi" w:eastAsiaTheme="minorHAnsi" w:hAnsiTheme="minorHAnsi"/>
          <w:sz w:val="24"/>
          <w:szCs w:val="24"/>
          <w:lang w:eastAsia="en-US"/>
        </w:rPr>
        <w:t>)</w:t>
      </w:r>
      <w:r w:rsidR="00181690" w:rsidRPr="00D45CDF">
        <w:rPr>
          <w:rFonts w:asciiTheme="minorHAnsi" w:eastAsiaTheme="minorHAnsi" w:hAnsiTheme="minorHAnsi"/>
          <w:sz w:val="24"/>
          <w:szCs w:val="24"/>
          <w:lang w:eastAsia="en-US"/>
        </w:rPr>
        <w:t xml:space="preserve"> the Lawyers’ Services Directive,</w:t>
      </w:r>
      <w:r w:rsidR="00181690" w:rsidRPr="00D45CDF">
        <w:rPr>
          <w:rStyle w:val="FootnoteReference"/>
          <w:rFonts w:asciiTheme="minorHAnsi" w:eastAsiaTheme="minorHAnsi" w:hAnsiTheme="minorHAnsi"/>
          <w:sz w:val="24"/>
          <w:szCs w:val="24"/>
          <w:lang w:eastAsia="en-US"/>
        </w:rPr>
        <w:footnoteReference w:id="43"/>
      </w:r>
      <w:r w:rsidR="00181690" w:rsidRPr="00D45CDF">
        <w:rPr>
          <w:rFonts w:asciiTheme="minorHAnsi" w:eastAsiaTheme="minorHAnsi" w:hAnsiTheme="minorHAnsi"/>
          <w:sz w:val="24"/>
          <w:szCs w:val="24"/>
          <w:lang w:eastAsia="en-US"/>
        </w:rPr>
        <w:t xml:space="preserve"> which grants lawyers the right to provide legal services under their home state professional title throughout the EU on a temporary basis</w:t>
      </w:r>
      <w:r w:rsidR="00DF4394" w:rsidRPr="00D45CDF">
        <w:rPr>
          <w:rFonts w:asciiTheme="minorHAnsi" w:eastAsiaTheme="minorHAnsi" w:hAnsiTheme="minorHAnsi"/>
          <w:sz w:val="24"/>
          <w:szCs w:val="24"/>
          <w:lang w:eastAsia="en-US"/>
        </w:rPr>
        <w:t xml:space="preserve">; </w:t>
      </w:r>
      <w:r w:rsidR="00FB28F6" w:rsidRPr="00D45CDF">
        <w:rPr>
          <w:rFonts w:asciiTheme="minorHAnsi" w:eastAsiaTheme="minorHAnsi" w:hAnsiTheme="minorHAnsi"/>
          <w:sz w:val="24"/>
          <w:szCs w:val="24"/>
          <w:lang w:eastAsia="en-US"/>
        </w:rPr>
        <w:t xml:space="preserve">ii) </w:t>
      </w:r>
      <w:r w:rsidR="00FA3D32" w:rsidRPr="00D45CDF">
        <w:rPr>
          <w:rFonts w:asciiTheme="minorHAnsi" w:eastAsiaTheme="minorHAnsi" w:hAnsiTheme="minorHAnsi"/>
          <w:sz w:val="24"/>
          <w:szCs w:val="24"/>
          <w:lang w:eastAsia="en-US"/>
        </w:rPr>
        <w:t>the Professional Qualifications Directive,</w:t>
      </w:r>
      <w:r w:rsidR="00FA3D32" w:rsidRPr="00D45CDF">
        <w:rPr>
          <w:rStyle w:val="FootnoteReference"/>
          <w:rFonts w:asciiTheme="minorHAnsi" w:eastAsiaTheme="minorHAnsi" w:hAnsiTheme="minorHAnsi"/>
          <w:sz w:val="24"/>
          <w:szCs w:val="24"/>
          <w:lang w:eastAsia="en-US"/>
        </w:rPr>
        <w:footnoteReference w:id="44"/>
      </w:r>
      <w:r w:rsidR="00FA3D32" w:rsidRPr="00D45CDF">
        <w:rPr>
          <w:rFonts w:asciiTheme="minorHAnsi" w:eastAsiaTheme="minorHAnsi" w:hAnsiTheme="minorHAnsi"/>
          <w:sz w:val="24"/>
          <w:szCs w:val="24"/>
          <w:lang w:eastAsia="en-US"/>
        </w:rPr>
        <w:t xml:space="preserve"> which grants the right to practice under the same conditions as nationals of the host state, thanks to the mutual recognition of academic and vocational qualifications</w:t>
      </w:r>
      <w:r w:rsidR="00181690" w:rsidRPr="00D45CDF">
        <w:rPr>
          <w:rFonts w:asciiTheme="minorHAnsi" w:eastAsiaTheme="minorHAnsi" w:hAnsiTheme="minorHAnsi"/>
          <w:sz w:val="24"/>
          <w:szCs w:val="24"/>
          <w:lang w:eastAsia="en-US"/>
        </w:rPr>
        <w:t>;</w:t>
      </w:r>
      <w:r w:rsidR="00C17D35" w:rsidRPr="00D45CDF">
        <w:rPr>
          <w:rFonts w:asciiTheme="minorHAnsi" w:eastAsiaTheme="minorHAnsi" w:hAnsiTheme="minorHAnsi"/>
          <w:sz w:val="24"/>
          <w:szCs w:val="24"/>
          <w:lang w:eastAsia="en-US"/>
        </w:rPr>
        <w:t xml:space="preserve"> and</w:t>
      </w:r>
      <w:r w:rsidR="00FB28F6" w:rsidRPr="00D45CDF">
        <w:rPr>
          <w:rFonts w:asciiTheme="minorHAnsi" w:eastAsiaTheme="minorHAnsi" w:hAnsiTheme="minorHAnsi"/>
          <w:sz w:val="24"/>
          <w:szCs w:val="24"/>
          <w:lang w:eastAsia="en-US"/>
        </w:rPr>
        <w:t xml:space="preserve"> iii) </w:t>
      </w:r>
      <w:r w:rsidR="00FA3D32" w:rsidRPr="00D45CDF">
        <w:rPr>
          <w:rFonts w:asciiTheme="minorHAnsi" w:eastAsiaTheme="minorHAnsi" w:hAnsiTheme="minorHAnsi"/>
          <w:sz w:val="24"/>
          <w:szCs w:val="24"/>
          <w:lang w:eastAsia="en-US"/>
        </w:rPr>
        <w:t>the Lawyers’ Establishment Directive,</w:t>
      </w:r>
      <w:r w:rsidR="00FA3D32" w:rsidRPr="00D45CDF">
        <w:rPr>
          <w:rStyle w:val="FootnoteReference"/>
          <w:rFonts w:asciiTheme="minorHAnsi" w:eastAsiaTheme="minorHAnsi" w:hAnsiTheme="minorHAnsi"/>
          <w:sz w:val="24"/>
          <w:szCs w:val="24"/>
          <w:lang w:eastAsia="en-US"/>
        </w:rPr>
        <w:footnoteReference w:id="45"/>
      </w:r>
      <w:r w:rsidR="00FA3D32" w:rsidRPr="00D45CDF">
        <w:rPr>
          <w:rFonts w:asciiTheme="minorHAnsi" w:eastAsiaTheme="minorHAnsi" w:hAnsiTheme="minorHAnsi"/>
          <w:sz w:val="24"/>
          <w:szCs w:val="24"/>
          <w:lang w:eastAsia="en-US"/>
        </w:rPr>
        <w:t xml:space="preserve"> which grants the right to set up a practice providing legal services in another Member State on a permanent basis.</w:t>
      </w:r>
    </w:p>
    <w:p w14:paraId="71BE1BBD" w14:textId="77777777" w:rsidR="00181690" w:rsidRPr="00D45CDF" w:rsidRDefault="00181690" w:rsidP="00197A40">
      <w:pPr>
        <w:autoSpaceDE w:val="0"/>
        <w:autoSpaceDN w:val="0"/>
        <w:adjustRightInd w:val="0"/>
        <w:spacing w:line="240" w:lineRule="auto"/>
        <w:jc w:val="both"/>
        <w:rPr>
          <w:rFonts w:asciiTheme="minorHAnsi" w:eastAsiaTheme="minorHAnsi" w:hAnsiTheme="minorHAnsi"/>
          <w:sz w:val="24"/>
          <w:szCs w:val="24"/>
          <w:lang w:eastAsia="en-US"/>
        </w:rPr>
      </w:pPr>
      <w:r w:rsidRPr="00D45CDF">
        <w:rPr>
          <w:rFonts w:asciiTheme="minorHAnsi" w:eastAsiaTheme="minorHAnsi" w:hAnsiTheme="minorHAnsi"/>
          <w:sz w:val="24"/>
          <w:szCs w:val="24"/>
          <w:lang w:eastAsia="en-US"/>
        </w:rPr>
        <w:t>For lawyers not establishing themselves on a permanent basis outside of their home state, but wishing to offer services to clients from another Member State, the Lawyers’ Services Directive</w:t>
      </w:r>
      <w:r w:rsidR="00C45A36" w:rsidRPr="00D45CDF">
        <w:rPr>
          <w:rFonts w:asciiTheme="minorHAnsi" w:eastAsiaTheme="minorHAnsi" w:hAnsiTheme="minorHAnsi"/>
          <w:sz w:val="24"/>
          <w:szCs w:val="24"/>
          <w:lang w:eastAsia="en-US"/>
        </w:rPr>
        <w:t>, implemented in 1977,</w:t>
      </w:r>
      <w:r w:rsidRPr="00D45CDF">
        <w:rPr>
          <w:rFonts w:asciiTheme="minorHAnsi" w:eastAsiaTheme="minorHAnsi" w:hAnsiTheme="minorHAnsi"/>
          <w:sz w:val="24"/>
          <w:szCs w:val="24"/>
          <w:lang w:eastAsia="en-US"/>
        </w:rPr>
        <w:t xml:space="preserve"> </w:t>
      </w:r>
      <w:r w:rsidR="00334DB6" w:rsidRPr="00D45CDF">
        <w:rPr>
          <w:rFonts w:asciiTheme="minorHAnsi" w:eastAsiaTheme="minorHAnsi" w:hAnsiTheme="minorHAnsi"/>
          <w:sz w:val="24"/>
          <w:szCs w:val="24"/>
          <w:lang w:eastAsia="en-US"/>
        </w:rPr>
        <w:t xml:space="preserve">provides the framework for </w:t>
      </w:r>
      <w:r w:rsidRPr="00D45CDF">
        <w:rPr>
          <w:rFonts w:asciiTheme="minorHAnsi" w:eastAsiaTheme="minorHAnsi" w:hAnsiTheme="minorHAnsi"/>
          <w:sz w:val="24"/>
          <w:szCs w:val="24"/>
          <w:lang w:eastAsia="en-US"/>
        </w:rPr>
        <w:t xml:space="preserve">EU qualified lawyers to carry out </w:t>
      </w:r>
      <w:r w:rsidRPr="00D45CDF">
        <w:rPr>
          <w:rFonts w:asciiTheme="minorHAnsi" w:eastAsiaTheme="minorHAnsi" w:hAnsiTheme="minorHAnsi"/>
          <w:sz w:val="24"/>
          <w:szCs w:val="24"/>
          <w:lang w:eastAsia="en-US"/>
        </w:rPr>
        <w:lastRenderedPageBreak/>
        <w:t xml:space="preserve">cross-border legal services, using their home professional title. </w:t>
      </w:r>
      <w:r w:rsidR="00AD2FC0" w:rsidRPr="00D45CDF">
        <w:rPr>
          <w:rFonts w:asciiTheme="minorHAnsi" w:eastAsiaTheme="minorHAnsi" w:hAnsiTheme="minorHAnsi"/>
          <w:sz w:val="24"/>
          <w:szCs w:val="24"/>
          <w:lang w:eastAsia="en-US"/>
        </w:rPr>
        <w:t xml:space="preserve">This is the first of the </w:t>
      </w:r>
      <w:r w:rsidR="00334DB6" w:rsidRPr="00D45CDF">
        <w:rPr>
          <w:rFonts w:asciiTheme="minorHAnsi" w:eastAsiaTheme="minorHAnsi" w:hAnsiTheme="minorHAnsi"/>
          <w:sz w:val="24"/>
          <w:szCs w:val="24"/>
          <w:lang w:eastAsia="en-US"/>
        </w:rPr>
        <w:t xml:space="preserve">above </w:t>
      </w:r>
      <w:r w:rsidR="00AD2FC0" w:rsidRPr="00D45CDF">
        <w:rPr>
          <w:rFonts w:asciiTheme="minorHAnsi" w:eastAsiaTheme="minorHAnsi" w:hAnsiTheme="minorHAnsi"/>
          <w:sz w:val="24"/>
          <w:szCs w:val="24"/>
          <w:lang w:eastAsia="en-US"/>
        </w:rPr>
        <w:t xml:space="preserve">directives </w:t>
      </w:r>
      <w:r w:rsidR="007925E7" w:rsidRPr="00D45CDF">
        <w:rPr>
          <w:rFonts w:asciiTheme="minorHAnsi" w:eastAsiaTheme="minorHAnsi" w:hAnsiTheme="minorHAnsi"/>
          <w:sz w:val="24"/>
          <w:szCs w:val="24"/>
          <w:lang w:eastAsia="en-US"/>
        </w:rPr>
        <w:t xml:space="preserve">to be passed </w:t>
      </w:r>
      <w:r w:rsidR="001266A4" w:rsidRPr="00D45CDF">
        <w:rPr>
          <w:rFonts w:asciiTheme="minorHAnsi" w:eastAsiaTheme="minorHAnsi" w:hAnsiTheme="minorHAnsi"/>
          <w:sz w:val="24"/>
          <w:szCs w:val="24"/>
          <w:lang w:eastAsia="en-US"/>
        </w:rPr>
        <w:t xml:space="preserve">specifically </w:t>
      </w:r>
      <w:r w:rsidR="00AD2FC0" w:rsidRPr="00D45CDF">
        <w:rPr>
          <w:rFonts w:asciiTheme="minorHAnsi" w:eastAsiaTheme="minorHAnsi" w:hAnsiTheme="minorHAnsi"/>
          <w:sz w:val="24"/>
          <w:szCs w:val="24"/>
          <w:lang w:eastAsia="en-US"/>
        </w:rPr>
        <w:t>re</w:t>
      </w:r>
      <w:r w:rsidR="001266A4" w:rsidRPr="00D45CDF">
        <w:rPr>
          <w:rFonts w:asciiTheme="minorHAnsi" w:eastAsiaTheme="minorHAnsi" w:hAnsiTheme="minorHAnsi"/>
          <w:sz w:val="24"/>
          <w:szCs w:val="24"/>
          <w:lang w:eastAsia="en-US"/>
        </w:rPr>
        <w:t xml:space="preserve">ferring to </w:t>
      </w:r>
      <w:r w:rsidR="00AD2FC0" w:rsidRPr="00D45CDF">
        <w:rPr>
          <w:rFonts w:asciiTheme="minorHAnsi" w:eastAsiaTheme="minorHAnsi" w:hAnsiTheme="minorHAnsi"/>
          <w:sz w:val="24"/>
          <w:szCs w:val="24"/>
          <w:lang w:eastAsia="en-US"/>
        </w:rPr>
        <w:t>the activity of lawyers</w:t>
      </w:r>
      <w:r w:rsidR="007B0330" w:rsidRPr="00D45CDF">
        <w:rPr>
          <w:rFonts w:asciiTheme="minorHAnsi" w:eastAsiaTheme="minorHAnsi" w:hAnsiTheme="minorHAnsi"/>
          <w:sz w:val="24"/>
          <w:szCs w:val="24"/>
          <w:lang w:eastAsia="en-US"/>
        </w:rPr>
        <w:t xml:space="preserve">, who </w:t>
      </w:r>
      <w:r w:rsidR="00323CE6" w:rsidRPr="00D45CDF">
        <w:rPr>
          <w:rFonts w:asciiTheme="minorHAnsi" w:eastAsiaTheme="minorHAnsi" w:hAnsiTheme="minorHAnsi"/>
          <w:sz w:val="24"/>
          <w:szCs w:val="24"/>
          <w:lang w:eastAsia="en-US"/>
        </w:rPr>
        <w:t>had been</w:t>
      </w:r>
      <w:r w:rsidR="007B0330" w:rsidRPr="00D45CDF">
        <w:rPr>
          <w:rFonts w:asciiTheme="minorHAnsi" w:eastAsiaTheme="minorHAnsi" w:hAnsiTheme="minorHAnsi"/>
          <w:sz w:val="24"/>
          <w:szCs w:val="24"/>
          <w:lang w:eastAsia="en-US"/>
        </w:rPr>
        <w:t xml:space="preserve"> meeting restrictions to their attempts to exercise free movement rights. It</w:t>
      </w:r>
      <w:r w:rsidR="0042128D" w:rsidRPr="00D45CDF">
        <w:rPr>
          <w:rFonts w:asciiTheme="minorHAnsi" w:eastAsiaTheme="minorHAnsi" w:hAnsiTheme="minorHAnsi"/>
          <w:sz w:val="24"/>
          <w:szCs w:val="24"/>
          <w:lang w:eastAsia="en-US"/>
        </w:rPr>
        <w:t xml:space="preserve"> followed the decision in </w:t>
      </w:r>
      <w:proofErr w:type="spellStart"/>
      <w:r w:rsidR="0042128D" w:rsidRPr="00D45CDF">
        <w:rPr>
          <w:rFonts w:asciiTheme="minorHAnsi" w:eastAsiaTheme="minorHAnsi" w:hAnsiTheme="minorHAnsi"/>
          <w:i/>
          <w:iCs/>
          <w:sz w:val="24"/>
          <w:szCs w:val="24"/>
          <w:lang w:eastAsia="en-US"/>
        </w:rPr>
        <w:t>Reyners</w:t>
      </w:r>
      <w:proofErr w:type="spellEnd"/>
      <w:r w:rsidR="00FF21AA" w:rsidRPr="00D45CDF">
        <w:rPr>
          <w:rFonts w:asciiTheme="minorHAnsi" w:eastAsiaTheme="minorHAnsi" w:hAnsiTheme="minorHAnsi"/>
          <w:sz w:val="24"/>
          <w:szCs w:val="24"/>
          <w:lang w:eastAsia="en-US"/>
        </w:rPr>
        <w:t>,</w:t>
      </w:r>
      <w:r w:rsidR="001266A4" w:rsidRPr="00D45CDF">
        <w:rPr>
          <w:rStyle w:val="FootnoteReference"/>
          <w:rFonts w:asciiTheme="minorHAnsi" w:eastAsiaTheme="minorHAnsi" w:hAnsiTheme="minorHAnsi"/>
          <w:i/>
          <w:iCs/>
          <w:sz w:val="24"/>
          <w:szCs w:val="24"/>
          <w:lang w:eastAsia="en-US"/>
        </w:rPr>
        <w:footnoteReference w:id="46"/>
      </w:r>
      <w:r w:rsidR="0042128D" w:rsidRPr="00D45CDF">
        <w:rPr>
          <w:rFonts w:asciiTheme="minorHAnsi" w:eastAsiaTheme="minorHAnsi" w:hAnsiTheme="minorHAnsi"/>
          <w:sz w:val="24"/>
          <w:szCs w:val="24"/>
          <w:lang w:eastAsia="en-US"/>
        </w:rPr>
        <w:t xml:space="preserve"> </w:t>
      </w:r>
      <w:r w:rsidR="0042128D" w:rsidRPr="00D45CDF">
        <w:rPr>
          <w:rFonts w:asciiTheme="minorHAnsi" w:eastAsiaTheme="minorHAnsi" w:hAnsiTheme="minorHAnsi"/>
          <w:i/>
          <w:iCs/>
          <w:sz w:val="24"/>
          <w:szCs w:val="24"/>
          <w:lang w:eastAsia="en-US"/>
        </w:rPr>
        <w:t xml:space="preserve"> </w:t>
      </w:r>
      <w:r w:rsidR="0042128D" w:rsidRPr="00D45CDF">
        <w:rPr>
          <w:rFonts w:asciiTheme="minorHAnsi" w:eastAsiaTheme="minorHAnsi" w:hAnsiTheme="minorHAnsi"/>
          <w:sz w:val="24"/>
          <w:szCs w:val="24"/>
          <w:lang w:eastAsia="en-US"/>
        </w:rPr>
        <w:t>which had served to confirm that legal services did not fall within the official authority exception of Article 45</w:t>
      </w:r>
      <w:r w:rsidR="001266A4" w:rsidRPr="00D45CDF">
        <w:rPr>
          <w:rFonts w:asciiTheme="minorHAnsi" w:eastAsiaTheme="minorHAnsi" w:hAnsiTheme="minorHAnsi"/>
          <w:sz w:val="24"/>
          <w:szCs w:val="24"/>
          <w:lang w:eastAsia="en-US"/>
        </w:rPr>
        <w:t xml:space="preserve"> TEC (now Article 51 TFEU)</w:t>
      </w:r>
      <w:r w:rsidR="00AD2FC0" w:rsidRPr="00D45CDF">
        <w:rPr>
          <w:rFonts w:asciiTheme="minorHAnsi" w:eastAsiaTheme="minorHAnsi" w:hAnsiTheme="minorHAnsi"/>
          <w:sz w:val="24"/>
          <w:szCs w:val="24"/>
          <w:lang w:eastAsia="en-US"/>
        </w:rPr>
        <w:t xml:space="preserve">. </w:t>
      </w:r>
      <w:r w:rsidR="00004BC1" w:rsidRPr="00D45CDF">
        <w:rPr>
          <w:rFonts w:asciiTheme="minorHAnsi" w:eastAsiaTheme="minorHAnsi" w:hAnsiTheme="minorHAnsi"/>
          <w:sz w:val="24"/>
          <w:szCs w:val="24"/>
          <w:lang w:eastAsia="en-US"/>
        </w:rPr>
        <w:t>T</w:t>
      </w:r>
      <w:r w:rsidRPr="00D45CDF">
        <w:rPr>
          <w:rFonts w:asciiTheme="minorHAnsi" w:eastAsiaTheme="minorHAnsi" w:hAnsiTheme="minorHAnsi"/>
          <w:sz w:val="24"/>
          <w:szCs w:val="24"/>
          <w:lang w:eastAsia="en-US"/>
        </w:rPr>
        <w:t>here is no provision in the Directive for the mutual recognition of diplomas</w:t>
      </w:r>
      <w:r w:rsidR="00334DB6" w:rsidRPr="00D45CDF">
        <w:rPr>
          <w:rFonts w:asciiTheme="minorHAnsi" w:eastAsiaTheme="minorHAnsi" w:hAnsiTheme="minorHAnsi"/>
          <w:sz w:val="24"/>
          <w:szCs w:val="24"/>
          <w:lang w:eastAsia="en-US"/>
        </w:rPr>
        <w:t xml:space="preserve"> or harmonisation of legal training</w:t>
      </w:r>
      <w:r w:rsidR="00D34C3D" w:rsidRPr="00D45CDF">
        <w:rPr>
          <w:rFonts w:asciiTheme="minorHAnsi" w:eastAsiaTheme="minorHAnsi" w:hAnsiTheme="minorHAnsi"/>
          <w:sz w:val="24"/>
          <w:szCs w:val="24"/>
          <w:lang w:eastAsia="en-US"/>
        </w:rPr>
        <w:t xml:space="preserve"> </w:t>
      </w:r>
      <w:r w:rsidR="00D34C3D" w:rsidRPr="00D45CDF">
        <w:rPr>
          <w:rFonts w:asciiTheme="minorHAnsi" w:eastAsiaTheme="minorHAnsi" w:hAnsiTheme="minorHAnsi"/>
          <w:sz w:val="24"/>
          <w:szCs w:val="24"/>
          <w:lang w:eastAsia="en-US"/>
        </w:rPr>
        <w:sym w:font="Symbol" w:char="F02D"/>
      </w:r>
      <w:r w:rsidRPr="00D45CDF">
        <w:rPr>
          <w:rFonts w:asciiTheme="minorHAnsi" w:eastAsiaTheme="minorHAnsi" w:hAnsiTheme="minorHAnsi"/>
          <w:sz w:val="24"/>
          <w:szCs w:val="24"/>
          <w:lang w:eastAsia="en-US"/>
        </w:rPr>
        <w:t xml:space="preserve"> </w:t>
      </w:r>
      <w:r w:rsidR="001266A4" w:rsidRPr="00D45CDF">
        <w:rPr>
          <w:rFonts w:asciiTheme="minorHAnsi" w:eastAsiaTheme="minorHAnsi" w:hAnsiTheme="minorHAnsi"/>
          <w:sz w:val="24"/>
          <w:szCs w:val="24"/>
          <w:lang w:eastAsia="en-US"/>
        </w:rPr>
        <w:t>these were sensitive areas at the time</w:t>
      </w:r>
      <w:r w:rsidR="00D34C3D" w:rsidRPr="00D45CDF">
        <w:rPr>
          <w:rFonts w:asciiTheme="minorHAnsi" w:hAnsiTheme="minorHAnsi"/>
          <w:sz w:val="24"/>
          <w:szCs w:val="24"/>
        </w:rPr>
        <w:t xml:space="preserve"> </w:t>
      </w:r>
      <w:r w:rsidR="00D34C3D" w:rsidRPr="00D45CDF">
        <w:rPr>
          <w:rFonts w:asciiTheme="minorHAnsi" w:hAnsiTheme="minorHAnsi"/>
          <w:sz w:val="24"/>
          <w:szCs w:val="24"/>
        </w:rPr>
        <w:sym w:font="Symbol" w:char="F02D"/>
      </w:r>
      <w:r w:rsidR="00F207E0" w:rsidRPr="00D45CDF">
        <w:rPr>
          <w:rFonts w:asciiTheme="minorHAnsi" w:hAnsiTheme="minorHAnsi"/>
          <w:sz w:val="24"/>
          <w:szCs w:val="24"/>
        </w:rPr>
        <w:t xml:space="preserve"> it </w:t>
      </w:r>
      <w:r w:rsidR="0000609E" w:rsidRPr="00D45CDF">
        <w:rPr>
          <w:rFonts w:asciiTheme="minorHAnsi" w:eastAsiaTheme="minorHAnsi" w:hAnsiTheme="minorHAnsi"/>
          <w:sz w:val="24"/>
          <w:szCs w:val="24"/>
          <w:lang w:eastAsia="en-US"/>
        </w:rPr>
        <w:t>but stipulates that</w:t>
      </w:r>
      <w:r w:rsidR="001266A4" w:rsidRPr="00D45CDF">
        <w:rPr>
          <w:rFonts w:asciiTheme="minorHAnsi" w:eastAsiaTheme="minorHAnsi" w:hAnsiTheme="minorHAnsi"/>
          <w:sz w:val="24"/>
          <w:szCs w:val="24"/>
          <w:lang w:eastAsia="en-US"/>
        </w:rPr>
        <w:t xml:space="preserve"> </w:t>
      </w:r>
      <w:r w:rsidR="0000609E" w:rsidRPr="00D45CDF">
        <w:rPr>
          <w:rFonts w:asciiTheme="minorHAnsi" w:eastAsiaTheme="minorHAnsi" w:hAnsiTheme="minorHAnsi"/>
          <w:sz w:val="24"/>
          <w:szCs w:val="24"/>
          <w:lang w:eastAsia="en-US"/>
        </w:rPr>
        <w:t>h</w:t>
      </w:r>
      <w:r w:rsidRPr="00D45CDF">
        <w:rPr>
          <w:rFonts w:asciiTheme="minorHAnsi" w:eastAsiaTheme="minorHAnsi" w:hAnsiTheme="minorHAnsi"/>
          <w:sz w:val="24"/>
          <w:szCs w:val="24"/>
          <w:lang w:eastAsia="en-US"/>
        </w:rPr>
        <w:t xml:space="preserve">ost </w:t>
      </w:r>
      <w:r w:rsidR="001D6D90" w:rsidRPr="00D45CDF">
        <w:rPr>
          <w:rFonts w:asciiTheme="minorHAnsi" w:eastAsiaTheme="minorHAnsi" w:hAnsiTheme="minorHAnsi"/>
          <w:sz w:val="24"/>
          <w:szCs w:val="24"/>
          <w:lang w:eastAsia="en-US"/>
        </w:rPr>
        <w:t>Member States</w:t>
      </w:r>
      <w:r w:rsidRPr="00D45CDF">
        <w:rPr>
          <w:rFonts w:asciiTheme="minorHAnsi" w:eastAsiaTheme="minorHAnsi" w:hAnsiTheme="minorHAnsi"/>
          <w:sz w:val="24"/>
          <w:szCs w:val="24"/>
          <w:lang w:eastAsia="en-US"/>
        </w:rPr>
        <w:t xml:space="preserve"> must recognise as lawyers those persons practising the professions in the various </w:t>
      </w:r>
      <w:r w:rsidR="001D6D90" w:rsidRPr="00D45CDF">
        <w:rPr>
          <w:rFonts w:asciiTheme="minorHAnsi" w:eastAsiaTheme="minorHAnsi" w:hAnsiTheme="minorHAnsi"/>
          <w:sz w:val="24"/>
          <w:szCs w:val="24"/>
          <w:lang w:eastAsia="en-US"/>
        </w:rPr>
        <w:t>Member States</w:t>
      </w:r>
      <w:r w:rsidRPr="00D45CDF">
        <w:rPr>
          <w:rFonts w:asciiTheme="minorHAnsi" w:eastAsiaTheme="minorHAnsi" w:hAnsiTheme="minorHAnsi"/>
          <w:sz w:val="24"/>
          <w:szCs w:val="24"/>
          <w:lang w:eastAsia="en-US"/>
        </w:rPr>
        <w:t>.</w:t>
      </w:r>
      <w:r w:rsidR="0000609E" w:rsidRPr="00D45CDF">
        <w:rPr>
          <w:rStyle w:val="FootnoteReference"/>
          <w:rFonts w:asciiTheme="minorHAnsi" w:eastAsiaTheme="minorHAnsi" w:hAnsiTheme="minorHAnsi"/>
          <w:sz w:val="24"/>
          <w:szCs w:val="24"/>
          <w:lang w:eastAsia="en-US"/>
        </w:rPr>
        <w:footnoteReference w:id="47"/>
      </w:r>
      <w:r w:rsidR="00004BC1" w:rsidRPr="00D45CDF">
        <w:rPr>
          <w:rFonts w:asciiTheme="minorHAnsi" w:eastAsiaTheme="minorHAnsi" w:hAnsiTheme="minorHAnsi"/>
          <w:sz w:val="24"/>
          <w:szCs w:val="24"/>
          <w:lang w:eastAsia="en-US"/>
        </w:rPr>
        <w:t xml:space="preserve"> </w:t>
      </w:r>
      <w:r w:rsidR="00C8178C" w:rsidRPr="00D45CDF">
        <w:rPr>
          <w:rFonts w:asciiTheme="minorHAnsi" w:eastAsiaTheme="minorHAnsi" w:hAnsiTheme="minorHAnsi"/>
          <w:sz w:val="24"/>
          <w:szCs w:val="24"/>
          <w:lang w:eastAsia="en-US"/>
        </w:rPr>
        <w:t>The Directive states that t</w:t>
      </w:r>
      <w:r w:rsidR="00004BC1" w:rsidRPr="00D45CDF">
        <w:rPr>
          <w:rFonts w:asciiTheme="minorHAnsi" w:eastAsiaTheme="minorHAnsi" w:hAnsiTheme="minorHAnsi"/>
          <w:sz w:val="24"/>
          <w:szCs w:val="24"/>
          <w:lang w:eastAsia="en-US"/>
        </w:rPr>
        <w:t>here is no need to register with the professional body in the host state, although lawyers are expected to observe the rules of professional conduct of the host state,</w:t>
      </w:r>
      <w:r w:rsidR="00004BC1" w:rsidRPr="00D45CDF">
        <w:rPr>
          <w:rStyle w:val="FootnoteReference"/>
          <w:rFonts w:asciiTheme="minorHAnsi" w:eastAsiaTheme="minorHAnsi" w:hAnsiTheme="minorHAnsi"/>
          <w:sz w:val="24"/>
          <w:szCs w:val="24"/>
          <w:lang w:eastAsia="en-US"/>
        </w:rPr>
        <w:footnoteReference w:id="48"/>
      </w:r>
      <w:r w:rsidR="00004BC1" w:rsidRPr="00D45CDF">
        <w:rPr>
          <w:rFonts w:asciiTheme="minorHAnsi" w:eastAsiaTheme="minorHAnsi" w:hAnsiTheme="minorHAnsi"/>
          <w:sz w:val="24"/>
          <w:szCs w:val="24"/>
          <w:lang w:eastAsia="en-US"/>
        </w:rPr>
        <w:t xml:space="preserve"> and may be required ‘to work in conjunction with a lawyer who practises before the judicial authority’ of the host state.</w:t>
      </w:r>
      <w:r w:rsidR="00004BC1" w:rsidRPr="00D45CDF">
        <w:rPr>
          <w:rStyle w:val="FootnoteReference"/>
          <w:rFonts w:asciiTheme="minorHAnsi" w:eastAsiaTheme="minorHAnsi" w:hAnsiTheme="minorHAnsi"/>
          <w:sz w:val="24"/>
          <w:szCs w:val="24"/>
          <w:lang w:eastAsia="en-US"/>
        </w:rPr>
        <w:footnoteReference w:id="49"/>
      </w:r>
      <w:r w:rsidR="00004BC1" w:rsidRPr="00D45CDF">
        <w:rPr>
          <w:rFonts w:asciiTheme="minorHAnsi" w:eastAsiaTheme="minorHAnsi" w:hAnsiTheme="minorHAnsi"/>
          <w:sz w:val="24"/>
          <w:szCs w:val="24"/>
          <w:lang w:eastAsia="en-US"/>
        </w:rPr>
        <w:t xml:space="preserve"> </w:t>
      </w:r>
    </w:p>
    <w:p w14:paraId="253B228A" w14:textId="77777777" w:rsidR="006E5D0C" w:rsidRPr="00D45CDF" w:rsidRDefault="0044211A" w:rsidP="00197A40">
      <w:pPr>
        <w:autoSpaceDE w:val="0"/>
        <w:autoSpaceDN w:val="0"/>
        <w:adjustRightInd w:val="0"/>
        <w:spacing w:line="240" w:lineRule="auto"/>
        <w:jc w:val="both"/>
        <w:rPr>
          <w:rFonts w:asciiTheme="minorHAnsi" w:eastAsiaTheme="minorHAnsi" w:hAnsiTheme="minorHAnsi"/>
          <w:sz w:val="24"/>
          <w:szCs w:val="24"/>
          <w:lang w:eastAsia="en-US"/>
        </w:rPr>
      </w:pPr>
      <w:r w:rsidRPr="00D45CDF">
        <w:rPr>
          <w:rFonts w:asciiTheme="minorHAnsi" w:eastAsiaTheme="minorHAnsi" w:hAnsiTheme="minorHAnsi"/>
          <w:sz w:val="24"/>
          <w:szCs w:val="24"/>
          <w:lang w:eastAsia="en-US"/>
        </w:rPr>
        <w:t>The Lawyers’ Services Directive outlined the framework within which lawyers could practise cross-border on a temporary basis, but did not regulate for those wishing to establish themselves permanently in another Member State</w:t>
      </w:r>
      <w:r w:rsidR="00F207E0" w:rsidRPr="00D45CDF">
        <w:rPr>
          <w:rFonts w:asciiTheme="minorHAnsi" w:eastAsiaTheme="minorHAnsi" w:hAnsiTheme="minorHAnsi"/>
          <w:sz w:val="24"/>
          <w:szCs w:val="24"/>
          <w:lang w:eastAsia="en-US"/>
        </w:rPr>
        <w:t>, for which more ‘detailed measures’ would be necessary</w:t>
      </w:r>
      <w:r w:rsidRPr="00D45CDF">
        <w:rPr>
          <w:rFonts w:asciiTheme="minorHAnsi" w:eastAsiaTheme="minorHAnsi" w:hAnsiTheme="minorHAnsi"/>
          <w:sz w:val="24"/>
          <w:szCs w:val="24"/>
          <w:lang w:eastAsia="en-US"/>
        </w:rPr>
        <w:t xml:space="preserve">. </w:t>
      </w:r>
      <w:r w:rsidR="00316B45" w:rsidRPr="00D45CDF">
        <w:rPr>
          <w:rFonts w:asciiTheme="minorHAnsi" w:eastAsiaTheme="minorHAnsi" w:hAnsiTheme="minorHAnsi"/>
          <w:sz w:val="24"/>
          <w:szCs w:val="24"/>
          <w:lang w:eastAsia="en-US"/>
        </w:rPr>
        <w:t xml:space="preserve">A step in this direction was made through the </w:t>
      </w:r>
      <w:r w:rsidRPr="00D45CDF">
        <w:rPr>
          <w:rFonts w:asciiTheme="minorHAnsi" w:eastAsiaTheme="minorHAnsi" w:hAnsiTheme="minorHAnsi"/>
          <w:sz w:val="24"/>
          <w:szCs w:val="24"/>
          <w:lang w:eastAsia="en-US"/>
        </w:rPr>
        <w:t>first Diploma Directive of 1989</w:t>
      </w:r>
      <w:r w:rsidR="002930CF" w:rsidRPr="00D45CDF">
        <w:rPr>
          <w:rFonts w:asciiTheme="minorHAnsi" w:eastAsiaTheme="minorHAnsi" w:hAnsiTheme="minorHAnsi"/>
          <w:sz w:val="24"/>
          <w:szCs w:val="24"/>
          <w:lang w:eastAsia="en-US"/>
        </w:rPr>
        <w:t>, replaced now by the Professional Qualifications Directive (P</w:t>
      </w:r>
      <w:r w:rsidR="00D53B40" w:rsidRPr="00D45CDF">
        <w:rPr>
          <w:rFonts w:asciiTheme="minorHAnsi" w:eastAsiaTheme="minorHAnsi" w:hAnsiTheme="minorHAnsi"/>
          <w:sz w:val="24"/>
          <w:szCs w:val="24"/>
          <w:lang w:eastAsia="en-US"/>
        </w:rPr>
        <w:t>Q</w:t>
      </w:r>
      <w:r w:rsidR="002930CF" w:rsidRPr="00D45CDF">
        <w:rPr>
          <w:rFonts w:asciiTheme="minorHAnsi" w:eastAsiaTheme="minorHAnsi" w:hAnsiTheme="minorHAnsi"/>
          <w:sz w:val="24"/>
          <w:szCs w:val="24"/>
          <w:lang w:eastAsia="en-US"/>
        </w:rPr>
        <w:t>D)</w:t>
      </w:r>
      <w:r w:rsidR="00316B45" w:rsidRPr="00D45CDF">
        <w:rPr>
          <w:rFonts w:asciiTheme="minorHAnsi" w:eastAsiaTheme="minorHAnsi" w:hAnsiTheme="minorHAnsi"/>
          <w:sz w:val="24"/>
          <w:szCs w:val="24"/>
          <w:lang w:eastAsia="en-US"/>
        </w:rPr>
        <w:t>.</w:t>
      </w:r>
      <w:r w:rsidR="002930CF" w:rsidRPr="00D45CDF">
        <w:rPr>
          <w:rStyle w:val="FootnoteReference"/>
          <w:rFonts w:asciiTheme="minorHAnsi" w:eastAsiaTheme="minorHAnsi" w:hAnsiTheme="minorHAnsi"/>
          <w:sz w:val="24"/>
          <w:szCs w:val="24"/>
          <w:lang w:eastAsia="en-US"/>
        </w:rPr>
        <w:footnoteReference w:id="50"/>
      </w:r>
      <w:r w:rsidR="002930CF" w:rsidRPr="00D45CDF">
        <w:rPr>
          <w:rFonts w:asciiTheme="minorHAnsi" w:eastAsiaTheme="minorHAnsi" w:hAnsiTheme="minorHAnsi"/>
          <w:sz w:val="24"/>
          <w:szCs w:val="24"/>
          <w:lang w:eastAsia="en-US"/>
        </w:rPr>
        <w:t xml:space="preserve"> </w:t>
      </w:r>
      <w:r w:rsidR="003347D0" w:rsidRPr="00D45CDF">
        <w:rPr>
          <w:rFonts w:asciiTheme="minorHAnsi" w:eastAsiaTheme="minorHAnsi" w:hAnsiTheme="minorHAnsi"/>
          <w:sz w:val="24"/>
          <w:szCs w:val="24"/>
          <w:lang w:eastAsia="en-US"/>
        </w:rPr>
        <w:t>The mutual</w:t>
      </w:r>
      <w:r w:rsidR="00893C56" w:rsidRPr="00D45CDF">
        <w:rPr>
          <w:rFonts w:asciiTheme="minorHAnsi" w:eastAsiaTheme="minorHAnsi" w:hAnsiTheme="minorHAnsi"/>
          <w:sz w:val="24"/>
          <w:szCs w:val="24"/>
          <w:lang w:eastAsia="en-US"/>
        </w:rPr>
        <w:t xml:space="preserve"> recognition of qualifications </w:t>
      </w:r>
      <w:r w:rsidR="003347D0" w:rsidRPr="00D45CDF">
        <w:rPr>
          <w:rFonts w:asciiTheme="minorHAnsi" w:eastAsiaTheme="minorHAnsi" w:hAnsiTheme="minorHAnsi"/>
          <w:sz w:val="24"/>
          <w:szCs w:val="24"/>
          <w:lang w:eastAsia="en-US"/>
        </w:rPr>
        <w:t xml:space="preserve">was elaborated through case law of the ECJ at first but </w:t>
      </w:r>
      <w:r w:rsidR="00893C56" w:rsidRPr="00D45CDF">
        <w:rPr>
          <w:rFonts w:asciiTheme="minorHAnsi" w:eastAsiaTheme="minorHAnsi" w:hAnsiTheme="minorHAnsi"/>
          <w:sz w:val="24"/>
          <w:szCs w:val="24"/>
          <w:lang w:eastAsia="en-US"/>
        </w:rPr>
        <w:t>was</w:t>
      </w:r>
      <w:r w:rsidR="005F3E91" w:rsidRPr="00D45CDF">
        <w:rPr>
          <w:rFonts w:asciiTheme="minorHAnsi" w:eastAsiaTheme="minorHAnsi" w:hAnsiTheme="minorHAnsi"/>
          <w:sz w:val="24"/>
          <w:szCs w:val="24"/>
          <w:lang w:eastAsia="en-US"/>
        </w:rPr>
        <w:t xml:space="preserve"> nonetheless</w:t>
      </w:r>
      <w:r w:rsidR="00893C56" w:rsidRPr="00D45CDF">
        <w:rPr>
          <w:rFonts w:asciiTheme="minorHAnsi" w:eastAsiaTheme="minorHAnsi" w:hAnsiTheme="minorHAnsi"/>
          <w:sz w:val="24"/>
          <w:szCs w:val="24"/>
          <w:lang w:eastAsia="en-US"/>
        </w:rPr>
        <w:t xml:space="preserve"> intended to be reinforced by the development of directives</w:t>
      </w:r>
      <w:r w:rsidR="005F3E91" w:rsidRPr="00D45CDF">
        <w:rPr>
          <w:rFonts w:asciiTheme="minorHAnsi" w:eastAsiaTheme="minorHAnsi" w:hAnsiTheme="minorHAnsi"/>
          <w:sz w:val="24"/>
          <w:szCs w:val="24"/>
          <w:lang w:eastAsia="en-US"/>
        </w:rPr>
        <w:t xml:space="preserve">, </w:t>
      </w:r>
      <w:r w:rsidR="003347D0" w:rsidRPr="00D45CDF">
        <w:rPr>
          <w:rFonts w:asciiTheme="minorHAnsi" w:eastAsiaTheme="minorHAnsi" w:hAnsiTheme="minorHAnsi"/>
          <w:sz w:val="24"/>
          <w:szCs w:val="24"/>
          <w:lang w:eastAsia="en-US"/>
        </w:rPr>
        <w:t xml:space="preserve">as can be seen from the </w:t>
      </w:r>
      <w:r w:rsidR="005F3E91" w:rsidRPr="00D45CDF">
        <w:rPr>
          <w:rFonts w:asciiTheme="minorHAnsi" w:eastAsiaTheme="minorHAnsi" w:hAnsiTheme="minorHAnsi"/>
          <w:sz w:val="24"/>
          <w:szCs w:val="24"/>
          <w:lang w:eastAsia="en-US"/>
        </w:rPr>
        <w:t>TEC</w:t>
      </w:r>
      <w:r w:rsidR="00893C56" w:rsidRPr="00D45CDF">
        <w:rPr>
          <w:rFonts w:asciiTheme="minorHAnsi" w:eastAsiaTheme="minorHAnsi" w:hAnsiTheme="minorHAnsi"/>
          <w:sz w:val="24"/>
          <w:szCs w:val="24"/>
          <w:lang w:eastAsia="en-US"/>
        </w:rPr>
        <w:t>.</w:t>
      </w:r>
      <w:r w:rsidR="00893C56" w:rsidRPr="00D45CDF">
        <w:rPr>
          <w:rStyle w:val="FootnoteReference"/>
          <w:rFonts w:asciiTheme="minorHAnsi" w:eastAsiaTheme="minorHAnsi" w:hAnsiTheme="minorHAnsi"/>
          <w:sz w:val="24"/>
          <w:szCs w:val="24"/>
          <w:lang w:eastAsia="en-US"/>
        </w:rPr>
        <w:footnoteReference w:id="51"/>
      </w:r>
      <w:r w:rsidR="00893C56" w:rsidRPr="00D45CDF">
        <w:rPr>
          <w:rFonts w:asciiTheme="minorHAnsi" w:eastAsiaTheme="minorHAnsi" w:hAnsiTheme="minorHAnsi"/>
          <w:sz w:val="24"/>
          <w:szCs w:val="24"/>
          <w:lang w:eastAsia="en-US"/>
        </w:rPr>
        <w:t xml:space="preserve"> </w:t>
      </w:r>
      <w:r w:rsidR="00631B91" w:rsidRPr="00D45CDF">
        <w:rPr>
          <w:rFonts w:asciiTheme="minorHAnsi" w:eastAsiaTheme="minorHAnsi" w:hAnsiTheme="minorHAnsi"/>
          <w:sz w:val="24"/>
          <w:szCs w:val="24"/>
          <w:lang w:eastAsia="en-US"/>
        </w:rPr>
        <w:t xml:space="preserve">A sectoral approach was adopted </w:t>
      </w:r>
      <w:r w:rsidR="00AB2AE1" w:rsidRPr="00D45CDF">
        <w:rPr>
          <w:rFonts w:asciiTheme="minorHAnsi" w:eastAsiaTheme="minorHAnsi" w:hAnsiTheme="minorHAnsi"/>
          <w:sz w:val="24"/>
          <w:szCs w:val="24"/>
          <w:lang w:eastAsia="en-US"/>
        </w:rPr>
        <w:t>initially, focussing on</w:t>
      </w:r>
      <w:r w:rsidR="00631B91" w:rsidRPr="00D45CDF">
        <w:rPr>
          <w:rFonts w:asciiTheme="minorHAnsi" w:eastAsiaTheme="minorHAnsi" w:hAnsiTheme="minorHAnsi"/>
          <w:sz w:val="24"/>
          <w:szCs w:val="24"/>
          <w:lang w:eastAsia="en-US"/>
        </w:rPr>
        <w:t xml:space="preserve"> medical and health-related professions, but harmonisation </w:t>
      </w:r>
      <w:r w:rsidR="003136CC" w:rsidRPr="00D45CDF">
        <w:rPr>
          <w:rFonts w:asciiTheme="minorHAnsi" w:eastAsiaTheme="minorHAnsi" w:hAnsiTheme="minorHAnsi"/>
          <w:sz w:val="24"/>
          <w:szCs w:val="24"/>
          <w:lang w:eastAsia="en-US"/>
        </w:rPr>
        <w:t xml:space="preserve">of minimal standards of professions across </w:t>
      </w:r>
      <w:r w:rsidR="001D6D90" w:rsidRPr="00D45CDF">
        <w:rPr>
          <w:rFonts w:asciiTheme="minorHAnsi" w:eastAsiaTheme="minorHAnsi" w:hAnsiTheme="minorHAnsi"/>
          <w:sz w:val="24"/>
          <w:szCs w:val="24"/>
          <w:lang w:eastAsia="en-US"/>
        </w:rPr>
        <w:t>Member States</w:t>
      </w:r>
      <w:r w:rsidR="003136CC" w:rsidRPr="00D45CDF">
        <w:rPr>
          <w:rFonts w:asciiTheme="minorHAnsi" w:eastAsiaTheme="minorHAnsi" w:hAnsiTheme="minorHAnsi"/>
          <w:sz w:val="24"/>
          <w:szCs w:val="24"/>
          <w:lang w:eastAsia="en-US"/>
        </w:rPr>
        <w:t xml:space="preserve"> </w:t>
      </w:r>
      <w:r w:rsidR="00631B91" w:rsidRPr="00D45CDF">
        <w:rPr>
          <w:rFonts w:asciiTheme="minorHAnsi" w:eastAsiaTheme="minorHAnsi" w:hAnsiTheme="minorHAnsi"/>
          <w:sz w:val="24"/>
          <w:szCs w:val="24"/>
          <w:lang w:eastAsia="en-US"/>
        </w:rPr>
        <w:t>posed challenges, and a mutual recognition approach</w:t>
      </w:r>
      <w:r w:rsidR="003347D0" w:rsidRPr="00D45CDF">
        <w:rPr>
          <w:rFonts w:asciiTheme="minorHAnsi" w:eastAsiaTheme="minorHAnsi" w:hAnsiTheme="minorHAnsi"/>
          <w:sz w:val="24"/>
          <w:szCs w:val="24"/>
          <w:lang w:eastAsia="en-US"/>
        </w:rPr>
        <w:t xml:space="preserve"> based on trust</w:t>
      </w:r>
      <w:r w:rsidR="00631B91" w:rsidRPr="00D45CDF">
        <w:rPr>
          <w:rFonts w:asciiTheme="minorHAnsi" w:eastAsiaTheme="minorHAnsi" w:hAnsiTheme="minorHAnsi"/>
          <w:sz w:val="24"/>
          <w:szCs w:val="24"/>
          <w:lang w:eastAsia="en-US"/>
        </w:rPr>
        <w:t xml:space="preserve"> was </w:t>
      </w:r>
      <w:r w:rsidR="003136CC" w:rsidRPr="00D45CDF">
        <w:rPr>
          <w:rFonts w:asciiTheme="minorHAnsi" w:eastAsiaTheme="minorHAnsi" w:hAnsiTheme="minorHAnsi"/>
          <w:sz w:val="24"/>
          <w:szCs w:val="24"/>
          <w:lang w:eastAsia="en-US"/>
        </w:rPr>
        <w:t xml:space="preserve">preferred and </w:t>
      </w:r>
      <w:r w:rsidR="00631B91" w:rsidRPr="00D45CDF">
        <w:rPr>
          <w:rFonts w:asciiTheme="minorHAnsi" w:eastAsiaTheme="minorHAnsi" w:hAnsiTheme="minorHAnsi"/>
          <w:sz w:val="24"/>
          <w:szCs w:val="24"/>
          <w:lang w:eastAsia="en-US"/>
        </w:rPr>
        <w:t xml:space="preserve">adopted with the 1989 Diploma directive. </w:t>
      </w:r>
      <w:r w:rsidR="00893C56" w:rsidRPr="00D45CDF">
        <w:rPr>
          <w:rFonts w:asciiTheme="minorHAnsi" w:eastAsiaTheme="minorHAnsi" w:hAnsiTheme="minorHAnsi"/>
          <w:sz w:val="24"/>
          <w:szCs w:val="24"/>
          <w:lang w:eastAsia="en-US"/>
        </w:rPr>
        <w:t xml:space="preserve"> </w:t>
      </w:r>
      <w:r w:rsidR="007056B2" w:rsidRPr="00D45CDF">
        <w:rPr>
          <w:rFonts w:asciiTheme="minorHAnsi" w:eastAsiaTheme="minorHAnsi" w:hAnsiTheme="minorHAnsi"/>
          <w:sz w:val="24"/>
          <w:szCs w:val="24"/>
          <w:lang w:eastAsia="en-US"/>
        </w:rPr>
        <w:t>F</w:t>
      </w:r>
      <w:r w:rsidR="00CE43B6" w:rsidRPr="00D45CDF">
        <w:rPr>
          <w:rFonts w:asciiTheme="minorHAnsi" w:eastAsiaTheme="minorHAnsi" w:hAnsiTheme="minorHAnsi"/>
          <w:sz w:val="24"/>
          <w:szCs w:val="24"/>
          <w:lang w:eastAsia="en-US"/>
        </w:rPr>
        <w:t xml:space="preserve">or client protection, some professions, such as law, are highly regulated in all EU </w:t>
      </w:r>
      <w:r w:rsidR="001D6D90" w:rsidRPr="00D45CDF">
        <w:rPr>
          <w:rFonts w:asciiTheme="minorHAnsi" w:eastAsiaTheme="minorHAnsi" w:hAnsiTheme="minorHAnsi"/>
          <w:sz w:val="24"/>
          <w:szCs w:val="24"/>
          <w:lang w:eastAsia="en-US"/>
        </w:rPr>
        <w:t>Member States</w:t>
      </w:r>
      <w:r w:rsidR="00CE43B6" w:rsidRPr="00D45CDF">
        <w:rPr>
          <w:rFonts w:asciiTheme="minorHAnsi" w:eastAsiaTheme="minorHAnsi" w:hAnsiTheme="minorHAnsi"/>
          <w:sz w:val="24"/>
          <w:szCs w:val="24"/>
          <w:lang w:eastAsia="en-US"/>
        </w:rPr>
        <w:t xml:space="preserve">, and the differences in education and training vary considerably from state to state. </w:t>
      </w:r>
      <w:r w:rsidR="004A44E8" w:rsidRPr="00D45CDF">
        <w:rPr>
          <w:rFonts w:asciiTheme="minorHAnsi" w:eastAsiaTheme="minorHAnsi" w:hAnsiTheme="minorHAnsi"/>
          <w:sz w:val="24"/>
          <w:szCs w:val="24"/>
          <w:lang w:eastAsia="en-US"/>
        </w:rPr>
        <w:t>T</w:t>
      </w:r>
      <w:r w:rsidR="00316B45" w:rsidRPr="00D45CDF">
        <w:rPr>
          <w:rFonts w:asciiTheme="minorHAnsi" w:eastAsiaTheme="minorHAnsi" w:hAnsiTheme="minorHAnsi"/>
          <w:sz w:val="24"/>
          <w:szCs w:val="24"/>
          <w:lang w:eastAsia="en-US"/>
        </w:rPr>
        <w:t>h</w:t>
      </w:r>
      <w:r w:rsidR="00D53B40" w:rsidRPr="00D45CDF">
        <w:rPr>
          <w:rFonts w:asciiTheme="minorHAnsi" w:eastAsiaTheme="minorHAnsi" w:hAnsiTheme="minorHAnsi"/>
          <w:sz w:val="24"/>
          <w:szCs w:val="24"/>
          <w:lang w:eastAsia="en-US"/>
        </w:rPr>
        <w:t xml:space="preserve">e Diploma </w:t>
      </w:r>
      <w:r w:rsidR="00316B45" w:rsidRPr="00D45CDF">
        <w:rPr>
          <w:rFonts w:asciiTheme="minorHAnsi" w:eastAsiaTheme="minorHAnsi" w:hAnsiTheme="minorHAnsi"/>
          <w:sz w:val="24"/>
          <w:szCs w:val="24"/>
          <w:lang w:eastAsia="en-US"/>
        </w:rPr>
        <w:t>Directive</w:t>
      </w:r>
      <w:r w:rsidR="00D53B40" w:rsidRPr="00D45CDF">
        <w:rPr>
          <w:rFonts w:asciiTheme="minorHAnsi" w:eastAsiaTheme="minorHAnsi" w:hAnsiTheme="minorHAnsi"/>
          <w:sz w:val="24"/>
          <w:szCs w:val="24"/>
          <w:lang w:eastAsia="en-US"/>
        </w:rPr>
        <w:t>s</w:t>
      </w:r>
      <w:r w:rsidR="00316B45" w:rsidRPr="00D45CDF">
        <w:rPr>
          <w:rFonts w:asciiTheme="minorHAnsi" w:eastAsiaTheme="minorHAnsi" w:hAnsiTheme="minorHAnsi"/>
          <w:sz w:val="24"/>
          <w:szCs w:val="24"/>
          <w:lang w:eastAsia="en-US"/>
        </w:rPr>
        <w:t xml:space="preserve"> </w:t>
      </w:r>
      <w:r w:rsidRPr="00D45CDF">
        <w:rPr>
          <w:rFonts w:asciiTheme="minorHAnsi" w:eastAsiaTheme="minorHAnsi" w:hAnsiTheme="minorHAnsi"/>
          <w:sz w:val="24"/>
          <w:szCs w:val="24"/>
          <w:lang w:eastAsia="en-US"/>
        </w:rPr>
        <w:t>provide for the mutual recognition of higher education diplomas in general and aim to remove barriers facing EU nationals to pursue their careers in a Member State other than the one in which they studied and qualified</w:t>
      </w:r>
      <w:r w:rsidR="004A44E8" w:rsidRPr="00D45CDF">
        <w:rPr>
          <w:rFonts w:asciiTheme="minorHAnsi" w:eastAsiaTheme="minorHAnsi" w:hAnsiTheme="minorHAnsi"/>
          <w:sz w:val="24"/>
          <w:szCs w:val="24"/>
          <w:lang w:eastAsia="en-US"/>
        </w:rPr>
        <w:t>. They grant</w:t>
      </w:r>
      <w:r w:rsidR="00FA3D32" w:rsidRPr="00D45CDF">
        <w:rPr>
          <w:rFonts w:asciiTheme="minorHAnsi" w:eastAsiaTheme="minorHAnsi" w:hAnsiTheme="minorHAnsi"/>
          <w:sz w:val="24"/>
          <w:szCs w:val="24"/>
          <w:lang w:eastAsia="en-US"/>
        </w:rPr>
        <w:t xml:space="preserve"> a</w:t>
      </w:r>
      <w:r w:rsidR="00FA3D32" w:rsidRPr="00D45CDF">
        <w:rPr>
          <w:rFonts w:asciiTheme="minorHAnsi" w:hAnsiTheme="minorHAnsi"/>
          <w:sz w:val="24"/>
          <w:szCs w:val="24"/>
          <w:shd w:val="clear" w:color="auto" w:fill="FFFFFF"/>
        </w:rPr>
        <w:t xml:space="preserve">utomatic recognition of professional qualifications for </w:t>
      </w:r>
      <w:r w:rsidR="004A44E8" w:rsidRPr="00D45CDF">
        <w:rPr>
          <w:rFonts w:asciiTheme="minorHAnsi" w:hAnsiTheme="minorHAnsi"/>
          <w:sz w:val="24"/>
          <w:szCs w:val="24"/>
          <w:shd w:val="clear" w:color="auto" w:fill="FFFFFF"/>
        </w:rPr>
        <w:t xml:space="preserve">those </w:t>
      </w:r>
      <w:r w:rsidR="00FA3D32" w:rsidRPr="00D45CDF">
        <w:rPr>
          <w:rFonts w:asciiTheme="minorHAnsi" w:hAnsiTheme="minorHAnsi"/>
          <w:sz w:val="24"/>
          <w:szCs w:val="24"/>
          <w:shd w:val="clear" w:color="auto" w:fill="FFFFFF"/>
        </w:rPr>
        <w:t>professions with harmonised minimum training conditions</w:t>
      </w:r>
      <w:r w:rsidR="004A44E8" w:rsidRPr="00D45CDF">
        <w:rPr>
          <w:rFonts w:asciiTheme="minorHAnsi" w:hAnsiTheme="minorHAnsi"/>
          <w:sz w:val="24"/>
          <w:szCs w:val="24"/>
          <w:shd w:val="clear" w:color="auto" w:fill="FFFFFF"/>
        </w:rPr>
        <w:t xml:space="preserve"> (</w:t>
      </w:r>
      <w:r w:rsidR="00FA3D32" w:rsidRPr="00D45CDF">
        <w:rPr>
          <w:rFonts w:asciiTheme="minorHAnsi" w:hAnsiTheme="minorHAnsi"/>
          <w:sz w:val="24"/>
          <w:szCs w:val="24"/>
          <w:shd w:val="clear" w:color="auto" w:fill="FFFFFF"/>
        </w:rPr>
        <w:t>nurses, midwives, doctors, dental practitioners, pharmacists, architects and veterinary surgeons</w:t>
      </w:r>
      <w:r w:rsidR="004A44E8" w:rsidRPr="00D45CDF">
        <w:rPr>
          <w:rFonts w:asciiTheme="minorHAnsi" w:hAnsiTheme="minorHAnsi"/>
          <w:sz w:val="24"/>
          <w:szCs w:val="24"/>
          <w:shd w:val="clear" w:color="auto" w:fill="FFFFFF"/>
        </w:rPr>
        <w:t>)</w:t>
      </w:r>
      <w:r w:rsidR="00FA3D32" w:rsidRPr="00D45CDF">
        <w:rPr>
          <w:rFonts w:asciiTheme="minorHAnsi" w:hAnsiTheme="minorHAnsi"/>
          <w:sz w:val="24"/>
          <w:szCs w:val="24"/>
          <w:shd w:val="clear" w:color="auto" w:fill="FFFFFF"/>
        </w:rPr>
        <w:t>.</w:t>
      </w:r>
      <w:r w:rsidR="00CE43B6" w:rsidRPr="00D45CDF">
        <w:rPr>
          <w:rStyle w:val="FootnoteReference"/>
          <w:rFonts w:asciiTheme="minorHAnsi" w:eastAsiaTheme="minorHAnsi" w:hAnsiTheme="minorHAnsi"/>
          <w:sz w:val="24"/>
          <w:szCs w:val="24"/>
          <w:lang w:eastAsia="en-US"/>
        </w:rPr>
        <w:footnoteReference w:id="52"/>
      </w:r>
      <w:r w:rsidR="00CE43B6" w:rsidRPr="00D45CDF">
        <w:rPr>
          <w:rFonts w:asciiTheme="minorHAnsi" w:eastAsiaTheme="minorHAnsi" w:hAnsiTheme="minorHAnsi"/>
          <w:sz w:val="24"/>
          <w:szCs w:val="24"/>
          <w:lang w:eastAsia="en-US"/>
        </w:rPr>
        <w:t xml:space="preserve"> </w:t>
      </w:r>
      <w:r w:rsidR="00CE43B6" w:rsidRPr="00D45CDF">
        <w:rPr>
          <w:rFonts w:asciiTheme="minorHAnsi" w:hAnsiTheme="minorHAnsi"/>
          <w:sz w:val="24"/>
          <w:szCs w:val="24"/>
        </w:rPr>
        <w:t xml:space="preserve">More generally, </w:t>
      </w:r>
      <w:r w:rsidR="004A44E8" w:rsidRPr="00D45CDF">
        <w:rPr>
          <w:rFonts w:asciiTheme="minorHAnsi" w:hAnsiTheme="minorHAnsi"/>
          <w:sz w:val="24"/>
          <w:szCs w:val="24"/>
        </w:rPr>
        <w:t xml:space="preserve">they specify that </w:t>
      </w:r>
      <w:r w:rsidR="00CE43B6" w:rsidRPr="00D45CDF">
        <w:rPr>
          <w:rFonts w:asciiTheme="minorHAnsi" w:hAnsiTheme="minorHAnsi"/>
          <w:sz w:val="24"/>
          <w:szCs w:val="24"/>
        </w:rPr>
        <w:t xml:space="preserve">professional qualifications must be recognised </w:t>
      </w:r>
      <w:r w:rsidR="00CE701F" w:rsidRPr="00D45CDF">
        <w:rPr>
          <w:rFonts w:asciiTheme="minorHAnsi" w:hAnsiTheme="minorHAnsi"/>
          <w:sz w:val="24"/>
          <w:szCs w:val="24"/>
        </w:rPr>
        <w:t xml:space="preserve">by </w:t>
      </w:r>
      <w:r w:rsidR="001D6D90" w:rsidRPr="00D45CDF">
        <w:rPr>
          <w:rFonts w:asciiTheme="minorHAnsi" w:hAnsiTheme="minorHAnsi"/>
          <w:sz w:val="24"/>
          <w:szCs w:val="24"/>
        </w:rPr>
        <w:t>Member States</w:t>
      </w:r>
      <w:r w:rsidR="00CE43B6" w:rsidRPr="00D45CDF">
        <w:rPr>
          <w:rFonts w:asciiTheme="minorHAnsi" w:hAnsiTheme="minorHAnsi"/>
          <w:sz w:val="24"/>
          <w:szCs w:val="24"/>
        </w:rPr>
        <w:t>, wh</w:t>
      </w:r>
      <w:r w:rsidR="00CE701F" w:rsidRPr="00D45CDF">
        <w:rPr>
          <w:rFonts w:asciiTheme="minorHAnsi" w:hAnsiTheme="minorHAnsi"/>
          <w:sz w:val="24"/>
          <w:szCs w:val="24"/>
        </w:rPr>
        <w:t>o</w:t>
      </w:r>
      <w:r w:rsidR="00CE43B6" w:rsidRPr="00D45CDF">
        <w:rPr>
          <w:rFonts w:asciiTheme="minorHAnsi" w:hAnsiTheme="minorHAnsi"/>
          <w:sz w:val="24"/>
          <w:szCs w:val="24"/>
        </w:rPr>
        <w:t xml:space="preserve"> must allow beneficiaries to gain access in another </w:t>
      </w:r>
      <w:r w:rsidR="00CC0C0D" w:rsidRPr="00D45CDF">
        <w:rPr>
          <w:rFonts w:asciiTheme="minorHAnsi" w:hAnsiTheme="minorHAnsi"/>
          <w:sz w:val="24"/>
          <w:szCs w:val="24"/>
        </w:rPr>
        <w:t>M</w:t>
      </w:r>
      <w:r w:rsidR="00CE43B6" w:rsidRPr="00D45CDF">
        <w:rPr>
          <w:rFonts w:asciiTheme="minorHAnsi" w:hAnsiTheme="minorHAnsi"/>
          <w:sz w:val="24"/>
          <w:szCs w:val="24"/>
        </w:rPr>
        <w:t xml:space="preserve">ember </w:t>
      </w:r>
      <w:r w:rsidR="00CC0C0D" w:rsidRPr="00D45CDF">
        <w:rPr>
          <w:rFonts w:asciiTheme="minorHAnsi" w:hAnsiTheme="minorHAnsi"/>
          <w:sz w:val="24"/>
          <w:szCs w:val="24"/>
        </w:rPr>
        <w:t>S</w:t>
      </w:r>
      <w:r w:rsidR="00CE43B6" w:rsidRPr="00D45CDF">
        <w:rPr>
          <w:rFonts w:asciiTheme="minorHAnsi" w:hAnsiTheme="minorHAnsi"/>
          <w:sz w:val="24"/>
          <w:szCs w:val="24"/>
        </w:rPr>
        <w:t>tate to the same profession as that for which they are qualified in their home Member State, and to pursue that profession under the same conditions as its nationals.</w:t>
      </w:r>
      <w:r w:rsidR="00CE43B6" w:rsidRPr="00D45CDF">
        <w:rPr>
          <w:rStyle w:val="FootnoteReference"/>
          <w:rFonts w:asciiTheme="minorHAnsi" w:hAnsiTheme="minorHAnsi"/>
          <w:sz w:val="24"/>
          <w:szCs w:val="24"/>
        </w:rPr>
        <w:footnoteReference w:id="53"/>
      </w:r>
      <w:r w:rsidR="00CE43B6" w:rsidRPr="00D45CDF">
        <w:rPr>
          <w:rFonts w:asciiTheme="minorHAnsi" w:hAnsiTheme="minorHAnsi"/>
          <w:sz w:val="24"/>
          <w:szCs w:val="24"/>
        </w:rPr>
        <w:t xml:space="preserve"> S</w:t>
      </w:r>
      <w:r w:rsidR="00CE43B6" w:rsidRPr="00D45CDF">
        <w:rPr>
          <w:rFonts w:asciiTheme="minorHAnsi" w:eastAsiaTheme="minorHAnsi" w:hAnsiTheme="minorHAnsi"/>
          <w:sz w:val="24"/>
          <w:szCs w:val="24"/>
          <w:lang w:eastAsia="en-US"/>
        </w:rPr>
        <w:t xml:space="preserve">pecific mention is made in the Directive of </w:t>
      </w:r>
      <w:r w:rsidR="00CE43B6" w:rsidRPr="00D45CDF">
        <w:rPr>
          <w:rFonts w:asciiTheme="minorHAnsi" w:hAnsiTheme="minorHAnsi"/>
          <w:sz w:val="24"/>
          <w:szCs w:val="24"/>
        </w:rPr>
        <w:t>recognition of professional qualifications and training for lawyers.</w:t>
      </w:r>
      <w:r w:rsidR="00CE43B6" w:rsidRPr="00D45CDF">
        <w:rPr>
          <w:rStyle w:val="FootnoteReference"/>
          <w:rFonts w:asciiTheme="minorHAnsi" w:hAnsiTheme="minorHAnsi"/>
          <w:sz w:val="24"/>
          <w:szCs w:val="24"/>
        </w:rPr>
        <w:footnoteReference w:id="54"/>
      </w:r>
      <w:r w:rsidR="00CE43B6" w:rsidRPr="00D45CDF">
        <w:rPr>
          <w:rFonts w:asciiTheme="minorHAnsi" w:hAnsiTheme="minorHAnsi"/>
          <w:sz w:val="24"/>
          <w:szCs w:val="24"/>
        </w:rPr>
        <w:t xml:space="preserve">  </w:t>
      </w:r>
      <w:r w:rsidR="00971C7D" w:rsidRPr="00D45CDF">
        <w:rPr>
          <w:rFonts w:asciiTheme="minorHAnsi" w:hAnsiTheme="minorHAnsi"/>
          <w:sz w:val="24"/>
          <w:szCs w:val="24"/>
        </w:rPr>
        <w:t>T</w:t>
      </w:r>
      <w:r w:rsidR="00FA3D32" w:rsidRPr="00D45CDF">
        <w:rPr>
          <w:rFonts w:asciiTheme="minorHAnsi" w:eastAsiaTheme="minorHAnsi" w:hAnsiTheme="minorHAnsi"/>
          <w:sz w:val="24"/>
          <w:szCs w:val="24"/>
          <w:lang w:eastAsia="en-US"/>
        </w:rPr>
        <w:t>he P</w:t>
      </w:r>
      <w:r w:rsidR="00D53B40" w:rsidRPr="00D45CDF">
        <w:rPr>
          <w:rFonts w:asciiTheme="minorHAnsi" w:eastAsiaTheme="minorHAnsi" w:hAnsiTheme="minorHAnsi"/>
          <w:sz w:val="24"/>
          <w:szCs w:val="24"/>
          <w:lang w:eastAsia="en-US"/>
        </w:rPr>
        <w:t>Q</w:t>
      </w:r>
      <w:r w:rsidR="00FA3D32" w:rsidRPr="00D45CDF">
        <w:rPr>
          <w:rFonts w:asciiTheme="minorHAnsi" w:eastAsiaTheme="minorHAnsi" w:hAnsiTheme="minorHAnsi"/>
          <w:sz w:val="24"/>
          <w:szCs w:val="24"/>
          <w:lang w:eastAsia="en-US"/>
        </w:rPr>
        <w:t xml:space="preserve">D sets out five levels of </w:t>
      </w:r>
      <w:r w:rsidR="00FA3D32" w:rsidRPr="00D45CDF">
        <w:rPr>
          <w:rFonts w:asciiTheme="minorHAnsi" w:eastAsiaTheme="minorHAnsi" w:hAnsiTheme="minorHAnsi"/>
          <w:sz w:val="24"/>
          <w:szCs w:val="24"/>
          <w:lang w:eastAsia="en-US"/>
        </w:rPr>
        <w:lastRenderedPageBreak/>
        <w:t>qualification and diploma that can be recognised</w:t>
      </w:r>
      <w:r w:rsidR="00FF4957" w:rsidRPr="00D45CDF">
        <w:rPr>
          <w:rFonts w:asciiTheme="minorHAnsi" w:eastAsiaTheme="minorHAnsi" w:hAnsiTheme="minorHAnsi"/>
          <w:sz w:val="24"/>
          <w:szCs w:val="24"/>
          <w:lang w:eastAsia="en-US"/>
        </w:rPr>
        <w:t xml:space="preserve"> ranging from primary to higher education</w:t>
      </w:r>
      <w:r w:rsidR="00FA3D32" w:rsidRPr="00D45CDF">
        <w:rPr>
          <w:rFonts w:asciiTheme="minorHAnsi" w:eastAsiaTheme="minorHAnsi" w:hAnsiTheme="minorHAnsi"/>
          <w:sz w:val="24"/>
          <w:szCs w:val="24"/>
          <w:lang w:eastAsia="en-US"/>
        </w:rPr>
        <w:t>,</w:t>
      </w:r>
      <w:r w:rsidR="00A06850" w:rsidRPr="00D45CDF">
        <w:rPr>
          <w:rStyle w:val="FootnoteReference"/>
          <w:rFonts w:asciiTheme="minorHAnsi" w:eastAsiaTheme="minorHAnsi" w:hAnsiTheme="minorHAnsi"/>
          <w:sz w:val="24"/>
          <w:szCs w:val="24"/>
          <w:lang w:eastAsia="en-US"/>
        </w:rPr>
        <w:footnoteReference w:id="55"/>
      </w:r>
      <w:r w:rsidR="00FA3D32" w:rsidRPr="00D45CDF">
        <w:rPr>
          <w:rFonts w:asciiTheme="minorHAnsi" w:eastAsiaTheme="minorHAnsi" w:hAnsiTheme="minorHAnsi"/>
          <w:sz w:val="24"/>
          <w:szCs w:val="24"/>
          <w:lang w:eastAsia="en-US"/>
        </w:rPr>
        <w:t xml:space="preserve"> based on the principle of mutual recognition. It allows compensation measures to be imposed if the applicant’s qualifications are not considered to be equivalent to those required by the host state, and can require the sitting of an aptitude test or completion of an adaptation period in order to attain the required standard.</w:t>
      </w:r>
      <w:r w:rsidR="00FA3D32" w:rsidRPr="00D45CDF">
        <w:rPr>
          <w:rStyle w:val="FootnoteReference"/>
          <w:rFonts w:asciiTheme="minorHAnsi" w:eastAsiaTheme="minorHAnsi" w:hAnsiTheme="minorHAnsi"/>
          <w:sz w:val="24"/>
          <w:szCs w:val="24"/>
          <w:lang w:eastAsia="en-US"/>
        </w:rPr>
        <w:footnoteReference w:id="56"/>
      </w:r>
      <w:r w:rsidR="00FA3D32" w:rsidRPr="00D45CDF">
        <w:rPr>
          <w:rFonts w:asciiTheme="minorHAnsi" w:eastAsiaTheme="minorHAnsi" w:hAnsiTheme="minorHAnsi"/>
          <w:sz w:val="24"/>
          <w:szCs w:val="24"/>
          <w:lang w:eastAsia="en-US"/>
        </w:rPr>
        <w:t xml:space="preserve"> This </w:t>
      </w:r>
      <w:r w:rsidR="00D53B40" w:rsidRPr="00D45CDF">
        <w:rPr>
          <w:rFonts w:asciiTheme="minorHAnsi" w:eastAsiaTheme="minorHAnsi" w:hAnsiTheme="minorHAnsi"/>
          <w:sz w:val="24"/>
          <w:szCs w:val="24"/>
          <w:lang w:eastAsia="en-US"/>
        </w:rPr>
        <w:t>D</w:t>
      </w:r>
      <w:r w:rsidR="00FA3D32" w:rsidRPr="00D45CDF">
        <w:rPr>
          <w:rFonts w:asciiTheme="minorHAnsi" w:eastAsiaTheme="minorHAnsi" w:hAnsiTheme="minorHAnsi"/>
          <w:sz w:val="24"/>
          <w:szCs w:val="24"/>
          <w:lang w:eastAsia="en-US"/>
        </w:rPr>
        <w:t xml:space="preserve">irective takes its inspiration from the ruling in </w:t>
      </w:r>
      <w:proofErr w:type="spellStart"/>
      <w:r w:rsidR="00FA3D32" w:rsidRPr="00D45CDF">
        <w:rPr>
          <w:rFonts w:asciiTheme="minorHAnsi" w:eastAsiaTheme="minorHAnsi" w:hAnsiTheme="minorHAnsi"/>
          <w:i/>
          <w:iCs/>
          <w:sz w:val="24"/>
          <w:szCs w:val="24"/>
          <w:lang w:eastAsia="en-US"/>
        </w:rPr>
        <w:t>Vlassopoulo</w:t>
      </w:r>
      <w:proofErr w:type="spellEnd"/>
      <w:r w:rsidR="000931EC" w:rsidRPr="00D45CDF">
        <w:rPr>
          <w:rFonts w:asciiTheme="minorHAnsi" w:eastAsiaTheme="minorHAnsi" w:hAnsiTheme="minorHAnsi"/>
          <w:i/>
          <w:iCs/>
          <w:sz w:val="24"/>
          <w:szCs w:val="24"/>
          <w:lang w:eastAsia="en-US"/>
        </w:rPr>
        <w:t>.</w:t>
      </w:r>
      <w:r w:rsidR="00344731" w:rsidRPr="00D45CDF">
        <w:rPr>
          <w:rStyle w:val="FootnoteReference"/>
          <w:rFonts w:asciiTheme="minorHAnsi" w:eastAsiaTheme="minorHAnsi" w:hAnsiTheme="minorHAnsi"/>
          <w:sz w:val="24"/>
          <w:szCs w:val="24"/>
          <w:lang w:eastAsia="en-US"/>
        </w:rPr>
        <w:footnoteReference w:id="57"/>
      </w:r>
      <w:r w:rsidR="00FA3D32" w:rsidRPr="00D45CDF">
        <w:rPr>
          <w:rFonts w:asciiTheme="minorHAnsi" w:eastAsiaTheme="minorHAnsi" w:hAnsiTheme="minorHAnsi"/>
          <w:sz w:val="24"/>
          <w:szCs w:val="24"/>
          <w:lang w:eastAsia="en-US"/>
        </w:rPr>
        <w:t xml:space="preserve"> In this case, the European Court acknowledged that </w:t>
      </w:r>
      <w:r w:rsidR="001D6D90" w:rsidRPr="00D45CDF">
        <w:rPr>
          <w:rFonts w:asciiTheme="minorHAnsi" w:eastAsiaTheme="minorHAnsi" w:hAnsiTheme="minorHAnsi"/>
          <w:sz w:val="24"/>
          <w:szCs w:val="24"/>
          <w:lang w:eastAsia="en-US"/>
        </w:rPr>
        <w:t>Member States</w:t>
      </w:r>
      <w:r w:rsidR="00FA3D32" w:rsidRPr="00D45CDF">
        <w:rPr>
          <w:rFonts w:asciiTheme="minorHAnsi" w:eastAsiaTheme="minorHAnsi" w:hAnsiTheme="minorHAnsi"/>
          <w:sz w:val="24"/>
          <w:szCs w:val="24"/>
          <w:lang w:eastAsia="en-US"/>
        </w:rPr>
        <w:t xml:space="preserve"> may lay down specific requirements for access to the Bar, but must not hinder non-nationals in their right of establishment and must take into account previously acquired qualifications. Qualifications must be compared with national requirements to ascertain whether they are equivalent, and if they are, they must be accepted as such. If the qualifications are not found to be equivalent, then the host state has the right to require the applicant</w:t>
      </w:r>
      <w:r w:rsidR="000931EC" w:rsidRPr="00D45CDF">
        <w:rPr>
          <w:rFonts w:asciiTheme="minorHAnsi" w:eastAsiaTheme="minorHAnsi" w:hAnsiTheme="minorHAnsi"/>
          <w:sz w:val="24"/>
          <w:szCs w:val="24"/>
          <w:lang w:eastAsia="en-US"/>
        </w:rPr>
        <w:t xml:space="preserve"> to</w:t>
      </w:r>
      <w:r w:rsidR="00FA3D32" w:rsidRPr="00D45CDF">
        <w:rPr>
          <w:rFonts w:asciiTheme="minorHAnsi" w:eastAsiaTheme="minorHAnsi" w:hAnsiTheme="minorHAnsi"/>
          <w:sz w:val="24"/>
          <w:szCs w:val="24"/>
          <w:lang w:eastAsia="en-US"/>
        </w:rPr>
        <w:t xml:space="preserve"> bring forward evidence of any additional knowledge, aptitude and experience s/he may have acquired.</w:t>
      </w:r>
      <w:r w:rsidR="00FA3D32" w:rsidRPr="00D45CDF">
        <w:rPr>
          <w:rStyle w:val="FootnoteReference"/>
          <w:rFonts w:asciiTheme="minorHAnsi" w:eastAsiaTheme="minorHAnsi" w:hAnsiTheme="minorHAnsi"/>
          <w:sz w:val="24"/>
          <w:szCs w:val="24"/>
          <w:lang w:eastAsia="en-US"/>
        </w:rPr>
        <w:footnoteReference w:id="58"/>
      </w:r>
      <w:r w:rsidR="00FA3D32" w:rsidRPr="00D45CDF">
        <w:rPr>
          <w:rFonts w:asciiTheme="minorHAnsi" w:eastAsiaTheme="minorHAnsi" w:hAnsiTheme="minorHAnsi"/>
          <w:sz w:val="24"/>
          <w:szCs w:val="24"/>
          <w:lang w:eastAsia="en-US"/>
        </w:rPr>
        <w:t xml:space="preserve"> </w:t>
      </w:r>
      <w:r w:rsidR="00A15A24" w:rsidRPr="00D45CDF">
        <w:rPr>
          <w:rFonts w:asciiTheme="minorHAnsi" w:eastAsiaTheme="minorHAnsi" w:hAnsiTheme="minorHAnsi"/>
          <w:sz w:val="24"/>
          <w:szCs w:val="24"/>
          <w:lang w:eastAsia="en-US"/>
        </w:rPr>
        <w:t xml:space="preserve">In the case of non-regulated professions, the principles outlined by the ECJ in </w:t>
      </w:r>
      <w:proofErr w:type="spellStart"/>
      <w:r w:rsidR="00A15A24" w:rsidRPr="00D45CDF">
        <w:rPr>
          <w:rFonts w:asciiTheme="minorHAnsi" w:eastAsiaTheme="minorHAnsi" w:hAnsiTheme="minorHAnsi"/>
          <w:i/>
          <w:iCs/>
          <w:sz w:val="24"/>
          <w:szCs w:val="24"/>
          <w:lang w:eastAsia="en-US"/>
        </w:rPr>
        <w:t>Vlassolpoulou</w:t>
      </w:r>
      <w:proofErr w:type="spellEnd"/>
      <w:r w:rsidR="00A15A24" w:rsidRPr="00D45CDF">
        <w:rPr>
          <w:rFonts w:asciiTheme="minorHAnsi" w:eastAsiaTheme="minorHAnsi" w:hAnsiTheme="minorHAnsi"/>
          <w:sz w:val="24"/>
          <w:szCs w:val="24"/>
          <w:lang w:eastAsia="en-US"/>
        </w:rPr>
        <w:t xml:space="preserve"> </w:t>
      </w:r>
      <w:r w:rsidR="007A2E5B" w:rsidRPr="00D45CDF">
        <w:rPr>
          <w:rFonts w:asciiTheme="minorHAnsi" w:eastAsiaTheme="minorHAnsi" w:hAnsiTheme="minorHAnsi"/>
          <w:sz w:val="24"/>
          <w:szCs w:val="24"/>
          <w:lang w:eastAsia="en-US"/>
        </w:rPr>
        <w:t xml:space="preserve">also </w:t>
      </w:r>
      <w:r w:rsidR="00A15A24" w:rsidRPr="00D45CDF">
        <w:rPr>
          <w:rFonts w:asciiTheme="minorHAnsi" w:eastAsiaTheme="minorHAnsi" w:hAnsiTheme="minorHAnsi"/>
          <w:sz w:val="24"/>
          <w:szCs w:val="24"/>
          <w:lang w:eastAsia="en-US"/>
        </w:rPr>
        <w:t>appear to</w:t>
      </w:r>
      <w:r w:rsidR="00780C0C" w:rsidRPr="00D45CDF">
        <w:rPr>
          <w:rFonts w:asciiTheme="minorHAnsi" w:eastAsiaTheme="minorHAnsi" w:hAnsiTheme="minorHAnsi"/>
          <w:sz w:val="24"/>
          <w:szCs w:val="24"/>
          <w:lang w:eastAsia="en-US"/>
        </w:rPr>
        <w:t xml:space="preserve"> apply</w:t>
      </w:r>
      <w:r w:rsidR="00A15A24" w:rsidRPr="00D45CDF">
        <w:rPr>
          <w:rFonts w:asciiTheme="minorHAnsi" w:eastAsiaTheme="minorHAnsi" w:hAnsiTheme="minorHAnsi"/>
          <w:sz w:val="24"/>
          <w:szCs w:val="24"/>
          <w:lang w:eastAsia="en-US"/>
        </w:rPr>
        <w:t>,</w:t>
      </w:r>
      <w:r w:rsidR="00A15A24" w:rsidRPr="00D45CDF">
        <w:rPr>
          <w:rStyle w:val="FootnoteReference"/>
          <w:rFonts w:asciiTheme="minorHAnsi" w:eastAsiaTheme="minorHAnsi" w:hAnsiTheme="minorHAnsi"/>
          <w:sz w:val="24"/>
          <w:szCs w:val="24"/>
          <w:lang w:eastAsia="en-US"/>
        </w:rPr>
        <w:footnoteReference w:id="59"/>
      </w:r>
      <w:r w:rsidR="00A15A24" w:rsidRPr="00D45CDF">
        <w:rPr>
          <w:rFonts w:asciiTheme="minorHAnsi" w:eastAsiaTheme="minorHAnsi" w:hAnsiTheme="minorHAnsi"/>
          <w:sz w:val="24"/>
          <w:szCs w:val="24"/>
          <w:lang w:eastAsia="en-US"/>
        </w:rPr>
        <w:t xml:space="preserve"> following Article 49 TFEU.</w:t>
      </w:r>
    </w:p>
    <w:p w14:paraId="68A8CBCA" w14:textId="77777777" w:rsidR="00302E6B" w:rsidRPr="00D45CDF" w:rsidRDefault="00316B45" w:rsidP="00197A40">
      <w:pPr>
        <w:tabs>
          <w:tab w:val="left" w:pos="6379"/>
        </w:tabs>
        <w:autoSpaceDE w:val="0"/>
        <w:autoSpaceDN w:val="0"/>
        <w:adjustRightInd w:val="0"/>
        <w:spacing w:line="240" w:lineRule="auto"/>
        <w:jc w:val="both"/>
        <w:rPr>
          <w:rFonts w:asciiTheme="minorHAnsi" w:eastAsiaTheme="minorHAnsi" w:hAnsiTheme="minorHAnsi"/>
          <w:sz w:val="24"/>
          <w:szCs w:val="24"/>
          <w:lang w:eastAsia="en-US"/>
        </w:rPr>
      </w:pPr>
      <w:r w:rsidRPr="00D45CDF">
        <w:rPr>
          <w:rFonts w:asciiTheme="minorHAnsi" w:eastAsiaTheme="minorHAnsi" w:hAnsiTheme="minorHAnsi"/>
          <w:sz w:val="24"/>
          <w:szCs w:val="24"/>
          <w:lang w:eastAsia="en-US"/>
        </w:rPr>
        <w:t xml:space="preserve">This Directive is now </w:t>
      </w:r>
      <w:r w:rsidR="006E5D0C" w:rsidRPr="00D45CDF">
        <w:rPr>
          <w:rFonts w:asciiTheme="minorHAnsi" w:eastAsiaTheme="minorHAnsi" w:hAnsiTheme="minorHAnsi"/>
          <w:sz w:val="24"/>
          <w:szCs w:val="24"/>
          <w:lang w:eastAsia="en-US"/>
        </w:rPr>
        <w:t xml:space="preserve">somewhat </w:t>
      </w:r>
      <w:r w:rsidRPr="00D45CDF">
        <w:rPr>
          <w:rFonts w:asciiTheme="minorHAnsi" w:eastAsiaTheme="minorHAnsi" w:hAnsiTheme="minorHAnsi"/>
          <w:sz w:val="24"/>
          <w:szCs w:val="24"/>
          <w:lang w:eastAsia="en-US"/>
        </w:rPr>
        <w:t>less significant for lawyers, due to the effects of the Lawyers’ Establishment Directive of 1998, which specifically allows lawyers to set up in another Member State,</w:t>
      </w:r>
      <w:r w:rsidR="00302E6B" w:rsidRPr="00D45CDF">
        <w:rPr>
          <w:rFonts w:asciiTheme="minorHAnsi" w:eastAsiaTheme="minorHAnsi" w:hAnsiTheme="minorHAnsi"/>
          <w:sz w:val="24"/>
          <w:szCs w:val="24"/>
          <w:lang w:eastAsia="en-US"/>
        </w:rPr>
        <w:t xml:space="preserve"> but </w:t>
      </w:r>
      <w:r w:rsidR="00503D07" w:rsidRPr="00D45CDF">
        <w:rPr>
          <w:rFonts w:asciiTheme="minorHAnsi" w:eastAsiaTheme="minorHAnsi" w:hAnsiTheme="minorHAnsi"/>
          <w:sz w:val="24"/>
          <w:szCs w:val="24"/>
          <w:lang w:eastAsia="en-US"/>
        </w:rPr>
        <w:t xml:space="preserve">it </w:t>
      </w:r>
      <w:r w:rsidR="00302E6B" w:rsidRPr="00D45CDF">
        <w:rPr>
          <w:rFonts w:asciiTheme="minorHAnsi" w:eastAsiaTheme="minorHAnsi" w:hAnsiTheme="minorHAnsi"/>
          <w:sz w:val="24"/>
          <w:szCs w:val="24"/>
          <w:lang w:eastAsia="en-US"/>
        </w:rPr>
        <w:t>marks a significant step in the path to freedom of establishment.</w:t>
      </w:r>
      <w:r w:rsidRPr="00D45CDF">
        <w:rPr>
          <w:rFonts w:asciiTheme="minorHAnsi" w:eastAsiaTheme="minorHAnsi" w:hAnsiTheme="minorHAnsi"/>
          <w:sz w:val="24"/>
          <w:szCs w:val="24"/>
          <w:lang w:eastAsia="en-US"/>
        </w:rPr>
        <w:t xml:space="preserve"> </w:t>
      </w:r>
    </w:p>
    <w:p w14:paraId="2E9F0569" w14:textId="77777777" w:rsidR="003E62B2" w:rsidRPr="00D45CDF" w:rsidRDefault="00C36F70" w:rsidP="00197A40">
      <w:pPr>
        <w:autoSpaceDE w:val="0"/>
        <w:autoSpaceDN w:val="0"/>
        <w:adjustRightInd w:val="0"/>
        <w:spacing w:line="240" w:lineRule="auto"/>
        <w:jc w:val="both"/>
        <w:rPr>
          <w:rFonts w:asciiTheme="minorHAnsi" w:eastAsiaTheme="minorHAnsi" w:hAnsiTheme="minorHAnsi"/>
          <w:sz w:val="24"/>
          <w:szCs w:val="24"/>
          <w:lang w:eastAsia="en-US"/>
        </w:rPr>
      </w:pPr>
      <w:r w:rsidRPr="00D45CDF">
        <w:rPr>
          <w:rFonts w:asciiTheme="minorHAnsi" w:eastAsiaTheme="minorHAnsi" w:hAnsiTheme="minorHAnsi"/>
          <w:sz w:val="24"/>
          <w:szCs w:val="24"/>
          <w:lang w:eastAsia="en-US"/>
        </w:rPr>
        <w:t xml:space="preserve">Lawyers tend to have self-employed status, being typically members of the self-employed Bar, sole practitioners or partners in a law firm and the Lawyers’ Establishment Directive allows EU nationals who are members of a legal profession in one of the </w:t>
      </w:r>
      <w:r w:rsidR="001D6D90" w:rsidRPr="00D45CDF">
        <w:rPr>
          <w:rFonts w:asciiTheme="minorHAnsi" w:eastAsiaTheme="minorHAnsi" w:hAnsiTheme="minorHAnsi"/>
          <w:sz w:val="24"/>
          <w:szCs w:val="24"/>
          <w:lang w:eastAsia="en-US"/>
        </w:rPr>
        <w:t>Member States</w:t>
      </w:r>
      <w:r w:rsidRPr="00D45CDF">
        <w:rPr>
          <w:rFonts w:asciiTheme="minorHAnsi" w:eastAsiaTheme="minorHAnsi" w:hAnsiTheme="minorHAnsi"/>
          <w:sz w:val="24"/>
          <w:szCs w:val="24"/>
          <w:lang w:eastAsia="en-US"/>
        </w:rPr>
        <w:t xml:space="preserve"> to set up a practice in another Member State.</w:t>
      </w:r>
      <w:r w:rsidRPr="00D45CDF">
        <w:rPr>
          <w:rStyle w:val="FootnoteReference"/>
          <w:rFonts w:asciiTheme="minorHAnsi" w:eastAsiaTheme="minorHAnsi" w:hAnsiTheme="minorHAnsi"/>
          <w:sz w:val="24"/>
          <w:szCs w:val="24"/>
          <w:lang w:eastAsia="en-US"/>
        </w:rPr>
        <w:footnoteReference w:id="60"/>
      </w:r>
      <w:r w:rsidRPr="00D45CDF">
        <w:rPr>
          <w:rFonts w:asciiTheme="minorHAnsi" w:eastAsiaTheme="minorHAnsi" w:hAnsiTheme="minorHAnsi"/>
          <w:sz w:val="24"/>
          <w:szCs w:val="24"/>
          <w:lang w:eastAsia="en-US"/>
        </w:rPr>
        <w:t xml:space="preserve"> </w:t>
      </w:r>
      <w:r w:rsidR="004A5D0E" w:rsidRPr="00D45CDF">
        <w:rPr>
          <w:rFonts w:asciiTheme="minorHAnsi" w:eastAsiaTheme="minorHAnsi" w:hAnsiTheme="minorHAnsi"/>
          <w:sz w:val="24"/>
          <w:szCs w:val="24"/>
          <w:lang w:eastAsia="en-US"/>
        </w:rPr>
        <w:t>Self-employed status is held by the ECJ to consist of</w:t>
      </w:r>
      <w:r w:rsidR="00FB28F6" w:rsidRPr="00D45CDF">
        <w:rPr>
          <w:rFonts w:asciiTheme="minorHAnsi" w:eastAsiaTheme="minorHAnsi" w:hAnsiTheme="minorHAnsi"/>
          <w:sz w:val="24"/>
          <w:szCs w:val="24"/>
          <w:lang w:eastAsia="en-US"/>
        </w:rPr>
        <w:t xml:space="preserve"> </w:t>
      </w:r>
      <w:r w:rsidR="004A5D0E" w:rsidRPr="00D45CDF">
        <w:rPr>
          <w:rFonts w:asciiTheme="minorHAnsi" w:eastAsiaTheme="minorHAnsi" w:hAnsiTheme="minorHAnsi"/>
          <w:sz w:val="24"/>
          <w:szCs w:val="24"/>
          <w:lang w:eastAsia="en-US"/>
        </w:rPr>
        <w:t>an economic activity carried out by a person ‘</w:t>
      </w:r>
      <w:r w:rsidR="004A5D0E" w:rsidRPr="00D45CDF">
        <w:rPr>
          <w:rFonts w:asciiTheme="minorHAnsi" w:hAnsiTheme="minorHAnsi"/>
          <w:sz w:val="24"/>
          <w:szCs w:val="24"/>
        </w:rPr>
        <w:t>outside any relationship of subordination concerning the choice of that activity, working conditions and conditions of remuneration; under that person's own responsibility; and in return for remuneration paid to that person directly and in full.’</w:t>
      </w:r>
      <w:r w:rsidR="00323E34" w:rsidRPr="00D45CDF">
        <w:rPr>
          <w:rStyle w:val="FootnoteReference"/>
          <w:rFonts w:asciiTheme="minorHAnsi" w:eastAsiaTheme="minorHAnsi" w:hAnsiTheme="minorHAnsi"/>
          <w:sz w:val="24"/>
          <w:szCs w:val="24"/>
          <w:lang w:eastAsia="en-US"/>
        </w:rPr>
        <w:footnoteReference w:id="61"/>
      </w:r>
      <w:r w:rsidR="00FB28F6" w:rsidRPr="00D45CDF">
        <w:rPr>
          <w:rFonts w:asciiTheme="minorHAnsi" w:eastAsiaTheme="minorHAnsi" w:hAnsiTheme="minorHAnsi"/>
          <w:sz w:val="24"/>
          <w:szCs w:val="24"/>
          <w:lang w:eastAsia="en-US"/>
        </w:rPr>
        <w:t xml:space="preserve"> </w:t>
      </w:r>
      <w:r w:rsidR="00E4111A" w:rsidRPr="00D45CDF">
        <w:rPr>
          <w:rFonts w:asciiTheme="minorHAnsi" w:eastAsiaTheme="minorHAnsi" w:hAnsiTheme="minorHAnsi"/>
          <w:sz w:val="24"/>
          <w:szCs w:val="24"/>
          <w:lang w:eastAsia="en-US"/>
        </w:rPr>
        <w:t>The Directive</w:t>
      </w:r>
      <w:r w:rsidR="00690299" w:rsidRPr="00D45CDF">
        <w:rPr>
          <w:rFonts w:asciiTheme="minorHAnsi" w:eastAsiaTheme="minorHAnsi" w:hAnsiTheme="minorHAnsi"/>
          <w:sz w:val="24"/>
          <w:szCs w:val="24"/>
          <w:lang w:eastAsia="en-US"/>
        </w:rPr>
        <w:t xml:space="preserve"> address</w:t>
      </w:r>
      <w:r w:rsidR="005413A3" w:rsidRPr="00D45CDF">
        <w:rPr>
          <w:rFonts w:asciiTheme="minorHAnsi" w:eastAsiaTheme="minorHAnsi" w:hAnsiTheme="minorHAnsi"/>
          <w:sz w:val="24"/>
          <w:szCs w:val="24"/>
          <w:lang w:eastAsia="en-US"/>
        </w:rPr>
        <w:t>e</w:t>
      </w:r>
      <w:r w:rsidR="002C18F8" w:rsidRPr="00D45CDF">
        <w:rPr>
          <w:rFonts w:asciiTheme="minorHAnsi" w:eastAsiaTheme="minorHAnsi" w:hAnsiTheme="minorHAnsi"/>
          <w:sz w:val="24"/>
          <w:szCs w:val="24"/>
          <w:lang w:eastAsia="en-US"/>
        </w:rPr>
        <w:t>s</w:t>
      </w:r>
      <w:r w:rsidR="00690299" w:rsidRPr="00D45CDF">
        <w:rPr>
          <w:rFonts w:asciiTheme="minorHAnsi" w:eastAsiaTheme="minorHAnsi" w:hAnsiTheme="minorHAnsi"/>
          <w:sz w:val="24"/>
          <w:szCs w:val="24"/>
          <w:lang w:eastAsia="en-US"/>
        </w:rPr>
        <w:t xml:space="preserve"> issues such as the use of professional title, registration requirements and rules of professional conduct.</w:t>
      </w:r>
      <w:r w:rsidR="005413A3" w:rsidRPr="00D45CDF">
        <w:rPr>
          <w:rFonts w:asciiTheme="minorHAnsi" w:eastAsiaTheme="minorHAnsi" w:hAnsiTheme="minorHAnsi"/>
          <w:sz w:val="24"/>
          <w:szCs w:val="24"/>
          <w:lang w:eastAsia="en-US"/>
        </w:rPr>
        <w:t xml:space="preserve"> </w:t>
      </w:r>
      <w:r w:rsidR="003901CC" w:rsidRPr="00D45CDF">
        <w:rPr>
          <w:rFonts w:asciiTheme="minorHAnsi" w:eastAsiaTheme="minorHAnsi" w:hAnsiTheme="minorHAnsi"/>
          <w:sz w:val="24"/>
          <w:szCs w:val="24"/>
          <w:lang w:eastAsia="en-US"/>
        </w:rPr>
        <w:t>I</w:t>
      </w:r>
      <w:r w:rsidR="00690299" w:rsidRPr="00D45CDF">
        <w:rPr>
          <w:rFonts w:asciiTheme="minorHAnsi" w:eastAsiaTheme="minorHAnsi" w:hAnsiTheme="minorHAnsi"/>
          <w:sz w:val="24"/>
          <w:szCs w:val="24"/>
          <w:lang w:eastAsia="en-US"/>
        </w:rPr>
        <w:t>t</w:t>
      </w:r>
      <w:r w:rsidR="003901CC" w:rsidRPr="00D45CDF">
        <w:rPr>
          <w:rFonts w:asciiTheme="minorHAnsi" w:eastAsiaTheme="minorHAnsi" w:hAnsiTheme="minorHAnsi"/>
          <w:sz w:val="24"/>
          <w:szCs w:val="24"/>
          <w:lang w:eastAsia="en-US"/>
        </w:rPr>
        <w:t xml:space="preserve"> </w:t>
      </w:r>
      <w:r w:rsidR="00690299" w:rsidRPr="00D45CDF">
        <w:rPr>
          <w:rFonts w:asciiTheme="minorHAnsi" w:eastAsiaTheme="minorHAnsi" w:hAnsiTheme="minorHAnsi"/>
          <w:sz w:val="24"/>
          <w:szCs w:val="24"/>
          <w:lang w:eastAsia="en-US"/>
        </w:rPr>
        <w:t>effectively provide</w:t>
      </w:r>
      <w:r w:rsidR="002C18F8" w:rsidRPr="00D45CDF">
        <w:rPr>
          <w:rFonts w:asciiTheme="minorHAnsi" w:eastAsiaTheme="minorHAnsi" w:hAnsiTheme="minorHAnsi"/>
          <w:sz w:val="24"/>
          <w:szCs w:val="24"/>
          <w:lang w:eastAsia="en-US"/>
        </w:rPr>
        <w:t>s</w:t>
      </w:r>
      <w:r w:rsidR="00690299" w:rsidRPr="00D45CDF">
        <w:rPr>
          <w:rFonts w:asciiTheme="minorHAnsi" w:eastAsiaTheme="minorHAnsi" w:hAnsiTheme="minorHAnsi"/>
          <w:sz w:val="24"/>
          <w:szCs w:val="24"/>
          <w:lang w:eastAsia="en-US"/>
        </w:rPr>
        <w:t xml:space="preserve"> two different means </w:t>
      </w:r>
      <w:r w:rsidR="00C73386" w:rsidRPr="00D45CDF">
        <w:rPr>
          <w:rFonts w:asciiTheme="minorHAnsi" w:eastAsiaTheme="minorHAnsi" w:hAnsiTheme="minorHAnsi"/>
          <w:sz w:val="24"/>
          <w:szCs w:val="24"/>
          <w:lang w:eastAsia="en-US"/>
        </w:rPr>
        <w:t xml:space="preserve">of </w:t>
      </w:r>
      <w:r w:rsidR="00690299" w:rsidRPr="00D45CDF">
        <w:rPr>
          <w:rFonts w:asciiTheme="minorHAnsi" w:eastAsiaTheme="minorHAnsi" w:hAnsiTheme="minorHAnsi"/>
          <w:sz w:val="24"/>
          <w:szCs w:val="24"/>
          <w:lang w:eastAsia="en-US"/>
        </w:rPr>
        <w:t>accessing a Member State’s legal market. Firstly, a</w:t>
      </w:r>
      <w:r w:rsidR="003901CC" w:rsidRPr="00D45CDF">
        <w:rPr>
          <w:rFonts w:asciiTheme="minorHAnsi" w:eastAsiaTheme="minorHAnsi" w:hAnsiTheme="minorHAnsi"/>
          <w:sz w:val="24"/>
          <w:szCs w:val="24"/>
          <w:lang w:eastAsia="en-US"/>
        </w:rPr>
        <w:t>n EU</w:t>
      </w:r>
      <w:r w:rsidR="00690299" w:rsidRPr="00D45CDF">
        <w:rPr>
          <w:rFonts w:asciiTheme="minorHAnsi" w:eastAsiaTheme="minorHAnsi" w:hAnsiTheme="minorHAnsi"/>
          <w:sz w:val="24"/>
          <w:szCs w:val="24"/>
          <w:lang w:eastAsia="en-US"/>
        </w:rPr>
        <w:t xml:space="preserve"> lawyer</w:t>
      </w:r>
      <w:r w:rsidR="003901CC" w:rsidRPr="00D45CDF">
        <w:rPr>
          <w:rFonts w:asciiTheme="minorHAnsi" w:eastAsiaTheme="minorHAnsi" w:hAnsiTheme="minorHAnsi"/>
          <w:sz w:val="24"/>
          <w:szCs w:val="24"/>
          <w:lang w:eastAsia="en-US"/>
        </w:rPr>
        <w:t xml:space="preserve"> moving to another Member State</w:t>
      </w:r>
      <w:r w:rsidR="00690299" w:rsidRPr="00D45CDF">
        <w:rPr>
          <w:rFonts w:asciiTheme="minorHAnsi" w:eastAsiaTheme="minorHAnsi" w:hAnsiTheme="minorHAnsi"/>
          <w:sz w:val="24"/>
          <w:szCs w:val="24"/>
          <w:lang w:eastAsia="en-US"/>
        </w:rPr>
        <w:t xml:space="preserve"> may practise</w:t>
      </w:r>
      <w:r w:rsidR="00A226E9" w:rsidRPr="00D45CDF">
        <w:rPr>
          <w:rFonts w:asciiTheme="minorHAnsi" w:eastAsiaTheme="minorHAnsi" w:hAnsiTheme="minorHAnsi"/>
          <w:sz w:val="24"/>
          <w:szCs w:val="24"/>
          <w:lang w:eastAsia="en-US"/>
        </w:rPr>
        <w:t>,</w:t>
      </w:r>
      <w:r w:rsidR="00690299" w:rsidRPr="00D45CDF">
        <w:rPr>
          <w:rFonts w:asciiTheme="minorHAnsi" w:eastAsiaTheme="minorHAnsi" w:hAnsiTheme="minorHAnsi"/>
          <w:sz w:val="24"/>
          <w:szCs w:val="24"/>
          <w:lang w:eastAsia="en-US"/>
        </w:rPr>
        <w:t xml:space="preserve"> </w:t>
      </w:r>
      <w:r w:rsidR="00A226E9" w:rsidRPr="00D45CDF">
        <w:rPr>
          <w:rFonts w:asciiTheme="minorHAnsi" w:eastAsiaTheme="minorHAnsi" w:hAnsiTheme="minorHAnsi"/>
          <w:sz w:val="24"/>
          <w:szCs w:val="24"/>
          <w:lang w:eastAsia="en-US"/>
        </w:rPr>
        <w:t xml:space="preserve">in all areas of law, in the host state </w:t>
      </w:r>
      <w:r w:rsidR="00690299" w:rsidRPr="00D45CDF">
        <w:rPr>
          <w:rFonts w:asciiTheme="minorHAnsi" w:eastAsiaTheme="minorHAnsi" w:hAnsiTheme="minorHAnsi"/>
          <w:sz w:val="24"/>
          <w:szCs w:val="24"/>
          <w:lang w:eastAsia="en-US"/>
        </w:rPr>
        <w:t>under the professional title obtained in his or her home state</w:t>
      </w:r>
      <w:r w:rsidR="00A226E9" w:rsidRPr="00D45CDF">
        <w:rPr>
          <w:rFonts w:asciiTheme="minorHAnsi" w:eastAsiaTheme="minorHAnsi" w:hAnsiTheme="minorHAnsi"/>
          <w:sz w:val="24"/>
          <w:szCs w:val="24"/>
          <w:lang w:eastAsia="en-US"/>
        </w:rPr>
        <w:t>, subject to some potential restrictions</w:t>
      </w:r>
      <w:r w:rsidR="00D45C3F" w:rsidRPr="00D45CDF">
        <w:rPr>
          <w:rFonts w:asciiTheme="minorHAnsi" w:eastAsiaTheme="minorHAnsi" w:hAnsiTheme="minorHAnsi"/>
          <w:sz w:val="24"/>
          <w:szCs w:val="24"/>
          <w:lang w:eastAsia="en-US"/>
        </w:rPr>
        <w:t>, where it may be necessary to practise alongside a lawyer holding a qualification from the host state</w:t>
      </w:r>
      <w:r w:rsidR="00A226E9" w:rsidRPr="00D45CDF">
        <w:rPr>
          <w:rFonts w:asciiTheme="minorHAnsi" w:eastAsiaTheme="minorHAnsi" w:hAnsiTheme="minorHAnsi"/>
          <w:sz w:val="24"/>
          <w:szCs w:val="24"/>
          <w:lang w:eastAsia="en-US"/>
        </w:rPr>
        <w:t>.</w:t>
      </w:r>
      <w:r w:rsidR="00C16721" w:rsidRPr="00D45CDF">
        <w:rPr>
          <w:rStyle w:val="FootnoteReference"/>
          <w:rFonts w:asciiTheme="minorHAnsi" w:eastAsiaTheme="minorHAnsi" w:hAnsiTheme="minorHAnsi"/>
          <w:sz w:val="24"/>
          <w:szCs w:val="24"/>
          <w:lang w:eastAsia="en-US"/>
        </w:rPr>
        <w:footnoteReference w:id="62"/>
      </w:r>
      <w:r w:rsidR="00977268" w:rsidRPr="00D45CDF">
        <w:rPr>
          <w:rFonts w:asciiTheme="minorHAnsi" w:eastAsiaTheme="minorHAnsi" w:hAnsiTheme="minorHAnsi"/>
          <w:sz w:val="24"/>
          <w:szCs w:val="24"/>
          <w:lang w:eastAsia="en-US"/>
        </w:rPr>
        <w:t xml:space="preserve"> For example, </w:t>
      </w:r>
      <w:r w:rsidR="006325ED">
        <w:rPr>
          <w:rFonts w:asciiTheme="minorHAnsi" w:eastAsiaTheme="minorHAnsi" w:hAnsiTheme="minorHAnsi"/>
          <w:sz w:val="24"/>
          <w:szCs w:val="24"/>
          <w:lang w:eastAsia="en-US"/>
        </w:rPr>
        <w:t xml:space="preserve">pre-Brexit </w:t>
      </w:r>
      <w:r w:rsidR="00977268" w:rsidRPr="00D45CDF">
        <w:rPr>
          <w:rFonts w:asciiTheme="minorHAnsi" w:eastAsiaTheme="minorHAnsi" w:hAnsiTheme="minorHAnsi"/>
          <w:sz w:val="24"/>
          <w:szCs w:val="24"/>
          <w:lang w:eastAsia="en-US"/>
        </w:rPr>
        <w:t xml:space="preserve">an English solicitor </w:t>
      </w:r>
      <w:r w:rsidR="006325ED">
        <w:rPr>
          <w:rFonts w:asciiTheme="minorHAnsi" w:eastAsiaTheme="minorHAnsi" w:hAnsiTheme="minorHAnsi"/>
          <w:sz w:val="24"/>
          <w:szCs w:val="24"/>
          <w:lang w:eastAsia="en-US"/>
        </w:rPr>
        <w:t xml:space="preserve">was able to </w:t>
      </w:r>
      <w:r w:rsidR="00977268" w:rsidRPr="00D45CDF">
        <w:rPr>
          <w:rFonts w:asciiTheme="minorHAnsi" w:eastAsiaTheme="minorHAnsi" w:hAnsiTheme="minorHAnsi"/>
          <w:sz w:val="24"/>
          <w:szCs w:val="24"/>
          <w:lang w:eastAsia="en-US"/>
        </w:rPr>
        <w:t xml:space="preserve">open a practice in France and, using their home professional title of solicitor, give legal advice on </w:t>
      </w:r>
      <w:r w:rsidR="008E1778" w:rsidRPr="00D45CDF">
        <w:rPr>
          <w:rFonts w:asciiTheme="minorHAnsi" w:eastAsiaTheme="minorHAnsi" w:hAnsiTheme="minorHAnsi"/>
          <w:sz w:val="24"/>
          <w:szCs w:val="24"/>
          <w:lang w:eastAsia="en-US"/>
        </w:rPr>
        <w:t xml:space="preserve">most areas of </w:t>
      </w:r>
      <w:r w:rsidR="00977268" w:rsidRPr="00D45CDF">
        <w:rPr>
          <w:rFonts w:asciiTheme="minorHAnsi" w:eastAsiaTheme="minorHAnsi" w:hAnsiTheme="minorHAnsi"/>
          <w:sz w:val="24"/>
          <w:szCs w:val="24"/>
          <w:lang w:eastAsia="en-US"/>
        </w:rPr>
        <w:t>English law, French law</w:t>
      </w:r>
      <w:r w:rsidR="0097472B" w:rsidRPr="00D45CDF">
        <w:rPr>
          <w:rFonts w:asciiTheme="minorHAnsi" w:eastAsiaTheme="minorHAnsi" w:hAnsiTheme="minorHAnsi"/>
          <w:sz w:val="24"/>
          <w:szCs w:val="24"/>
          <w:lang w:eastAsia="en-US"/>
        </w:rPr>
        <w:t>,</w:t>
      </w:r>
      <w:r w:rsidR="00977268" w:rsidRPr="00D45CDF">
        <w:rPr>
          <w:rFonts w:asciiTheme="minorHAnsi" w:eastAsiaTheme="minorHAnsi" w:hAnsiTheme="minorHAnsi"/>
          <w:sz w:val="24"/>
          <w:szCs w:val="24"/>
          <w:lang w:eastAsia="en-US"/>
        </w:rPr>
        <w:t xml:space="preserve"> European law</w:t>
      </w:r>
      <w:r w:rsidR="0097472B" w:rsidRPr="00D45CDF">
        <w:rPr>
          <w:rFonts w:asciiTheme="minorHAnsi" w:eastAsiaTheme="minorHAnsi" w:hAnsiTheme="minorHAnsi"/>
          <w:sz w:val="24"/>
          <w:szCs w:val="24"/>
          <w:lang w:eastAsia="en-US"/>
        </w:rPr>
        <w:t xml:space="preserve"> and international law</w:t>
      </w:r>
      <w:r w:rsidR="00977268" w:rsidRPr="00D45CDF">
        <w:rPr>
          <w:rFonts w:asciiTheme="minorHAnsi" w:eastAsiaTheme="minorHAnsi" w:hAnsiTheme="minorHAnsi"/>
          <w:sz w:val="24"/>
          <w:szCs w:val="24"/>
          <w:lang w:eastAsia="en-US"/>
        </w:rPr>
        <w:t>.</w:t>
      </w:r>
      <w:r w:rsidR="00A226E9" w:rsidRPr="00D45CDF">
        <w:rPr>
          <w:rFonts w:asciiTheme="minorHAnsi" w:eastAsiaTheme="minorHAnsi" w:hAnsiTheme="minorHAnsi"/>
          <w:sz w:val="24"/>
          <w:szCs w:val="24"/>
          <w:lang w:eastAsia="en-US"/>
        </w:rPr>
        <w:t xml:space="preserve"> </w:t>
      </w:r>
      <w:r w:rsidR="00801800" w:rsidRPr="00D45CDF">
        <w:rPr>
          <w:rFonts w:asciiTheme="minorHAnsi" w:eastAsiaTheme="minorHAnsi" w:hAnsiTheme="minorHAnsi"/>
          <w:sz w:val="24"/>
          <w:szCs w:val="24"/>
          <w:lang w:eastAsia="en-US"/>
        </w:rPr>
        <w:t xml:space="preserve">The second possibility is to apply for admission to the local law society or </w:t>
      </w:r>
      <w:r w:rsidR="008E1778" w:rsidRPr="00D45CDF">
        <w:rPr>
          <w:rFonts w:asciiTheme="minorHAnsi" w:eastAsiaTheme="minorHAnsi" w:hAnsiTheme="minorHAnsi"/>
          <w:sz w:val="24"/>
          <w:szCs w:val="24"/>
          <w:lang w:eastAsia="en-US"/>
        </w:rPr>
        <w:t>B</w:t>
      </w:r>
      <w:r w:rsidR="006325ED">
        <w:rPr>
          <w:rFonts w:asciiTheme="minorHAnsi" w:eastAsiaTheme="minorHAnsi" w:hAnsiTheme="minorHAnsi"/>
          <w:sz w:val="24"/>
          <w:szCs w:val="24"/>
          <w:lang w:eastAsia="en-US"/>
        </w:rPr>
        <w:t>ar A</w:t>
      </w:r>
      <w:r w:rsidR="00801800" w:rsidRPr="00D45CDF">
        <w:rPr>
          <w:rFonts w:asciiTheme="minorHAnsi" w:eastAsiaTheme="minorHAnsi" w:hAnsiTheme="minorHAnsi"/>
          <w:sz w:val="24"/>
          <w:szCs w:val="24"/>
          <w:lang w:eastAsia="en-US"/>
        </w:rPr>
        <w:t>ssociation</w:t>
      </w:r>
      <w:r w:rsidR="0097472B" w:rsidRPr="00D45CDF">
        <w:rPr>
          <w:rFonts w:asciiTheme="minorHAnsi" w:eastAsiaTheme="minorHAnsi" w:hAnsiTheme="minorHAnsi"/>
          <w:sz w:val="24"/>
          <w:szCs w:val="24"/>
          <w:lang w:eastAsia="en-US"/>
        </w:rPr>
        <w:t xml:space="preserve"> of the host state</w:t>
      </w:r>
      <w:r w:rsidR="00801800" w:rsidRPr="00D45CDF">
        <w:rPr>
          <w:rFonts w:asciiTheme="minorHAnsi" w:eastAsiaTheme="minorHAnsi" w:hAnsiTheme="minorHAnsi"/>
          <w:sz w:val="24"/>
          <w:szCs w:val="24"/>
          <w:lang w:eastAsia="en-US"/>
        </w:rPr>
        <w:t xml:space="preserve"> after three years of </w:t>
      </w:r>
      <w:r w:rsidR="008A1986" w:rsidRPr="00D45CDF">
        <w:rPr>
          <w:rFonts w:asciiTheme="minorHAnsi" w:eastAsiaTheme="minorHAnsi" w:hAnsiTheme="minorHAnsi"/>
          <w:sz w:val="24"/>
          <w:szCs w:val="24"/>
          <w:lang w:eastAsia="en-US"/>
        </w:rPr>
        <w:lastRenderedPageBreak/>
        <w:t xml:space="preserve">effective and uninterrupted </w:t>
      </w:r>
      <w:r w:rsidR="00801800" w:rsidRPr="00D45CDF">
        <w:rPr>
          <w:rFonts w:asciiTheme="minorHAnsi" w:eastAsiaTheme="minorHAnsi" w:hAnsiTheme="minorHAnsi"/>
          <w:sz w:val="24"/>
          <w:szCs w:val="24"/>
          <w:lang w:eastAsia="en-US"/>
        </w:rPr>
        <w:t xml:space="preserve">practice </w:t>
      </w:r>
      <w:r w:rsidR="00A3717E" w:rsidRPr="00D45CDF">
        <w:rPr>
          <w:rFonts w:asciiTheme="minorHAnsi" w:eastAsiaTheme="minorHAnsi" w:hAnsiTheme="minorHAnsi"/>
          <w:sz w:val="24"/>
          <w:szCs w:val="24"/>
          <w:lang w:eastAsia="en-US"/>
        </w:rPr>
        <w:t>in the host state</w:t>
      </w:r>
      <w:r w:rsidR="0097472B" w:rsidRPr="00D45CDF">
        <w:rPr>
          <w:rFonts w:asciiTheme="minorHAnsi" w:eastAsiaTheme="minorHAnsi" w:hAnsiTheme="minorHAnsi"/>
          <w:sz w:val="24"/>
          <w:szCs w:val="24"/>
          <w:lang w:eastAsia="en-US"/>
        </w:rPr>
        <w:t>, essentially becoming a host state lawyer</w:t>
      </w:r>
      <w:r w:rsidR="00801800" w:rsidRPr="00D45CDF">
        <w:rPr>
          <w:rFonts w:asciiTheme="minorHAnsi" w:eastAsiaTheme="minorHAnsi" w:hAnsiTheme="minorHAnsi"/>
          <w:sz w:val="24"/>
          <w:szCs w:val="24"/>
          <w:lang w:eastAsia="en-US"/>
        </w:rPr>
        <w:t xml:space="preserve">, without the need to sit </w:t>
      </w:r>
      <w:r w:rsidR="008E1778" w:rsidRPr="00D45CDF">
        <w:rPr>
          <w:rFonts w:asciiTheme="minorHAnsi" w:eastAsiaTheme="minorHAnsi" w:hAnsiTheme="minorHAnsi"/>
          <w:sz w:val="24"/>
          <w:szCs w:val="24"/>
          <w:lang w:eastAsia="en-US"/>
        </w:rPr>
        <w:t>the</w:t>
      </w:r>
      <w:r w:rsidR="00801800" w:rsidRPr="00D45CDF">
        <w:rPr>
          <w:rFonts w:asciiTheme="minorHAnsi" w:eastAsiaTheme="minorHAnsi" w:hAnsiTheme="minorHAnsi"/>
          <w:sz w:val="24"/>
          <w:szCs w:val="24"/>
          <w:lang w:eastAsia="en-US"/>
        </w:rPr>
        <w:t xml:space="preserve"> formal </w:t>
      </w:r>
      <w:r w:rsidR="00E36191" w:rsidRPr="00D45CDF">
        <w:rPr>
          <w:rFonts w:asciiTheme="minorHAnsi" w:eastAsiaTheme="minorHAnsi" w:hAnsiTheme="minorHAnsi"/>
          <w:sz w:val="24"/>
          <w:szCs w:val="24"/>
          <w:lang w:eastAsia="en-US"/>
        </w:rPr>
        <w:t>examination</w:t>
      </w:r>
      <w:r w:rsidR="008E1778" w:rsidRPr="00D45CDF">
        <w:rPr>
          <w:rFonts w:asciiTheme="minorHAnsi" w:eastAsiaTheme="minorHAnsi" w:hAnsiTheme="minorHAnsi"/>
          <w:sz w:val="24"/>
          <w:szCs w:val="24"/>
          <w:lang w:eastAsia="en-US"/>
        </w:rPr>
        <w:t>s passed by host state lawyers</w:t>
      </w:r>
      <w:r w:rsidR="00801800" w:rsidRPr="00D45CDF">
        <w:rPr>
          <w:rFonts w:asciiTheme="minorHAnsi" w:eastAsiaTheme="minorHAnsi" w:hAnsiTheme="minorHAnsi"/>
          <w:sz w:val="24"/>
          <w:szCs w:val="24"/>
          <w:lang w:eastAsia="en-US"/>
        </w:rPr>
        <w:t>.</w:t>
      </w:r>
      <w:r w:rsidR="00052F9D" w:rsidRPr="00D45CDF">
        <w:rPr>
          <w:rStyle w:val="FootnoteReference"/>
          <w:rFonts w:asciiTheme="minorHAnsi" w:eastAsiaTheme="minorHAnsi" w:hAnsiTheme="minorHAnsi"/>
          <w:sz w:val="24"/>
          <w:szCs w:val="24"/>
          <w:lang w:eastAsia="en-US"/>
        </w:rPr>
        <w:footnoteReference w:id="63"/>
      </w:r>
      <w:r w:rsidR="00801800" w:rsidRPr="00D45CDF">
        <w:rPr>
          <w:rFonts w:asciiTheme="minorHAnsi" w:eastAsiaTheme="minorHAnsi" w:hAnsiTheme="minorHAnsi"/>
          <w:sz w:val="24"/>
          <w:szCs w:val="24"/>
          <w:lang w:eastAsia="en-US"/>
        </w:rPr>
        <w:t xml:space="preserve"> </w:t>
      </w:r>
      <w:r w:rsidR="008A1986" w:rsidRPr="00D45CDF">
        <w:rPr>
          <w:rFonts w:asciiTheme="minorHAnsi" w:eastAsiaTheme="minorHAnsi" w:hAnsiTheme="minorHAnsi"/>
          <w:sz w:val="24"/>
          <w:szCs w:val="24"/>
          <w:lang w:eastAsia="en-US"/>
        </w:rPr>
        <w:t>In this case, there will be no restrictions on area</w:t>
      </w:r>
      <w:r w:rsidR="00676125" w:rsidRPr="00D45CDF">
        <w:rPr>
          <w:rFonts w:asciiTheme="minorHAnsi" w:eastAsiaTheme="minorHAnsi" w:hAnsiTheme="minorHAnsi"/>
          <w:sz w:val="24"/>
          <w:szCs w:val="24"/>
          <w:lang w:eastAsia="en-US"/>
        </w:rPr>
        <w:t>s</w:t>
      </w:r>
      <w:r w:rsidR="008A1986" w:rsidRPr="00D45CDF">
        <w:rPr>
          <w:rFonts w:asciiTheme="minorHAnsi" w:eastAsiaTheme="minorHAnsi" w:hAnsiTheme="minorHAnsi"/>
          <w:sz w:val="24"/>
          <w:szCs w:val="24"/>
          <w:lang w:eastAsia="en-US"/>
        </w:rPr>
        <w:t xml:space="preserve"> of practice</w:t>
      </w:r>
      <w:r w:rsidR="00676125" w:rsidRPr="00D45CDF">
        <w:rPr>
          <w:rFonts w:asciiTheme="minorHAnsi" w:eastAsiaTheme="minorHAnsi" w:hAnsiTheme="minorHAnsi"/>
          <w:sz w:val="24"/>
          <w:szCs w:val="24"/>
          <w:lang w:eastAsia="en-US"/>
        </w:rPr>
        <w:t>,</w:t>
      </w:r>
      <w:r w:rsidR="008A1986" w:rsidRPr="00D45CDF">
        <w:rPr>
          <w:rStyle w:val="FootnoteReference"/>
          <w:rFonts w:asciiTheme="minorHAnsi" w:eastAsiaTheme="minorHAnsi" w:hAnsiTheme="minorHAnsi"/>
          <w:sz w:val="24"/>
          <w:szCs w:val="24"/>
          <w:lang w:eastAsia="en-US"/>
        </w:rPr>
        <w:footnoteReference w:id="64"/>
      </w:r>
      <w:r w:rsidR="008A1986" w:rsidRPr="00D45CDF">
        <w:rPr>
          <w:rFonts w:asciiTheme="minorHAnsi" w:eastAsiaTheme="minorHAnsi" w:hAnsiTheme="minorHAnsi"/>
          <w:sz w:val="24"/>
          <w:szCs w:val="24"/>
          <w:lang w:eastAsia="en-US"/>
        </w:rPr>
        <w:t xml:space="preserve"> </w:t>
      </w:r>
      <w:r w:rsidR="00676125" w:rsidRPr="00D45CDF">
        <w:rPr>
          <w:rFonts w:asciiTheme="minorHAnsi" w:eastAsiaTheme="minorHAnsi" w:hAnsiTheme="minorHAnsi"/>
          <w:sz w:val="24"/>
          <w:szCs w:val="24"/>
          <w:lang w:eastAsia="en-US"/>
        </w:rPr>
        <w:t>which</w:t>
      </w:r>
      <w:r w:rsidR="004460D8" w:rsidRPr="00D45CDF">
        <w:rPr>
          <w:rFonts w:asciiTheme="minorHAnsi" w:eastAsiaTheme="minorHAnsi" w:hAnsiTheme="minorHAnsi"/>
          <w:sz w:val="24"/>
          <w:szCs w:val="24"/>
          <w:lang w:eastAsia="en-US"/>
        </w:rPr>
        <w:t xml:space="preserve"> has caused concern that migrant lawyers may not have adequate knowledge of the law of their new host state. However, </w:t>
      </w:r>
      <w:r w:rsidR="003F103E" w:rsidRPr="00D45CDF">
        <w:rPr>
          <w:rFonts w:asciiTheme="minorHAnsi" w:eastAsiaTheme="minorHAnsi" w:hAnsiTheme="minorHAnsi"/>
          <w:sz w:val="24"/>
          <w:szCs w:val="24"/>
          <w:lang w:eastAsia="en-US"/>
        </w:rPr>
        <w:t xml:space="preserve">an element of control exists in so far as </w:t>
      </w:r>
      <w:r w:rsidR="004460D8" w:rsidRPr="00D45CDF">
        <w:rPr>
          <w:rFonts w:asciiTheme="minorHAnsi" w:eastAsiaTheme="minorHAnsi" w:hAnsiTheme="minorHAnsi"/>
          <w:sz w:val="24"/>
          <w:szCs w:val="24"/>
          <w:lang w:eastAsia="en-US"/>
        </w:rPr>
        <w:t xml:space="preserve">lawyers are bound by codes of conduct, </w:t>
      </w:r>
      <w:r w:rsidR="00762AFE" w:rsidRPr="00D45CDF">
        <w:rPr>
          <w:rFonts w:asciiTheme="minorHAnsi" w:eastAsiaTheme="minorHAnsi" w:hAnsiTheme="minorHAnsi"/>
          <w:sz w:val="24"/>
          <w:szCs w:val="24"/>
          <w:lang w:eastAsia="en-US"/>
        </w:rPr>
        <w:t xml:space="preserve">of both home and host state, </w:t>
      </w:r>
      <w:r w:rsidR="004460D8" w:rsidRPr="00D45CDF">
        <w:rPr>
          <w:rFonts w:asciiTheme="minorHAnsi" w:eastAsiaTheme="minorHAnsi" w:hAnsiTheme="minorHAnsi"/>
          <w:sz w:val="24"/>
          <w:szCs w:val="24"/>
          <w:lang w:eastAsia="en-US"/>
        </w:rPr>
        <w:t>and will potentially face disciplinary action by their professional bodies if they accept instructions outside their range of competence.</w:t>
      </w:r>
      <w:r w:rsidR="004460D8" w:rsidRPr="00D45CDF">
        <w:rPr>
          <w:rStyle w:val="FootnoteReference"/>
          <w:rFonts w:asciiTheme="minorHAnsi" w:eastAsiaTheme="minorHAnsi" w:hAnsiTheme="minorHAnsi"/>
          <w:sz w:val="24"/>
          <w:szCs w:val="24"/>
          <w:lang w:eastAsia="en-US"/>
        </w:rPr>
        <w:footnoteReference w:id="65"/>
      </w:r>
      <w:r w:rsidR="00A66AD1" w:rsidRPr="00D45CDF">
        <w:rPr>
          <w:rFonts w:asciiTheme="minorHAnsi" w:eastAsiaTheme="minorHAnsi" w:hAnsiTheme="minorHAnsi"/>
          <w:sz w:val="24"/>
          <w:szCs w:val="24"/>
          <w:lang w:eastAsia="en-US"/>
        </w:rPr>
        <w:t xml:space="preserve"> This issue was raised by Luxembourg</w:t>
      </w:r>
      <w:r w:rsidR="00A66AD1" w:rsidRPr="00D45CDF">
        <w:rPr>
          <w:rFonts w:asciiTheme="minorHAnsi" w:hAnsiTheme="minorHAnsi"/>
          <w:sz w:val="24"/>
          <w:szCs w:val="24"/>
        </w:rPr>
        <w:t>, but the court ruled:</w:t>
      </w:r>
    </w:p>
    <w:p w14:paraId="259F5EBE" w14:textId="77777777" w:rsidR="00A66AD1" w:rsidRPr="00D45CDF" w:rsidRDefault="004F28D8" w:rsidP="00197A40">
      <w:pPr>
        <w:autoSpaceDE w:val="0"/>
        <w:autoSpaceDN w:val="0"/>
        <w:adjustRightInd w:val="0"/>
        <w:spacing w:line="240" w:lineRule="auto"/>
        <w:ind w:left="720"/>
        <w:jc w:val="both"/>
        <w:rPr>
          <w:rFonts w:asciiTheme="minorHAnsi" w:eastAsiaTheme="minorHAnsi" w:hAnsiTheme="minorHAnsi"/>
          <w:sz w:val="24"/>
          <w:szCs w:val="24"/>
          <w:lang w:eastAsia="en-US"/>
        </w:rPr>
      </w:pPr>
      <w:r w:rsidRPr="00D45CDF">
        <w:rPr>
          <w:rFonts w:asciiTheme="minorHAnsi" w:hAnsiTheme="minorHAnsi"/>
          <w:sz w:val="24"/>
          <w:szCs w:val="24"/>
        </w:rPr>
        <w:t xml:space="preserve">It would therefore seem that the Community legislature, with a view to making it easier for a particular class of migrant lawyers to exercise the fundamental freedom of establishment, has chosen, in preference to a system of </w:t>
      </w:r>
      <w:r w:rsidRPr="00D45CDF">
        <w:rPr>
          <w:rFonts w:asciiTheme="minorHAnsi" w:hAnsiTheme="minorHAnsi"/>
          <w:i/>
          <w:iCs/>
          <w:sz w:val="24"/>
          <w:szCs w:val="24"/>
        </w:rPr>
        <w:t>a priori</w:t>
      </w:r>
      <w:r w:rsidRPr="00D45CDF">
        <w:rPr>
          <w:rFonts w:asciiTheme="minorHAnsi" w:hAnsiTheme="minorHAnsi"/>
          <w:sz w:val="24"/>
          <w:szCs w:val="24"/>
        </w:rPr>
        <w:t xml:space="preserve"> testing of qualification in the national law of the host Member State, a plan of action combining consumer information, restrictions on the extent to which or the detailed rules under which certain activities of the profession may be practised, a number of applicable rules of professional conduct, compulsory insurance, as well as a system of discipline involving both the competent authorities of the home Member State and the host State. The legislature has not abolished the requirement that the lawyer concerned should know the national law applicable in the cases he handles, but has simply released him from the obligation to prove that knowledge in advance. It has thus allowed, in some circumstances, gradual assimilation of knowledge through practice, that assimilation being made easier by experience of other laws gained in the home Member State. It was also able to take account of the dissuasive effect of the system of discipline and the rules of professional liability.</w:t>
      </w:r>
      <w:r w:rsidR="00A66AD1" w:rsidRPr="00D45CDF">
        <w:rPr>
          <w:rStyle w:val="FootnoteReference"/>
          <w:rFonts w:asciiTheme="minorHAnsi" w:hAnsiTheme="minorHAnsi"/>
          <w:sz w:val="24"/>
          <w:szCs w:val="24"/>
        </w:rPr>
        <w:footnoteReference w:id="66"/>
      </w:r>
    </w:p>
    <w:p w14:paraId="6E027171" w14:textId="77777777" w:rsidR="003E771F" w:rsidRPr="00D45CDF" w:rsidRDefault="00942FFB" w:rsidP="00197A40">
      <w:pPr>
        <w:autoSpaceDE w:val="0"/>
        <w:autoSpaceDN w:val="0"/>
        <w:adjustRightInd w:val="0"/>
        <w:spacing w:line="240" w:lineRule="auto"/>
        <w:jc w:val="both"/>
        <w:rPr>
          <w:rFonts w:asciiTheme="minorHAnsi" w:eastAsiaTheme="minorHAnsi" w:hAnsiTheme="minorHAnsi"/>
          <w:sz w:val="24"/>
          <w:szCs w:val="24"/>
          <w:lang w:eastAsia="en-US"/>
        </w:rPr>
      </w:pPr>
      <w:r w:rsidRPr="00D45CDF">
        <w:rPr>
          <w:rFonts w:asciiTheme="minorHAnsi" w:eastAsiaTheme="minorHAnsi" w:hAnsiTheme="minorHAnsi"/>
          <w:sz w:val="24"/>
          <w:szCs w:val="24"/>
          <w:lang w:eastAsia="en-US"/>
        </w:rPr>
        <w:t>More r</w:t>
      </w:r>
      <w:r w:rsidR="00BD5F0C" w:rsidRPr="00D45CDF">
        <w:rPr>
          <w:rFonts w:asciiTheme="minorHAnsi" w:eastAsiaTheme="minorHAnsi" w:hAnsiTheme="minorHAnsi"/>
          <w:sz w:val="24"/>
          <w:szCs w:val="24"/>
          <w:lang w:eastAsia="en-US"/>
        </w:rPr>
        <w:t xml:space="preserve">ecent case law demonstrates that </w:t>
      </w:r>
      <w:r w:rsidR="00FE7B02" w:rsidRPr="00D45CDF">
        <w:rPr>
          <w:rFonts w:asciiTheme="minorHAnsi" w:eastAsiaTheme="minorHAnsi" w:hAnsiTheme="minorHAnsi"/>
          <w:sz w:val="24"/>
          <w:szCs w:val="24"/>
          <w:lang w:eastAsia="en-US"/>
        </w:rPr>
        <w:t xml:space="preserve">trainee </w:t>
      </w:r>
      <w:r w:rsidR="009D3E25" w:rsidRPr="00D45CDF">
        <w:rPr>
          <w:rFonts w:asciiTheme="minorHAnsi" w:eastAsiaTheme="minorHAnsi" w:hAnsiTheme="minorHAnsi"/>
          <w:sz w:val="24"/>
          <w:szCs w:val="24"/>
          <w:lang w:eastAsia="en-US"/>
        </w:rPr>
        <w:t xml:space="preserve">lawyers </w:t>
      </w:r>
      <w:r w:rsidR="00FE7B02" w:rsidRPr="00D45CDF">
        <w:rPr>
          <w:rFonts w:asciiTheme="minorHAnsi" w:eastAsiaTheme="minorHAnsi" w:hAnsiTheme="minorHAnsi"/>
          <w:sz w:val="24"/>
          <w:szCs w:val="24"/>
          <w:lang w:eastAsia="en-US"/>
        </w:rPr>
        <w:t xml:space="preserve">who have not yet completed </w:t>
      </w:r>
      <w:r w:rsidR="009D3E25" w:rsidRPr="00D45CDF">
        <w:rPr>
          <w:rFonts w:asciiTheme="minorHAnsi" w:eastAsiaTheme="minorHAnsi" w:hAnsiTheme="minorHAnsi"/>
          <w:sz w:val="24"/>
          <w:szCs w:val="24"/>
          <w:lang w:eastAsia="en-US"/>
        </w:rPr>
        <w:t>their training</w:t>
      </w:r>
      <w:r w:rsidR="00BD5F0C" w:rsidRPr="00D45CDF">
        <w:rPr>
          <w:rFonts w:asciiTheme="minorHAnsi" w:eastAsiaTheme="minorHAnsi" w:hAnsiTheme="minorHAnsi"/>
          <w:sz w:val="24"/>
          <w:szCs w:val="24"/>
          <w:lang w:eastAsia="en-US"/>
        </w:rPr>
        <w:t xml:space="preserve"> </w:t>
      </w:r>
      <w:r w:rsidR="00A756F6" w:rsidRPr="00D45CDF">
        <w:rPr>
          <w:rFonts w:asciiTheme="minorHAnsi" w:eastAsiaTheme="minorHAnsi" w:hAnsiTheme="minorHAnsi"/>
          <w:sz w:val="24"/>
          <w:szCs w:val="24"/>
          <w:lang w:eastAsia="en-US"/>
        </w:rPr>
        <w:t xml:space="preserve">also possess free movement rights </w:t>
      </w:r>
      <w:r w:rsidR="00FB40F2" w:rsidRPr="00D45CDF">
        <w:rPr>
          <w:rFonts w:asciiTheme="minorHAnsi" w:eastAsiaTheme="minorHAnsi" w:hAnsiTheme="minorHAnsi"/>
          <w:sz w:val="24"/>
          <w:szCs w:val="24"/>
          <w:lang w:eastAsia="en-US"/>
        </w:rPr>
        <w:t>with regard to their qualification process</w:t>
      </w:r>
      <w:r w:rsidR="00CB60C9" w:rsidRPr="00D45CDF">
        <w:rPr>
          <w:rFonts w:asciiTheme="minorHAnsi" w:eastAsiaTheme="minorHAnsi" w:hAnsiTheme="minorHAnsi"/>
          <w:sz w:val="24"/>
          <w:szCs w:val="24"/>
          <w:lang w:eastAsia="en-US"/>
        </w:rPr>
        <w:t>,</w:t>
      </w:r>
      <w:r w:rsidR="00FB40F2" w:rsidRPr="00D45CDF">
        <w:rPr>
          <w:rFonts w:asciiTheme="minorHAnsi" w:eastAsiaTheme="minorHAnsi" w:hAnsiTheme="minorHAnsi"/>
          <w:sz w:val="24"/>
          <w:szCs w:val="24"/>
          <w:lang w:eastAsia="en-US"/>
        </w:rPr>
        <w:t xml:space="preserve"> </w:t>
      </w:r>
      <w:r w:rsidR="00A756F6" w:rsidRPr="00D45CDF">
        <w:rPr>
          <w:rFonts w:asciiTheme="minorHAnsi" w:eastAsiaTheme="minorHAnsi" w:hAnsiTheme="minorHAnsi"/>
          <w:sz w:val="24"/>
          <w:szCs w:val="24"/>
          <w:lang w:eastAsia="en-US"/>
        </w:rPr>
        <w:t>which must be respected. T</w:t>
      </w:r>
      <w:r w:rsidR="003846BD" w:rsidRPr="00D45CDF">
        <w:rPr>
          <w:rFonts w:asciiTheme="minorHAnsi" w:eastAsiaTheme="minorHAnsi" w:hAnsiTheme="minorHAnsi"/>
          <w:sz w:val="24"/>
          <w:szCs w:val="24"/>
          <w:lang w:eastAsia="en-US"/>
        </w:rPr>
        <w:t xml:space="preserve">he case of </w:t>
      </w:r>
      <w:proofErr w:type="spellStart"/>
      <w:r w:rsidR="003846BD" w:rsidRPr="00D45CDF">
        <w:rPr>
          <w:rFonts w:asciiTheme="minorHAnsi" w:eastAsiaTheme="minorHAnsi" w:hAnsiTheme="minorHAnsi"/>
          <w:i/>
          <w:iCs/>
          <w:sz w:val="24"/>
          <w:szCs w:val="24"/>
          <w:lang w:eastAsia="en-US"/>
        </w:rPr>
        <w:t>M</w:t>
      </w:r>
      <w:r w:rsidR="00CC4DC4" w:rsidRPr="00D45CDF">
        <w:rPr>
          <w:rFonts w:asciiTheme="minorHAnsi" w:eastAsiaTheme="minorHAnsi" w:hAnsiTheme="minorHAnsi"/>
          <w:i/>
          <w:iCs/>
          <w:sz w:val="24"/>
          <w:szCs w:val="24"/>
          <w:lang w:eastAsia="en-US"/>
        </w:rPr>
        <w:t>orgenbesser</w:t>
      </w:r>
      <w:proofErr w:type="spellEnd"/>
      <w:r w:rsidR="003846BD" w:rsidRPr="00D45CDF">
        <w:rPr>
          <w:rStyle w:val="FootnoteReference"/>
          <w:rFonts w:asciiTheme="minorHAnsi" w:eastAsiaTheme="minorHAnsi" w:hAnsiTheme="minorHAnsi"/>
          <w:sz w:val="24"/>
          <w:szCs w:val="24"/>
          <w:lang w:eastAsia="en-US"/>
        </w:rPr>
        <w:footnoteReference w:id="67"/>
      </w:r>
      <w:r w:rsidR="00243ED0" w:rsidRPr="00D45CDF">
        <w:rPr>
          <w:rFonts w:asciiTheme="minorHAnsi" w:eastAsiaTheme="minorHAnsi" w:hAnsiTheme="minorHAnsi"/>
          <w:sz w:val="24"/>
          <w:szCs w:val="24"/>
          <w:lang w:eastAsia="en-US"/>
        </w:rPr>
        <w:t xml:space="preserve"> concern</w:t>
      </w:r>
      <w:r w:rsidR="00A756F6" w:rsidRPr="00D45CDF">
        <w:rPr>
          <w:rFonts w:asciiTheme="minorHAnsi" w:eastAsiaTheme="minorHAnsi" w:hAnsiTheme="minorHAnsi"/>
          <w:sz w:val="24"/>
          <w:szCs w:val="24"/>
          <w:lang w:eastAsia="en-US"/>
        </w:rPr>
        <w:t>s</w:t>
      </w:r>
      <w:r w:rsidR="00243ED0" w:rsidRPr="00D45CDF">
        <w:rPr>
          <w:rFonts w:asciiTheme="minorHAnsi" w:eastAsiaTheme="minorHAnsi" w:hAnsiTheme="minorHAnsi"/>
          <w:sz w:val="24"/>
          <w:szCs w:val="24"/>
          <w:lang w:eastAsia="en-US"/>
        </w:rPr>
        <w:t xml:space="preserve"> a French national, holding a French </w:t>
      </w:r>
      <w:proofErr w:type="spellStart"/>
      <w:r w:rsidR="00243ED0" w:rsidRPr="00D45CDF">
        <w:rPr>
          <w:rFonts w:asciiTheme="minorHAnsi" w:eastAsiaTheme="minorHAnsi" w:hAnsiTheme="minorHAnsi"/>
          <w:i/>
          <w:iCs/>
          <w:sz w:val="24"/>
          <w:szCs w:val="24"/>
          <w:lang w:eastAsia="en-US"/>
        </w:rPr>
        <w:t>maîtrise</w:t>
      </w:r>
      <w:proofErr w:type="spellEnd"/>
      <w:r w:rsidR="00243ED0" w:rsidRPr="00D45CDF">
        <w:rPr>
          <w:rFonts w:asciiTheme="minorHAnsi" w:eastAsiaTheme="minorHAnsi" w:hAnsiTheme="minorHAnsi"/>
          <w:i/>
          <w:iCs/>
          <w:sz w:val="24"/>
          <w:szCs w:val="24"/>
          <w:lang w:eastAsia="en-US"/>
        </w:rPr>
        <w:t xml:space="preserve"> </w:t>
      </w:r>
      <w:proofErr w:type="spellStart"/>
      <w:r w:rsidR="00243ED0" w:rsidRPr="00D45CDF">
        <w:rPr>
          <w:rFonts w:asciiTheme="minorHAnsi" w:eastAsiaTheme="minorHAnsi" w:hAnsiTheme="minorHAnsi"/>
          <w:i/>
          <w:iCs/>
          <w:sz w:val="24"/>
          <w:szCs w:val="24"/>
          <w:lang w:eastAsia="en-US"/>
        </w:rPr>
        <w:t>en</w:t>
      </w:r>
      <w:proofErr w:type="spellEnd"/>
      <w:r w:rsidR="00243ED0" w:rsidRPr="00D45CDF">
        <w:rPr>
          <w:rFonts w:asciiTheme="minorHAnsi" w:eastAsiaTheme="minorHAnsi" w:hAnsiTheme="minorHAnsi"/>
          <w:i/>
          <w:iCs/>
          <w:sz w:val="24"/>
          <w:szCs w:val="24"/>
          <w:lang w:eastAsia="en-US"/>
        </w:rPr>
        <w:t xml:space="preserve"> droit</w:t>
      </w:r>
      <w:r w:rsidR="00243ED0" w:rsidRPr="00D45CDF">
        <w:rPr>
          <w:rFonts w:asciiTheme="minorHAnsi" w:eastAsiaTheme="minorHAnsi" w:hAnsiTheme="minorHAnsi"/>
          <w:sz w:val="24"/>
          <w:szCs w:val="24"/>
          <w:lang w:eastAsia="en-US"/>
        </w:rPr>
        <w:t xml:space="preserve"> </w:t>
      </w:r>
      <w:r w:rsidR="00ED5DA6" w:rsidRPr="00D45CDF">
        <w:rPr>
          <w:rFonts w:asciiTheme="minorHAnsi" w:eastAsiaTheme="minorHAnsi" w:hAnsiTheme="minorHAnsi"/>
          <w:sz w:val="24"/>
          <w:szCs w:val="24"/>
          <w:lang w:eastAsia="en-US"/>
        </w:rPr>
        <w:t xml:space="preserve">but not qualified as an </w:t>
      </w:r>
      <w:proofErr w:type="spellStart"/>
      <w:r w:rsidR="00ED5DA6" w:rsidRPr="00D45CDF">
        <w:rPr>
          <w:rFonts w:asciiTheme="minorHAnsi" w:eastAsiaTheme="minorHAnsi" w:hAnsiTheme="minorHAnsi"/>
          <w:i/>
          <w:iCs/>
          <w:sz w:val="24"/>
          <w:szCs w:val="24"/>
          <w:lang w:eastAsia="en-US"/>
        </w:rPr>
        <w:t>avocate</w:t>
      </w:r>
      <w:proofErr w:type="spellEnd"/>
      <w:r w:rsidR="00ED5DA6" w:rsidRPr="00D45CDF">
        <w:rPr>
          <w:rFonts w:asciiTheme="minorHAnsi" w:eastAsiaTheme="minorHAnsi" w:hAnsiTheme="minorHAnsi"/>
          <w:sz w:val="24"/>
          <w:szCs w:val="24"/>
          <w:lang w:eastAsia="en-US"/>
        </w:rPr>
        <w:t xml:space="preserve"> in France. She </w:t>
      </w:r>
      <w:r w:rsidR="00243ED0" w:rsidRPr="00D45CDF">
        <w:rPr>
          <w:rFonts w:asciiTheme="minorHAnsi" w:eastAsiaTheme="minorHAnsi" w:hAnsiTheme="minorHAnsi"/>
          <w:sz w:val="24"/>
          <w:szCs w:val="24"/>
          <w:lang w:eastAsia="en-US"/>
        </w:rPr>
        <w:t>had carri</w:t>
      </w:r>
      <w:r w:rsidR="009D3E25" w:rsidRPr="00D45CDF">
        <w:rPr>
          <w:rFonts w:asciiTheme="minorHAnsi" w:eastAsiaTheme="minorHAnsi" w:hAnsiTheme="minorHAnsi"/>
          <w:sz w:val="24"/>
          <w:szCs w:val="24"/>
          <w:lang w:eastAsia="en-US"/>
        </w:rPr>
        <w:t>ed</w:t>
      </w:r>
      <w:r w:rsidR="00243ED0" w:rsidRPr="00D45CDF">
        <w:rPr>
          <w:rFonts w:asciiTheme="minorHAnsi" w:eastAsiaTheme="minorHAnsi" w:hAnsiTheme="minorHAnsi"/>
          <w:sz w:val="24"/>
          <w:szCs w:val="24"/>
          <w:lang w:eastAsia="en-US"/>
        </w:rPr>
        <w:t xml:space="preserve"> out a period of training in Italy, and wished to </w:t>
      </w:r>
      <w:r w:rsidR="00ED5DA6" w:rsidRPr="00D45CDF">
        <w:rPr>
          <w:rFonts w:asciiTheme="minorHAnsi" w:hAnsiTheme="minorHAnsi"/>
          <w:sz w:val="24"/>
          <w:szCs w:val="24"/>
        </w:rPr>
        <w:t xml:space="preserve">apply for enrolment </w:t>
      </w:r>
      <w:r w:rsidR="00CB60C9" w:rsidRPr="00D45CDF">
        <w:rPr>
          <w:rFonts w:asciiTheme="minorHAnsi" w:hAnsiTheme="minorHAnsi"/>
          <w:sz w:val="24"/>
          <w:szCs w:val="24"/>
        </w:rPr>
        <w:t>on</w:t>
      </w:r>
      <w:r w:rsidR="00ED5DA6" w:rsidRPr="00D45CDF">
        <w:rPr>
          <w:rFonts w:asciiTheme="minorHAnsi" w:hAnsiTheme="minorHAnsi"/>
          <w:sz w:val="24"/>
          <w:szCs w:val="24"/>
        </w:rPr>
        <w:t xml:space="preserve"> the register of trainee lawyers in order to com</w:t>
      </w:r>
      <w:r w:rsidR="00C43412" w:rsidRPr="00D45CDF">
        <w:rPr>
          <w:rFonts w:asciiTheme="minorHAnsi" w:hAnsiTheme="minorHAnsi"/>
          <w:sz w:val="24"/>
          <w:szCs w:val="24"/>
        </w:rPr>
        <w:t>plete</w:t>
      </w:r>
      <w:r w:rsidR="00ED5DA6" w:rsidRPr="00D45CDF">
        <w:rPr>
          <w:rFonts w:asciiTheme="minorHAnsi" w:hAnsiTheme="minorHAnsi"/>
          <w:sz w:val="24"/>
          <w:szCs w:val="24"/>
        </w:rPr>
        <w:t xml:space="preserve"> qualification as a </w:t>
      </w:r>
      <w:r w:rsidR="00C43412" w:rsidRPr="00D45CDF">
        <w:rPr>
          <w:rFonts w:asciiTheme="minorHAnsi" w:hAnsiTheme="minorHAnsi"/>
          <w:sz w:val="24"/>
          <w:szCs w:val="24"/>
        </w:rPr>
        <w:t>lawyer</w:t>
      </w:r>
      <w:r w:rsidR="00ED5DA6" w:rsidRPr="00D45CDF">
        <w:rPr>
          <w:rFonts w:asciiTheme="minorHAnsi" w:hAnsiTheme="minorHAnsi"/>
          <w:sz w:val="24"/>
          <w:szCs w:val="24"/>
        </w:rPr>
        <w:t xml:space="preserve"> in Italy. Her application was refused on the grounds that she did not hold an Italian Law degree</w:t>
      </w:r>
      <w:r w:rsidR="007707C7" w:rsidRPr="00D45CDF">
        <w:rPr>
          <w:rFonts w:asciiTheme="minorHAnsi" w:hAnsiTheme="minorHAnsi"/>
          <w:sz w:val="24"/>
          <w:szCs w:val="24"/>
        </w:rPr>
        <w:t>, which was a prerequisite for registration</w:t>
      </w:r>
      <w:r w:rsidR="00083AF5" w:rsidRPr="00D45CDF">
        <w:rPr>
          <w:rFonts w:asciiTheme="minorHAnsi" w:hAnsiTheme="minorHAnsi"/>
          <w:sz w:val="24"/>
          <w:szCs w:val="24"/>
        </w:rPr>
        <w:t xml:space="preserve">. </w:t>
      </w:r>
      <w:proofErr w:type="spellStart"/>
      <w:r w:rsidR="00571DAA" w:rsidRPr="00D45CDF">
        <w:rPr>
          <w:rFonts w:asciiTheme="minorHAnsi" w:hAnsiTheme="minorHAnsi"/>
          <w:sz w:val="24"/>
          <w:szCs w:val="24"/>
        </w:rPr>
        <w:t>Morgenbesser</w:t>
      </w:r>
      <w:proofErr w:type="spellEnd"/>
      <w:r w:rsidR="00571DAA" w:rsidRPr="00D45CDF">
        <w:rPr>
          <w:rFonts w:asciiTheme="minorHAnsi" w:hAnsiTheme="minorHAnsi"/>
          <w:sz w:val="24"/>
          <w:szCs w:val="24"/>
        </w:rPr>
        <w:t xml:space="preserve"> challenged this decision</w:t>
      </w:r>
      <w:r w:rsidR="00ED5DA6" w:rsidRPr="00D45CDF">
        <w:rPr>
          <w:rFonts w:asciiTheme="minorHAnsi" w:hAnsiTheme="minorHAnsi"/>
          <w:sz w:val="24"/>
          <w:szCs w:val="24"/>
        </w:rPr>
        <w:t xml:space="preserve">. </w:t>
      </w:r>
      <w:r w:rsidR="00E13EC6" w:rsidRPr="00D45CDF">
        <w:rPr>
          <w:rFonts w:asciiTheme="minorHAnsi" w:hAnsiTheme="minorHAnsi"/>
          <w:sz w:val="24"/>
          <w:szCs w:val="24"/>
        </w:rPr>
        <w:t xml:space="preserve">Neither the </w:t>
      </w:r>
      <w:r w:rsidR="00ED5DA6" w:rsidRPr="00D45CDF">
        <w:rPr>
          <w:rFonts w:asciiTheme="minorHAnsi" w:hAnsiTheme="minorHAnsi"/>
          <w:sz w:val="24"/>
          <w:szCs w:val="24"/>
        </w:rPr>
        <w:t>QPD</w:t>
      </w:r>
      <w:r w:rsidR="00E13EC6" w:rsidRPr="00D45CDF">
        <w:rPr>
          <w:rFonts w:asciiTheme="minorHAnsi" w:hAnsiTheme="minorHAnsi"/>
          <w:sz w:val="24"/>
          <w:szCs w:val="24"/>
        </w:rPr>
        <w:t xml:space="preserve"> nor the Lawyers’</w:t>
      </w:r>
      <w:r w:rsidR="00FC0D5D" w:rsidRPr="00D45CDF">
        <w:rPr>
          <w:rFonts w:asciiTheme="minorHAnsi" w:hAnsiTheme="minorHAnsi"/>
          <w:sz w:val="24"/>
          <w:szCs w:val="24"/>
        </w:rPr>
        <w:t xml:space="preserve"> </w:t>
      </w:r>
      <w:r w:rsidR="00E13EC6" w:rsidRPr="00D45CDF">
        <w:rPr>
          <w:rFonts w:asciiTheme="minorHAnsi" w:hAnsiTheme="minorHAnsi"/>
          <w:sz w:val="24"/>
          <w:szCs w:val="24"/>
        </w:rPr>
        <w:t xml:space="preserve">Establishment Directive applied to </w:t>
      </w:r>
      <w:proofErr w:type="spellStart"/>
      <w:r w:rsidR="00E13EC6" w:rsidRPr="00D45CDF">
        <w:rPr>
          <w:rFonts w:asciiTheme="minorHAnsi" w:hAnsiTheme="minorHAnsi"/>
          <w:sz w:val="24"/>
          <w:szCs w:val="24"/>
        </w:rPr>
        <w:t>Morgenbesser</w:t>
      </w:r>
      <w:proofErr w:type="spellEnd"/>
      <w:r w:rsidR="00E13EC6" w:rsidRPr="00D45CDF">
        <w:rPr>
          <w:rFonts w:asciiTheme="minorHAnsi" w:hAnsiTheme="minorHAnsi"/>
          <w:sz w:val="24"/>
          <w:szCs w:val="24"/>
        </w:rPr>
        <w:t xml:space="preserve">, </w:t>
      </w:r>
      <w:r w:rsidR="00FC0D5D" w:rsidRPr="00D45CDF">
        <w:rPr>
          <w:rFonts w:asciiTheme="minorHAnsi" w:hAnsiTheme="minorHAnsi"/>
          <w:sz w:val="24"/>
          <w:szCs w:val="24"/>
        </w:rPr>
        <w:t xml:space="preserve">as the traineeship was not a </w:t>
      </w:r>
      <w:r w:rsidR="00E13EC6" w:rsidRPr="00D45CDF">
        <w:rPr>
          <w:rFonts w:asciiTheme="minorHAnsi" w:hAnsiTheme="minorHAnsi"/>
          <w:sz w:val="24"/>
          <w:szCs w:val="24"/>
        </w:rPr>
        <w:t>‘</w:t>
      </w:r>
      <w:r w:rsidR="00FC0D5D" w:rsidRPr="00D45CDF">
        <w:rPr>
          <w:rFonts w:asciiTheme="minorHAnsi" w:hAnsiTheme="minorHAnsi"/>
          <w:sz w:val="24"/>
          <w:szCs w:val="24"/>
        </w:rPr>
        <w:t>regulated profession</w:t>
      </w:r>
      <w:r w:rsidR="00E13EC6" w:rsidRPr="00D45CDF">
        <w:rPr>
          <w:rFonts w:asciiTheme="minorHAnsi" w:hAnsiTheme="minorHAnsi"/>
          <w:sz w:val="24"/>
          <w:szCs w:val="24"/>
        </w:rPr>
        <w:t>’</w:t>
      </w:r>
      <w:r w:rsidR="00FC0D5D" w:rsidRPr="00D45CDF">
        <w:rPr>
          <w:rFonts w:asciiTheme="minorHAnsi" w:hAnsiTheme="minorHAnsi"/>
          <w:sz w:val="24"/>
          <w:szCs w:val="24"/>
        </w:rPr>
        <w:t xml:space="preserve"> and </w:t>
      </w:r>
      <w:r w:rsidR="00ED5DA6" w:rsidRPr="00D45CDF">
        <w:rPr>
          <w:rFonts w:asciiTheme="minorHAnsi" w:hAnsiTheme="minorHAnsi"/>
          <w:sz w:val="24"/>
          <w:szCs w:val="24"/>
        </w:rPr>
        <w:t>she was not a fully qualified lawyer in France.</w:t>
      </w:r>
      <w:r w:rsidR="003E771F" w:rsidRPr="00D45CDF">
        <w:rPr>
          <w:rFonts w:asciiTheme="minorHAnsi" w:hAnsiTheme="minorHAnsi"/>
          <w:sz w:val="24"/>
          <w:szCs w:val="24"/>
        </w:rPr>
        <w:t xml:space="preserve"> </w:t>
      </w:r>
      <w:r w:rsidR="009066CF" w:rsidRPr="00D45CDF">
        <w:rPr>
          <w:rFonts w:asciiTheme="minorHAnsi" w:hAnsiTheme="minorHAnsi"/>
          <w:sz w:val="24"/>
          <w:szCs w:val="24"/>
        </w:rPr>
        <w:t>However, t</w:t>
      </w:r>
      <w:r w:rsidR="003E771F" w:rsidRPr="00D45CDF">
        <w:rPr>
          <w:rFonts w:asciiTheme="minorHAnsi" w:hAnsiTheme="minorHAnsi"/>
          <w:sz w:val="24"/>
          <w:szCs w:val="24"/>
        </w:rPr>
        <w:t xml:space="preserve">he </w:t>
      </w:r>
      <w:r w:rsidR="009066CF" w:rsidRPr="00D45CDF">
        <w:rPr>
          <w:rFonts w:asciiTheme="minorHAnsi" w:hAnsiTheme="minorHAnsi"/>
          <w:sz w:val="24"/>
          <w:szCs w:val="24"/>
        </w:rPr>
        <w:t>ECJ</w:t>
      </w:r>
      <w:r w:rsidR="002C2A9B" w:rsidRPr="00D45CDF">
        <w:rPr>
          <w:rFonts w:asciiTheme="minorHAnsi" w:hAnsiTheme="minorHAnsi"/>
          <w:sz w:val="24"/>
          <w:szCs w:val="24"/>
        </w:rPr>
        <w:t xml:space="preserve"> </w:t>
      </w:r>
      <w:r w:rsidR="003E771F" w:rsidRPr="00D45CDF">
        <w:rPr>
          <w:rFonts w:asciiTheme="minorHAnsi" w:hAnsiTheme="minorHAnsi"/>
          <w:sz w:val="24"/>
          <w:szCs w:val="24"/>
        </w:rPr>
        <w:t>held</w:t>
      </w:r>
      <w:r w:rsidR="002C2A9B" w:rsidRPr="00D45CDF">
        <w:rPr>
          <w:rFonts w:asciiTheme="minorHAnsi" w:hAnsiTheme="minorHAnsi"/>
          <w:sz w:val="24"/>
          <w:szCs w:val="24"/>
        </w:rPr>
        <w:t xml:space="preserve"> that national authorities must tak</w:t>
      </w:r>
      <w:r w:rsidR="003E771F" w:rsidRPr="00D45CDF">
        <w:rPr>
          <w:rFonts w:asciiTheme="minorHAnsi" w:hAnsiTheme="minorHAnsi"/>
          <w:sz w:val="24"/>
          <w:szCs w:val="24"/>
        </w:rPr>
        <w:t>e</w:t>
      </w:r>
      <w:r w:rsidR="002C2A9B" w:rsidRPr="00D45CDF">
        <w:rPr>
          <w:rFonts w:asciiTheme="minorHAnsi" w:hAnsiTheme="minorHAnsi"/>
          <w:sz w:val="24"/>
          <w:szCs w:val="24"/>
        </w:rPr>
        <w:t xml:space="preserve"> into consideration the professional qualification</w:t>
      </w:r>
      <w:r w:rsidR="003E771F" w:rsidRPr="00D45CDF">
        <w:rPr>
          <w:rFonts w:asciiTheme="minorHAnsi" w:hAnsiTheme="minorHAnsi"/>
          <w:sz w:val="24"/>
          <w:szCs w:val="24"/>
        </w:rPr>
        <w:t>s</w:t>
      </w:r>
      <w:r w:rsidR="002C2A9B" w:rsidRPr="00D45CDF">
        <w:rPr>
          <w:rFonts w:asciiTheme="minorHAnsi" w:hAnsiTheme="minorHAnsi"/>
          <w:sz w:val="24"/>
          <w:szCs w:val="24"/>
        </w:rPr>
        <w:t xml:space="preserve"> of an applicant and any professional experience </w:t>
      </w:r>
      <w:r w:rsidR="00AA2A47" w:rsidRPr="00D45CDF">
        <w:rPr>
          <w:rFonts w:asciiTheme="minorHAnsi" w:hAnsiTheme="minorHAnsi"/>
          <w:sz w:val="24"/>
          <w:szCs w:val="24"/>
        </w:rPr>
        <w:t xml:space="preserve">regardless of </w:t>
      </w:r>
      <w:r w:rsidR="002C2A9B" w:rsidRPr="00D45CDF">
        <w:rPr>
          <w:rFonts w:asciiTheme="minorHAnsi" w:hAnsiTheme="minorHAnsi"/>
          <w:sz w:val="24"/>
          <w:szCs w:val="24"/>
        </w:rPr>
        <w:t xml:space="preserve">where </w:t>
      </w:r>
      <w:r w:rsidR="003E771F" w:rsidRPr="00D45CDF">
        <w:rPr>
          <w:rFonts w:asciiTheme="minorHAnsi" w:hAnsiTheme="minorHAnsi"/>
          <w:sz w:val="24"/>
          <w:szCs w:val="24"/>
        </w:rPr>
        <w:t xml:space="preserve">it was </w:t>
      </w:r>
      <w:r w:rsidR="002C2A9B" w:rsidRPr="00D45CDF">
        <w:rPr>
          <w:rFonts w:asciiTheme="minorHAnsi" w:hAnsiTheme="minorHAnsi"/>
          <w:sz w:val="24"/>
          <w:szCs w:val="24"/>
        </w:rPr>
        <w:t>acquired</w:t>
      </w:r>
      <w:r w:rsidR="003E771F" w:rsidRPr="00D45CDF">
        <w:rPr>
          <w:rFonts w:asciiTheme="minorHAnsi" w:hAnsiTheme="minorHAnsi"/>
          <w:sz w:val="24"/>
          <w:szCs w:val="24"/>
        </w:rPr>
        <w:t>, and compare them to</w:t>
      </w:r>
      <w:r w:rsidR="002C2A9B" w:rsidRPr="00D45CDF">
        <w:rPr>
          <w:rFonts w:asciiTheme="minorHAnsi" w:hAnsiTheme="minorHAnsi"/>
          <w:sz w:val="24"/>
          <w:szCs w:val="24"/>
        </w:rPr>
        <w:t xml:space="preserve"> those required </w:t>
      </w:r>
      <w:r w:rsidR="00AA2A47" w:rsidRPr="00D45CDF">
        <w:rPr>
          <w:rFonts w:asciiTheme="minorHAnsi" w:hAnsiTheme="minorHAnsi"/>
          <w:sz w:val="24"/>
          <w:szCs w:val="24"/>
        </w:rPr>
        <w:t>in the host state</w:t>
      </w:r>
      <w:r w:rsidR="002C2A9B" w:rsidRPr="00D45CDF">
        <w:rPr>
          <w:rFonts w:asciiTheme="minorHAnsi" w:hAnsiTheme="minorHAnsi"/>
          <w:sz w:val="24"/>
          <w:szCs w:val="24"/>
        </w:rPr>
        <w:t>.</w:t>
      </w:r>
      <w:r w:rsidR="003E771F" w:rsidRPr="00D45CDF">
        <w:rPr>
          <w:rFonts w:asciiTheme="minorHAnsi" w:hAnsiTheme="minorHAnsi"/>
          <w:sz w:val="24"/>
          <w:szCs w:val="24"/>
        </w:rPr>
        <w:t xml:space="preserve"> If the </w:t>
      </w:r>
      <w:r w:rsidR="00AA2A47" w:rsidRPr="00D45CDF">
        <w:rPr>
          <w:rFonts w:asciiTheme="minorHAnsi" w:hAnsiTheme="minorHAnsi"/>
          <w:sz w:val="24"/>
          <w:szCs w:val="24"/>
        </w:rPr>
        <w:t xml:space="preserve">applicant’s </w:t>
      </w:r>
      <w:r w:rsidR="003E771F" w:rsidRPr="00D45CDF">
        <w:rPr>
          <w:rFonts w:asciiTheme="minorHAnsi" w:hAnsiTheme="minorHAnsi"/>
          <w:sz w:val="24"/>
          <w:szCs w:val="24"/>
        </w:rPr>
        <w:t xml:space="preserve">qualifications were considered equivalent, then </w:t>
      </w:r>
      <w:r w:rsidR="003E771F" w:rsidRPr="00D45CDF">
        <w:rPr>
          <w:rFonts w:asciiTheme="minorHAnsi" w:hAnsiTheme="minorHAnsi"/>
          <w:sz w:val="24"/>
          <w:szCs w:val="24"/>
        </w:rPr>
        <w:lastRenderedPageBreak/>
        <w:t>they had to be accepted. If not, the host state could require the applicant to demonstrate that they ha</w:t>
      </w:r>
      <w:r w:rsidR="00AA2A47" w:rsidRPr="00D45CDF">
        <w:rPr>
          <w:rFonts w:asciiTheme="minorHAnsi" w:hAnsiTheme="minorHAnsi"/>
          <w:sz w:val="24"/>
          <w:szCs w:val="24"/>
        </w:rPr>
        <w:t>d</w:t>
      </w:r>
      <w:r w:rsidR="003E771F" w:rsidRPr="00D45CDF">
        <w:rPr>
          <w:rFonts w:asciiTheme="minorHAnsi" w:hAnsiTheme="minorHAnsi"/>
          <w:sz w:val="24"/>
          <w:szCs w:val="24"/>
        </w:rPr>
        <w:t xml:space="preserve"> acquired the knowledge, skills and qualifications </w:t>
      </w:r>
      <w:r w:rsidR="00CB60C9" w:rsidRPr="00D45CDF">
        <w:rPr>
          <w:rFonts w:asciiTheme="minorHAnsi" w:hAnsiTheme="minorHAnsi"/>
          <w:sz w:val="24"/>
          <w:szCs w:val="24"/>
        </w:rPr>
        <w:t>deemed</w:t>
      </w:r>
      <w:r w:rsidR="003E771F" w:rsidRPr="00D45CDF">
        <w:rPr>
          <w:rFonts w:asciiTheme="minorHAnsi" w:hAnsiTheme="minorHAnsi"/>
          <w:sz w:val="24"/>
          <w:szCs w:val="24"/>
        </w:rPr>
        <w:t xml:space="preserve"> lacking either in the host State or elsewhere, or to acquire the missing elements in order to be registered. This effectively extends right</w:t>
      </w:r>
      <w:r w:rsidR="00FE7B02" w:rsidRPr="00D45CDF">
        <w:rPr>
          <w:rFonts w:asciiTheme="minorHAnsi" w:hAnsiTheme="minorHAnsi"/>
          <w:sz w:val="24"/>
          <w:szCs w:val="24"/>
        </w:rPr>
        <w:t xml:space="preserve">s </w:t>
      </w:r>
      <w:r w:rsidR="003E771F" w:rsidRPr="00D45CDF">
        <w:rPr>
          <w:rFonts w:asciiTheme="minorHAnsi" w:hAnsiTheme="minorHAnsi"/>
          <w:sz w:val="24"/>
          <w:szCs w:val="24"/>
        </w:rPr>
        <w:t xml:space="preserve">to those still training </w:t>
      </w:r>
      <w:r w:rsidR="00F308F2" w:rsidRPr="00D45CDF">
        <w:rPr>
          <w:rFonts w:asciiTheme="minorHAnsi" w:hAnsiTheme="minorHAnsi"/>
          <w:sz w:val="24"/>
          <w:szCs w:val="24"/>
        </w:rPr>
        <w:t xml:space="preserve">to become </w:t>
      </w:r>
      <w:r w:rsidR="003E771F" w:rsidRPr="00D45CDF">
        <w:rPr>
          <w:rFonts w:asciiTheme="minorHAnsi" w:hAnsiTheme="minorHAnsi"/>
          <w:sz w:val="24"/>
          <w:szCs w:val="24"/>
        </w:rPr>
        <w:t>lawyers</w:t>
      </w:r>
      <w:r w:rsidR="00A62253" w:rsidRPr="00D45CDF">
        <w:rPr>
          <w:rFonts w:asciiTheme="minorHAnsi" w:hAnsiTheme="minorHAnsi"/>
          <w:sz w:val="24"/>
          <w:szCs w:val="24"/>
        </w:rPr>
        <w:t>, who may potentially ‘mix and match’ their training</w:t>
      </w:r>
      <w:r w:rsidR="003478A1" w:rsidRPr="00D45CDF">
        <w:rPr>
          <w:rFonts w:asciiTheme="minorHAnsi" w:hAnsiTheme="minorHAnsi"/>
          <w:sz w:val="24"/>
          <w:szCs w:val="24"/>
        </w:rPr>
        <w:t xml:space="preserve"> </w:t>
      </w:r>
      <w:r w:rsidR="00083AF5" w:rsidRPr="00D45CDF">
        <w:rPr>
          <w:rFonts w:asciiTheme="minorHAnsi" w:hAnsiTheme="minorHAnsi"/>
          <w:sz w:val="24"/>
          <w:szCs w:val="24"/>
        </w:rPr>
        <w:t xml:space="preserve">and qualification process </w:t>
      </w:r>
      <w:r w:rsidR="003478A1" w:rsidRPr="00D45CDF">
        <w:rPr>
          <w:rFonts w:asciiTheme="minorHAnsi" w:hAnsiTheme="minorHAnsi"/>
          <w:sz w:val="24"/>
          <w:szCs w:val="24"/>
        </w:rPr>
        <w:t>(subject to the requirements of the host state in respect of knowledge of</w:t>
      </w:r>
      <w:r w:rsidR="00126848" w:rsidRPr="00D45CDF">
        <w:rPr>
          <w:rFonts w:asciiTheme="minorHAnsi" w:hAnsiTheme="minorHAnsi"/>
          <w:sz w:val="24"/>
          <w:szCs w:val="24"/>
        </w:rPr>
        <w:t>, for example,</w:t>
      </w:r>
      <w:r w:rsidR="003478A1" w:rsidRPr="00D45CDF">
        <w:rPr>
          <w:rFonts w:asciiTheme="minorHAnsi" w:hAnsiTheme="minorHAnsi"/>
          <w:sz w:val="24"/>
          <w:szCs w:val="24"/>
        </w:rPr>
        <w:t xml:space="preserve"> domestic law)</w:t>
      </w:r>
      <w:r w:rsidR="00A62253" w:rsidRPr="00D45CDF">
        <w:rPr>
          <w:rFonts w:asciiTheme="minorHAnsi" w:hAnsiTheme="minorHAnsi"/>
          <w:sz w:val="24"/>
          <w:szCs w:val="24"/>
        </w:rPr>
        <w:t>,</w:t>
      </w:r>
      <w:r w:rsidR="00F308F2" w:rsidRPr="00D45CDF">
        <w:rPr>
          <w:rFonts w:asciiTheme="minorHAnsi" w:hAnsiTheme="minorHAnsi"/>
          <w:sz w:val="24"/>
          <w:szCs w:val="24"/>
        </w:rPr>
        <w:t xml:space="preserve"> and </w:t>
      </w:r>
      <w:r w:rsidR="009006DB" w:rsidRPr="00D45CDF">
        <w:rPr>
          <w:rFonts w:asciiTheme="minorHAnsi" w:hAnsiTheme="minorHAnsi"/>
          <w:sz w:val="24"/>
          <w:szCs w:val="24"/>
        </w:rPr>
        <w:t>may have</w:t>
      </w:r>
      <w:r w:rsidR="00F308F2" w:rsidRPr="00D45CDF">
        <w:rPr>
          <w:rFonts w:asciiTheme="minorHAnsi" w:hAnsiTheme="minorHAnsi"/>
          <w:sz w:val="24"/>
          <w:szCs w:val="24"/>
        </w:rPr>
        <w:t xml:space="preserve"> ‘a highly deregulatory effect on accredited access routes to the professions.’</w:t>
      </w:r>
      <w:r w:rsidR="00F308F2" w:rsidRPr="00D45CDF">
        <w:rPr>
          <w:rStyle w:val="FootnoteReference"/>
          <w:rFonts w:asciiTheme="minorHAnsi" w:hAnsiTheme="minorHAnsi"/>
          <w:sz w:val="24"/>
          <w:szCs w:val="24"/>
        </w:rPr>
        <w:footnoteReference w:id="68"/>
      </w:r>
    </w:p>
    <w:p w14:paraId="6EC6F4C2" w14:textId="77777777" w:rsidR="003E62B2" w:rsidRPr="00D45CDF" w:rsidRDefault="0053265D" w:rsidP="00197A40">
      <w:pPr>
        <w:autoSpaceDE w:val="0"/>
        <w:autoSpaceDN w:val="0"/>
        <w:adjustRightInd w:val="0"/>
        <w:spacing w:line="240" w:lineRule="auto"/>
        <w:jc w:val="both"/>
        <w:rPr>
          <w:rFonts w:asciiTheme="minorHAnsi" w:eastAsiaTheme="minorHAnsi" w:hAnsiTheme="minorHAnsi"/>
          <w:sz w:val="24"/>
          <w:szCs w:val="24"/>
          <w:lang w:eastAsia="en-US"/>
        </w:rPr>
      </w:pPr>
      <w:r w:rsidRPr="00D45CDF">
        <w:rPr>
          <w:rFonts w:asciiTheme="minorHAnsi" w:eastAsiaTheme="minorHAnsi" w:hAnsiTheme="minorHAnsi"/>
          <w:sz w:val="24"/>
          <w:szCs w:val="24"/>
          <w:lang w:eastAsia="en-US"/>
        </w:rPr>
        <w:t>T</w:t>
      </w:r>
      <w:r w:rsidR="00FB28F6" w:rsidRPr="00D45CDF">
        <w:rPr>
          <w:rFonts w:asciiTheme="minorHAnsi" w:eastAsiaTheme="minorHAnsi" w:hAnsiTheme="minorHAnsi"/>
          <w:sz w:val="24"/>
          <w:szCs w:val="24"/>
          <w:lang w:eastAsia="en-US"/>
        </w:rPr>
        <w:t>hese Directives</w:t>
      </w:r>
      <w:r w:rsidRPr="00D45CDF">
        <w:rPr>
          <w:rFonts w:asciiTheme="minorHAnsi" w:eastAsiaTheme="minorHAnsi" w:hAnsiTheme="minorHAnsi"/>
          <w:sz w:val="24"/>
          <w:szCs w:val="24"/>
          <w:lang w:eastAsia="en-US"/>
        </w:rPr>
        <w:t xml:space="preserve"> and case law demonstrate that</w:t>
      </w:r>
      <w:r w:rsidR="006325ED">
        <w:rPr>
          <w:rFonts w:asciiTheme="minorHAnsi" w:eastAsiaTheme="minorHAnsi" w:hAnsiTheme="minorHAnsi"/>
          <w:sz w:val="24"/>
          <w:szCs w:val="24"/>
          <w:lang w:eastAsia="en-US"/>
        </w:rPr>
        <w:t xml:space="preserve">, pre-Brexit, </w:t>
      </w:r>
      <w:r w:rsidR="00FB28F6" w:rsidRPr="00D45CDF">
        <w:rPr>
          <w:rFonts w:asciiTheme="minorHAnsi" w:eastAsiaTheme="minorHAnsi" w:hAnsiTheme="minorHAnsi"/>
          <w:sz w:val="24"/>
          <w:szCs w:val="24"/>
          <w:lang w:eastAsia="en-US"/>
        </w:rPr>
        <w:t xml:space="preserve">EU lawyers </w:t>
      </w:r>
      <w:r w:rsidR="00197A40">
        <w:rPr>
          <w:rFonts w:asciiTheme="minorHAnsi" w:eastAsiaTheme="minorHAnsi" w:hAnsiTheme="minorHAnsi"/>
          <w:sz w:val="24"/>
          <w:szCs w:val="24"/>
          <w:lang w:eastAsia="en-US"/>
        </w:rPr>
        <w:t>could</w:t>
      </w:r>
      <w:r w:rsidR="00FB28F6" w:rsidRPr="00D45CDF">
        <w:rPr>
          <w:rFonts w:asciiTheme="minorHAnsi" w:eastAsiaTheme="minorHAnsi" w:hAnsiTheme="minorHAnsi"/>
          <w:sz w:val="24"/>
          <w:szCs w:val="24"/>
          <w:lang w:eastAsia="en-US"/>
        </w:rPr>
        <w:t xml:space="preserve"> set up independently or as member</w:t>
      </w:r>
      <w:r w:rsidR="00D205AA" w:rsidRPr="00D45CDF">
        <w:rPr>
          <w:rFonts w:asciiTheme="minorHAnsi" w:eastAsiaTheme="minorHAnsi" w:hAnsiTheme="minorHAnsi"/>
          <w:sz w:val="24"/>
          <w:szCs w:val="24"/>
          <w:lang w:eastAsia="en-US"/>
        </w:rPr>
        <w:t>s</w:t>
      </w:r>
      <w:r w:rsidR="00FB28F6" w:rsidRPr="00D45CDF">
        <w:rPr>
          <w:rFonts w:asciiTheme="minorHAnsi" w:eastAsiaTheme="minorHAnsi" w:hAnsiTheme="minorHAnsi"/>
          <w:sz w:val="24"/>
          <w:szCs w:val="24"/>
          <w:lang w:eastAsia="en-US"/>
        </w:rPr>
        <w:t xml:space="preserve"> of a set of chambers</w:t>
      </w:r>
      <w:r w:rsidR="004A3221" w:rsidRPr="00D45CDF">
        <w:rPr>
          <w:rFonts w:asciiTheme="minorHAnsi" w:eastAsiaTheme="minorHAnsi" w:hAnsiTheme="minorHAnsi"/>
          <w:sz w:val="24"/>
          <w:szCs w:val="24"/>
          <w:lang w:eastAsia="en-US"/>
        </w:rPr>
        <w:t xml:space="preserve"> in the UK</w:t>
      </w:r>
      <w:r w:rsidR="00FB28F6" w:rsidRPr="00D45CDF">
        <w:rPr>
          <w:rFonts w:asciiTheme="minorHAnsi" w:eastAsiaTheme="minorHAnsi" w:hAnsiTheme="minorHAnsi"/>
          <w:sz w:val="24"/>
          <w:szCs w:val="24"/>
          <w:lang w:eastAsia="en-US"/>
        </w:rPr>
        <w:t xml:space="preserve">, work for an </w:t>
      </w:r>
      <w:r w:rsidR="00FD6B64" w:rsidRPr="00D45CDF">
        <w:rPr>
          <w:rFonts w:asciiTheme="minorHAnsi" w:eastAsiaTheme="minorHAnsi" w:hAnsiTheme="minorHAnsi"/>
          <w:sz w:val="24"/>
          <w:szCs w:val="24"/>
          <w:lang w:eastAsia="en-US"/>
        </w:rPr>
        <w:t>Anglo-</w:t>
      </w:r>
      <w:r w:rsidR="00FB28F6" w:rsidRPr="00D45CDF">
        <w:rPr>
          <w:rFonts w:asciiTheme="minorHAnsi" w:eastAsiaTheme="minorHAnsi" w:hAnsiTheme="minorHAnsi"/>
          <w:sz w:val="24"/>
          <w:szCs w:val="24"/>
          <w:lang w:eastAsia="en-US"/>
        </w:rPr>
        <w:t xml:space="preserve">Welsh law firm, for an international law firm or as an in-house lawyer in the UK, </w:t>
      </w:r>
      <w:r w:rsidR="00284719" w:rsidRPr="00D45CDF">
        <w:rPr>
          <w:rFonts w:asciiTheme="minorHAnsi" w:eastAsiaTheme="minorHAnsi" w:hAnsiTheme="minorHAnsi"/>
          <w:sz w:val="24"/>
          <w:szCs w:val="24"/>
          <w:lang w:eastAsia="en-US"/>
        </w:rPr>
        <w:t xml:space="preserve">or </w:t>
      </w:r>
      <w:r w:rsidR="00443899" w:rsidRPr="00D45CDF">
        <w:rPr>
          <w:rFonts w:asciiTheme="minorHAnsi" w:eastAsiaTheme="minorHAnsi" w:hAnsiTheme="minorHAnsi"/>
          <w:sz w:val="24"/>
          <w:szCs w:val="24"/>
          <w:lang w:eastAsia="en-US"/>
        </w:rPr>
        <w:t xml:space="preserve">provide cross-border legal services on a temporary basis, </w:t>
      </w:r>
      <w:r w:rsidR="00FB28F6" w:rsidRPr="00D45CDF">
        <w:rPr>
          <w:rFonts w:asciiTheme="minorHAnsi" w:eastAsiaTheme="minorHAnsi" w:hAnsiTheme="minorHAnsi"/>
          <w:sz w:val="24"/>
          <w:szCs w:val="24"/>
          <w:lang w:eastAsia="en-US"/>
        </w:rPr>
        <w:t xml:space="preserve">and UK lawyers </w:t>
      </w:r>
      <w:r w:rsidR="00197A40">
        <w:rPr>
          <w:rFonts w:asciiTheme="minorHAnsi" w:eastAsiaTheme="minorHAnsi" w:hAnsiTheme="minorHAnsi"/>
          <w:sz w:val="24"/>
          <w:szCs w:val="24"/>
          <w:lang w:eastAsia="en-US"/>
        </w:rPr>
        <w:t>could</w:t>
      </w:r>
      <w:r w:rsidR="00FB28F6" w:rsidRPr="00D45CDF">
        <w:rPr>
          <w:rFonts w:asciiTheme="minorHAnsi" w:eastAsiaTheme="minorHAnsi" w:hAnsiTheme="minorHAnsi"/>
          <w:sz w:val="24"/>
          <w:szCs w:val="24"/>
          <w:lang w:eastAsia="en-US"/>
        </w:rPr>
        <w:t xml:space="preserve"> do the same in another EU </w:t>
      </w:r>
      <w:r w:rsidR="00443899" w:rsidRPr="00D45CDF">
        <w:rPr>
          <w:rFonts w:asciiTheme="minorHAnsi" w:eastAsiaTheme="minorHAnsi" w:hAnsiTheme="minorHAnsi"/>
          <w:sz w:val="24"/>
          <w:szCs w:val="24"/>
          <w:lang w:eastAsia="en-US"/>
        </w:rPr>
        <w:t>M</w:t>
      </w:r>
      <w:r w:rsidR="00FB28F6" w:rsidRPr="00D45CDF">
        <w:rPr>
          <w:rFonts w:asciiTheme="minorHAnsi" w:eastAsiaTheme="minorHAnsi" w:hAnsiTheme="minorHAnsi"/>
          <w:sz w:val="24"/>
          <w:szCs w:val="24"/>
          <w:lang w:eastAsia="en-US"/>
        </w:rPr>
        <w:t xml:space="preserve">ember </w:t>
      </w:r>
      <w:r w:rsidR="00443899" w:rsidRPr="00D45CDF">
        <w:rPr>
          <w:rFonts w:asciiTheme="minorHAnsi" w:eastAsiaTheme="minorHAnsi" w:hAnsiTheme="minorHAnsi"/>
          <w:sz w:val="24"/>
          <w:szCs w:val="24"/>
          <w:lang w:eastAsia="en-US"/>
        </w:rPr>
        <w:t>S</w:t>
      </w:r>
      <w:r w:rsidR="00FB28F6" w:rsidRPr="00D45CDF">
        <w:rPr>
          <w:rFonts w:asciiTheme="minorHAnsi" w:eastAsiaTheme="minorHAnsi" w:hAnsiTheme="minorHAnsi"/>
          <w:sz w:val="24"/>
          <w:szCs w:val="24"/>
          <w:lang w:eastAsia="en-US"/>
        </w:rPr>
        <w:t xml:space="preserve">tate. </w:t>
      </w:r>
    </w:p>
    <w:p w14:paraId="61A8A84A" w14:textId="77777777" w:rsidR="00ED2541" w:rsidRPr="00766D95" w:rsidRDefault="00ED2541" w:rsidP="00766D95">
      <w:pPr>
        <w:pStyle w:val="ListParagraph"/>
        <w:numPr>
          <w:ilvl w:val="1"/>
          <w:numId w:val="11"/>
        </w:numPr>
        <w:autoSpaceDE w:val="0"/>
        <w:autoSpaceDN w:val="0"/>
        <w:adjustRightInd w:val="0"/>
        <w:spacing w:line="240" w:lineRule="auto"/>
        <w:ind w:left="426" w:hanging="426"/>
        <w:rPr>
          <w:rFonts w:asciiTheme="minorHAnsi" w:eastAsiaTheme="minorHAnsi" w:hAnsiTheme="minorHAnsi"/>
          <w:b/>
          <w:bCs/>
          <w:sz w:val="24"/>
          <w:szCs w:val="24"/>
          <w:lang w:eastAsia="en-US"/>
        </w:rPr>
      </w:pPr>
      <w:r w:rsidRPr="00766D95">
        <w:rPr>
          <w:rFonts w:asciiTheme="minorHAnsi" w:eastAsiaTheme="minorHAnsi" w:hAnsiTheme="minorHAnsi"/>
          <w:b/>
          <w:bCs/>
          <w:sz w:val="24"/>
          <w:szCs w:val="24"/>
          <w:lang w:eastAsia="en-US"/>
        </w:rPr>
        <w:t>Regulation of FOM of legal services in the UK</w:t>
      </w:r>
    </w:p>
    <w:p w14:paraId="1E4D1BCA" w14:textId="77777777" w:rsidR="00FB28F6" w:rsidRPr="00D45CDF" w:rsidRDefault="00FB28F6" w:rsidP="001C5BA7">
      <w:pPr>
        <w:spacing w:line="240" w:lineRule="auto"/>
        <w:jc w:val="both"/>
        <w:rPr>
          <w:rFonts w:asciiTheme="minorHAnsi" w:hAnsiTheme="minorHAnsi"/>
          <w:sz w:val="24"/>
          <w:szCs w:val="24"/>
        </w:rPr>
      </w:pPr>
      <w:r w:rsidRPr="00D45CDF">
        <w:rPr>
          <w:rFonts w:asciiTheme="minorHAnsi" w:hAnsiTheme="minorHAnsi"/>
          <w:sz w:val="24"/>
          <w:szCs w:val="24"/>
        </w:rPr>
        <w:t>The UK implemented the EU l</w:t>
      </w:r>
      <w:r w:rsidR="003A74C2" w:rsidRPr="00D45CDF">
        <w:rPr>
          <w:rFonts w:asciiTheme="minorHAnsi" w:hAnsiTheme="minorHAnsi"/>
          <w:sz w:val="24"/>
          <w:szCs w:val="24"/>
        </w:rPr>
        <w:t xml:space="preserve">egislation </w:t>
      </w:r>
      <w:r w:rsidRPr="00D45CDF">
        <w:rPr>
          <w:rFonts w:asciiTheme="minorHAnsi" w:hAnsiTheme="minorHAnsi"/>
          <w:sz w:val="24"/>
          <w:szCs w:val="24"/>
        </w:rPr>
        <w:t xml:space="preserve">on freedom of movement of legal services </w:t>
      </w:r>
      <w:r w:rsidR="0051071A" w:rsidRPr="00D45CDF">
        <w:rPr>
          <w:rFonts w:asciiTheme="minorHAnsi" w:hAnsiTheme="minorHAnsi"/>
          <w:sz w:val="24"/>
          <w:szCs w:val="24"/>
        </w:rPr>
        <w:t xml:space="preserve">in England and Wales and Northern Ireland </w:t>
      </w:r>
      <w:r w:rsidRPr="00D45CDF">
        <w:rPr>
          <w:rFonts w:asciiTheme="minorHAnsi" w:hAnsiTheme="minorHAnsi"/>
          <w:sz w:val="24"/>
          <w:szCs w:val="24"/>
        </w:rPr>
        <w:t>via the European Communities (Lawyer's Practice) Regulations 2000</w:t>
      </w:r>
      <w:r w:rsidR="0051071A" w:rsidRPr="00D45CDF">
        <w:rPr>
          <w:rFonts w:asciiTheme="minorHAnsi" w:hAnsiTheme="minorHAnsi"/>
          <w:sz w:val="24"/>
          <w:szCs w:val="24"/>
        </w:rPr>
        <w:t>,</w:t>
      </w:r>
      <w:r w:rsidRPr="00D45CDF">
        <w:rPr>
          <w:rFonts w:asciiTheme="minorHAnsi" w:hAnsiTheme="minorHAnsi"/>
          <w:sz w:val="24"/>
          <w:szCs w:val="24"/>
        </w:rPr>
        <w:t xml:space="preserve"> and </w:t>
      </w:r>
      <w:r w:rsidR="0051071A" w:rsidRPr="00D45CDF">
        <w:rPr>
          <w:rFonts w:asciiTheme="minorHAnsi" w:hAnsiTheme="minorHAnsi"/>
          <w:sz w:val="24"/>
          <w:szCs w:val="24"/>
        </w:rPr>
        <w:t xml:space="preserve">in Scotland via </w:t>
      </w:r>
      <w:r w:rsidRPr="00D45CDF">
        <w:rPr>
          <w:rFonts w:asciiTheme="minorHAnsi" w:hAnsiTheme="minorHAnsi"/>
          <w:sz w:val="24"/>
          <w:szCs w:val="24"/>
        </w:rPr>
        <w:t>the European Communities (Lawyer's Practice) (Scotland) Regulations 2000</w:t>
      </w:r>
      <w:r w:rsidR="0051071A" w:rsidRPr="00D45CDF">
        <w:rPr>
          <w:rFonts w:asciiTheme="minorHAnsi" w:hAnsiTheme="minorHAnsi"/>
          <w:sz w:val="24"/>
          <w:szCs w:val="24"/>
        </w:rPr>
        <w:t xml:space="preserve">. These </w:t>
      </w:r>
      <w:r w:rsidR="003A74C2" w:rsidRPr="00D45CDF">
        <w:rPr>
          <w:rFonts w:asciiTheme="minorHAnsi" w:hAnsiTheme="minorHAnsi"/>
          <w:sz w:val="24"/>
          <w:szCs w:val="24"/>
        </w:rPr>
        <w:t xml:space="preserve">domestic regulations </w:t>
      </w:r>
      <w:r w:rsidRPr="00D45CDF">
        <w:rPr>
          <w:rFonts w:asciiTheme="minorHAnsi" w:hAnsiTheme="minorHAnsi"/>
          <w:sz w:val="24"/>
          <w:szCs w:val="24"/>
        </w:rPr>
        <w:t xml:space="preserve">implemented the </w:t>
      </w:r>
      <w:r w:rsidR="008C6073" w:rsidRPr="00D45CDF">
        <w:rPr>
          <w:rFonts w:asciiTheme="minorHAnsi" w:hAnsiTheme="minorHAnsi"/>
          <w:sz w:val="24"/>
          <w:szCs w:val="24"/>
        </w:rPr>
        <w:t>Lawyers</w:t>
      </w:r>
      <w:r w:rsidR="00967F2E" w:rsidRPr="00D45CDF">
        <w:rPr>
          <w:rFonts w:asciiTheme="minorHAnsi" w:hAnsiTheme="minorHAnsi"/>
          <w:sz w:val="24"/>
          <w:szCs w:val="24"/>
        </w:rPr>
        <w:t>’</w:t>
      </w:r>
      <w:r w:rsidR="008C6073" w:rsidRPr="00D45CDF">
        <w:rPr>
          <w:rFonts w:asciiTheme="minorHAnsi" w:hAnsiTheme="minorHAnsi"/>
          <w:sz w:val="24"/>
          <w:szCs w:val="24"/>
        </w:rPr>
        <w:t xml:space="preserve"> </w:t>
      </w:r>
      <w:r w:rsidRPr="00D45CDF">
        <w:rPr>
          <w:rFonts w:asciiTheme="minorHAnsi" w:hAnsiTheme="minorHAnsi"/>
          <w:sz w:val="24"/>
          <w:szCs w:val="24"/>
        </w:rPr>
        <w:t>Establishment Directive</w:t>
      </w:r>
      <w:r w:rsidR="0051071A" w:rsidRPr="00D45CDF">
        <w:rPr>
          <w:rFonts w:asciiTheme="minorHAnsi" w:hAnsiTheme="minorHAnsi"/>
          <w:sz w:val="24"/>
          <w:szCs w:val="24"/>
        </w:rPr>
        <w:t>.</w:t>
      </w:r>
      <w:r w:rsidRPr="00D45CDF">
        <w:rPr>
          <w:rFonts w:asciiTheme="minorHAnsi" w:hAnsiTheme="minorHAnsi"/>
          <w:sz w:val="24"/>
          <w:szCs w:val="24"/>
        </w:rPr>
        <w:t xml:space="preserve"> </w:t>
      </w:r>
      <w:r w:rsidR="0051071A" w:rsidRPr="00D45CDF">
        <w:rPr>
          <w:rFonts w:asciiTheme="minorHAnsi" w:hAnsiTheme="minorHAnsi"/>
          <w:sz w:val="24"/>
          <w:szCs w:val="24"/>
        </w:rPr>
        <w:t>T</w:t>
      </w:r>
      <w:r w:rsidRPr="00D45CDF">
        <w:rPr>
          <w:rFonts w:asciiTheme="minorHAnsi" w:hAnsiTheme="minorHAnsi"/>
          <w:sz w:val="24"/>
          <w:szCs w:val="24"/>
        </w:rPr>
        <w:t>he Lawyers</w:t>
      </w:r>
      <w:r w:rsidR="00C04C56" w:rsidRPr="00D45CDF">
        <w:rPr>
          <w:rFonts w:asciiTheme="minorHAnsi" w:hAnsiTheme="minorHAnsi"/>
          <w:sz w:val="24"/>
          <w:szCs w:val="24"/>
        </w:rPr>
        <w:t>’</w:t>
      </w:r>
      <w:r w:rsidRPr="00D45CDF">
        <w:rPr>
          <w:rFonts w:asciiTheme="minorHAnsi" w:hAnsiTheme="minorHAnsi"/>
          <w:sz w:val="24"/>
          <w:szCs w:val="24"/>
        </w:rPr>
        <w:t xml:space="preserve"> Services Directive </w:t>
      </w:r>
      <w:r w:rsidR="003A74C2" w:rsidRPr="00D45CDF">
        <w:rPr>
          <w:rFonts w:asciiTheme="minorHAnsi" w:eastAsiaTheme="minorHAnsi" w:hAnsiTheme="minorHAnsi"/>
          <w:sz w:val="24"/>
          <w:szCs w:val="24"/>
          <w:lang w:eastAsia="en-US"/>
        </w:rPr>
        <w:t>was</w:t>
      </w:r>
      <w:r w:rsidRPr="00D45CDF">
        <w:rPr>
          <w:rFonts w:asciiTheme="minorHAnsi" w:eastAsiaTheme="minorHAnsi" w:hAnsiTheme="minorHAnsi"/>
          <w:sz w:val="24"/>
          <w:szCs w:val="24"/>
          <w:lang w:eastAsia="en-US"/>
        </w:rPr>
        <w:t xml:space="preserve"> </w:t>
      </w:r>
      <w:r w:rsidR="003A74C2" w:rsidRPr="00D45CDF">
        <w:rPr>
          <w:rFonts w:asciiTheme="minorHAnsi" w:hAnsiTheme="minorHAnsi"/>
          <w:sz w:val="24"/>
          <w:szCs w:val="24"/>
        </w:rPr>
        <w:t>implemented across the UK in domestic legislation by the European Communities (Services of Lawyers) Order (S.I. 1978 no. 1910)</w:t>
      </w:r>
      <w:r w:rsidRPr="00D45CDF">
        <w:rPr>
          <w:rFonts w:asciiTheme="minorHAnsi" w:hAnsiTheme="minorHAnsi"/>
          <w:sz w:val="24"/>
          <w:szCs w:val="24"/>
        </w:rPr>
        <w:t xml:space="preserve">. These </w:t>
      </w:r>
      <w:r w:rsidR="0051071A" w:rsidRPr="00D45CDF">
        <w:rPr>
          <w:rFonts w:asciiTheme="minorHAnsi" w:hAnsiTheme="minorHAnsi"/>
          <w:sz w:val="24"/>
          <w:szCs w:val="24"/>
        </w:rPr>
        <w:t xml:space="preserve">regulations and the statutory instrument </w:t>
      </w:r>
      <w:r w:rsidRPr="00D45CDF">
        <w:rPr>
          <w:rFonts w:asciiTheme="minorHAnsi" w:hAnsiTheme="minorHAnsi"/>
          <w:sz w:val="24"/>
          <w:szCs w:val="24"/>
        </w:rPr>
        <w:t>led to the creation of the status of Registered European Lawyers (REL), for lawyers practising in the UK on a permanent basis and Exempt European Lawyers (EEL) practising in the UK on a temporary basis. In addition, the Legal Services Act 2007, which regulates who may provide reserved legal activities (such as the right of audience, the conduct of litigation, reserved instrument activities, probate activities, notarial activities and the administration of oaths), applie</w:t>
      </w:r>
      <w:r w:rsidR="006325ED">
        <w:rPr>
          <w:rFonts w:asciiTheme="minorHAnsi" w:hAnsiTheme="minorHAnsi"/>
          <w:sz w:val="24"/>
          <w:szCs w:val="24"/>
        </w:rPr>
        <w:t>d</w:t>
      </w:r>
      <w:r w:rsidRPr="00D45CDF">
        <w:rPr>
          <w:rFonts w:asciiTheme="minorHAnsi" w:hAnsiTheme="minorHAnsi"/>
          <w:sz w:val="24"/>
          <w:szCs w:val="24"/>
        </w:rPr>
        <w:t xml:space="preserve"> to</w:t>
      </w:r>
      <w:r w:rsidR="00F43BC8" w:rsidRPr="00D45CDF">
        <w:rPr>
          <w:rFonts w:asciiTheme="minorHAnsi" w:hAnsiTheme="minorHAnsi"/>
          <w:sz w:val="24"/>
          <w:szCs w:val="24"/>
        </w:rPr>
        <w:t xml:space="preserve"> both UK and </w:t>
      </w:r>
      <w:r w:rsidRPr="00D45CDF">
        <w:rPr>
          <w:rFonts w:asciiTheme="minorHAnsi" w:hAnsiTheme="minorHAnsi"/>
          <w:sz w:val="24"/>
          <w:szCs w:val="24"/>
        </w:rPr>
        <w:t>EU lawyers practising in England and Wales.</w:t>
      </w:r>
    </w:p>
    <w:p w14:paraId="0F2FE65C" w14:textId="77777777" w:rsidR="00FB28F6" w:rsidRPr="001B2C2B" w:rsidRDefault="00FB28F6" w:rsidP="001B2C2B">
      <w:pPr>
        <w:pStyle w:val="ListParagraph"/>
        <w:numPr>
          <w:ilvl w:val="2"/>
          <w:numId w:val="11"/>
        </w:numPr>
        <w:shd w:val="clear" w:color="auto" w:fill="FFFFFF"/>
        <w:spacing w:after="0" w:line="240" w:lineRule="auto"/>
        <w:ind w:left="426" w:hanging="426"/>
        <w:jc w:val="both"/>
        <w:rPr>
          <w:rFonts w:asciiTheme="minorHAnsi" w:hAnsiTheme="minorHAnsi"/>
          <w:b/>
          <w:sz w:val="24"/>
          <w:szCs w:val="24"/>
        </w:rPr>
      </w:pPr>
      <w:r w:rsidRPr="001B2C2B">
        <w:rPr>
          <w:rFonts w:asciiTheme="minorHAnsi" w:hAnsiTheme="minorHAnsi"/>
          <w:b/>
          <w:sz w:val="24"/>
          <w:szCs w:val="24"/>
        </w:rPr>
        <w:t>Registered European Lawyers</w:t>
      </w:r>
    </w:p>
    <w:p w14:paraId="3BA4FFF5" w14:textId="77777777" w:rsidR="00DF1386" w:rsidRPr="00D45CDF" w:rsidRDefault="00E0597A" w:rsidP="001C5BA7">
      <w:pPr>
        <w:spacing w:before="240" w:line="240" w:lineRule="auto"/>
        <w:jc w:val="both"/>
        <w:rPr>
          <w:rStyle w:val="Strong"/>
          <w:rFonts w:asciiTheme="minorHAnsi" w:hAnsiTheme="minorHAnsi"/>
          <w:b w:val="0"/>
          <w:bCs w:val="0"/>
          <w:sz w:val="24"/>
          <w:szCs w:val="24"/>
          <w:shd w:val="clear" w:color="auto" w:fill="FFFFFF"/>
        </w:rPr>
      </w:pPr>
      <w:r>
        <w:rPr>
          <w:rFonts w:asciiTheme="minorHAnsi" w:hAnsiTheme="minorHAnsi"/>
          <w:sz w:val="24"/>
          <w:szCs w:val="24"/>
        </w:rPr>
        <w:t>There we</w:t>
      </w:r>
      <w:r w:rsidR="00FB28F6" w:rsidRPr="00D45CDF">
        <w:rPr>
          <w:rFonts w:asciiTheme="minorHAnsi" w:hAnsiTheme="minorHAnsi"/>
          <w:sz w:val="24"/>
          <w:szCs w:val="24"/>
        </w:rPr>
        <w:t>re around seven hundred RELs who operate</w:t>
      </w:r>
      <w:r>
        <w:rPr>
          <w:rFonts w:asciiTheme="minorHAnsi" w:hAnsiTheme="minorHAnsi"/>
          <w:sz w:val="24"/>
          <w:szCs w:val="24"/>
        </w:rPr>
        <w:t>d</w:t>
      </w:r>
      <w:r w:rsidR="00FB28F6" w:rsidRPr="00D45CDF">
        <w:rPr>
          <w:rFonts w:asciiTheme="minorHAnsi" w:hAnsiTheme="minorHAnsi"/>
          <w:sz w:val="24"/>
          <w:szCs w:val="24"/>
        </w:rPr>
        <w:t xml:space="preserve"> on a permanent basis in England and Wales</w:t>
      </w:r>
      <w:r>
        <w:rPr>
          <w:rFonts w:asciiTheme="minorHAnsi" w:hAnsiTheme="minorHAnsi"/>
          <w:sz w:val="24"/>
          <w:szCs w:val="24"/>
        </w:rPr>
        <w:t xml:space="preserve"> in 2018</w:t>
      </w:r>
      <w:r w:rsidR="00FB28F6" w:rsidRPr="00D45CDF">
        <w:rPr>
          <w:rFonts w:asciiTheme="minorHAnsi" w:hAnsiTheme="minorHAnsi"/>
          <w:sz w:val="24"/>
          <w:szCs w:val="24"/>
        </w:rPr>
        <w:t>.</w:t>
      </w:r>
      <w:r w:rsidR="00FB28F6" w:rsidRPr="00D45CDF">
        <w:rPr>
          <w:rStyle w:val="FootnoteReference"/>
          <w:rFonts w:asciiTheme="minorHAnsi" w:hAnsiTheme="minorHAnsi"/>
          <w:sz w:val="24"/>
          <w:szCs w:val="24"/>
        </w:rPr>
        <w:footnoteReference w:id="69"/>
      </w:r>
      <w:r w:rsidR="00FB28F6" w:rsidRPr="00D45CDF">
        <w:rPr>
          <w:rFonts w:asciiTheme="minorHAnsi" w:hAnsiTheme="minorHAnsi"/>
          <w:sz w:val="24"/>
          <w:szCs w:val="24"/>
        </w:rPr>
        <w:t xml:space="preserve"> This signifie</w:t>
      </w:r>
      <w:r>
        <w:rPr>
          <w:rFonts w:asciiTheme="minorHAnsi" w:hAnsiTheme="minorHAnsi"/>
          <w:sz w:val="24"/>
          <w:szCs w:val="24"/>
        </w:rPr>
        <w:t>d</w:t>
      </w:r>
      <w:r w:rsidR="00FB28F6" w:rsidRPr="00D45CDF">
        <w:rPr>
          <w:rFonts w:asciiTheme="minorHAnsi" w:hAnsiTheme="minorHAnsi"/>
          <w:sz w:val="24"/>
          <w:szCs w:val="24"/>
        </w:rPr>
        <w:t xml:space="preserve"> </w:t>
      </w:r>
      <w:r w:rsidR="00FB28F6" w:rsidRPr="00D45CDF">
        <w:rPr>
          <w:rFonts w:asciiTheme="minorHAnsi" w:hAnsiTheme="minorHAnsi"/>
          <w:sz w:val="24"/>
          <w:szCs w:val="24"/>
          <w:shd w:val="clear" w:color="auto" w:fill="FFFFFF"/>
        </w:rPr>
        <w:t>‘maintaining a regular practice as a lawyer in the UK’</w:t>
      </w:r>
      <w:r w:rsidR="00FB28F6" w:rsidRPr="00D45CDF">
        <w:rPr>
          <w:rStyle w:val="FootnoteReference"/>
          <w:rFonts w:asciiTheme="minorHAnsi" w:hAnsiTheme="minorHAnsi"/>
          <w:sz w:val="24"/>
          <w:szCs w:val="24"/>
          <w:shd w:val="clear" w:color="auto" w:fill="FFFFFF"/>
        </w:rPr>
        <w:footnoteReference w:id="70"/>
      </w:r>
      <w:r w:rsidR="00FB28F6" w:rsidRPr="00D45CDF">
        <w:rPr>
          <w:rFonts w:asciiTheme="minorHAnsi" w:hAnsiTheme="minorHAnsi"/>
          <w:sz w:val="24"/>
          <w:szCs w:val="24"/>
          <w:shd w:val="clear" w:color="auto" w:fill="FFFFFF"/>
        </w:rPr>
        <w:t>,</w:t>
      </w:r>
      <w:r w:rsidR="00FB28F6" w:rsidRPr="00D45CDF">
        <w:rPr>
          <w:rFonts w:asciiTheme="minorHAnsi" w:hAnsiTheme="minorHAnsi"/>
          <w:sz w:val="24"/>
          <w:szCs w:val="24"/>
        </w:rPr>
        <w:t xml:space="preserve"> </w:t>
      </w:r>
      <w:r w:rsidR="009803A3" w:rsidRPr="00D45CDF">
        <w:rPr>
          <w:rFonts w:asciiTheme="minorHAnsi" w:hAnsiTheme="minorHAnsi"/>
          <w:sz w:val="24"/>
          <w:szCs w:val="24"/>
        </w:rPr>
        <w:t>e.g.</w:t>
      </w:r>
      <w:r w:rsidR="00FB28F6" w:rsidRPr="00D45CDF">
        <w:rPr>
          <w:rFonts w:asciiTheme="minorHAnsi" w:hAnsiTheme="minorHAnsi"/>
          <w:sz w:val="24"/>
          <w:szCs w:val="24"/>
        </w:rPr>
        <w:t xml:space="preserve"> </w:t>
      </w:r>
      <w:r w:rsidR="00FB28F6" w:rsidRPr="00D45CDF">
        <w:rPr>
          <w:rFonts w:asciiTheme="minorHAnsi" w:hAnsiTheme="minorHAnsi"/>
          <w:sz w:val="24"/>
          <w:szCs w:val="24"/>
        </w:rPr>
        <w:lastRenderedPageBreak/>
        <w:t>working there two days a week or more.</w:t>
      </w:r>
      <w:r w:rsidR="00CF5FBF" w:rsidRPr="00D45CDF">
        <w:rPr>
          <w:rStyle w:val="FootnoteReference"/>
          <w:rFonts w:asciiTheme="minorHAnsi" w:hAnsiTheme="minorHAnsi"/>
          <w:sz w:val="24"/>
          <w:szCs w:val="24"/>
        </w:rPr>
        <w:footnoteReference w:id="71"/>
      </w:r>
      <w:r w:rsidR="00FB28F6" w:rsidRPr="00D45CDF">
        <w:rPr>
          <w:rFonts w:asciiTheme="minorHAnsi" w:hAnsiTheme="minorHAnsi"/>
          <w:sz w:val="24"/>
          <w:szCs w:val="24"/>
        </w:rPr>
        <w:t xml:space="preserve"> They </w:t>
      </w:r>
      <w:r>
        <w:rPr>
          <w:rFonts w:asciiTheme="minorHAnsi" w:hAnsiTheme="minorHAnsi"/>
          <w:sz w:val="24"/>
          <w:szCs w:val="24"/>
        </w:rPr>
        <w:t>had to</w:t>
      </w:r>
      <w:r w:rsidR="00FB28F6" w:rsidRPr="00D45CDF">
        <w:rPr>
          <w:rFonts w:asciiTheme="minorHAnsi" w:hAnsiTheme="minorHAnsi"/>
          <w:sz w:val="24"/>
          <w:szCs w:val="24"/>
        </w:rPr>
        <w:t xml:space="preserve"> practise under their home professional titles</w:t>
      </w:r>
      <w:r w:rsidR="00FB28F6" w:rsidRPr="00D45CDF">
        <w:rPr>
          <w:rStyle w:val="FootnoteReference"/>
          <w:rFonts w:asciiTheme="minorHAnsi" w:hAnsiTheme="minorHAnsi"/>
          <w:sz w:val="24"/>
          <w:szCs w:val="24"/>
        </w:rPr>
        <w:footnoteReference w:id="72"/>
      </w:r>
      <w:r w:rsidR="00FB28F6" w:rsidRPr="00D45CDF">
        <w:rPr>
          <w:rFonts w:asciiTheme="minorHAnsi" w:hAnsiTheme="minorHAnsi"/>
          <w:sz w:val="24"/>
          <w:szCs w:val="24"/>
        </w:rPr>
        <w:t xml:space="preserve"> in order to ensure transparency for clients as to their legal training</w:t>
      </w:r>
      <w:r w:rsidR="000123F1" w:rsidRPr="00D45CDF">
        <w:rPr>
          <w:rFonts w:asciiTheme="minorHAnsi" w:hAnsiTheme="minorHAnsi"/>
          <w:sz w:val="24"/>
          <w:szCs w:val="24"/>
        </w:rPr>
        <w:t>,</w:t>
      </w:r>
      <w:r w:rsidR="00FB28F6" w:rsidRPr="00D45CDF">
        <w:rPr>
          <w:rStyle w:val="FootnoteReference"/>
          <w:rFonts w:asciiTheme="minorHAnsi" w:hAnsiTheme="minorHAnsi"/>
          <w:sz w:val="24"/>
          <w:szCs w:val="24"/>
        </w:rPr>
        <w:footnoteReference w:id="73"/>
      </w:r>
      <w:r w:rsidR="00FB28F6" w:rsidRPr="00D45CDF">
        <w:rPr>
          <w:rFonts w:asciiTheme="minorHAnsi" w:eastAsiaTheme="minorHAnsi" w:hAnsiTheme="minorHAnsi"/>
          <w:sz w:val="24"/>
          <w:szCs w:val="24"/>
          <w:lang w:eastAsia="en-US"/>
        </w:rPr>
        <w:t xml:space="preserve"> and </w:t>
      </w:r>
      <w:r>
        <w:rPr>
          <w:rFonts w:asciiTheme="minorHAnsi" w:eastAsiaTheme="minorHAnsi" w:hAnsiTheme="minorHAnsi"/>
          <w:sz w:val="24"/>
          <w:szCs w:val="24"/>
          <w:lang w:eastAsia="en-US"/>
        </w:rPr>
        <w:t>could</w:t>
      </w:r>
      <w:r w:rsidR="00FB28F6" w:rsidRPr="00D45CDF">
        <w:rPr>
          <w:rFonts w:asciiTheme="minorHAnsi" w:eastAsiaTheme="minorHAnsi" w:hAnsiTheme="minorHAnsi"/>
          <w:sz w:val="24"/>
          <w:szCs w:val="24"/>
          <w:lang w:eastAsia="en-US"/>
        </w:rPr>
        <w:t xml:space="preserve"> advi</w:t>
      </w:r>
      <w:r>
        <w:rPr>
          <w:rFonts w:asciiTheme="minorHAnsi" w:eastAsiaTheme="minorHAnsi" w:hAnsiTheme="minorHAnsi"/>
          <w:sz w:val="24"/>
          <w:szCs w:val="24"/>
          <w:lang w:eastAsia="en-US"/>
        </w:rPr>
        <w:t>s</w:t>
      </w:r>
      <w:r w:rsidR="00FB28F6" w:rsidRPr="00D45CDF">
        <w:rPr>
          <w:rFonts w:asciiTheme="minorHAnsi" w:eastAsiaTheme="minorHAnsi" w:hAnsiTheme="minorHAnsi"/>
          <w:sz w:val="24"/>
          <w:szCs w:val="24"/>
          <w:lang w:eastAsia="en-US"/>
        </w:rPr>
        <w:t>e on the law of their home member state, on EU law, international law and on the law of the host member state.</w:t>
      </w:r>
      <w:r w:rsidR="00FB28F6" w:rsidRPr="00D45CDF">
        <w:rPr>
          <w:rStyle w:val="FootnoteReference"/>
          <w:rFonts w:asciiTheme="minorHAnsi" w:eastAsiaTheme="minorHAnsi" w:hAnsiTheme="minorHAnsi"/>
          <w:sz w:val="24"/>
          <w:szCs w:val="24"/>
          <w:lang w:eastAsia="en-US"/>
        </w:rPr>
        <w:footnoteReference w:id="74"/>
      </w:r>
      <w:r w:rsidR="00FB28F6" w:rsidRPr="00D45CDF">
        <w:rPr>
          <w:rFonts w:asciiTheme="minorHAnsi" w:eastAsiaTheme="minorHAnsi" w:hAnsiTheme="minorHAnsi"/>
          <w:sz w:val="24"/>
          <w:szCs w:val="24"/>
          <w:lang w:eastAsia="en-US"/>
        </w:rPr>
        <w:t xml:space="preserve"> They </w:t>
      </w:r>
      <w:r>
        <w:rPr>
          <w:rFonts w:asciiTheme="minorHAnsi" w:eastAsiaTheme="minorHAnsi" w:hAnsiTheme="minorHAnsi"/>
          <w:sz w:val="24"/>
          <w:szCs w:val="24"/>
          <w:lang w:eastAsia="en-US"/>
        </w:rPr>
        <w:t>we</w:t>
      </w:r>
      <w:r w:rsidR="00FB28F6" w:rsidRPr="00D45CDF">
        <w:rPr>
          <w:rFonts w:asciiTheme="minorHAnsi" w:hAnsiTheme="minorHAnsi"/>
          <w:sz w:val="24"/>
          <w:szCs w:val="24"/>
        </w:rPr>
        <w:t xml:space="preserve">re entitled to provide the full range of legal services, including the right to provide reserved legal services and to work as sole practitioners. </w:t>
      </w:r>
      <w:r>
        <w:rPr>
          <w:rFonts w:asciiTheme="minorHAnsi" w:hAnsiTheme="minorHAnsi"/>
          <w:sz w:val="24"/>
          <w:szCs w:val="24"/>
        </w:rPr>
        <w:t>I</w:t>
      </w:r>
      <w:r w:rsidR="00DF1386" w:rsidRPr="00D45CDF">
        <w:rPr>
          <w:rFonts w:asciiTheme="minorHAnsi" w:eastAsiaTheme="minorHAnsi" w:hAnsiTheme="minorHAnsi"/>
          <w:sz w:val="24"/>
          <w:szCs w:val="24"/>
          <w:lang w:eastAsia="en-US"/>
        </w:rPr>
        <w:t>t may seem somewhat alarming that</w:t>
      </w:r>
      <w:r w:rsidR="00DF1386" w:rsidRPr="00D45CDF">
        <w:rPr>
          <w:rFonts w:asciiTheme="minorHAnsi" w:hAnsiTheme="minorHAnsi"/>
          <w:sz w:val="24"/>
          <w:szCs w:val="24"/>
        </w:rPr>
        <w:t xml:space="preserve"> </w:t>
      </w:r>
      <w:r w:rsidR="00DF1386" w:rsidRPr="00D45CDF">
        <w:rPr>
          <w:rFonts w:asciiTheme="minorHAnsi" w:eastAsiaTheme="minorHAnsi" w:hAnsiTheme="minorHAnsi"/>
          <w:sz w:val="24"/>
          <w:szCs w:val="24"/>
          <w:lang w:eastAsia="en-US"/>
        </w:rPr>
        <w:t>lawyers can carry out under their home country professional title all the activities of lawyers in the host State</w:t>
      </w:r>
      <w:r w:rsidRPr="00E0597A">
        <w:rPr>
          <w:rFonts w:asciiTheme="minorHAnsi" w:eastAsiaTheme="minorHAnsi" w:hAnsiTheme="minorHAnsi"/>
          <w:sz w:val="24"/>
          <w:szCs w:val="24"/>
          <w:lang w:eastAsia="en-US"/>
        </w:rPr>
        <w:t xml:space="preserve"> </w:t>
      </w:r>
      <w:r>
        <w:rPr>
          <w:rFonts w:asciiTheme="minorHAnsi" w:eastAsiaTheme="minorHAnsi" w:hAnsiTheme="minorHAnsi"/>
          <w:sz w:val="24"/>
          <w:szCs w:val="24"/>
          <w:lang w:eastAsia="en-US"/>
        </w:rPr>
        <w:t xml:space="preserve">with </w:t>
      </w:r>
      <w:r w:rsidRPr="00D45CDF">
        <w:rPr>
          <w:rFonts w:asciiTheme="minorHAnsi" w:eastAsiaTheme="minorHAnsi" w:hAnsiTheme="minorHAnsi"/>
          <w:sz w:val="24"/>
          <w:szCs w:val="24"/>
          <w:lang w:eastAsia="en-US"/>
        </w:rPr>
        <w:t>no training in host state law,</w:t>
      </w:r>
      <w:r w:rsidR="00402947" w:rsidRPr="00D45CDF">
        <w:rPr>
          <w:rFonts w:asciiTheme="minorHAnsi" w:eastAsiaTheme="minorHAnsi" w:hAnsiTheme="minorHAnsi"/>
          <w:sz w:val="24"/>
          <w:szCs w:val="24"/>
          <w:lang w:eastAsia="en-US"/>
        </w:rPr>
        <w:t xml:space="preserve"> b</w:t>
      </w:r>
      <w:r w:rsidR="00DF1386" w:rsidRPr="00D45CDF">
        <w:rPr>
          <w:rFonts w:asciiTheme="minorHAnsi" w:eastAsiaTheme="minorHAnsi" w:hAnsiTheme="minorHAnsi"/>
          <w:sz w:val="24"/>
          <w:szCs w:val="24"/>
          <w:lang w:eastAsia="en-US"/>
        </w:rPr>
        <w:t xml:space="preserve">ut this possibility already existed in some </w:t>
      </w:r>
      <w:r w:rsidR="001D6D90" w:rsidRPr="00D45CDF">
        <w:rPr>
          <w:rFonts w:asciiTheme="minorHAnsi" w:eastAsiaTheme="minorHAnsi" w:hAnsiTheme="minorHAnsi"/>
          <w:sz w:val="24"/>
          <w:szCs w:val="24"/>
          <w:lang w:eastAsia="en-US"/>
        </w:rPr>
        <w:t>Member States</w:t>
      </w:r>
      <w:r w:rsidR="00DF1386" w:rsidRPr="00D45CDF">
        <w:rPr>
          <w:rFonts w:asciiTheme="minorHAnsi" w:eastAsiaTheme="minorHAnsi" w:hAnsiTheme="minorHAnsi"/>
          <w:sz w:val="24"/>
          <w:szCs w:val="24"/>
          <w:lang w:eastAsia="en-US"/>
        </w:rPr>
        <w:t xml:space="preserve"> before the </w:t>
      </w:r>
      <w:r w:rsidR="00BB5044" w:rsidRPr="00D45CDF">
        <w:rPr>
          <w:rFonts w:asciiTheme="minorHAnsi" w:eastAsiaTheme="minorHAnsi" w:hAnsiTheme="minorHAnsi"/>
          <w:sz w:val="24"/>
          <w:szCs w:val="24"/>
          <w:lang w:eastAsia="en-US"/>
        </w:rPr>
        <w:t>Lawyers</w:t>
      </w:r>
      <w:r w:rsidR="00967F2E" w:rsidRPr="00D45CDF">
        <w:rPr>
          <w:rFonts w:asciiTheme="minorHAnsi" w:eastAsiaTheme="minorHAnsi" w:hAnsiTheme="minorHAnsi"/>
          <w:sz w:val="24"/>
          <w:szCs w:val="24"/>
          <w:lang w:eastAsia="en-US"/>
        </w:rPr>
        <w:t>’</w:t>
      </w:r>
      <w:r w:rsidR="00BB5044" w:rsidRPr="00D45CDF">
        <w:rPr>
          <w:rFonts w:asciiTheme="minorHAnsi" w:eastAsiaTheme="minorHAnsi" w:hAnsiTheme="minorHAnsi"/>
          <w:sz w:val="24"/>
          <w:szCs w:val="24"/>
          <w:lang w:eastAsia="en-US"/>
        </w:rPr>
        <w:t xml:space="preserve"> </w:t>
      </w:r>
      <w:r w:rsidR="001B3BBE" w:rsidRPr="00D45CDF">
        <w:rPr>
          <w:rFonts w:asciiTheme="minorHAnsi" w:eastAsiaTheme="minorHAnsi" w:hAnsiTheme="minorHAnsi"/>
          <w:sz w:val="24"/>
          <w:szCs w:val="24"/>
          <w:lang w:eastAsia="en-US"/>
        </w:rPr>
        <w:t xml:space="preserve">Establishment </w:t>
      </w:r>
      <w:r w:rsidR="00DF1386" w:rsidRPr="00D45CDF">
        <w:rPr>
          <w:rFonts w:asciiTheme="minorHAnsi" w:eastAsiaTheme="minorHAnsi" w:hAnsiTheme="minorHAnsi"/>
          <w:sz w:val="24"/>
          <w:szCs w:val="24"/>
          <w:lang w:eastAsia="en-US"/>
        </w:rPr>
        <w:t>Directive was adopted, and the aim</w:t>
      </w:r>
      <w:r w:rsidR="001B3BBE" w:rsidRPr="00D45CDF">
        <w:rPr>
          <w:rFonts w:asciiTheme="minorHAnsi" w:eastAsiaTheme="minorHAnsi" w:hAnsiTheme="minorHAnsi"/>
          <w:sz w:val="24"/>
          <w:szCs w:val="24"/>
          <w:lang w:eastAsia="en-US"/>
        </w:rPr>
        <w:t xml:space="preserve"> of the Directive </w:t>
      </w:r>
      <w:r w:rsidR="00DF1386" w:rsidRPr="00D45CDF">
        <w:rPr>
          <w:rFonts w:asciiTheme="minorHAnsi" w:eastAsiaTheme="minorHAnsi" w:hAnsiTheme="minorHAnsi"/>
          <w:sz w:val="24"/>
          <w:szCs w:val="24"/>
          <w:lang w:eastAsia="en-US"/>
        </w:rPr>
        <w:t xml:space="preserve">was to eliminate </w:t>
      </w:r>
      <w:r w:rsidR="001B3BBE" w:rsidRPr="00D45CDF">
        <w:rPr>
          <w:rFonts w:asciiTheme="minorHAnsi" w:eastAsiaTheme="minorHAnsi" w:hAnsiTheme="minorHAnsi"/>
          <w:sz w:val="24"/>
          <w:szCs w:val="24"/>
          <w:lang w:eastAsia="en-US"/>
        </w:rPr>
        <w:t xml:space="preserve">unfair </w:t>
      </w:r>
      <w:r w:rsidR="00DF1386" w:rsidRPr="00D45CDF">
        <w:rPr>
          <w:rFonts w:asciiTheme="minorHAnsi" w:eastAsiaTheme="minorHAnsi" w:hAnsiTheme="minorHAnsi"/>
          <w:sz w:val="24"/>
          <w:szCs w:val="24"/>
          <w:lang w:eastAsia="en-US"/>
        </w:rPr>
        <w:t xml:space="preserve">distortions of competition between lawyers in the </w:t>
      </w:r>
      <w:r w:rsidR="001B3BBE" w:rsidRPr="00D45CDF">
        <w:rPr>
          <w:rFonts w:asciiTheme="minorHAnsi" w:eastAsiaTheme="minorHAnsi" w:hAnsiTheme="minorHAnsi"/>
          <w:sz w:val="24"/>
          <w:szCs w:val="24"/>
          <w:lang w:eastAsia="en-US"/>
        </w:rPr>
        <w:t>European</w:t>
      </w:r>
      <w:r w:rsidR="00EE1F57" w:rsidRPr="00D45CDF">
        <w:rPr>
          <w:rFonts w:asciiTheme="minorHAnsi" w:eastAsiaTheme="minorHAnsi" w:hAnsiTheme="minorHAnsi"/>
          <w:sz w:val="24"/>
          <w:szCs w:val="24"/>
          <w:lang w:eastAsia="en-US"/>
        </w:rPr>
        <w:t xml:space="preserve"> Union</w:t>
      </w:r>
      <w:r w:rsidR="00DF1386" w:rsidRPr="00D45CDF">
        <w:rPr>
          <w:rFonts w:asciiTheme="minorHAnsi" w:eastAsiaTheme="minorHAnsi" w:hAnsiTheme="minorHAnsi"/>
          <w:sz w:val="24"/>
          <w:szCs w:val="24"/>
          <w:lang w:eastAsia="en-US"/>
        </w:rPr>
        <w:t>.</w:t>
      </w:r>
      <w:r w:rsidR="000123F1" w:rsidRPr="00D45CDF">
        <w:rPr>
          <w:rStyle w:val="FootnoteReference"/>
          <w:rFonts w:asciiTheme="minorHAnsi" w:eastAsiaTheme="minorHAnsi" w:hAnsiTheme="minorHAnsi"/>
          <w:sz w:val="24"/>
          <w:szCs w:val="24"/>
          <w:lang w:eastAsia="en-US"/>
        </w:rPr>
        <w:footnoteReference w:id="75"/>
      </w:r>
      <w:r w:rsidR="000123F1" w:rsidRPr="00D45CDF">
        <w:rPr>
          <w:rFonts w:asciiTheme="minorHAnsi" w:eastAsiaTheme="minorHAnsi" w:hAnsiTheme="minorHAnsi"/>
          <w:sz w:val="24"/>
          <w:szCs w:val="24"/>
          <w:lang w:eastAsia="en-US"/>
        </w:rPr>
        <w:t xml:space="preserve"> </w:t>
      </w:r>
      <w:r w:rsidR="00DF1386" w:rsidRPr="00D45CDF">
        <w:rPr>
          <w:rFonts w:asciiTheme="minorHAnsi" w:eastAsiaTheme="minorHAnsi" w:hAnsiTheme="minorHAnsi" w:cs="AdvPS8585"/>
          <w:sz w:val="24"/>
          <w:szCs w:val="24"/>
          <w:lang w:eastAsia="en-US"/>
        </w:rPr>
        <w:t xml:space="preserve"> </w:t>
      </w:r>
      <w:r w:rsidR="00FB28F6" w:rsidRPr="00D45CDF">
        <w:rPr>
          <w:rFonts w:asciiTheme="minorHAnsi" w:hAnsiTheme="minorHAnsi"/>
          <w:sz w:val="24"/>
          <w:szCs w:val="24"/>
        </w:rPr>
        <w:t>For certain activities,</w:t>
      </w:r>
      <w:r w:rsidR="00FB28F6" w:rsidRPr="00D45CDF">
        <w:rPr>
          <w:rStyle w:val="Strong"/>
          <w:rFonts w:asciiTheme="minorHAnsi" w:hAnsiTheme="minorHAnsi"/>
          <w:b w:val="0"/>
          <w:bCs w:val="0"/>
          <w:sz w:val="24"/>
          <w:szCs w:val="24"/>
          <w:shd w:val="clear" w:color="auto" w:fill="FFFFFF"/>
        </w:rPr>
        <w:t xml:space="preserve"> there </w:t>
      </w:r>
      <w:r>
        <w:rPr>
          <w:rStyle w:val="Strong"/>
          <w:rFonts w:asciiTheme="minorHAnsi" w:hAnsiTheme="minorHAnsi"/>
          <w:b w:val="0"/>
          <w:bCs w:val="0"/>
          <w:sz w:val="24"/>
          <w:szCs w:val="24"/>
          <w:shd w:val="clear" w:color="auto" w:fill="FFFFFF"/>
        </w:rPr>
        <w:t>was</w:t>
      </w:r>
      <w:r w:rsidR="00FB28F6" w:rsidRPr="00D45CDF">
        <w:rPr>
          <w:rStyle w:val="Strong"/>
          <w:rFonts w:asciiTheme="minorHAnsi" w:hAnsiTheme="minorHAnsi"/>
          <w:b w:val="0"/>
          <w:bCs w:val="0"/>
          <w:sz w:val="24"/>
          <w:szCs w:val="24"/>
          <w:shd w:val="clear" w:color="auto" w:fill="FFFFFF"/>
        </w:rPr>
        <w:t xml:space="preserve"> an obligation to work </w:t>
      </w:r>
      <w:r w:rsidR="00FB28F6" w:rsidRPr="00D45CDF">
        <w:rPr>
          <w:rFonts w:asciiTheme="minorHAnsi" w:hAnsiTheme="minorHAnsi"/>
          <w:sz w:val="24"/>
          <w:szCs w:val="24"/>
        </w:rPr>
        <w:t xml:space="preserve">in conjunction with a solicitor or barrister who has qualified in England and Wales, since some areas of practice, such as representing a client in court, </w:t>
      </w:r>
      <w:r w:rsidR="00A11CD6" w:rsidRPr="00D45CDF">
        <w:rPr>
          <w:rFonts w:asciiTheme="minorHAnsi" w:hAnsiTheme="minorHAnsi"/>
          <w:sz w:val="24"/>
          <w:szCs w:val="24"/>
        </w:rPr>
        <w:t xml:space="preserve">completing </w:t>
      </w:r>
      <w:r w:rsidR="00FB28F6" w:rsidRPr="00D45CDF">
        <w:rPr>
          <w:rFonts w:asciiTheme="minorHAnsi" w:hAnsiTheme="minorHAnsi"/>
          <w:sz w:val="24"/>
          <w:szCs w:val="24"/>
        </w:rPr>
        <w:t>land transfers and probate court forms, are reserved to lawyers with a home professional title</w:t>
      </w:r>
      <w:r w:rsidR="005C30B6" w:rsidRPr="00D45CDF">
        <w:rPr>
          <w:rFonts w:asciiTheme="minorHAnsi" w:hAnsiTheme="minorHAnsi"/>
          <w:sz w:val="24"/>
          <w:szCs w:val="24"/>
        </w:rPr>
        <w:t>,</w:t>
      </w:r>
      <w:r w:rsidR="00FB28F6" w:rsidRPr="00D45CDF">
        <w:rPr>
          <w:rStyle w:val="FootnoteReference"/>
          <w:rFonts w:asciiTheme="minorHAnsi" w:hAnsiTheme="minorHAnsi"/>
          <w:sz w:val="24"/>
          <w:szCs w:val="24"/>
        </w:rPr>
        <w:footnoteReference w:id="76"/>
      </w:r>
      <w:r w:rsidR="00FB28F6" w:rsidRPr="00D45CDF">
        <w:rPr>
          <w:rStyle w:val="Strong"/>
          <w:rFonts w:asciiTheme="minorHAnsi" w:hAnsiTheme="minorHAnsi"/>
          <w:b w:val="0"/>
          <w:bCs w:val="0"/>
          <w:sz w:val="24"/>
          <w:szCs w:val="24"/>
          <w:shd w:val="clear" w:color="auto" w:fill="FFFFFF"/>
        </w:rPr>
        <w:t xml:space="preserve"> </w:t>
      </w:r>
      <w:r>
        <w:rPr>
          <w:rStyle w:val="Strong"/>
          <w:rFonts w:asciiTheme="minorHAnsi" w:hAnsiTheme="minorHAnsi"/>
          <w:b w:val="0"/>
          <w:bCs w:val="0"/>
          <w:sz w:val="24"/>
          <w:szCs w:val="24"/>
          <w:shd w:val="clear" w:color="auto" w:fill="FFFFFF"/>
        </w:rPr>
        <w:t>and this wa</w:t>
      </w:r>
      <w:r w:rsidR="00E76F34" w:rsidRPr="00D45CDF">
        <w:rPr>
          <w:rStyle w:val="Strong"/>
          <w:rFonts w:asciiTheme="minorHAnsi" w:hAnsiTheme="minorHAnsi"/>
          <w:b w:val="0"/>
          <w:bCs w:val="0"/>
          <w:sz w:val="24"/>
          <w:szCs w:val="24"/>
          <w:shd w:val="clear" w:color="auto" w:fill="FFFFFF"/>
        </w:rPr>
        <w:t xml:space="preserve">s </w:t>
      </w:r>
      <w:r w:rsidR="00551920" w:rsidRPr="00D45CDF">
        <w:rPr>
          <w:rStyle w:val="Strong"/>
          <w:rFonts w:asciiTheme="minorHAnsi" w:hAnsiTheme="minorHAnsi"/>
          <w:b w:val="0"/>
          <w:bCs w:val="0"/>
          <w:sz w:val="24"/>
          <w:szCs w:val="24"/>
          <w:shd w:val="clear" w:color="auto" w:fill="FFFFFF"/>
        </w:rPr>
        <w:t>perceived</w:t>
      </w:r>
      <w:r w:rsidR="00E76F34" w:rsidRPr="00D45CDF">
        <w:rPr>
          <w:rStyle w:val="Strong"/>
          <w:rFonts w:asciiTheme="minorHAnsi" w:hAnsiTheme="minorHAnsi"/>
          <w:b w:val="0"/>
          <w:bCs w:val="0"/>
          <w:sz w:val="24"/>
          <w:szCs w:val="24"/>
          <w:shd w:val="clear" w:color="auto" w:fill="FFFFFF"/>
        </w:rPr>
        <w:t xml:space="preserve"> as </w:t>
      </w:r>
      <w:r w:rsidR="006B44B3" w:rsidRPr="00D45CDF">
        <w:rPr>
          <w:rStyle w:val="Strong"/>
          <w:rFonts w:asciiTheme="minorHAnsi" w:hAnsiTheme="minorHAnsi"/>
          <w:b w:val="0"/>
          <w:bCs w:val="0"/>
          <w:sz w:val="24"/>
          <w:szCs w:val="24"/>
          <w:shd w:val="clear" w:color="auto" w:fill="FFFFFF"/>
        </w:rPr>
        <w:t>add</w:t>
      </w:r>
      <w:r w:rsidR="00E76F34" w:rsidRPr="00D45CDF">
        <w:rPr>
          <w:rStyle w:val="Strong"/>
          <w:rFonts w:asciiTheme="minorHAnsi" w:hAnsiTheme="minorHAnsi"/>
          <w:b w:val="0"/>
          <w:bCs w:val="0"/>
          <w:sz w:val="24"/>
          <w:szCs w:val="24"/>
          <w:shd w:val="clear" w:color="auto" w:fill="FFFFFF"/>
        </w:rPr>
        <w:t>ing</w:t>
      </w:r>
      <w:r w:rsidR="006B44B3" w:rsidRPr="00D45CDF">
        <w:rPr>
          <w:rStyle w:val="Strong"/>
          <w:rFonts w:asciiTheme="minorHAnsi" w:hAnsiTheme="minorHAnsi"/>
          <w:b w:val="0"/>
          <w:bCs w:val="0"/>
          <w:sz w:val="24"/>
          <w:szCs w:val="24"/>
          <w:shd w:val="clear" w:color="auto" w:fill="FFFFFF"/>
        </w:rPr>
        <w:t xml:space="preserve"> an element of protection for the consumer. </w:t>
      </w:r>
    </w:p>
    <w:p w14:paraId="43FC3E1C" w14:textId="77777777" w:rsidR="00FB28F6" w:rsidRPr="00D45CDF" w:rsidRDefault="00BA268F" w:rsidP="001C5BA7">
      <w:pPr>
        <w:spacing w:before="240" w:line="240" w:lineRule="auto"/>
        <w:jc w:val="both"/>
        <w:rPr>
          <w:rFonts w:asciiTheme="minorHAnsi" w:hAnsiTheme="minorHAnsi"/>
          <w:sz w:val="24"/>
          <w:szCs w:val="24"/>
        </w:rPr>
      </w:pPr>
      <w:r w:rsidRPr="00D45CDF">
        <w:rPr>
          <w:rFonts w:asciiTheme="minorHAnsi" w:hAnsiTheme="minorHAnsi"/>
          <w:sz w:val="24"/>
          <w:szCs w:val="24"/>
        </w:rPr>
        <w:t>EU-qualified lawyers</w:t>
      </w:r>
      <w:r w:rsidR="00FB28F6" w:rsidRPr="00D45CDF">
        <w:rPr>
          <w:rFonts w:asciiTheme="minorHAnsi" w:hAnsiTheme="minorHAnsi"/>
          <w:sz w:val="24"/>
          <w:szCs w:val="24"/>
        </w:rPr>
        <w:t xml:space="preserve"> </w:t>
      </w:r>
      <w:r w:rsidR="00E0597A">
        <w:rPr>
          <w:rFonts w:asciiTheme="minorHAnsi" w:hAnsiTheme="minorHAnsi"/>
          <w:sz w:val="24"/>
          <w:szCs w:val="24"/>
        </w:rPr>
        <w:t>had to</w:t>
      </w:r>
      <w:r w:rsidR="00FB28F6" w:rsidRPr="00D45CDF">
        <w:rPr>
          <w:rFonts w:asciiTheme="minorHAnsi" w:hAnsiTheme="minorHAnsi"/>
          <w:sz w:val="24"/>
          <w:szCs w:val="24"/>
        </w:rPr>
        <w:t xml:space="preserve"> maintain their practising status/certificate in their home state in order to be able to register as a REL in the UK,</w:t>
      </w:r>
      <w:r w:rsidR="00FB28F6" w:rsidRPr="00D45CDF">
        <w:rPr>
          <w:rStyle w:val="FootnoteReference"/>
          <w:rFonts w:asciiTheme="minorHAnsi" w:hAnsiTheme="minorHAnsi"/>
          <w:sz w:val="24"/>
          <w:szCs w:val="24"/>
        </w:rPr>
        <w:footnoteReference w:id="77"/>
      </w:r>
      <w:r w:rsidR="00FB28F6" w:rsidRPr="00D45CDF">
        <w:rPr>
          <w:rFonts w:asciiTheme="minorHAnsi" w:hAnsiTheme="minorHAnsi"/>
          <w:sz w:val="24"/>
          <w:szCs w:val="24"/>
        </w:rPr>
        <w:t xml:space="preserve"> </w:t>
      </w:r>
      <w:r w:rsidR="00FB28F6" w:rsidRPr="00D45CDF">
        <w:rPr>
          <w:rStyle w:val="apple-converted-space"/>
          <w:rFonts w:asciiTheme="minorHAnsi" w:hAnsiTheme="minorHAnsi"/>
          <w:sz w:val="24"/>
          <w:szCs w:val="24"/>
          <w:shd w:val="clear" w:color="auto" w:fill="FFFFFF"/>
        </w:rPr>
        <w:t>and then</w:t>
      </w:r>
      <w:r w:rsidR="00CB2640" w:rsidRPr="00D45CDF">
        <w:rPr>
          <w:rStyle w:val="apple-converted-space"/>
          <w:rFonts w:asciiTheme="minorHAnsi" w:hAnsiTheme="minorHAnsi"/>
          <w:sz w:val="24"/>
          <w:szCs w:val="24"/>
          <w:shd w:val="clear" w:color="auto" w:fill="FFFFFF"/>
        </w:rPr>
        <w:t>,</w:t>
      </w:r>
      <w:r w:rsidR="00FB28F6" w:rsidRPr="00D45CDF">
        <w:rPr>
          <w:rStyle w:val="apple-converted-space"/>
          <w:rFonts w:asciiTheme="minorHAnsi" w:hAnsiTheme="minorHAnsi"/>
          <w:sz w:val="24"/>
          <w:szCs w:val="24"/>
          <w:shd w:val="clear" w:color="auto" w:fill="FFFFFF"/>
        </w:rPr>
        <w:t xml:space="preserve"> </w:t>
      </w:r>
      <w:r w:rsidR="00CB2640" w:rsidRPr="00D45CDF">
        <w:rPr>
          <w:rStyle w:val="apple-converted-space"/>
          <w:rFonts w:asciiTheme="minorHAnsi" w:hAnsiTheme="minorHAnsi"/>
          <w:sz w:val="24"/>
          <w:szCs w:val="24"/>
          <w:shd w:val="clear" w:color="auto" w:fill="FFFFFF"/>
        </w:rPr>
        <w:t xml:space="preserve">in England and Wales, </w:t>
      </w:r>
      <w:r w:rsidR="00FB28F6" w:rsidRPr="00D45CDF">
        <w:rPr>
          <w:rStyle w:val="apple-converted-space"/>
          <w:rFonts w:asciiTheme="minorHAnsi" w:hAnsiTheme="minorHAnsi"/>
          <w:sz w:val="24"/>
          <w:szCs w:val="24"/>
          <w:shd w:val="clear" w:color="auto" w:fill="FFFFFF"/>
        </w:rPr>
        <w:t xml:space="preserve">register with one of the lawyers’ professional bodies, the Law Society of England and Wales or the </w:t>
      </w:r>
      <w:r w:rsidR="00FB28F6" w:rsidRPr="00D45CDF">
        <w:rPr>
          <w:rFonts w:asciiTheme="minorHAnsi" w:hAnsiTheme="minorHAnsi"/>
          <w:sz w:val="24"/>
          <w:szCs w:val="24"/>
        </w:rPr>
        <w:t>Inns of Court and the General Council of the Bar of England and Wales</w:t>
      </w:r>
      <w:r w:rsidR="00FB28F6" w:rsidRPr="00D45CDF">
        <w:rPr>
          <w:rStyle w:val="Strong"/>
          <w:rFonts w:asciiTheme="minorHAnsi" w:hAnsiTheme="minorHAnsi"/>
          <w:b w:val="0"/>
          <w:bCs w:val="0"/>
          <w:sz w:val="24"/>
          <w:szCs w:val="24"/>
          <w:shd w:val="clear" w:color="auto" w:fill="FFFFFF"/>
        </w:rPr>
        <w:t>.</w:t>
      </w:r>
      <w:r w:rsidR="00FB28F6" w:rsidRPr="00D45CDF">
        <w:rPr>
          <w:rStyle w:val="FootnoteReference"/>
          <w:rFonts w:asciiTheme="minorHAnsi" w:hAnsiTheme="minorHAnsi"/>
          <w:sz w:val="24"/>
          <w:szCs w:val="24"/>
          <w:shd w:val="clear" w:color="auto" w:fill="FFFFFF"/>
        </w:rPr>
        <w:footnoteReference w:id="78"/>
      </w:r>
      <w:r w:rsidR="00FB28F6" w:rsidRPr="00D45CDF">
        <w:rPr>
          <w:rStyle w:val="Strong"/>
          <w:rFonts w:asciiTheme="minorHAnsi" w:hAnsiTheme="minorHAnsi"/>
          <w:b w:val="0"/>
          <w:bCs w:val="0"/>
          <w:sz w:val="24"/>
          <w:szCs w:val="24"/>
          <w:shd w:val="clear" w:color="auto" w:fill="FFFFFF"/>
        </w:rPr>
        <w:t xml:space="preserve"> They w</w:t>
      </w:r>
      <w:r w:rsidR="00AF6662">
        <w:rPr>
          <w:rStyle w:val="Strong"/>
          <w:rFonts w:asciiTheme="minorHAnsi" w:hAnsiTheme="minorHAnsi"/>
          <w:b w:val="0"/>
          <w:bCs w:val="0"/>
          <w:sz w:val="24"/>
          <w:szCs w:val="24"/>
          <w:shd w:val="clear" w:color="auto" w:fill="FFFFFF"/>
        </w:rPr>
        <w:t>ere</w:t>
      </w:r>
      <w:r w:rsidR="00FB28F6" w:rsidRPr="00D45CDF">
        <w:rPr>
          <w:rStyle w:val="Strong"/>
          <w:rFonts w:asciiTheme="minorHAnsi" w:hAnsiTheme="minorHAnsi"/>
          <w:b w:val="0"/>
          <w:bCs w:val="0"/>
          <w:sz w:val="24"/>
          <w:szCs w:val="24"/>
          <w:shd w:val="clear" w:color="auto" w:fill="FFFFFF"/>
        </w:rPr>
        <w:t xml:space="preserve"> then  subject to the same Code of Conduct as home qualified solicitors and barristers.</w:t>
      </w:r>
      <w:r w:rsidR="00FB28F6" w:rsidRPr="00D45CDF">
        <w:rPr>
          <w:rStyle w:val="FootnoteReference"/>
          <w:rFonts w:asciiTheme="minorHAnsi" w:hAnsiTheme="minorHAnsi"/>
          <w:sz w:val="24"/>
          <w:szCs w:val="24"/>
          <w:shd w:val="clear" w:color="auto" w:fill="FFFFFF"/>
        </w:rPr>
        <w:footnoteReference w:id="79"/>
      </w:r>
      <w:r w:rsidR="00FB28F6" w:rsidRPr="00D45CDF">
        <w:rPr>
          <w:rStyle w:val="Strong"/>
          <w:rFonts w:asciiTheme="minorHAnsi" w:hAnsiTheme="minorHAnsi"/>
          <w:b w:val="0"/>
          <w:bCs w:val="0"/>
          <w:sz w:val="24"/>
          <w:szCs w:val="24"/>
          <w:shd w:val="clear" w:color="auto" w:fill="FFFFFF"/>
        </w:rPr>
        <w:t xml:space="preserve"> They </w:t>
      </w:r>
      <w:r w:rsidR="00AF6662">
        <w:rPr>
          <w:rStyle w:val="Strong"/>
          <w:rFonts w:asciiTheme="minorHAnsi" w:hAnsiTheme="minorHAnsi"/>
          <w:b w:val="0"/>
          <w:bCs w:val="0"/>
          <w:sz w:val="24"/>
          <w:szCs w:val="24"/>
          <w:shd w:val="clear" w:color="auto" w:fill="FFFFFF"/>
        </w:rPr>
        <w:t>we</w:t>
      </w:r>
      <w:r w:rsidR="00FB28F6" w:rsidRPr="00D45CDF">
        <w:rPr>
          <w:rStyle w:val="Strong"/>
          <w:rFonts w:asciiTheme="minorHAnsi" w:hAnsiTheme="minorHAnsi"/>
          <w:b w:val="0"/>
          <w:bCs w:val="0"/>
          <w:sz w:val="24"/>
          <w:szCs w:val="24"/>
          <w:shd w:val="clear" w:color="auto" w:fill="FFFFFF"/>
        </w:rPr>
        <w:t>re thus subject to two professional codes of conduct, the code of their home state and their host state, in respect of all activities carried out in the host state, a phenomenon known as ‘double deontology’.</w:t>
      </w:r>
      <w:r w:rsidR="009B1EB4" w:rsidRPr="00D45CDF">
        <w:rPr>
          <w:rStyle w:val="FootnoteReference"/>
          <w:rFonts w:asciiTheme="minorHAnsi" w:hAnsiTheme="minorHAnsi"/>
          <w:sz w:val="24"/>
          <w:szCs w:val="24"/>
          <w:shd w:val="clear" w:color="auto" w:fill="FFFFFF"/>
        </w:rPr>
        <w:footnoteReference w:id="80"/>
      </w:r>
      <w:r w:rsidR="00FB28F6" w:rsidRPr="00D45CDF">
        <w:rPr>
          <w:rFonts w:asciiTheme="minorHAnsi" w:hAnsiTheme="minorHAnsi"/>
          <w:sz w:val="24"/>
          <w:szCs w:val="24"/>
        </w:rPr>
        <w:t xml:space="preserve"> </w:t>
      </w:r>
    </w:p>
    <w:p w14:paraId="3EE7856C" w14:textId="77777777" w:rsidR="00FB28F6" w:rsidRDefault="00F17BB2" w:rsidP="001C5BA7">
      <w:pPr>
        <w:spacing w:line="240" w:lineRule="auto"/>
        <w:jc w:val="both"/>
        <w:rPr>
          <w:rFonts w:asciiTheme="minorHAnsi" w:hAnsiTheme="minorHAnsi"/>
          <w:sz w:val="24"/>
          <w:szCs w:val="24"/>
        </w:rPr>
      </w:pPr>
      <w:r w:rsidRPr="00D45CDF">
        <w:rPr>
          <w:rFonts w:asciiTheme="minorHAnsi" w:hAnsiTheme="minorHAnsi"/>
          <w:sz w:val="24"/>
          <w:szCs w:val="24"/>
        </w:rPr>
        <w:t>T</w:t>
      </w:r>
      <w:r w:rsidR="00D205B2" w:rsidRPr="00D45CDF">
        <w:rPr>
          <w:rFonts w:asciiTheme="minorHAnsi" w:hAnsiTheme="minorHAnsi"/>
          <w:sz w:val="24"/>
          <w:szCs w:val="24"/>
        </w:rPr>
        <w:t xml:space="preserve">he </w:t>
      </w:r>
      <w:r w:rsidR="00D205B2" w:rsidRPr="00D45CDF">
        <w:rPr>
          <w:rStyle w:val="Strong"/>
          <w:rFonts w:asciiTheme="minorHAnsi" w:hAnsiTheme="minorHAnsi"/>
          <w:b w:val="0"/>
          <w:bCs w:val="0"/>
          <w:sz w:val="24"/>
          <w:szCs w:val="24"/>
          <w:shd w:val="clear" w:color="auto" w:fill="FFFFFF"/>
        </w:rPr>
        <w:t>European Communities (Lawyer's Practice) Regulations 2000</w:t>
      </w:r>
      <w:r w:rsidR="00FC1127" w:rsidRPr="00D45CDF">
        <w:rPr>
          <w:rFonts w:asciiTheme="minorHAnsi" w:hAnsiTheme="minorHAnsi"/>
          <w:sz w:val="24"/>
          <w:szCs w:val="24"/>
        </w:rPr>
        <w:t xml:space="preserve">, </w:t>
      </w:r>
      <w:r w:rsidR="00FB28F6" w:rsidRPr="00D45CDF">
        <w:rPr>
          <w:rFonts w:asciiTheme="minorHAnsi" w:hAnsiTheme="minorHAnsi"/>
          <w:sz w:val="24"/>
          <w:szCs w:val="24"/>
        </w:rPr>
        <w:t>enable</w:t>
      </w:r>
      <w:r w:rsidR="00AF6662">
        <w:rPr>
          <w:rFonts w:asciiTheme="minorHAnsi" w:hAnsiTheme="minorHAnsi"/>
          <w:sz w:val="24"/>
          <w:szCs w:val="24"/>
        </w:rPr>
        <w:t>d</w:t>
      </w:r>
      <w:r w:rsidR="00FB28F6" w:rsidRPr="00D45CDF">
        <w:rPr>
          <w:rFonts w:asciiTheme="minorHAnsi" w:hAnsiTheme="minorHAnsi"/>
          <w:sz w:val="24"/>
          <w:szCs w:val="24"/>
        </w:rPr>
        <w:t xml:space="preserve"> a REL to be admitted </w:t>
      </w:r>
      <w:r w:rsidR="00FC1127" w:rsidRPr="00D45CDF">
        <w:rPr>
          <w:rFonts w:asciiTheme="minorHAnsi" w:hAnsiTheme="minorHAnsi"/>
          <w:sz w:val="24"/>
          <w:szCs w:val="24"/>
        </w:rPr>
        <w:t>to practise as a barrister or a solicitor after three years of regular and effective practice in England and Wales.</w:t>
      </w:r>
      <w:r w:rsidR="00FB28F6" w:rsidRPr="00D45CDF">
        <w:rPr>
          <w:rStyle w:val="FootnoteReference"/>
          <w:rFonts w:asciiTheme="minorHAnsi" w:hAnsiTheme="minorHAnsi"/>
          <w:sz w:val="24"/>
          <w:szCs w:val="24"/>
        </w:rPr>
        <w:footnoteReference w:id="81"/>
      </w:r>
      <w:r w:rsidR="00FB28F6" w:rsidRPr="00D45CDF">
        <w:rPr>
          <w:rFonts w:asciiTheme="minorHAnsi" w:hAnsiTheme="minorHAnsi"/>
          <w:sz w:val="24"/>
          <w:szCs w:val="24"/>
        </w:rPr>
        <w:t xml:space="preserve"> It </w:t>
      </w:r>
      <w:r w:rsidR="00AF6662">
        <w:rPr>
          <w:rFonts w:asciiTheme="minorHAnsi" w:hAnsiTheme="minorHAnsi"/>
          <w:sz w:val="24"/>
          <w:szCs w:val="24"/>
        </w:rPr>
        <w:t>wa</w:t>
      </w:r>
      <w:r w:rsidR="002C0649" w:rsidRPr="00D45CDF">
        <w:rPr>
          <w:rFonts w:asciiTheme="minorHAnsi" w:hAnsiTheme="minorHAnsi"/>
          <w:sz w:val="24"/>
          <w:szCs w:val="24"/>
        </w:rPr>
        <w:t xml:space="preserve">s </w:t>
      </w:r>
      <w:r w:rsidR="00FB28F6" w:rsidRPr="00D45CDF">
        <w:rPr>
          <w:rFonts w:asciiTheme="minorHAnsi" w:hAnsiTheme="minorHAnsi"/>
          <w:sz w:val="24"/>
          <w:szCs w:val="24"/>
        </w:rPr>
        <w:t xml:space="preserve">not mandatory </w:t>
      </w:r>
      <w:r w:rsidR="002C0649" w:rsidRPr="00D45CDF">
        <w:rPr>
          <w:rFonts w:asciiTheme="minorHAnsi" w:hAnsiTheme="minorHAnsi"/>
          <w:sz w:val="24"/>
          <w:szCs w:val="24"/>
        </w:rPr>
        <w:t xml:space="preserve">to apply for registration as a solicitor or barrister, </w:t>
      </w:r>
      <w:r w:rsidR="00FB28F6" w:rsidRPr="00D45CDF">
        <w:rPr>
          <w:rFonts w:asciiTheme="minorHAnsi" w:hAnsiTheme="minorHAnsi"/>
          <w:sz w:val="24"/>
          <w:szCs w:val="24"/>
        </w:rPr>
        <w:t xml:space="preserve">and a </w:t>
      </w:r>
      <w:r w:rsidR="002C0649" w:rsidRPr="00D45CDF">
        <w:rPr>
          <w:rFonts w:asciiTheme="minorHAnsi" w:hAnsiTheme="minorHAnsi"/>
          <w:sz w:val="24"/>
          <w:szCs w:val="24"/>
        </w:rPr>
        <w:t>REL</w:t>
      </w:r>
      <w:r w:rsidR="00FB28F6" w:rsidRPr="00D45CDF">
        <w:rPr>
          <w:rFonts w:asciiTheme="minorHAnsi" w:hAnsiTheme="minorHAnsi"/>
          <w:sz w:val="24"/>
          <w:szCs w:val="24"/>
        </w:rPr>
        <w:t xml:space="preserve"> c</w:t>
      </w:r>
      <w:r w:rsidR="00AF6662">
        <w:rPr>
          <w:rFonts w:asciiTheme="minorHAnsi" w:hAnsiTheme="minorHAnsi"/>
          <w:sz w:val="24"/>
          <w:szCs w:val="24"/>
        </w:rPr>
        <w:t>ould</w:t>
      </w:r>
      <w:r w:rsidR="00FB28F6" w:rsidRPr="00D45CDF">
        <w:rPr>
          <w:rFonts w:asciiTheme="minorHAnsi" w:hAnsiTheme="minorHAnsi"/>
          <w:sz w:val="24"/>
          <w:szCs w:val="24"/>
        </w:rPr>
        <w:t xml:space="preserve"> practice </w:t>
      </w:r>
      <w:r w:rsidR="00F661AF" w:rsidRPr="00D45CDF">
        <w:rPr>
          <w:rFonts w:asciiTheme="minorHAnsi" w:hAnsiTheme="minorHAnsi"/>
          <w:sz w:val="24"/>
          <w:szCs w:val="24"/>
        </w:rPr>
        <w:t xml:space="preserve">in the UK </w:t>
      </w:r>
      <w:r w:rsidR="00FB28F6" w:rsidRPr="00D45CDF">
        <w:rPr>
          <w:rFonts w:asciiTheme="minorHAnsi" w:hAnsiTheme="minorHAnsi"/>
          <w:sz w:val="24"/>
          <w:szCs w:val="24"/>
        </w:rPr>
        <w:t xml:space="preserve">under his or her home title for as long as he or </w:t>
      </w:r>
      <w:r w:rsidR="00FB28F6" w:rsidRPr="00D45CDF">
        <w:rPr>
          <w:rFonts w:asciiTheme="minorHAnsi" w:hAnsiTheme="minorHAnsi"/>
          <w:sz w:val="24"/>
          <w:szCs w:val="24"/>
        </w:rPr>
        <w:lastRenderedPageBreak/>
        <w:t>she wishe</w:t>
      </w:r>
      <w:r w:rsidR="00AF6662">
        <w:rPr>
          <w:rFonts w:asciiTheme="minorHAnsi" w:hAnsiTheme="minorHAnsi"/>
          <w:sz w:val="24"/>
          <w:szCs w:val="24"/>
        </w:rPr>
        <w:t>d</w:t>
      </w:r>
      <w:r w:rsidR="00FB28F6" w:rsidRPr="00D45CDF">
        <w:rPr>
          <w:rFonts w:asciiTheme="minorHAnsi" w:hAnsiTheme="minorHAnsi"/>
          <w:sz w:val="24"/>
          <w:szCs w:val="24"/>
        </w:rPr>
        <w:t xml:space="preserve">. </w:t>
      </w:r>
      <w:r w:rsidR="00BB230F" w:rsidRPr="00D45CDF">
        <w:rPr>
          <w:rFonts w:asciiTheme="minorHAnsi" w:hAnsiTheme="minorHAnsi"/>
          <w:sz w:val="24"/>
          <w:szCs w:val="24"/>
        </w:rPr>
        <w:t>However, i</w:t>
      </w:r>
      <w:r w:rsidR="00FB28F6" w:rsidRPr="00D45CDF">
        <w:rPr>
          <w:rFonts w:asciiTheme="minorHAnsi" w:hAnsiTheme="minorHAnsi"/>
          <w:sz w:val="24"/>
          <w:szCs w:val="24"/>
        </w:rPr>
        <w:t>f an EU lawyer wishe</w:t>
      </w:r>
      <w:r w:rsidR="00AF6662">
        <w:rPr>
          <w:rFonts w:asciiTheme="minorHAnsi" w:hAnsiTheme="minorHAnsi"/>
          <w:sz w:val="24"/>
          <w:szCs w:val="24"/>
        </w:rPr>
        <w:t>d</w:t>
      </w:r>
      <w:r w:rsidR="00FB28F6" w:rsidRPr="00D45CDF">
        <w:rPr>
          <w:rFonts w:asciiTheme="minorHAnsi" w:hAnsiTheme="minorHAnsi"/>
          <w:sz w:val="24"/>
          <w:szCs w:val="24"/>
        </w:rPr>
        <w:t xml:space="preserve"> to become a solicitor or a barrister </w:t>
      </w:r>
      <w:r w:rsidR="00565BFC" w:rsidRPr="00D45CDF">
        <w:rPr>
          <w:rFonts w:asciiTheme="minorHAnsi" w:hAnsiTheme="minorHAnsi"/>
          <w:sz w:val="24"/>
          <w:szCs w:val="24"/>
        </w:rPr>
        <w:t>in less than three years</w:t>
      </w:r>
      <w:r w:rsidR="00AF6662">
        <w:rPr>
          <w:rFonts w:asciiTheme="minorHAnsi" w:hAnsiTheme="minorHAnsi"/>
          <w:sz w:val="24"/>
          <w:szCs w:val="24"/>
        </w:rPr>
        <w:t>, he or she had</w:t>
      </w:r>
      <w:r w:rsidR="00FB28F6" w:rsidRPr="00D45CDF">
        <w:rPr>
          <w:rFonts w:asciiTheme="minorHAnsi" w:hAnsiTheme="minorHAnsi"/>
          <w:sz w:val="24"/>
          <w:szCs w:val="24"/>
        </w:rPr>
        <w:t xml:space="preserve"> the option to qualify by sitting an aptitude test.</w:t>
      </w:r>
      <w:r w:rsidR="00FB28F6" w:rsidRPr="00D45CDF">
        <w:rPr>
          <w:rStyle w:val="FootnoteReference"/>
          <w:rFonts w:asciiTheme="minorHAnsi" w:hAnsiTheme="minorHAnsi"/>
          <w:sz w:val="24"/>
          <w:szCs w:val="24"/>
        </w:rPr>
        <w:footnoteReference w:id="82"/>
      </w:r>
      <w:r w:rsidR="00FB28F6" w:rsidRPr="00D45CDF">
        <w:rPr>
          <w:rFonts w:asciiTheme="minorHAnsi" w:hAnsiTheme="minorHAnsi"/>
          <w:sz w:val="24"/>
          <w:szCs w:val="24"/>
        </w:rPr>
        <w:t xml:space="preserve"> </w:t>
      </w:r>
    </w:p>
    <w:p w14:paraId="52F6647D" w14:textId="77777777" w:rsidR="00A00A9D" w:rsidRPr="00A00A9D" w:rsidRDefault="00A00A9D" w:rsidP="001C5BA7">
      <w:pPr>
        <w:spacing w:line="240" w:lineRule="auto"/>
        <w:jc w:val="both"/>
        <w:rPr>
          <w:rFonts w:asciiTheme="minorHAnsi" w:hAnsiTheme="minorHAnsi"/>
          <w:sz w:val="24"/>
          <w:szCs w:val="24"/>
        </w:rPr>
      </w:pPr>
      <w:r>
        <w:rPr>
          <w:rFonts w:asciiTheme="minorHAnsi" w:hAnsiTheme="minorHAnsi"/>
          <w:sz w:val="24"/>
          <w:szCs w:val="24"/>
          <w:shd w:val="clear" w:color="auto" w:fill="FFFFFF"/>
        </w:rPr>
        <w:t>From 1 January 2021, t</w:t>
      </w:r>
      <w:r w:rsidRPr="00A00A9D">
        <w:rPr>
          <w:rFonts w:asciiTheme="minorHAnsi" w:hAnsiTheme="minorHAnsi"/>
          <w:sz w:val="24"/>
          <w:szCs w:val="24"/>
          <w:shd w:val="clear" w:color="auto" w:fill="FFFFFF"/>
        </w:rPr>
        <w:t>h</w:t>
      </w:r>
      <w:r>
        <w:rPr>
          <w:rFonts w:asciiTheme="minorHAnsi" w:hAnsiTheme="minorHAnsi"/>
          <w:sz w:val="24"/>
          <w:szCs w:val="24"/>
          <w:shd w:val="clear" w:color="auto" w:fill="FFFFFF"/>
        </w:rPr>
        <w:t xml:space="preserve">e REL regime has come to an end and RELs </w:t>
      </w:r>
      <w:r w:rsidRPr="00A00A9D">
        <w:rPr>
          <w:rFonts w:asciiTheme="minorHAnsi" w:hAnsiTheme="minorHAnsi"/>
          <w:sz w:val="24"/>
          <w:szCs w:val="24"/>
          <w:shd w:val="clear" w:color="auto" w:fill="FFFFFF"/>
        </w:rPr>
        <w:t xml:space="preserve">have lost their associated practice rights in </w:t>
      </w:r>
      <w:r w:rsidR="00355E60">
        <w:rPr>
          <w:rFonts w:asciiTheme="minorHAnsi" w:hAnsiTheme="minorHAnsi"/>
          <w:sz w:val="24"/>
          <w:szCs w:val="24"/>
          <w:shd w:val="clear" w:color="auto" w:fill="FFFFFF"/>
        </w:rPr>
        <w:t>England and Wales</w:t>
      </w:r>
      <w:r w:rsidRPr="00A00A9D">
        <w:rPr>
          <w:rFonts w:asciiTheme="minorHAnsi" w:hAnsiTheme="minorHAnsi"/>
          <w:sz w:val="24"/>
          <w:szCs w:val="24"/>
          <w:shd w:val="clear" w:color="auto" w:fill="FFFFFF"/>
        </w:rPr>
        <w:t xml:space="preserve"> (except in relation to a defined group of Swiss lawyers </w:t>
      </w:r>
      <w:r w:rsidR="00355E60">
        <w:rPr>
          <w:rFonts w:asciiTheme="minorHAnsi" w:eastAsia="Times New Roman" w:hAnsiTheme="minorHAnsi"/>
          <w:sz w:val="24"/>
          <w:szCs w:val="24"/>
          <w:lang w:eastAsia="en-GB"/>
        </w:rPr>
        <w:t>since separate arrangements have been made between the UK government and Switzerland</w:t>
      </w:r>
      <w:r w:rsidRPr="00A00A9D">
        <w:rPr>
          <w:rFonts w:asciiTheme="minorHAnsi" w:hAnsiTheme="minorHAnsi"/>
          <w:sz w:val="24"/>
          <w:szCs w:val="24"/>
          <w:shd w:val="clear" w:color="auto" w:fill="FFFFFF"/>
        </w:rPr>
        <w:t>)</w:t>
      </w:r>
      <w:r>
        <w:rPr>
          <w:rFonts w:asciiTheme="minorHAnsi" w:hAnsiTheme="minorHAnsi"/>
          <w:sz w:val="24"/>
          <w:szCs w:val="24"/>
          <w:shd w:val="clear" w:color="auto" w:fill="FFFFFF"/>
        </w:rPr>
        <w:t xml:space="preserve">. </w:t>
      </w:r>
    </w:p>
    <w:p w14:paraId="5179EA99" w14:textId="77777777" w:rsidR="00FB28F6" w:rsidRPr="00D45CDF" w:rsidRDefault="00FB28F6" w:rsidP="001B2C2B">
      <w:pPr>
        <w:pStyle w:val="Default"/>
        <w:numPr>
          <w:ilvl w:val="2"/>
          <w:numId w:val="11"/>
        </w:numPr>
        <w:spacing w:after="240"/>
        <w:ind w:left="426" w:hanging="426"/>
        <w:jc w:val="both"/>
        <w:rPr>
          <w:rFonts w:asciiTheme="minorHAnsi" w:hAnsiTheme="minorHAnsi"/>
          <w:b/>
          <w:color w:val="auto"/>
        </w:rPr>
      </w:pPr>
      <w:r w:rsidRPr="00D45CDF">
        <w:rPr>
          <w:rFonts w:asciiTheme="minorHAnsi" w:hAnsiTheme="minorHAnsi"/>
          <w:b/>
          <w:color w:val="auto"/>
        </w:rPr>
        <w:t xml:space="preserve">Exempt European </w:t>
      </w:r>
      <w:r w:rsidR="006C2B7C" w:rsidRPr="00D45CDF">
        <w:rPr>
          <w:rFonts w:asciiTheme="minorHAnsi" w:hAnsiTheme="minorHAnsi"/>
          <w:b/>
          <w:color w:val="auto"/>
        </w:rPr>
        <w:t>L</w:t>
      </w:r>
      <w:r w:rsidRPr="00D45CDF">
        <w:rPr>
          <w:rFonts w:asciiTheme="minorHAnsi" w:hAnsiTheme="minorHAnsi"/>
          <w:b/>
          <w:color w:val="auto"/>
        </w:rPr>
        <w:t>awyer</w:t>
      </w:r>
      <w:r w:rsidR="00B76262" w:rsidRPr="00D45CDF">
        <w:rPr>
          <w:rFonts w:asciiTheme="minorHAnsi" w:hAnsiTheme="minorHAnsi"/>
          <w:b/>
          <w:color w:val="auto"/>
        </w:rPr>
        <w:t>s</w:t>
      </w:r>
    </w:p>
    <w:p w14:paraId="4D29CB98" w14:textId="77777777" w:rsidR="00FB28F6" w:rsidRPr="00D45CDF" w:rsidRDefault="00FB28F6" w:rsidP="001C5BA7">
      <w:pPr>
        <w:shd w:val="clear" w:color="auto" w:fill="FFFFFF"/>
        <w:spacing w:line="240" w:lineRule="auto"/>
        <w:jc w:val="both"/>
        <w:rPr>
          <w:rFonts w:asciiTheme="minorHAnsi" w:hAnsiTheme="minorHAnsi"/>
          <w:sz w:val="24"/>
          <w:szCs w:val="24"/>
        </w:rPr>
      </w:pPr>
      <w:r w:rsidRPr="00D45CDF">
        <w:rPr>
          <w:rFonts w:asciiTheme="minorHAnsi" w:hAnsiTheme="minorHAnsi"/>
          <w:sz w:val="24"/>
          <w:szCs w:val="24"/>
        </w:rPr>
        <w:t xml:space="preserve">EU </w:t>
      </w:r>
      <w:r w:rsidR="00AF6662">
        <w:rPr>
          <w:rFonts w:asciiTheme="minorHAnsi" w:hAnsiTheme="minorHAnsi"/>
          <w:sz w:val="24"/>
          <w:szCs w:val="24"/>
        </w:rPr>
        <w:t>legislation offe</w:t>
      </w:r>
      <w:r w:rsidR="00554DD1">
        <w:rPr>
          <w:rFonts w:asciiTheme="minorHAnsi" w:hAnsiTheme="minorHAnsi"/>
          <w:sz w:val="24"/>
          <w:szCs w:val="24"/>
        </w:rPr>
        <w:t>r</w:t>
      </w:r>
      <w:r w:rsidR="00AF6662">
        <w:rPr>
          <w:rFonts w:asciiTheme="minorHAnsi" w:hAnsiTheme="minorHAnsi"/>
          <w:sz w:val="24"/>
          <w:szCs w:val="24"/>
        </w:rPr>
        <w:t>ed</w:t>
      </w:r>
      <w:r w:rsidRPr="00D45CDF">
        <w:rPr>
          <w:rFonts w:asciiTheme="minorHAnsi" w:hAnsiTheme="minorHAnsi"/>
          <w:sz w:val="24"/>
          <w:szCs w:val="24"/>
        </w:rPr>
        <w:t xml:space="preserve"> another possibility for the free movement of legal services within the EU, </w:t>
      </w:r>
      <w:r w:rsidR="00DE3FE9" w:rsidRPr="00D45CDF">
        <w:rPr>
          <w:rFonts w:asciiTheme="minorHAnsi" w:hAnsiTheme="minorHAnsi"/>
          <w:sz w:val="24"/>
          <w:szCs w:val="24"/>
        </w:rPr>
        <w:t xml:space="preserve">enabling lawyers to </w:t>
      </w:r>
      <w:r w:rsidRPr="00D45CDF">
        <w:rPr>
          <w:rFonts w:asciiTheme="minorHAnsi" w:hAnsiTheme="minorHAnsi"/>
          <w:sz w:val="24"/>
          <w:szCs w:val="24"/>
        </w:rPr>
        <w:t>practis</w:t>
      </w:r>
      <w:r w:rsidR="00DE3FE9" w:rsidRPr="00D45CDF">
        <w:rPr>
          <w:rFonts w:asciiTheme="minorHAnsi" w:hAnsiTheme="minorHAnsi"/>
          <w:sz w:val="24"/>
          <w:szCs w:val="24"/>
        </w:rPr>
        <w:t>e</w:t>
      </w:r>
      <w:r w:rsidRPr="00D45CDF">
        <w:rPr>
          <w:rFonts w:asciiTheme="minorHAnsi" w:hAnsiTheme="minorHAnsi"/>
          <w:sz w:val="24"/>
          <w:szCs w:val="24"/>
        </w:rPr>
        <w:t xml:space="preserve"> in another member state on a more temporary basis. This </w:t>
      </w:r>
      <w:r w:rsidR="00AF6662">
        <w:rPr>
          <w:rFonts w:asciiTheme="minorHAnsi" w:hAnsiTheme="minorHAnsi"/>
          <w:sz w:val="24"/>
          <w:szCs w:val="24"/>
        </w:rPr>
        <w:t>wa</w:t>
      </w:r>
      <w:r w:rsidRPr="00D45CDF">
        <w:rPr>
          <w:rFonts w:asciiTheme="minorHAnsi" w:hAnsiTheme="minorHAnsi"/>
          <w:sz w:val="24"/>
          <w:szCs w:val="24"/>
        </w:rPr>
        <w:t>s represented in the UK under the status of the Exempt European Lawyer (EEL)</w:t>
      </w:r>
      <w:r w:rsidR="00AF6662">
        <w:rPr>
          <w:rFonts w:asciiTheme="minorHAnsi" w:hAnsiTheme="minorHAnsi"/>
          <w:sz w:val="24"/>
          <w:szCs w:val="24"/>
        </w:rPr>
        <w:t>. If an EU lawyer did</w:t>
      </w:r>
      <w:r w:rsidRPr="00D45CDF">
        <w:rPr>
          <w:rFonts w:asciiTheme="minorHAnsi" w:hAnsiTheme="minorHAnsi"/>
          <w:sz w:val="24"/>
          <w:szCs w:val="24"/>
        </w:rPr>
        <w:t xml:space="preserve"> not intend to practise in the UK o</w:t>
      </w:r>
      <w:r w:rsidR="00AF6662">
        <w:rPr>
          <w:rFonts w:asciiTheme="minorHAnsi" w:hAnsiTheme="minorHAnsi"/>
          <w:sz w:val="24"/>
          <w:szCs w:val="24"/>
        </w:rPr>
        <w:t>n a permanent basis, he or she wa</w:t>
      </w:r>
      <w:r w:rsidRPr="00D45CDF">
        <w:rPr>
          <w:rFonts w:asciiTheme="minorHAnsi" w:hAnsiTheme="minorHAnsi"/>
          <w:sz w:val="24"/>
          <w:szCs w:val="24"/>
        </w:rPr>
        <w:t>s not e</w:t>
      </w:r>
      <w:r w:rsidR="007E6E91" w:rsidRPr="00D45CDF">
        <w:rPr>
          <w:rFonts w:asciiTheme="minorHAnsi" w:hAnsiTheme="minorHAnsi"/>
          <w:sz w:val="24"/>
          <w:szCs w:val="24"/>
        </w:rPr>
        <w:t>ligible</w:t>
      </w:r>
      <w:r w:rsidRPr="00D45CDF">
        <w:rPr>
          <w:rFonts w:asciiTheme="minorHAnsi" w:hAnsiTheme="minorHAnsi"/>
          <w:sz w:val="24"/>
          <w:szCs w:val="24"/>
        </w:rPr>
        <w:t xml:space="preserve"> to register as a REL. </w:t>
      </w:r>
    </w:p>
    <w:p w14:paraId="57746228" w14:textId="77777777" w:rsidR="00FB28F6" w:rsidRPr="00D45CDF" w:rsidRDefault="00FB28F6" w:rsidP="001C5BA7">
      <w:pPr>
        <w:shd w:val="clear" w:color="auto" w:fill="FFFFFF"/>
        <w:spacing w:line="240" w:lineRule="auto"/>
        <w:jc w:val="both"/>
        <w:rPr>
          <w:rFonts w:asciiTheme="minorHAnsi" w:hAnsiTheme="minorHAnsi"/>
          <w:sz w:val="24"/>
          <w:szCs w:val="24"/>
        </w:rPr>
      </w:pPr>
      <w:r w:rsidRPr="00D45CDF">
        <w:rPr>
          <w:rFonts w:asciiTheme="minorHAnsi" w:hAnsiTheme="minorHAnsi"/>
          <w:sz w:val="24"/>
          <w:szCs w:val="24"/>
          <w:shd w:val="clear" w:color="auto" w:fill="FFFFFF"/>
        </w:rPr>
        <w:t xml:space="preserve">EELs </w:t>
      </w:r>
      <w:r w:rsidR="00AF6662">
        <w:rPr>
          <w:rFonts w:asciiTheme="minorHAnsi" w:hAnsiTheme="minorHAnsi"/>
          <w:sz w:val="24"/>
          <w:szCs w:val="24"/>
          <w:shd w:val="clear" w:color="auto" w:fill="FFFFFF"/>
        </w:rPr>
        <w:t>we</w:t>
      </w:r>
      <w:r w:rsidRPr="00D45CDF">
        <w:rPr>
          <w:rFonts w:asciiTheme="minorHAnsi" w:hAnsiTheme="minorHAnsi"/>
          <w:sz w:val="24"/>
          <w:szCs w:val="24"/>
          <w:shd w:val="clear" w:color="auto" w:fill="FFFFFF"/>
        </w:rPr>
        <w:t>re principally EEA/EU lawyers based entirely in offices outside of England and Wales.</w:t>
      </w:r>
      <w:r w:rsidR="00AF6662">
        <w:rPr>
          <w:rFonts w:asciiTheme="minorHAnsi" w:hAnsiTheme="minorHAnsi"/>
          <w:sz w:val="24"/>
          <w:szCs w:val="24"/>
        </w:rPr>
        <w:t xml:space="preserve"> They we</w:t>
      </w:r>
      <w:r w:rsidRPr="00D45CDF">
        <w:rPr>
          <w:rFonts w:asciiTheme="minorHAnsi" w:hAnsiTheme="minorHAnsi"/>
          <w:sz w:val="24"/>
          <w:szCs w:val="24"/>
        </w:rPr>
        <w:t xml:space="preserve">re lawyers who </w:t>
      </w:r>
      <w:r w:rsidR="00AF6662">
        <w:rPr>
          <w:rFonts w:asciiTheme="minorHAnsi" w:hAnsiTheme="minorHAnsi"/>
          <w:sz w:val="24"/>
          <w:szCs w:val="24"/>
        </w:rPr>
        <w:t>we</w:t>
      </w:r>
      <w:r w:rsidRPr="00D45CDF">
        <w:rPr>
          <w:rFonts w:asciiTheme="minorHAnsi" w:hAnsiTheme="minorHAnsi"/>
          <w:sz w:val="24"/>
          <w:szCs w:val="24"/>
        </w:rPr>
        <w:t xml:space="preserve">re nationals of an EU member state, established in another member state and entitled to practise as a member of a profession specified in the Lawyers Establishment Directive. They </w:t>
      </w:r>
      <w:r w:rsidR="00AF6662">
        <w:rPr>
          <w:rFonts w:asciiTheme="minorHAnsi" w:hAnsiTheme="minorHAnsi"/>
          <w:sz w:val="24"/>
          <w:szCs w:val="24"/>
        </w:rPr>
        <w:t>we</w:t>
      </w:r>
      <w:r w:rsidRPr="00D45CDF">
        <w:rPr>
          <w:rFonts w:asciiTheme="minorHAnsi" w:hAnsiTheme="minorHAnsi"/>
          <w:sz w:val="24"/>
          <w:szCs w:val="24"/>
        </w:rPr>
        <w:t xml:space="preserve">re allowed to provide legal services in the UK which </w:t>
      </w:r>
      <w:r w:rsidR="00AF6662">
        <w:rPr>
          <w:rFonts w:asciiTheme="minorHAnsi" w:hAnsiTheme="minorHAnsi"/>
          <w:sz w:val="24"/>
          <w:szCs w:val="24"/>
        </w:rPr>
        <w:t>we</w:t>
      </w:r>
      <w:r w:rsidRPr="00D45CDF">
        <w:rPr>
          <w:rFonts w:asciiTheme="minorHAnsi" w:hAnsiTheme="minorHAnsi"/>
          <w:sz w:val="24"/>
          <w:szCs w:val="24"/>
        </w:rPr>
        <w:t>re otherwise reserved to UK lawyers, on an occasional basis, under the Lawyers Services Directive.</w:t>
      </w:r>
      <w:r w:rsidR="003C58AB" w:rsidRPr="00D45CDF">
        <w:rPr>
          <w:rStyle w:val="FootnoteReference"/>
          <w:rFonts w:asciiTheme="minorHAnsi" w:hAnsiTheme="minorHAnsi"/>
          <w:sz w:val="24"/>
          <w:szCs w:val="24"/>
        </w:rPr>
        <w:footnoteReference w:id="83"/>
      </w:r>
      <w:r w:rsidRPr="00D45CDF">
        <w:rPr>
          <w:rFonts w:asciiTheme="minorHAnsi" w:hAnsiTheme="minorHAnsi"/>
          <w:sz w:val="24"/>
          <w:szCs w:val="24"/>
        </w:rPr>
        <w:t xml:space="preserve"> To be appr</w:t>
      </w:r>
      <w:r w:rsidR="00AF6662">
        <w:rPr>
          <w:rFonts w:asciiTheme="minorHAnsi" w:hAnsiTheme="minorHAnsi"/>
          <w:sz w:val="24"/>
          <w:szCs w:val="24"/>
        </w:rPr>
        <w:t xml:space="preserve">oved as an EEL, the SRA or BSB </w:t>
      </w:r>
      <w:r w:rsidRPr="00D45CDF">
        <w:rPr>
          <w:rFonts w:asciiTheme="minorHAnsi" w:hAnsiTheme="minorHAnsi"/>
          <w:sz w:val="24"/>
          <w:szCs w:val="24"/>
        </w:rPr>
        <w:t>require</w:t>
      </w:r>
      <w:r w:rsidR="00AF6662">
        <w:rPr>
          <w:rFonts w:asciiTheme="minorHAnsi" w:hAnsiTheme="minorHAnsi"/>
          <w:sz w:val="24"/>
          <w:szCs w:val="24"/>
        </w:rPr>
        <w:t>d</w:t>
      </w:r>
      <w:r w:rsidRPr="00D45CDF">
        <w:rPr>
          <w:rFonts w:asciiTheme="minorHAnsi" w:hAnsiTheme="minorHAnsi"/>
          <w:sz w:val="24"/>
          <w:szCs w:val="24"/>
        </w:rPr>
        <w:t xml:space="preserve"> sight of a certificate of attestation from the home Bar Association or Law Society</w:t>
      </w:r>
      <w:r w:rsidRPr="00D45CDF">
        <w:rPr>
          <w:rStyle w:val="FootnoteReference"/>
          <w:rFonts w:asciiTheme="minorHAnsi" w:hAnsiTheme="minorHAnsi"/>
          <w:sz w:val="24"/>
          <w:szCs w:val="24"/>
        </w:rPr>
        <w:footnoteReference w:id="84"/>
      </w:r>
      <w:r w:rsidRPr="00D45CDF">
        <w:rPr>
          <w:rFonts w:asciiTheme="minorHAnsi" w:hAnsiTheme="minorHAnsi"/>
          <w:sz w:val="24"/>
          <w:szCs w:val="24"/>
        </w:rPr>
        <w:t xml:space="preserve"> </w:t>
      </w:r>
      <w:r w:rsidRPr="00D45CDF">
        <w:rPr>
          <w:rFonts w:asciiTheme="minorHAnsi" w:eastAsiaTheme="minorHAnsi" w:hAnsiTheme="minorHAnsi"/>
          <w:sz w:val="24"/>
          <w:szCs w:val="24"/>
          <w:lang w:eastAsia="en-US"/>
        </w:rPr>
        <w:t>but w</w:t>
      </w:r>
      <w:r w:rsidR="00AF6662">
        <w:rPr>
          <w:rFonts w:asciiTheme="minorHAnsi" w:eastAsiaTheme="minorHAnsi" w:hAnsiTheme="minorHAnsi"/>
          <w:sz w:val="24"/>
          <w:szCs w:val="24"/>
          <w:lang w:eastAsia="en-US"/>
        </w:rPr>
        <w:t>ould</w:t>
      </w:r>
      <w:r w:rsidRPr="00D45CDF">
        <w:rPr>
          <w:rFonts w:asciiTheme="minorHAnsi" w:eastAsiaTheme="minorHAnsi" w:hAnsiTheme="minorHAnsi"/>
          <w:sz w:val="24"/>
          <w:szCs w:val="24"/>
          <w:lang w:eastAsia="en-US"/>
        </w:rPr>
        <w:t xml:space="preserve"> charge n</w:t>
      </w:r>
      <w:r w:rsidRPr="00D45CDF">
        <w:rPr>
          <w:rFonts w:asciiTheme="minorHAnsi" w:hAnsiTheme="minorHAnsi"/>
          <w:sz w:val="24"/>
          <w:szCs w:val="24"/>
        </w:rPr>
        <w:t>o fee</w:t>
      </w:r>
      <w:r w:rsidR="004B2FC0" w:rsidRPr="00D45CDF">
        <w:rPr>
          <w:rFonts w:asciiTheme="minorHAnsi" w:hAnsiTheme="minorHAnsi"/>
          <w:sz w:val="24"/>
          <w:szCs w:val="24"/>
        </w:rPr>
        <w:t xml:space="preserve"> </w:t>
      </w:r>
      <w:r w:rsidR="008543B3" w:rsidRPr="00D45CDF">
        <w:rPr>
          <w:rFonts w:asciiTheme="minorHAnsi" w:hAnsiTheme="minorHAnsi"/>
          <w:sz w:val="24"/>
          <w:szCs w:val="24"/>
        </w:rPr>
        <w:t>as</w:t>
      </w:r>
      <w:r w:rsidR="00DC0C8A" w:rsidRPr="00D45CDF">
        <w:rPr>
          <w:rFonts w:asciiTheme="minorHAnsi" w:hAnsiTheme="minorHAnsi"/>
          <w:sz w:val="24"/>
          <w:szCs w:val="24"/>
        </w:rPr>
        <w:t xml:space="preserve">, unlike RELs, </w:t>
      </w:r>
      <w:r w:rsidR="00AF6662">
        <w:rPr>
          <w:rFonts w:asciiTheme="minorHAnsi" w:hAnsiTheme="minorHAnsi"/>
          <w:sz w:val="24"/>
          <w:szCs w:val="24"/>
        </w:rPr>
        <w:t>there wa</w:t>
      </w:r>
      <w:r w:rsidR="008543B3" w:rsidRPr="00D45CDF">
        <w:rPr>
          <w:rFonts w:asciiTheme="minorHAnsi" w:hAnsiTheme="minorHAnsi"/>
          <w:sz w:val="24"/>
          <w:szCs w:val="24"/>
        </w:rPr>
        <w:t>s no</w:t>
      </w:r>
      <w:r w:rsidR="004B2FC0" w:rsidRPr="00D45CDF">
        <w:rPr>
          <w:rFonts w:asciiTheme="minorHAnsi" w:hAnsiTheme="minorHAnsi"/>
          <w:sz w:val="24"/>
          <w:szCs w:val="24"/>
        </w:rPr>
        <w:t xml:space="preserve"> registration</w:t>
      </w:r>
      <w:r w:rsidR="008543B3" w:rsidRPr="00D45CDF">
        <w:rPr>
          <w:rFonts w:asciiTheme="minorHAnsi" w:hAnsiTheme="minorHAnsi"/>
          <w:sz w:val="24"/>
          <w:szCs w:val="24"/>
        </w:rPr>
        <w:t xml:space="preserve"> necessary</w:t>
      </w:r>
      <w:r w:rsidRPr="00D45CDF">
        <w:rPr>
          <w:rFonts w:asciiTheme="minorHAnsi" w:hAnsiTheme="minorHAnsi"/>
          <w:sz w:val="24"/>
          <w:szCs w:val="24"/>
        </w:rPr>
        <w:t>. In England and Wales, restricted practice areas include</w:t>
      </w:r>
      <w:r w:rsidR="00AF6662">
        <w:rPr>
          <w:rFonts w:asciiTheme="minorHAnsi" w:hAnsiTheme="minorHAnsi"/>
          <w:sz w:val="24"/>
          <w:szCs w:val="24"/>
        </w:rPr>
        <w:t>d</w:t>
      </w:r>
      <w:r w:rsidRPr="00D45CDF">
        <w:rPr>
          <w:rFonts w:asciiTheme="minorHAnsi" w:hAnsiTheme="minorHAnsi"/>
          <w:sz w:val="24"/>
          <w:szCs w:val="24"/>
        </w:rPr>
        <w:t xml:space="preserve"> exercise of rights of audience in courts, conduct of litigation, reserved instrument activities, probate and notarial activities, and administration of oaths. In order to represent clients in legal proceedings before the UK courts, an EEL </w:t>
      </w:r>
      <w:r w:rsidR="00AF6662">
        <w:rPr>
          <w:rFonts w:asciiTheme="minorHAnsi" w:hAnsiTheme="minorHAnsi"/>
          <w:sz w:val="24"/>
          <w:szCs w:val="24"/>
        </w:rPr>
        <w:t>had</w:t>
      </w:r>
      <w:r w:rsidRPr="00D45CDF">
        <w:rPr>
          <w:rFonts w:asciiTheme="minorHAnsi" w:hAnsiTheme="minorHAnsi"/>
          <w:sz w:val="24"/>
          <w:szCs w:val="24"/>
        </w:rPr>
        <w:t xml:space="preserve"> work in conjunc</w:t>
      </w:r>
      <w:r w:rsidR="00AF6662">
        <w:rPr>
          <w:rFonts w:asciiTheme="minorHAnsi" w:hAnsiTheme="minorHAnsi"/>
          <w:sz w:val="24"/>
          <w:szCs w:val="24"/>
        </w:rPr>
        <w:t>tion with a lawyer who practiced</w:t>
      </w:r>
      <w:r w:rsidRPr="00D45CDF">
        <w:rPr>
          <w:rFonts w:asciiTheme="minorHAnsi" w:hAnsiTheme="minorHAnsi"/>
          <w:sz w:val="24"/>
          <w:szCs w:val="24"/>
        </w:rPr>
        <w:t xml:space="preserve"> before the judicial authority in question</w:t>
      </w:r>
      <w:r w:rsidRPr="00D45CDF">
        <w:rPr>
          <w:rFonts w:asciiTheme="minorHAnsi" w:eastAsiaTheme="minorHAnsi" w:hAnsiTheme="minorHAnsi"/>
          <w:sz w:val="24"/>
          <w:szCs w:val="24"/>
          <w:lang w:eastAsia="en-US"/>
        </w:rPr>
        <w:t>,</w:t>
      </w:r>
      <w:r w:rsidRPr="00D45CDF">
        <w:rPr>
          <w:rStyle w:val="FootnoteReference"/>
          <w:rFonts w:asciiTheme="minorHAnsi" w:eastAsiaTheme="minorHAnsi" w:hAnsiTheme="minorHAnsi"/>
          <w:sz w:val="24"/>
          <w:szCs w:val="24"/>
          <w:lang w:eastAsia="en-US"/>
        </w:rPr>
        <w:footnoteReference w:id="85"/>
      </w:r>
      <w:r w:rsidRPr="00D45CDF">
        <w:rPr>
          <w:rFonts w:asciiTheme="minorHAnsi" w:eastAsiaTheme="minorHAnsi" w:hAnsiTheme="minorHAnsi"/>
          <w:sz w:val="24"/>
          <w:szCs w:val="24"/>
          <w:lang w:eastAsia="en-US"/>
        </w:rPr>
        <w:t xml:space="preserve"> </w:t>
      </w:r>
      <w:r w:rsidR="009803A3" w:rsidRPr="00D45CDF">
        <w:rPr>
          <w:rFonts w:asciiTheme="minorHAnsi" w:eastAsiaTheme="minorHAnsi" w:hAnsiTheme="minorHAnsi"/>
          <w:sz w:val="24"/>
          <w:szCs w:val="24"/>
          <w:lang w:eastAsia="en-US"/>
        </w:rPr>
        <w:t>i.e.</w:t>
      </w:r>
      <w:r w:rsidRPr="00D45CDF">
        <w:rPr>
          <w:rFonts w:asciiTheme="minorHAnsi" w:eastAsiaTheme="minorHAnsi" w:hAnsiTheme="minorHAnsi"/>
          <w:sz w:val="24"/>
          <w:szCs w:val="24"/>
          <w:lang w:eastAsia="en-US"/>
        </w:rPr>
        <w:t xml:space="preserve"> an Angl</w:t>
      </w:r>
      <w:r w:rsidR="00AF6662">
        <w:rPr>
          <w:rFonts w:asciiTheme="minorHAnsi" w:eastAsiaTheme="minorHAnsi" w:hAnsiTheme="minorHAnsi"/>
          <w:sz w:val="24"/>
          <w:szCs w:val="24"/>
          <w:lang w:eastAsia="en-US"/>
        </w:rPr>
        <w:t>o-Welsh qualified lawyer. EELs we</w:t>
      </w:r>
      <w:r w:rsidRPr="00D45CDF">
        <w:rPr>
          <w:rFonts w:asciiTheme="minorHAnsi" w:eastAsiaTheme="minorHAnsi" w:hAnsiTheme="minorHAnsi"/>
          <w:sz w:val="24"/>
          <w:szCs w:val="24"/>
          <w:lang w:eastAsia="en-US"/>
        </w:rPr>
        <w:t>re prohibited from carrying out reserved activities such as drawing up formal documents for obtaining title to administer estates of deceased persons, and the drafting of formal documents creating or transferring interests in land, as only certain groups of lawyers, regulated under the Legal Services Act 2007, may do this.</w:t>
      </w:r>
      <w:r w:rsidRPr="00D45CDF">
        <w:rPr>
          <w:rStyle w:val="FootnoteReference"/>
          <w:rFonts w:asciiTheme="minorHAnsi" w:eastAsiaTheme="minorHAnsi" w:hAnsiTheme="minorHAnsi"/>
          <w:sz w:val="24"/>
          <w:szCs w:val="24"/>
          <w:lang w:eastAsia="en-US"/>
        </w:rPr>
        <w:footnoteReference w:id="86"/>
      </w:r>
      <w:r w:rsidRPr="00D45CDF">
        <w:rPr>
          <w:rFonts w:asciiTheme="minorHAnsi" w:eastAsiaTheme="minorHAnsi" w:hAnsiTheme="minorHAnsi"/>
          <w:sz w:val="24"/>
          <w:szCs w:val="24"/>
          <w:lang w:eastAsia="en-US"/>
        </w:rPr>
        <w:t xml:space="preserve"> EELs practise</w:t>
      </w:r>
      <w:r w:rsidR="00AF6662">
        <w:rPr>
          <w:rFonts w:asciiTheme="minorHAnsi" w:eastAsiaTheme="minorHAnsi" w:hAnsiTheme="minorHAnsi"/>
          <w:sz w:val="24"/>
          <w:szCs w:val="24"/>
          <w:lang w:eastAsia="en-US"/>
        </w:rPr>
        <w:t>d</w:t>
      </w:r>
      <w:r w:rsidRPr="00D45CDF">
        <w:rPr>
          <w:rFonts w:asciiTheme="minorHAnsi" w:eastAsiaTheme="minorHAnsi" w:hAnsiTheme="minorHAnsi"/>
          <w:sz w:val="24"/>
          <w:szCs w:val="24"/>
          <w:lang w:eastAsia="en-US"/>
        </w:rPr>
        <w:t xml:space="preserve"> under their home titles,</w:t>
      </w:r>
      <w:r w:rsidRPr="00D45CDF">
        <w:rPr>
          <w:rStyle w:val="FootnoteReference"/>
          <w:rFonts w:asciiTheme="minorHAnsi" w:eastAsiaTheme="minorHAnsi" w:hAnsiTheme="minorHAnsi"/>
          <w:sz w:val="24"/>
          <w:szCs w:val="24"/>
          <w:lang w:eastAsia="en-US"/>
        </w:rPr>
        <w:footnoteReference w:id="87"/>
      </w:r>
      <w:r w:rsidRPr="00D45CDF">
        <w:rPr>
          <w:rFonts w:asciiTheme="minorHAnsi" w:eastAsiaTheme="minorHAnsi" w:hAnsiTheme="minorHAnsi"/>
          <w:sz w:val="24"/>
          <w:szCs w:val="24"/>
          <w:lang w:eastAsia="en-US"/>
        </w:rPr>
        <w:t xml:space="preserve"> and, for out of court activities, </w:t>
      </w:r>
      <w:r w:rsidR="00AF6662">
        <w:rPr>
          <w:rFonts w:asciiTheme="minorHAnsi" w:eastAsiaTheme="minorHAnsi" w:hAnsiTheme="minorHAnsi"/>
          <w:sz w:val="24"/>
          <w:szCs w:val="24"/>
          <w:lang w:eastAsia="en-US"/>
        </w:rPr>
        <w:t>w</w:t>
      </w:r>
      <w:r w:rsidRPr="00D45CDF">
        <w:rPr>
          <w:rFonts w:asciiTheme="minorHAnsi" w:eastAsiaTheme="minorHAnsi" w:hAnsiTheme="minorHAnsi"/>
          <w:sz w:val="24"/>
          <w:szCs w:val="24"/>
          <w:lang w:eastAsia="en-US"/>
        </w:rPr>
        <w:t>e</w:t>
      </w:r>
      <w:r w:rsidR="00AF6662">
        <w:rPr>
          <w:rFonts w:asciiTheme="minorHAnsi" w:eastAsiaTheme="minorHAnsi" w:hAnsiTheme="minorHAnsi"/>
          <w:sz w:val="24"/>
          <w:szCs w:val="24"/>
          <w:lang w:eastAsia="en-US"/>
        </w:rPr>
        <w:t>re</w:t>
      </w:r>
      <w:r w:rsidRPr="00D45CDF">
        <w:rPr>
          <w:rFonts w:asciiTheme="minorHAnsi" w:eastAsiaTheme="minorHAnsi" w:hAnsiTheme="minorHAnsi"/>
          <w:sz w:val="24"/>
          <w:szCs w:val="24"/>
          <w:lang w:eastAsia="en-US"/>
        </w:rPr>
        <w:t xml:space="preserve"> bound by the Code of professional conduct of </w:t>
      </w:r>
      <w:r w:rsidR="00DC0C8A" w:rsidRPr="00D45CDF">
        <w:rPr>
          <w:rFonts w:asciiTheme="minorHAnsi" w:eastAsiaTheme="minorHAnsi" w:hAnsiTheme="minorHAnsi"/>
          <w:sz w:val="24"/>
          <w:szCs w:val="24"/>
          <w:lang w:eastAsia="en-US"/>
        </w:rPr>
        <w:t>their h</w:t>
      </w:r>
      <w:r w:rsidRPr="00D45CDF">
        <w:rPr>
          <w:rFonts w:asciiTheme="minorHAnsi" w:eastAsiaTheme="minorHAnsi" w:hAnsiTheme="minorHAnsi"/>
          <w:sz w:val="24"/>
          <w:szCs w:val="24"/>
          <w:lang w:eastAsia="en-US"/>
        </w:rPr>
        <w:t>ome state,</w:t>
      </w:r>
      <w:r w:rsidRPr="00D45CDF">
        <w:rPr>
          <w:rStyle w:val="FootnoteReference"/>
          <w:rFonts w:asciiTheme="minorHAnsi" w:eastAsiaTheme="minorHAnsi" w:hAnsiTheme="minorHAnsi"/>
          <w:sz w:val="24"/>
          <w:szCs w:val="24"/>
          <w:lang w:eastAsia="en-US"/>
        </w:rPr>
        <w:footnoteReference w:id="88"/>
      </w:r>
      <w:r w:rsidRPr="00D45CDF">
        <w:rPr>
          <w:rFonts w:asciiTheme="minorHAnsi" w:eastAsiaTheme="minorHAnsi" w:hAnsiTheme="minorHAnsi"/>
          <w:sz w:val="24"/>
          <w:szCs w:val="24"/>
          <w:lang w:eastAsia="en-US"/>
        </w:rPr>
        <w:t xml:space="preserve"> except where representing a client in legal proceedings, where he or she w</w:t>
      </w:r>
      <w:r w:rsidR="00AF6662">
        <w:rPr>
          <w:rFonts w:asciiTheme="minorHAnsi" w:eastAsiaTheme="minorHAnsi" w:hAnsiTheme="minorHAnsi"/>
          <w:sz w:val="24"/>
          <w:szCs w:val="24"/>
          <w:lang w:eastAsia="en-US"/>
        </w:rPr>
        <w:t>as</w:t>
      </w:r>
      <w:r w:rsidRPr="00D45CDF">
        <w:rPr>
          <w:rFonts w:asciiTheme="minorHAnsi" w:eastAsiaTheme="minorHAnsi" w:hAnsiTheme="minorHAnsi"/>
          <w:sz w:val="24"/>
          <w:szCs w:val="24"/>
          <w:lang w:eastAsia="en-US"/>
        </w:rPr>
        <w:t xml:space="preserve"> bound by the Code of Conduct of the host state.</w:t>
      </w:r>
      <w:r w:rsidRPr="00D45CDF">
        <w:rPr>
          <w:rStyle w:val="FootnoteReference"/>
          <w:rFonts w:asciiTheme="minorHAnsi" w:eastAsiaTheme="minorHAnsi" w:hAnsiTheme="minorHAnsi"/>
          <w:sz w:val="24"/>
          <w:szCs w:val="24"/>
          <w:lang w:eastAsia="en-US"/>
        </w:rPr>
        <w:footnoteReference w:id="89"/>
      </w:r>
      <w:r w:rsidRPr="00D45CDF">
        <w:rPr>
          <w:rFonts w:asciiTheme="minorHAnsi" w:eastAsiaTheme="minorHAnsi" w:hAnsiTheme="minorHAnsi"/>
          <w:sz w:val="24"/>
          <w:szCs w:val="24"/>
          <w:lang w:eastAsia="en-US"/>
        </w:rPr>
        <w:t xml:space="preserve"> </w:t>
      </w:r>
      <w:r w:rsidRPr="00D45CDF">
        <w:rPr>
          <w:rFonts w:asciiTheme="minorHAnsi" w:hAnsiTheme="minorHAnsi"/>
          <w:sz w:val="24"/>
          <w:szCs w:val="24"/>
        </w:rPr>
        <w:t>In the event of a conflict between home and host State professional rules, the host Member State’s professional rules prevail</w:t>
      </w:r>
      <w:r w:rsidR="00AF6662">
        <w:rPr>
          <w:rFonts w:asciiTheme="minorHAnsi" w:hAnsiTheme="minorHAnsi"/>
          <w:sz w:val="24"/>
          <w:szCs w:val="24"/>
        </w:rPr>
        <w:t>ed</w:t>
      </w:r>
      <w:r w:rsidRPr="00D45CDF">
        <w:rPr>
          <w:rFonts w:asciiTheme="minorHAnsi" w:hAnsiTheme="minorHAnsi"/>
          <w:sz w:val="24"/>
          <w:szCs w:val="24"/>
        </w:rPr>
        <w:t>.</w:t>
      </w:r>
      <w:r w:rsidR="00AA62A7" w:rsidRPr="00D45CDF">
        <w:rPr>
          <w:rStyle w:val="FootnoteReference"/>
          <w:rFonts w:asciiTheme="minorHAnsi" w:hAnsiTheme="minorHAnsi"/>
          <w:sz w:val="24"/>
          <w:szCs w:val="24"/>
        </w:rPr>
        <w:footnoteReference w:id="90"/>
      </w:r>
    </w:p>
    <w:p w14:paraId="26E66D80" w14:textId="77777777" w:rsidR="00D21CC8" w:rsidRDefault="00FB28F6" w:rsidP="001C5BA7">
      <w:pPr>
        <w:shd w:val="clear" w:color="auto" w:fill="FFFFFF"/>
        <w:spacing w:line="240" w:lineRule="auto"/>
        <w:jc w:val="both"/>
        <w:rPr>
          <w:rFonts w:asciiTheme="minorHAnsi" w:hAnsiTheme="minorHAnsi"/>
          <w:sz w:val="24"/>
          <w:szCs w:val="24"/>
        </w:rPr>
      </w:pPr>
      <w:r w:rsidRPr="00D45CDF">
        <w:rPr>
          <w:rFonts w:asciiTheme="minorHAnsi" w:hAnsiTheme="minorHAnsi"/>
          <w:sz w:val="24"/>
          <w:szCs w:val="24"/>
        </w:rPr>
        <w:lastRenderedPageBreak/>
        <w:t>These EU directives also enable</w:t>
      </w:r>
      <w:r w:rsidR="00AF6662">
        <w:rPr>
          <w:rFonts w:asciiTheme="minorHAnsi" w:hAnsiTheme="minorHAnsi"/>
          <w:sz w:val="24"/>
          <w:szCs w:val="24"/>
        </w:rPr>
        <w:t>d</w:t>
      </w:r>
      <w:r w:rsidRPr="00D45CDF">
        <w:rPr>
          <w:rFonts w:asciiTheme="minorHAnsi" w:hAnsiTheme="minorHAnsi"/>
          <w:sz w:val="24"/>
          <w:szCs w:val="24"/>
        </w:rPr>
        <w:t xml:space="preserve"> UK lawyers to work in the EU. UK lawyers </w:t>
      </w:r>
      <w:r w:rsidR="00AF6662">
        <w:rPr>
          <w:rFonts w:asciiTheme="minorHAnsi" w:hAnsiTheme="minorHAnsi"/>
          <w:sz w:val="24"/>
          <w:szCs w:val="24"/>
        </w:rPr>
        <w:t>we</w:t>
      </w:r>
      <w:r w:rsidRPr="00D45CDF">
        <w:rPr>
          <w:rFonts w:asciiTheme="minorHAnsi" w:hAnsiTheme="minorHAnsi"/>
          <w:sz w:val="24"/>
          <w:szCs w:val="24"/>
        </w:rPr>
        <w:t xml:space="preserve">re able to attend to the cross-border needs of businesses and individuals from satellite offices in the EU and on a fly-in fly-out basis </w:t>
      </w:r>
      <w:r w:rsidR="00AF6662">
        <w:rPr>
          <w:rFonts w:asciiTheme="minorHAnsi" w:hAnsiTheme="minorHAnsi"/>
          <w:sz w:val="24"/>
          <w:szCs w:val="24"/>
        </w:rPr>
        <w:t>from their UK office, and this wa</w:t>
      </w:r>
      <w:r w:rsidRPr="00D45CDF">
        <w:rPr>
          <w:rFonts w:asciiTheme="minorHAnsi" w:hAnsiTheme="minorHAnsi"/>
          <w:sz w:val="24"/>
          <w:szCs w:val="24"/>
        </w:rPr>
        <w:t>s a daily business practice for many firms.</w:t>
      </w:r>
      <w:r w:rsidR="004A3B4D" w:rsidRPr="00D45CDF">
        <w:rPr>
          <w:rStyle w:val="FootnoteReference"/>
          <w:rFonts w:asciiTheme="minorHAnsi" w:hAnsiTheme="minorHAnsi"/>
          <w:sz w:val="24"/>
          <w:szCs w:val="24"/>
        </w:rPr>
        <w:footnoteReference w:id="91"/>
      </w:r>
    </w:p>
    <w:p w14:paraId="7103A096" w14:textId="77777777" w:rsidR="000C5986" w:rsidRPr="00D45CDF" w:rsidRDefault="000C5986" w:rsidP="00554DD1">
      <w:pPr>
        <w:shd w:val="clear" w:color="auto" w:fill="FFFFFF"/>
        <w:spacing w:before="100" w:beforeAutospacing="1" w:after="180" w:line="240" w:lineRule="auto"/>
        <w:rPr>
          <w:rFonts w:asciiTheme="minorHAnsi" w:hAnsiTheme="minorHAnsi"/>
          <w:sz w:val="24"/>
          <w:szCs w:val="24"/>
        </w:rPr>
      </w:pPr>
      <w:r>
        <w:rPr>
          <w:rFonts w:asciiTheme="minorHAnsi" w:eastAsia="Times New Roman" w:hAnsiTheme="minorHAnsi"/>
          <w:sz w:val="24"/>
          <w:szCs w:val="24"/>
          <w:lang w:eastAsia="en-GB"/>
        </w:rPr>
        <w:t>From 1 January 2021,</w:t>
      </w:r>
      <w:r w:rsidR="00554DD1">
        <w:rPr>
          <w:rFonts w:asciiTheme="minorHAnsi" w:eastAsia="Times New Roman" w:hAnsiTheme="minorHAnsi"/>
          <w:sz w:val="24"/>
          <w:szCs w:val="24"/>
          <w:lang w:eastAsia="en-GB"/>
        </w:rPr>
        <w:t xml:space="preserve"> t</w:t>
      </w:r>
      <w:r w:rsidRPr="000C5986">
        <w:rPr>
          <w:rFonts w:asciiTheme="minorHAnsi" w:eastAsia="Times New Roman" w:hAnsiTheme="minorHAnsi"/>
          <w:sz w:val="24"/>
          <w:szCs w:val="24"/>
          <w:lang w:eastAsia="en-GB"/>
        </w:rPr>
        <w:t>he fly in/fly out practice rights of EU lawyers (</w:t>
      </w:r>
      <w:r w:rsidR="00554DD1">
        <w:rPr>
          <w:rFonts w:asciiTheme="minorHAnsi" w:eastAsia="Times New Roman" w:hAnsiTheme="minorHAnsi"/>
          <w:sz w:val="24"/>
          <w:szCs w:val="24"/>
          <w:lang w:eastAsia="en-GB"/>
        </w:rPr>
        <w:t>with the exception of</w:t>
      </w:r>
      <w:r w:rsidRPr="000C5986">
        <w:rPr>
          <w:rFonts w:asciiTheme="minorHAnsi" w:eastAsia="Times New Roman" w:hAnsiTheme="minorHAnsi"/>
          <w:sz w:val="24"/>
          <w:szCs w:val="24"/>
          <w:lang w:eastAsia="en-GB"/>
        </w:rPr>
        <w:t xml:space="preserve"> Swiss lawyers), have come to an end</w:t>
      </w:r>
      <w:r w:rsidR="00554DD1">
        <w:rPr>
          <w:rFonts w:asciiTheme="minorHAnsi" w:eastAsia="Times New Roman" w:hAnsiTheme="minorHAnsi"/>
          <w:sz w:val="24"/>
          <w:szCs w:val="24"/>
          <w:lang w:eastAsia="en-GB"/>
        </w:rPr>
        <w:t>, and EELs may no longer be owners or managers of a law firm in England and Wales</w:t>
      </w:r>
      <w:r w:rsidRPr="000C5986">
        <w:rPr>
          <w:rFonts w:asciiTheme="minorHAnsi" w:eastAsia="Times New Roman" w:hAnsiTheme="minorHAnsi"/>
          <w:sz w:val="24"/>
          <w:szCs w:val="24"/>
          <w:lang w:eastAsia="en-GB"/>
        </w:rPr>
        <w:t xml:space="preserve">. </w:t>
      </w:r>
    </w:p>
    <w:p w14:paraId="33349992" w14:textId="77777777" w:rsidR="00353374" w:rsidRPr="001B2C2B" w:rsidRDefault="00353374" w:rsidP="001B2C2B">
      <w:pPr>
        <w:pStyle w:val="ListParagraph"/>
        <w:numPr>
          <w:ilvl w:val="2"/>
          <w:numId w:val="11"/>
        </w:numPr>
        <w:shd w:val="clear" w:color="auto" w:fill="FFFFFF"/>
        <w:spacing w:line="240" w:lineRule="auto"/>
        <w:ind w:left="426" w:hanging="426"/>
        <w:jc w:val="both"/>
        <w:rPr>
          <w:rFonts w:asciiTheme="minorHAnsi" w:hAnsiTheme="minorHAnsi"/>
          <w:b/>
          <w:sz w:val="24"/>
          <w:szCs w:val="24"/>
        </w:rPr>
      </w:pPr>
      <w:r w:rsidRPr="001B2C2B">
        <w:rPr>
          <w:rFonts w:asciiTheme="minorHAnsi" w:hAnsiTheme="minorHAnsi"/>
          <w:b/>
          <w:sz w:val="24"/>
          <w:szCs w:val="24"/>
        </w:rPr>
        <w:t>Registered Foreign Lawyers</w:t>
      </w:r>
    </w:p>
    <w:p w14:paraId="03F45248" w14:textId="77777777" w:rsidR="00504D19" w:rsidRDefault="00FB28F6" w:rsidP="001C5BA7">
      <w:pPr>
        <w:shd w:val="clear" w:color="auto" w:fill="FFFFFF"/>
        <w:spacing w:line="240" w:lineRule="auto"/>
        <w:jc w:val="both"/>
        <w:rPr>
          <w:rFonts w:asciiTheme="minorHAnsi" w:hAnsiTheme="minorHAnsi"/>
          <w:sz w:val="24"/>
          <w:szCs w:val="24"/>
        </w:rPr>
      </w:pPr>
      <w:r w:rsidRPr="00D45CDF">
        <w:rPr>
          <w:rFonts w:asciiTheme="minorHAnsi" w:hAnsiTheme="minorHAnsi"/>
          <w:sz w:val="24"/>
          <w:szCs w:val="24"/>
        </w:rPr>
        <w:t xml:space="preserve">There are similar possibilities for non-EU nationals wishing to practise in the UK. They may register </w:t>
      </w:r>
      <w:r w:rsidR="00353374" w:rsidRPr="00D45CDF">
        <w:rPr>
          <w:rFonts w:asciiTheme="minorHAnsi" w:hAnsiTheme="minorHAnsi"/>
          <w:sz w:val="24"/>
          <w:szCs w:val="24"/>
        </w:rPr>
        <w:t xml:space="preserve">with the regulatory bodies </w:t>
      </w:r>
      <w:r w:rsidRPr="00D45CDF">
        <w:rPr>
          <w:rFonts w:asciiTheme="minorHAnsi" w:hAnsiTheme="minorHAnsi"/>
          <w:sz w:val="24"/>
          <w:szCs w:val="24"/>
        </w:rPr>
        <w:t>as Registered Foreign Lawyers (RFL) on condition that t</w:t>
      </w:r>
      <w:r w:rsidRPr="00D45CDF">
        <w:rPr>
          <w:rFonts w:asciiTheme="minorHAnsi" w:hAnsiTheme="minorHAnsi"/>
          <w:sz w:val="24"/>
          <w:szCs w:val="24"/>
          <w:shd w:val="clear" w:color="auto" w:fill="FFFFFF"/>
        </w:rPr>
        <w:t>he profession of which they are a member is approved by the Law Society as appropriately regulated, and the Law Society may impose such conditions as it considers fit.</w:t>
      </w:r>
      <w:r w:rsidR="00052729" w:rsidRPr="00D45CDF">
        <w:rPr>
          <w:rStyle w:val="FootnoteReference"/>
          <w:rFonts w:asciiTheme="minorHAnsi" w:hAnsiTheme="minorHAnsi"/>
          <w:sz w:val="24"/>
          <w:szCs w:val="24"/>
          <w:shd w:val="clear" w:color="auto" w:fill="FFFFFF"/>
        </w:rPr>
        <w:footnoteReference w:id="92"/>
      </w:r>
      <w:r w:rsidRPr="00D45CDF">
        <w:rPr>
          <w:rFonts w:asciiTheme="minorHAnsi" w:hAnsiTheme="minorHAnsi"/>
          <w:sz w:val="24"/>
          <w:szCs w:val="24"/>
          <w:shd w:val="clear" w:color="auto" w:fill="FFFFFF"/>
        </w:rPr>
        <w:t xml:space="preserve"> </w:t>
      </w:r>
      <w:r w:rsidR="00364B9A" w:rsidRPr="00D45CDF">
        <w:rPr>
          <w:rFonts w:asciiTheme="minorHAnsi" w:hAnsiTheme="minorHAnsi"/>
          <w:sz w:val="24"/>
          <w:szCs w:val="24"/>
          <w:shd w:val="clear" w:color="auto" w:fill="FFFFFF"/>
        </w:rPr>
        <w:t xml:space="preserve">This will be dependent on bilateral agreements between the states. </w:t>
      </w:r>
      <w:r w:rsidR="00353374" w:rsidRPr="00D45CDF">
        <w:rPr>
          <w:rFonts w:asciiTheme="minorHAnsi" w:hAnsiTheme="minorHAnsi"/>
          <w:sz w:val="24"/>
          <w:szCs w:val="24"/>
          <w:shd w:val="clear" w:color="auto" w:fill="FFFFFF"/>
        </w:rPr>
        <w:t>If approved by the Law Society, t</w:t>
      </w:r>
      <w:r w:rsidRPr="00D45CDF">
        <w:rPr>
          <w:rFonts w:asciiTheme="minorHAnsi" w:hAnsiTheme="minorHAnsi"/>
          <w:sz w:val="24"/>
          <w:szCs w:val="24"/>
          <w:shd w:val="clear" w:color="auto" w:fill="FFFFFF"/>
        </w:rPr>
        <w:t xml:space="preserve">hey may </w:t>
      </w:r>
      <w:r w:rsidR="00353374" w:rsidRPr="00D45CDF">
        <w:rPr>
          <w:rFonts w:asciiTheme="minorHAnsi" w:hAnsiTheme="minorHAnsi"/>
          <w:sz w:val="24"/>
          <w:szCs w:val="24"/>
          <w:shd w:val="clear" w:color="auto" w:fill="FFFFFF"/>
        </w:rPr>
        <w:t xml:space="preserve">even </w:t>
      </w:r>
      <w:r w:rsidRPr="00D45CDF">
        <w:rPr>
          <w:rFonts w:asciiTheme="minorHAnsi" w:hAnsiTheme="minorHAnsi"/>
          <w:sz w:val="24"/>
          <w:szCs w:val="24"/>
          <w:shd w:val="clear" w:color="auto" w:fill="FFFFFF"/>
        </w:rPr>
        <w:t>practise without registering</w:t>
      </w:r>
      <w:r w:rsidRPr="00D45CDF">
        <w:rPr>
          <w:rFonts w:asciiTheme="minorHAnsi" w:hAnsiTheme="minorHAnsi"/>
          <w:sz w:val="24"/>
          <w:szCs w:val="24"/>
        </w:rPr>
        <w:t xml:space="preserve"> unless they are to be partners or managers in a law firm, but regardless of status – registered or not – they may not appear in open court under any circumstances, may not carry out reserved activities nor court-based immigration work unless supervised by an Anglo-Welsh qualified lawyer,</w:t>
      </w:r>
      <w:r w:rsidR="008319E6" w:rsidRPr="00D45CDF">
        <w:rPr>
          <w:rStyle w:val="FootnoteReference"/>
          <w:rFonts w:asciiTheme="minorHAnsi" w:hAnsiTheme="minorHAnsi"/>
          <w:sz w:val="24"/>
          <w:szCs w:val="24"/>
        </w:rPr>
        <w:footnoteReference w:id="93"/>
      </w:r>
      <w:r w:rsidRPr="00D45CDF">
        <w:rPr>
          <w:rFonts w:asciiTheme="minorHAnsi" w:hAnsiTheme="minorHAnsi"/>
          <w:sz w:val="24"/>
          <w:szCs w:val="24"/>
        </w:rPr>
        <w:t xml:space="preserve"> and will be regulated by the SRA or BSB. </w:t>
      </w:r>
      <w:r w:rsidR="00353374" w:rsidRPr="00D45CDF">
        <w:rPr>
          <w:rFonts w:asciiTheme="minorHAnsi" w:hAnsiTheme="minorHAnsi"/>
          <w:sz w:val="24"/>
          <w:szCs w:val="24"/>
        </w:rPr>
        <w:t>There are therefore some differences between the status of RFLs and RELs which may</w:t>
      </w:r>
      <w:r w:rsidR="00364B9A" w:rsidRPr="00D45CDF">
        <w:rPr>
          <w:rFonts w:asciiTheme="minorHAnsi" w:hAnsiTheme="minorHAnsi"/>
          <w:sz w:val="24"/>
          <w:szCs w:val="24"/>
        </w:rPr>
        <w:t>, in reality,</w:t>
      </w:r>
      <w:r w:rsidR="00353374" w:rsidRPr="00D45CDF">
        <w:rPr>
          <w:rFonts w:asciiTheme="minorHAnsi" w:hAnsiTheme="minorHAnsi"/>
          <w:sz w:val="24"/>
          <w:szCs w:val="24"/>
        </w:rPr>
        <w:t xml:space="preserve"> be quite significant. </w:t>
      </w:r>
    </w:p>
    <w:p w14:paraId="4F053845" w14:textId="77777777" w:rsidR="009B7844" w:rsidRDefault="00AF6662" w:rsidP="001C5BA7">
      <w:pPr>
        <w:shd w:val="clear" w:color="auto" w:fill="FFFFFF"/>
        <w:spacing w:line="240" w:lineRule="auto"/>
        <w:jc w:val="both"/>
        <w:rPr>
          <w:rFonts w:asciiTheme="minorHAnsi" w:hAnsiTheme="minorHAnsi"/>
          <w:sz w:val="24"/>
          <w:szCs w:val="24"/>
        </w:rPr>
      </w:pPr>
      <w:r>
        <w:rPr>
          <w:rFonts w:asciiTheme="minorHAnsi" w:hAnsiTheme="minorHAnsi"/>
          <w:sz w:val="24"/>
          <w:szCs w:val="24"/>
        </w:rPr>
        <w:t xml:space="preserve">From 1 January 2021, this is the regime which will apply to EU lawyers wishing to practice in </w:t>
      </w:r>
      <w:r w:rsidR="00355E60">
        <w:rPr>
          <w:rFonts w:asciiTheme="minorHAnsi" w:hAnsiTheme="minorHAnsi"/>
          <w:sz w:val="24"/>
          <w:szCs w:val="24"/>
        </w:rPr>
        <w:t>England and Wales</w:t>
      </w:r>
      <w:r>
        <w:rPr>
          <w:rFonts w:asciiTheme="minorHAnsi" w:hAnsiTheme="minorHAnsi"/>
          <w:sz w:val="24"/>
          <w:szCs w:val="24"/>
        </w:rPr>
        <w:t xml:space="preserve">. </w:t>
      </w:r>
    </w:p>
    <w:p w14:paraId="164C9E0A" w14:textId="77777777" w:rsidR="009B7844" w:rsidRDefault="009B7844">
      <w:pPr>
        <w:rPr>
          <w:rFonts w:asciiTheme="minorHAnsi" w:hAnsiTheme="minorHAnsi"/>
          <w:sz w:val="24"/>
          <w:szCs w:val="24"/>
        </w:rPr>
      </w:pPr>
      <w:r>
        <w:rPr>
          <w:rFonts w:asciiTheme="minorHAnsi" w:hAnsiTheme="minorHAnsi"/>
          <w:sz w:val="24"/>
          <w:szCs w:val="24"/>
        </w:rPr>
        <w:br w:type="page"/>
      </w:r>
    </w:p>
    <w:p w14:paraId="1F1CDE55" w14:textId="77777777" w:rsidR="00B6646E" w:rsidRDefault="00B6646E" w:rsidP="00B6646E">
      <w:pPr>
        <w:shd w:val="clear" w:color="auto" w:fill="FFFFFF"/>
        <w:autoSpaceDE w:val="0"/>
        <w:autoSpaceDN w:val="0"/>
        <w:adjustRightInd w:val="0"/>
        <w:spacing w:line="240" w:lineRule="auto"/>
        <w:jc w:val="center"/>
        <w:rPr>
          <w:rFonts w:asciiTheme="minorHAnsi" w:eastAsiaTheme="minorHAnsi" w:hAnsiTheme="minorHAnsi"/>
          <w:b/>
          <w:sz w:val="28"/>
          <w:szCs w:val="28"/>
          <w:lang w:eastAsia="en-US"/>
        </w:rPr>
      </w:pPr>
      <w:r>
        <w:rPr>
          <w:rFonts w:asciiTheme="minorHAnsi" w:eastAsiaTheme="minorHAnsi" w:hAnsiTheme="minorHAnsi"/>
          <w:b/>
          <w:sz w:val="28"/>
          <w:szCs w:val="28"/>
          <w:lang w:eastAsia="en-US"/>
        </w:rPr>
        <w:lastRenderedPageBreak/>
        <w:t>PART TWO:</w:t>
      </w:r>
      <w:r w:rsidR="009B7844" w:rsidRPr="00B6646E">
        <w:rPr>
          <w:rFonts w:asciiTheme="minorHAnsi" w:eastAsiaTheme="minorHAnsi" w:hAnsiTheme="minorHAnsi"/>
          <w:b/>
          <w:sz w:val="28"/>
          <w:szCs w:val="28"/>
          <w:lang w:eastAsia="en-US"/>
        </w:rPr>
        <w:t xml:space="preserve"> </w:t>
      </w:r>
    </w:p>
    <w:p w14:paraId="1457997C" w14:textId="5E593396" w:rsidR="009A0668" w:rsidRPr="00B6646E" w:rsidRDefault="009B7844" w:rsidP="00B6646E">
      <w:pPr>
        <w:shd w:val="clear" w:color="auto" w:fill="FFFFFF"/>
        <w:autoSpaceDE w:val="0"/>
        <w:autoSpaceDN w:val="0"/>
        <w:adjustRightInd w:val="0"/>
        <w:spacing w:line="240" w:lineRule="auto"/>
        <w:jc w:val="center"/>
        <w:rPr>
          <w:rFonts w:asciiTheme="minorHAnsi" w:hAnsiTheme="minorHAnsi"/>
          <w:sz w:val="28"/>
          <w:szCs w:val="28"/>
        </w:rPr>
      </w:pPr>
      <w:r w:rsidRPr="00B6646E">
        <w:rPr>
          <w:rFonts w:asciiTheme="minorHAnsi" w:hAnsiTheme="minorHAnsi"/>
          <w:b/>
          <w:bCs/>
          <w:sz w:val="28"/>
          <w:szCs w:val="28"/>
        </w:rPr>
        <w:t>THE FREE MOVEMENT OF LEGAL SERVICES IN THE EAST AFRICAN COMMUNITY</w:t>
      </w:r>
    </w:p>
    <w:p w14:paraId="40536246" w14:textId="77777777" w:rsidR="00B6646E" w:rsidRDefault="00B6646E" w:rsidP="001C5BA7">
      <w:pPr>
        <w:spacing w:line="240" w:lineRule="auto"/>
        <w:jc w:val="both"/>
        <w:rPr>
          <w:rFonts w:asciiTheme="minorHAnsi" w:hAnsiTheme="minorHAnsi"/>
          <w:sz w:val="24"/>
          <w:szCs w:val="24"/>
        </w:rPr>
      </w:pPr>
    </w:p>
    <w:p w14:paraId="1864B4B5" w14:textId="77777777" w:rsidR="00B6646E" w:rsidRDefault="00B6646E" w:rsidP="001C5BA7">
      <w:pPr>
        <w:spacing w:line="240" w:lineRule="auto"/>
        <w:jc w:val="both"/>
        <w:rPr>
          <w:rFonts w:asciiTheme="minorHAnsi" w:hAnsiTheme="minorHAnsi"/>
          <w:sz w:val="24"/>
          <w:szCs w:val="24"/>
        </w:rPr>
      </w:pPr>
    </w:p>
    <w:p w14:paraId="7FA7F832" w14:textId="59EDF1DE" w:rsidR="009A0668" w:rsidRPr="00D45CDF" w:rsidRDefault="009A0668" w:rsidP="001C5BA7">
      <w:pPr>
        <w:spacing w:line="240" w:lineRule="auto"/>
        <w:jc w:val="both"/>
        <w:rPr>
          <w:rFonts w:asciiTheme="minorHAnsi" w:hAnsiTheme="minorHAnsi"/>
          <w:sz w:val="24"/>
          <w:szCs w:val="24"/>
        </w:rPr>
      </w:pPr>
      <w:r w:rsidRPr="00D45CDF">
        <w:rPr>
          <w:rFonts w:asciiTheme="minorHAnsi" w:hAnsiTheme="minorHAnsi"/>
          <w:sz w:val="24"/>
          <w:szCs w:val="24"/>
        </w:rPr>
        <w:t>The East African Community is often considered to be the most successful of the regional integration scheme</w:t>
      </w:r>
      <w:r w:rsidR="00E92A83" w:rsidRPr="00D45CDF">
        <w:rPr>
          <w:rFonts w:asciiTheme="minorHAnsi" w:hAnsiTheme="minorHAnsi"/>
          <w:sz w:val="24"/>
          <w:szCs w:val="24"/>
        </w:rPr>
        <w:t>s</w:t>
      </w:r>
      <w:r w:rsidRPr="00D45CDF">
        <w:rPr>
          <w:rFonts w:asciiTheme="minorHAnsi" w:hAnsiTheme="minorHAnsi"/>
          <w:sz w:val="24"/>
          <w:szCs w:val="24"/>
        </w:rPr>
        <w:t xml:space="preserve"> on the African continent, having received the highest score </w:t>
      </w:r>
      <w:r w:rsidR="009E14B6" w:rsidRPr="00D45CDF">
        <w:rPr>
          <w:rFonts w:asciiTheme="minorHAnsi" w:hAnsiTheme="minorHAnsi"/>
          <w:sz w:val="24"/>
          <w:szCs w:val="24"/>
        </w:rPr>
        <w:t xml:space="preserve">for regional integration </w:t>
      </w:r>
      <w:r w:rsidRPr="00D45CDF">
        <w:rPr>
          <w:rFonts w:asciiTheme="minorHAnsi" w:hAnsiTheme="minorHAnsi"/>
          <w:sz w:val="24"/>
          <w:szCs w:val="24"/>
        </w:rPr>
        <w:t>amongst th</w:t>
      </w:r>
      <w:r w:rsidR="0087613D" w:rsidRPr="00D45CDF">
        <w:rPr>
          <w:rFonts w:asciiTheme="minorHAnsi" w:hAnsiTheme="minorHAnsi"/>
          <w:sz w:val="24"/>
          <w:szCs w:val="24"/>
        </w:rPr>
        <w:t>e RECs</w:t>
      </w:r>
      <w:r w:rsidRPr="00D45CDF">
        <w:rPr>
          <w:rFonts w:asciiTheme="minorHAnsi" w:hAnsiTheme="minorHAnsi"/>
          <w:sz w:val="24"/>
          <w:szCs w:val="24"/>
        </w:rPr>
        <w:t xml:space="preserve"> on the Regional Integration Index of the United Nations Economic Commission for Africa.</w:t>
      </w:r>
      <w:r w:rsidR="00140304" w:rsidRPr="00D45CDF">
        <w:rPr>
          <w:rStyle w:val="FootnoteReference"/>
          <w:rFonts w:asciiTheme="minorHAnsi" w:hAnsiTheme="minorHAnsi"/>
          <w:sz w:val="24"/>
          <w:szCs w:val="24"/>
        </w:rPr>
        <w:footnoteReference w:id="94"/>
      </w:r>
      <w:r w:rsidRPr="00D45CDF">
        <w:rPr>
          <w:rFonts w:asciiTheme="minorHAnsi" w:hAnsiTheme="minorHAnsi"/>
          <w:sz w:val="24"/>
          <w:szCs w:val="24"/>
        </w:rPr>
        <w:t xml:space="preserve"> It</w:t>
      </w:r>
      <w:r w:rsidR="00130C95" w:rsidRPr="00D45CDF">
        <w:rPr>
          <w:rFonts w:asciiTheme="minorHAnsi" w:hAnsiTheme="minorHAnsi"/>
          <w:sz w:val="24"/>
          <w:szCs w:val="24"/>
        </w:rPr>
        <w:t>s integration process roadmap includes a customs union, a common market, monetary union and ultimately a political federation.</w:t>
      </w:r>
      <w:r w:rsidR="0058642C" w:rsidRPr="00D45CDF">
        <w:rPr>
          <w:rStyle w:val="FootnoteReference"/>
          <w:rFonts w:asciiTheme="minorHAnsi" w:hAnsiTheme="minorHAnsi"/>
          <w:sz w:val="24"/>
          <w:szCs w:val="24"/>
        </w:rPr>
        <w:footnoteReference w:id="95"/>
      </w:r>
      <w:r w:rsidRPr="00D45CDF">
        <w:rPr>
          <w:rFonts w:asciiTheme="minorHAnsi" w:hAnsiTheme="minorHAnsi"/>
          <w:sz w:val="24"/>
          <w:szCs w:val="24"/>
        </w:rPr>
        <w:t xml:space="preserve">  </w:t>
      </w:r>
    </w:p>
    <w:p w14:paraId="69E9814F" w14:textId="77777777" w:rsidR="009A0668" w:rsidRPr="00D45CDF" w:rsidRDefault="00B145F4" w:rsidP="001C5BA7">
      <w:pPr>
        <w:spacing w:line="240" w:lineRule="auto"/>
        <w:jc w:val="both"/>
        <w:rPr>
          <w:rFonts w:asciiTheme="minorHAnsi" w:hAnsiTheme="minorHAnsi"/>
          <w:sz w:val="24"/>
          <w:szCs w:val="24"/>
        </w:rPr>
      </w:pPr>
      <w:r w:rsidRPr="00D45CDF">
        <w:rPr>
          <w:rFonts w:asciiTheme="minorHAnsi" w:hAnsiTheme="minorHAnsi"/>
          <w:sz w:val="24"/>
          <w:szCs w:val="24"/>
        </w:rPr>
        <w:t>However, a</w:t>
      </w:r>
      <w:r w:rsidR="009A0668" w:rsidRPr="00D45CDF">
        <w:rPr>
          <w:rFonts w:asciiTheme="minorHAnsi" w:hAnsiTheme="minorHAnsi"/>
          <w:sz w:val="24"/>
          <w:szCs w:val="24"/>
        </w:rPr>
        <w:t>lthough it may be one of the best-performing integration initiatives on the African continent, there is reason to wonder whether the free movement of legal services will ever be realised.</w:t>
      </w:r>
    </w:p>
    <w:p w14:paraId="3E12AA50" w14:textId="77777777" w:rsidR="009A0668" w:rsidRPr="00D45CDF" w:rsidRDefault="009A0668" w:rsidP="001C5BA7">
      <w:pPr>
        <w:spacing w:line="240" w:lineRule="auto"/>
        <w:jc w:val="both"/>
        <w:rPr>
          <w:rFonts w:asciiTheme="minorHAnsi" w:hAnsiTheme="minorHAnsi"/>
          <w:sz w:val="24"/>
          <w:szCs w:val="24"/>
        </w:rPr>
      </w:pPr>
      <w:r w:rsidRPr="00D45CDF">
        <w:rPr>
          <w:rFonts w:asciiTheme="minorHAnsi" w:hAnsiTheme="minorHAnsi"/>
          <w:sz w:val="24"/>
          <w:szCs w:val="24"/>
        </w:rPr>
        <w:t xml:space="preserve">In order to ascertain the potential implementation of the free movement of legal services, it is necessary to </w:t>
      </w:r>
      <w:r w:rsidR="00425A18" w:rsidRPr="00D45CDF">
        <w:rPr>
          <w:rFonts w:asciiTheme="minorHAnsi" w:hAnsiTheme="minorHAnsi"/>
          <w:sz w:val="24"/>
          <w:szCs w:val="24"/>
        </w:rPr>
        <w:t>evaluate</w:t>
      </w:r>
      <w:r w:rsidRPr="00D45CDF">
        <w:rPr>
          <w:rFonts w:asciiTheme="minorHAnsi" w:hAnsiTheme="minorHAnsi"/>
          <w:sz w:val="24"/>
          <w:szCs w:val="24"/>
        </w:rPr>
        <w:t xml:space="preserve"> what the free movement of legal services in the EAC means, what the commitments of the </w:t>
      </w:r>
      <w:r w:rsidR="001D6D90" w:rsidRPr="00D45CDF">
        <w:rPr>
          <w:rFonts w:asciiTheme="minorHAnsi" w:hAnsiTheme="minorHAnsi"/>
          <w:sz w:val="24"/>
          <w:szCs w:val="24"/>
        </w:rPr>
        <w:t>Partner States</w:t>
      </w:r>
      <w:r w:rsidRPr="00D45CDF">
        <w:rPr>
          <w:rFonts w:asciiTheme="minorHAnsi" w:hAnsiTheme="minorHAnsi"/>
          <w:sz w:val="24"/>
          <w:szCs w:val="24"/>
        </w:rPr>
        <w:t xml:space="preserve"> are, how free movement of legal services is supposed to function and what the challenges are which need to be overcome in order for this to be achieved.</w:t>
      </w:r>
      <w:r w:rsidR="00130C95" w:rsidRPr="00D45CDF">
        <w:rPr>
          <w:rFonts w:asciiTheme="minorHAnsi" w:hAnsiTheme="minorHAnsi"/>
          <w:sz w:val="24"/>
          <w:szCs w:val="24"/>
        </w:rPr>
        <w:t xml:space="preserve"> Th</w:t>
      </w:r>
      <w:r w:rsidR="00E759AE" w:rsidRPr="00D45CDF">
        <w:rPr>
          <w:rFonts w:asciiTheme="minorHAnsi" w:hAnsiTheme="minorHAnsi"/>
          <w:sz w:val="24"/>
          <w:szCs w:val="24"/>
        </w:rPr>
        <w:t>is</w:t>
      </w:r>
      <w:r w:rsidR="00130C95" w:rsidRPr="00D45CDF">
        <w:rPr>
          <w:rFonts w:asciiTheme="minorHAnsi" w:hAnsiTheme="minorHAnsi"/>
          <w:sz w:val="24"/>
          <w:szCs w:val="24"/>
        </w:rPr>
        <w:t xml:space="preserve"> will be done through the prism of</w:t>
      </w:r>
      <w:r w:rsidR="00382DF9" w:rsidRPr="00D45CDF">
        <w:rPr>
          <w:rFonts w:asciiTheme="minorHAnsi" w:hAnsiTheme="minorHAnsi"/>
          <w:sz w:val="24"/>
          <w:szCs w:val="24"/>
        </w:rPr>
        <w:t xml:space="preserve"> the Rwandan legislation.</w:t>
      </w:r>
      <w:r w:rsidR="00130C95" w:rsidRPr="00D45CDF">
        <w:rPr>
          <w:rFonts w:asciiTheme="minorHAnsi" w:hAnsiTheme="minorHAnsi"/>
          <w:sz w:val="24"/>
          <w:szCs w:val="24"/>
        </w:rPr>
        <w:t xml:space="preserve"> </w:t>
      </w:r>
    </w:p>
    <w:p w14:paraId="6D1C8724" w14:textId="77777777" w:rsidR="009A0668" w:rsidRPr="001B2C2B" w:rsidRDefault="00ED2541" w:rsidP="001B2C2B">
      <w:pPr>
        <w:pStyle w:val="ListParagraph"/>
        <w:numPr>
          <w:ilvl w:val="0"/>
          <w:numId w:val="11"/>
        </w:numPr>
        <w:spacing w:line="240" w:lineRule="auto"/>
        <w:jc w:val="both"/>
        <w:rPr>
          <w:rFonts w:asciiTheme="minorHAnsi" w:hAnsiTheme="minorHAnsi"/>
          <w:b/>
          <w:sz w:val="24"/>
          <w:szCs w:val="24"/>
        </w:rPr>
      </w:pPr>
      <w:r w:rsidRPr="001B2C2B">
        <w:rPr>
          <w:rFonts w:asciiTheme="minorHAnsi" w:hAnsiTheme="minorHAnsi"/>
          <w:b/>
          <w:sz w:val="24"/>
          <w:szCs w:val="24"/>
        </w:rPr>
        <w:t xml:space="preserve">Legal framework for the FOM </w:t>
      </w:r>
      <w:r w:rsidR="009A0668" w:rsidRPr="001B2C2B">
        <w:rPr>
          <w:rFonts w:asciiTheme="minorHAnsi" w:hAnsiTheme="minorHAnsi"/>
          <w:b/>
          <w:sz w:val="24"/>
          <w:szCs w:val="24"/>
        </w:rPr>
        <w:t>legal services in the EAC</w:t>
      </w:r>
    </w:p>
    <w:p w14:paraId="7A79663D" w14:textId="77777777" w:rsidR="009A0668" w:rsidRPr="00D45CDF" w:rsidRDefault="008D0BC3" w:rsidP="001C5BA7">
      <w:pPr>
        <w:spacing w:line="240" w:lineRule="auto"/>
        <w:jc w:val="both"/>
        <w:rPr>
          <w:rFonts w:asciiTheme="minorHAnsi" w:hAnsiTheme="minorHAnsi"/>
          <w:sz w:val="24"/>
          <w:szCs w:val="24"/>
        </w:rPr>
      </w:pPr>
      <w:r w:rsidRPr="00D45CDF">
        <w:rPr>
          <w:rFonts w:asciiTheme="minorHAnsi" w:hAnsiTheme="minorHAnsi"/>
          <w:sz w:val="24"/>
          <w:szCs w:val="24"/>
        </w:rPr>
        <w:t xml:space="preserve">One of the specific objectives of the EAC Common Market, in order to accelerate economic growth and development of the </w:t>
      </w:r>
      <w:r w:rsidR="001D6D90" w:rsidRPr="00D45CDF">
        <w:rPr>
          <w:rFonts w:asciiTheme="minorHAnsi" w:hAnsiTheme="minorHAnsi"/>
          <w:sz w:val="24"/>
          <w:szCs w:val="24"/>
        </w:rPr>
        <w:t>Partner States</w:t>
      </w:r>
      <w:r w:rsidRPr="00D45CDF">
        <w:rPr>
          <w:rFonts w:asciiTheme="minorHAnsi" w:hAnsiTheme="minorHAnsi"/>
          <w:sz w:val="24"/>
          <w:szCs w:val="24"/>
        </w:rPr>
        <w:t>, was to attain the free movement of  goods, persons and labour, the rights of establishment and residence and the free movement of services and capital in general.</w:t>
      </w:r>
      <w:r w:rsidRPr="00D45CDF">
        <w:rPr>
          <w:rStyle w:val="FootnoteReference"/>
          <w:rFonts w:asciiTheme="minorHAnsi" w:hAnsiTheme="minorHAnsi"/>
          <w:sz w:val="24"/>
          <w:szCs w:val="24"/>
        </w:rPr>
        <w:footnoteReference w:id="96"/>
      </w:r>
      <w:r w:rsidRPr="00D45CDF">
        <w:rPr>
          <w:rFonts w:asciiTheme="minorHAnsi" w:hAnsiTheme="minorHAnsi"/>
          <w:sz w:val="24"/>
          <w:szCs w:val="24"/>
        </w:rPr>
        <w:t xml:space="preserve"> Accordingly, </w:t>
      </w:r>
      <w:r w:rsidR="00130C95" w:rsidRPr="00D45CDF">
        <w:rPr>
          <w:rFonts w:asciiTheme="minorHAnsi" w:hAnsiTheme="minorHAnsi"/>
          <w:sz w:val="24"/>
          <w:szCs w:val="24"/>
        </w:rPr>
        <w:t>the</w:t>
      </w:r>
      <w:r w:rsidR="009A0668" w:rsidRPr="00D45CDF">
        <w:rPr>
          <w:rFonts w:asciiTheme="minorHAnsi" w:hAnsiTheme="minorHAnsi"/>
          <w:sz w:val="24"/>
          <w:szCs w:val="24"/>
        </w:rPr>
        <w:t xml:space="preserve"> </w:t>
      </w:r>
      <w:r w:rsidR="001D6D90" w:rsidRPr="00D45CDF">
        <w:rPr>
          <w:rFonts w:asciiTheme="minorHAnsi" w:hAnsiTheme="minorHAnsi"/>
          <w:sz w:val="24"/>
          <w:szCs w:val="24"/>
        </w:rPr>
        <w:t>Partner States</w:t>
      </w:r>
      <w:r w:rsidR="009A0668" w:rsidRPr="00D45CDF">
        <w:rPr>
          <w:rFonts w:asciiTheme="minorHAnsi" w:hAnsiTheme="minorHAnsi"/>
          <w:sz w:val="24"/>
          <w:szCs w:val="24"/>
        </w:rPr>
        <w:t xml:space="preserve"> </w:t>
      </w:r>
      <w:r w:rsidR="0040458D" w:rsidRPr="00D45CDF">
        <w:rPr>
          <w:rFonts w:asciiTheme="minorHAnsi" w:hAnsiTheme="minorHAnsi"/>
          <w:sz w:val="24"/>
          <w:szCs w:val="24"/>
        </w:rPr>
        <w:t xml:space="preserve">(Burundi, Kenya, Rwanda, South Sudan, Tanzania and Uganda </w:t>
      </w:r>
      <w:r w:rsidR="009A0668" w:rsidRPr="00D45CDF">
        <w:rPr>
          <w:rFonts w:asciiTheme="minorHAnsi" w:hAnsiTheme="minorHAnsi"/>
          <w:sz w:val="24"/>
          <w:szCs w:val="24"/>
        </w:rPr>
        <w:t>of the EAC</w:t>
      </w:r>
      <w:r w:rsidRPr="00D45CDF">
        <w:rPr>
          <w:rFonts w:asciiTheme="minorHAnsi" w:hAnsiTheme="minorHAnsi"/>
          <w:sz w:val="24"/>
          <w:szCs w:val="24"/>
        </w:rPr>
        <w:t>)</w:t>
      </w:r>
      <w:r w:rsidR="00E632DE" w:rsidRPr="00D45CDF">
        <w:rPr>
          <w:rFonts w:asciiTheme="minorHAnsi" w:hAnsiTheme="minorHAnsi"/>
          <w:sz w:val="24"/>
          <w:szCs w:val="24"/>
        </w:rPr>
        <w:t xml:space="preserve"> </w:t>
      </w:r>
      <w:r w:rsidR="009A0668" w:rsidRPr="00D45CDF">
        <w:rPr>
          <w:rFonts w:asciiTheme="minorHAnsi" w:hAnsiTheme="minorHAnsi"/>
          <w:sz w:val="24"/>
          <w:szCs w:val="24"/>
        </w:rPr>
        <w:t>have committed to liberalise the</w:t>
      </w:r>
      <w:r w:rsidRPr="00D45CDF">
        <w:rPr>
          <w:rFonts w:asciiTheme="minorHAnsi" w:hAnsiTheme="minorHAnsi"/>
          <w:sz w:val="24"/>
          <w:szCs w:val="24"/>
        </w:rPr>
        <w:t xml:space="preserve"> </w:t>
      </w:r>
      <w:r w:rsidR="009A0668" w:rsidRPr="00D45CDF">
        <w:rPr>
          <w:rFonts w:asciiTheme="minorHAnsi" w:hAnsiTheme="minorHAnsi"/>
          <w:sz w:val="24"/>
          <w:szCs w:val="24"/>
        </w:rPr>
        <w:t>movement of services within the EAC, within their respective territories</w:t>
      </w:r>
      <w:r w:rsidR="00024E7B" w:rsidRPr="00D45CDF">
        <w:rPr>
          <w:rFonts w:asciiTheme="minorHAnsi" w:hAnsiTheme="minorHAnsi"/>
          <w:sz w:val="24"/>
          <w:szCs w:val="24"/>
        </w:rPr>
        <w:t xml:space="preserve">. </w:t>
      </w:r>
      <w:r w:rsidR="009A0668" w:rsidRPr="00D45CDF">
        <w:rPr>
          <w:rFonts w:asciiTheme="minorHAnsi" w:hAnsiTheme="minorHAnsi"/>
          <w:sz w:val="24"/>
          <w:szCs w:val="24"/>
        </w:rPr>
        <w:t>Among the services they agreed to liberalise are legal services</w:t>
      </w:r>
      <w:r w:rsidR="004B36DC" w:rsidRPr="00D45CDF">
        <w:rPr>
          <w:rFonts w:asciiTheme="minorHAnsi" w:hAnsiTheme="minorHAnsi"/>
          <w:sz w:val="24"/>
          <w:szCs w:val="24"/>
        </w:rPr>
        <w:t xml:space="preserve"> which were </w:t>
      </w:r>
      <w:r w:rsidR="00024E7B" w:rsidRPr="00D45CDF">
        <w:rPr>
          <w:rFonts w:asciiTheme="minorHAnsi" w:hAnsiTheme="minorHAnsi"/>
          <w:sz w:val="24"/>
          <w:szCs w:val="24"/>
        </w:rPr>
        <w:t xml:space="preserve">intended </w:t>
      </w:r>
      <w:r w:rsidR="004B36DC" w:rsidRPr="00D45CDF">
        <w:rPr>
          <w:rFonts w:asciiTheme="minorHAnsi" w:hAnsiTheme="minorHAnsi"/>
          <w:sz w:val="24"/>
          <w:szCs w:val="24"/>
        </w:rPr>
        <w:t>to enjoy full free movement right</w:t>
      </w:r>
      <w:r w:rsidR="00390DF2" w:rsidRPr="00D45CDF">
        <w:rPr>
          <w:rFonts w:asciiTheme="minorHAnsi" w:hAnsiTheme="minorHAnsi"/>
          <w:sz w:val="24"/>
          <w:szCs w:val="24"/>
        </w:rPr>
        <w:t>s</w:t>
      </w:r>
      <w:r w:rsidR="004B36DC" w:rsidRPr="00D45CDF">
        <w:rPr>
          <w:rFonts w:asciiTheme="minorHAnsi" w:hAnsiTheme="minorHAnsi"/>
          <w:sz w:val="24"/>
          <w:szCs w:val="24"/>
        </w:rPr>
        <w:t xml:space="preserve"> </w:t>
      </w:r>
      <w:r w:rsidR="0058642C" w:rsidRPr="00D45CDF">
        <w:rPr>
          <w:rFonts w:asciiTheme="minorHAnsi" w:hAnsiTheme="minorHAnsi"/>
          <w:sz w:val="24"/>
          <w:szCs w:val="24"/>
        </w:rPr>
        <w:t xml:space="preserve">within the community </w:t>
      </w:r>
      <w:r w:rsidR="004B36DC" w:rsidRPr="00D45CDF">
        <w:rPr>
          <w:rFonts w:asciiTheme="minorHAnsi" w:hAnsiTheme="minorHAnsi"/>
          <w:sz w:val="24"/>
          <w:szCs w:val="24"/>
        </w:rPr>
        <w:t>by the end of 2015.</w:t>
      </w:r>
      <w:r w:rsidR="004B36DC" w:rsidRPr="00D45CDF">
        <w:rPr>
          <w:rStyle w:val="FootnoteReference"/>
          <w:rFonts w:asciiTheme="minorHAnsi" w:hAnsiTheme="minorHAnsi"/>
          <w:sz w:val="24"/>
          <w:szCs w:val="24"/>
        </w:rPr>
        <w:footnoteReference w:id="97"/>
      </w:r>
      <w:r w:rsidR="009A0668" w:rsidRPr="00D45CDF">
        <w:rPr>
          <w:rFonts w:asciiTheme="minorHAnsi" w:hAnsiTheme="minorHAnsi"/>
          <w:sz w:val="24"/>
          <w:szCs w:val="24"/>
        </w:rPr>
        <w:t xml:space="preserve"> </w:t>
      </w:r>
      <w:r w:rsidR="0058642C" w:rsidRPr="00D45CDF">
        <w:rPr>
          <w:rFonts w:asciiTheme="minorHAnsi" w:hAnsiTheme="minorHAnsi"/>
          <w:sz w:val="24"/>
          <w:szCs w:val="24"/>
        </w:rPr>
        <w:t>This meant</w:t>
      </w:r>
      <w:r w:rsidR="00390DF2" w:rsidRPr="00D45CDF">
        <w:rPr>
          <w:rFonts w:asciiTheme="minorHAnsi" w:hAnsiTheme="minorHAnsi"/>
          <w:sz w:val="24"/>
          <w:szCs w:val="24"/>
        </w:rPr>
        <w:t>,</w:t>
      </w:r>
      <w:r w:rsidR="009A0668" w:rsidRPr="00D45CDF">
        <w:rPr>
          <w:rFonts w:asciiTheme="minorHAnsi" w:hAnsiTheme="minorHAnsi"/>
          <w:sz w:val="24"/>
          <w:szCs w:val="24"/>
        </w:rPr>
        <w:t xml:space="preserve"> for example</w:t>
      </w:r>
      <w:r w:rsidR="00390DF2" w:rsidRPr="00D45CDF">
        <w:rPr>
          <w:rFonts w:asciiTheme="minorHAnsi" w:hAnsiTheme="minorHAnsi"/>
          <w:sz w:val="24"/>
          <w:szCs w:val="24"/>
        </w:rPr>
        <w:t>,</w:t>
      </w:r>
      <w:r w:rsidR="009A0668" w:rsidRPr="00D45CDF">
        <w:rPr>
          <w:rFonts w:asciiTheme="minorHAnsi" w:hAnsiTheme="minorHAnsi"/>
          <w:sz w:val="24"/>
          <w:szCs w:val="24"/>
        </w:rPr>
        <w:t xml:space="preserve"> that a Rwandan lawyer </w:t>
      </w:r>
      <w:r w:rsidR="00024E7B" w:rsidRPr="00D45CDF">
        <w:rPr>
          <w:rFonts w:asciiTheme="minorHAnsi" w:hAnsiTheme="minorHAnsi"/>
          <w:sz w:val="24"/>
          <w:szCs w:val="24"/>
        </w:rPr>
        <w:t xml:space="preserve">should have been able to </w:t>
      </w:r>
      <w:r w:rsidR="009A0668" w:rsidRPr="00D45CDF">
        <w:rPr>
          <w:rFonts w:asciiTheme="minorHAnsi" w:hAnsiTheme="minorHAnsi"/>
          <w:sz w:val="24"/>
          <w:szCs w:val="24"/>
        </w:rPr>
        <w:t>travel to provide legal advice or represent a client before a court</w:t>
      </w:r>
      <w:r w:rsidR="00F00AE3" w:rsidRPr="00D45CDF">
        <w:rPr>
          <w:rFonts w:asciiTheme="minorHAnsi" w:hAnsiTheme="minorHAnsi"/>
          <w:sz w:val="24"/>
          <w:szCs w:val="24"/>
        </w:rPr>
        <w:t xml:space="preserve"> in another EAC </w:t>
      </w:r>
      <w:r w:rsidRPr="00D45CDF">
        <w:rPr>
          <w:rFonts w:asciiTheme="minorHAnsi" w:hAnsiTheme="minorHAnsi"/>
          <w:sz w:val="24"/>
          <w:szCs w:val="24"/>
        </w:rPr>
        <w:t xml:space="preserve">partner </w:t>
      </w:r>
      <w:r w:rsidR="00F00AE3" w:rsidRPr="00D45CDF">
        <w:rPr>
          <w:rFonts w:asciiTheme="minorHAnsi" w:hAnsiTheme="minorHAnsi"/>
          <w:sz w:val="24"/>
          <w:szCs w:val="24"/>
        </w:rPr>
        <w:t>state.</w:t>
      </w:r>
    </w:p>
    <w:p w14:paraId="1E541D3C" w14:textId="77777777" w:rsidR="009A0668" w:rsidRPr="00D45CDF" w:rsidRDefault="0011557D" w:rsidP="001C5BA7">
      <w:pPr>
        <w:pStyle w:val="Default"/>
        <w:spacing w:after="240"/>
        <w:jc w:val="both"/>
        <w:rPr>
          <w:rFonts w:asciiTheme="minorHAnsi" w:hAnsiTheme="minorHAnsi"/>
        </w:rPr>
      </w:pPr>
      <w:r w:rsidRPr="00D45CDF">
        <w:rPr>
          <w:rFonts w:asciiTheme="minorHAnsi" w:hAnsiTheme="minorHAnsi"/>
        </w:rPr>
        <w:t>This was to be implemented</w:t>
      </w:r>
      <w:r w:rsidR="00E92A83" w:rsidRPr="00D45CDF">
        <w:rPr>
          <w:rFonts w:asciiTheme="minorHAnsi" w:hAnsiTheme="minorHAnsi"/>
        </w:rPr>
        <w:t xml:space="preserve"> </w:t>
      </w:r>
      <w:r w:rsidR="009A0668" w:rsidRPr="00D45CDF">
        <w:rPr>
          <w:rFonts w:asciiTheme="minorHAnsi" w:hAnsiTheme="minorHAnsi"/>
        </w:rPr>
        <w:t xml:space="preserve">in four </w:t>
      </w:r>
      <w:r w:rsidR="00372CBD" w:rsidRPr="00D45CDF">
        <w:rPr>
          <w:rFonts w:asciiTheme="minorHAnsi" w:hAnsiTheme="minorHAnsi"/>
        </w:rPr>
        <w:t xml:space="preserve">ways or </w:t>
      </w:r>
      <w:r w:rsidR="003F661F" w:rsidRPr="00D45CDF">
        <w:rPr>
          <w:rFonts w:asciiTheme="minorHAnsi" w:hAnsiTheme="minorHAnsi"/>
        </w:rPr>
        <w:t>M</w:t>
      </w:r>
      <w:r w:rsidR="00372CBD" w:rsidRPr="00D45CDF">
        <w:rPr>
          <w:rFonts w:asciiTheme="minorHAnsi" w:hAnsiTheme="minorHAnsi"/>
        </w:rPr>
        <w:t>odes</w:t>
      </w:r>
      <w:r w:rsidR="009A0668" w:rsidRPr="00D45CDF">
        <w:rPr>
          <w:rFonts w:asciiTheme="minorHAnsi" w:hAnsiTheme="minorHAnsi"/>
        </w:rPr>
        <w:t>.</w:t>
      </w:r>
      <w:r w:rsidR="00372CBD" w:rsidRPr="00D45CDF">
        <w:rPr>
          <w:rStyle w:val="FootnoteReference"/>
          <w:rFonts w:asciiTheme="minorHAnsi" w:hAnsiTheme="minorHAnsi"/>
        </w:rPr>
        <w:footnoteReference w:id="98"/>
      </w:r>
      <w:r w:rsidR="009A0668" w:rsidRPr="00D45CDF">
        <w:rPr>
          <w:rFonts w:asciiTheme="minorHAnsi" w:hAnsiTheme="minorHAnsi"/>
        </w:rPr>
        <w:t xml:space="preserve"> The first </w:t>
      </w:r>
      <w:r w:rsidR="003F661F" w:rsidRPr="00D45CDF">
        <w:rPr>
          <w:rFonts w:asciiTheme="minorHAnsi" w:hAnsiTheme="minorHAnsi"/>
        </w:rPr>
        <w:t>M</w:t>
      </w:r>
      <w:r w:rsidR="009A0668" w:rsidRPr="00D45CDF">
        <w:rPr>
          <w:rFonts w:asciiTheme="minorHAnsi" w:hAnsiTheme="minorHAnsi"/>
        </w:rPr>
        <w:t>ode relate</w:t>
      </w:r>
      <w:r w:rsidR="006116C4" w:rsidRPr="00D45CDF">
        <w:rPr>
          <w:rFonts w:asciiTheme="minorHAnsi" w:hAnsiTheme="minorHAnsi"/>
        </w:rPr>
        <w:t>s</w:t>
      </w:r>
      <w:r w:rsidR="009A0668" w:rsidRPr="00D45CDF">
        <w:rPr>
          <w:rFonts w:asciiTheme="minorHAnsi" w:hAnsiTheme="minorHAnsi"/>
        </w:rPr>
        <w:t xml:space="preserve"> to cross border supply,</w:t>
      </w:r>
      <w:r w:rsidR="008E1C0D" w:rsidRPr="00D45CDF">
        <w:rPr>
          <w:rFonts w:asciiTheme="minorHAnsi" w:hAnsiTheme="minorHAnsi"/>
        </w:rPr>
        <w:t xml:space="preserve"> </w:t>
      </w:r>
      <w:r w:rsidR="000E1AE2" w:rsidRPr="00D45CDF">
        <w:rPr>
          <w:rFonts w:asciiTheme="minorHAnsi" w:hAnsiTheme="minorHAnsi" w:cs="Calibri"/>
        </w:rPr>
        <w:t xml:space="preserve">the supply of services from the territory of a Partner State into the territory of another </w:t>
      </w:r>
      <w:r w:rsidR="000E1AE2" w:rsidRPr="00D45CDF">
        <w:rPr>
          <w:rFonts w:asciiTheme="minorHAnsi" w:hAnsiTheme="minorHAnsi" w:cs="Calibri"/>
        </w:rPr>
        <w:lastRenderedPageBreak/>
        <w:t xml:space="preserve">Partner State, </w:t>
      </w:r>
      <w:r w:rsidR="008E1C0D" w:rsidRPr="00D45CDF">
        <w:rPr>
          <w:rFonts w:asciiTheme="minorHAnsi" w:hAnsiTheme="minorHAnsi"/>
        </w:rPr>
        <w:t xml:space="preserve">meaning that </w:t>
      </w:r>
      <w:r w:rsidR="009A0668" w:rsidRPr="00D45CDF">
        <w:rPr>
          <w:rFonts w:asciiTheme="minorHAnsi" w:hAnsiTheme="minorHAnsi"/>
        </w:rPr>
        <w:t xml:space="preserve">for example a Kenyan lawyer based in Kenya </w:t>
      </w:r>
      <w:r w:rsidRPr="00D45CDF">
        <w:rPr>
          <w:rFonts w:asciiTheme="minorHAnsi" w:hAnsiTheme="minorHAnsi"/>
        </w:rPr>
        <w:t xml:space="preserve">should be able to </w:t>
      </w:r>
      <w:r w:rsidR="009A0668" w:rsidRPr="00D45CDF">
        <w:rPr>
          <w:rFonts w:asciiTheme="minorHAnsi" w:hAnsiTheme="minorHAnsi"/>
        </w:rPr>
        <w:t>provide legal services</w:t>
      </w:r>
      <w:r w:rsidR="008E1C0D" w:rsidRPr="00D45CDF">
        <w:rPr>
          <w:rFonts w:asciiTheme="minorHAnsi" w:hAnsiTheme="minorHAnsi"/>
        </w:rPr>
        <w:t xml:space="preserve"> or</w:t>
      </w:r>
      <w:r w:rsidR="009A0668" w:rsidRPr="00D45CDF">
        <w:rPr>
          <w:rFonts w:asciiTheme="minorHAnsi" w:hAnsiTheme="minorHAnsi"/>
        </w:rPr>
        <w:t xml:space="preserve"> legal advice to Rwandan clients in Rwanda without </w:t>
      </w:r>
      <w:r w:rsidR="000F3AD3" w:rsidRPr="00D45CDF">
        <w:rPr>
          <w:rFonts w:asciiTheme="minorHAnsi" w:hAnsiTheme="minorHAnsi"/>
        </w:rPr>
        <w:t>either party</w:t>
      </w:r>
      <w:r w:rsidR="009A0668" w:rsidRPr="00D45CDF">
        <w:rPr>
          <w:rFonts w:asciiTheme="minorHAnsi" w:hAnsiTheme="minorHAnsi"/>
        </w:rPr>
        <w:t xml:space="preserve"> leaving their territor</w:t>
      </w:r>
      <w:r w:rsidR="000F3AD3" w:rsidRPr="00D45CDF">
        <w:rPr>
          <w:rFonts w:asciiTheme="minorHAnsi" w:hAnsiTheme="minorHAnsi"/>
        </w:rPr>
        <w:t>y</w:t>
      </w:r>
      <w:r w:rsidR="009A0668" w:rsidRPr="00D45CDF">
        <w:rPr>
          <w:rFonts w:asciiTheme="minorHAnsi" w:hAnsiTheme="minorHAnsi"/>
        </w:rPr>
        <w:t>, so that there is a cross</w:t>
      </w:r>
      <w:r w:rsidR="00340400" w:rsidRPr="00D45CDF">
        <w:rPr>
          <w:rFonts w:asciiTheme="minorHAnsi" w:hAnsiTheme="minorHAnsi"/>
        </w:rPr>
        <w:t>-</w:t>
      </w:r>
      <w:r w:rsidR="009A0668" w:rsidRPr="00D45CDF">
        <w:rPr>
          <w:rFonts w:asciiTheme="minorHAnsi" w:hAnsiTheme="minorHAnsi"/>
        </w:rPr>
        <w:t>border supply</w:t>
      </w:r>
      <w:r w:rsidR="00C9412E" w:rsidRPr="00D45CDF">
        <w:rPr>
          <w:rFonts w:asciiTheme="minorHAnsi" w:hAnsiTheme="minorHAnsi"/>
        </w:rPr>
        <w:t xml:space="preserve"> of legal advice and services</w:t>
      </w:r>
      <w:r w:rsidR="009A0668" w:rsidRPr="00D45CDF">
        <w:rPr>
          <w:rFonts w:asciiTheme="minorHAnsi" w:hAnsiTheme="minorHAnsi"/>
        </w:rPr>
        <w:t xml:space="preserve">. The second </w:t>
      </w:r>
      <w:r w:rsidR="003F661F" w:rsidRPr="00D45CDF">
        <w:rPr>
          <w:rFonts w:asciiTheme="minorHAnsi" w:hAnsiTheme="minorHAnsi"/>
        </w:rPr>
        <w:t>M</w:t>
      </w:r>
      <w:r w:rsidR="009A0668" w:rsidRPr="00D45CDF">
        <w:rPr>
          <w:rFonts w:asciiTheme="minorHAnsi" w:hAnsiTheme="minorHAnsi"/>
        </w:rPr>
        <w:t xml:space="preserve">ode </w:t>
      </w:r>
      <w:r w:rsidR="00340400" w:rsidRPr="00D45CDF">
        <w:rPr>
          <w:rFonts w:asciiTheme="minorHAnsi" w:hAnsiTheme="minorHAnsi"/>
        </w:rPr>
        <w:t>concern</w:t>
      </w:r>
      <w:r w:rsidR="009A0668" w:rsidRPr="00D45CDF">
        <w:rPr>
          <w:rFonts w:asciiTheme="minorHAnsi" w:hAnsiTheme="minorHAnsi"/>
        </w:rPr>
        <w:t>s consumption abroad</w:t>
      </w:r>
      <w:r w:rsidR="000E1AE2" w:rsidRPr="00D45CDF">
        <w:rPr>
          <w:rFonts w:asciiTheme="minorHAnsi" w:hAnsiTheme="minorHAnsi"/>
        </w:rPr>
        <w:t xml:space="preserve">: </w:t>
      </w:r>
      <w:r w:rsidR="000E1AE2" w:rsidRPr="00D45CDF">
        <w:rPr>
          <w:rFonts w:asciiTheme="minorHAnsi" w:hAnsiTheme="minorHAnsi" w:cs="Calibri"/>
        </w:rPr>
        <w:t>the supply of services in the territory of a Partner State to service consumers from another partner state</w:t>
      </w:r>
      <w:r w:rsidR="009A0668" w:rsidRPr="00D45CDF">
        <w:rPr>
          <w:rFonts w:asciiTheme="minorHAnsi" w:hAnsiTheme="minorHAnsi"/>
        </w:rPr>
        <w:t>. A Rwanda</w:t>
      </w:r>
      <w:r w:rsidR="006116C4" w:rsidRPr="00D45CDF">
        <w:rPr>
          <w:rFonts w:asciiTheme="minorHAnsi" w:hAnsiTheme="minorHAnsi"/>
        </w:rPr>
        <w:t>n</w:t>
      </w:r>
      <w:r w:rsidR="009A0668" w:rsidRPr="00D45CDF">
        <w:rPr>
          <w:rFonts w:asciiTheme="minorHAnsi" w:hAnsiTheme="minorHAnsi"/>
        </w:rPr>
        <w:t xml:space="preserve"> </w:t>
      </w:r>
      <w:r w:rsidRPr="00D45CDF">
        <w:rPr>
          <w:rFonts w:asciiTheme="minorHAnsi" w:hAnsiTheme="minorHAnsi"/>
        </w:rPr>
        <w:t xml:space="preserve">client </w:t>
      </w:r>
      <w:r w:rsidR="009A0668" w:rsidRPr="00D45CDF">
        <w:rPr>
          <w:rFonts w:asciiTheme="minorHAnsi" w:hAnsiTheme="minorHAnsi"/>
        </w:rPr>
        <w:t xml:space="preserve">in Uganda </w:t>
      </w:r>
      <w:r w:rsidRPr="00D45CDF">
        <w:rPr>
          <w:rFonts w:asciiTheme="minorHAnsi" w:hAnsiTheme="minorHAnsi"/>
        </w:rPr>
        <w:t>should be able to</w:t>
      </w:r>
      <w:r w:rsidR="009A0668" w:rsidRPr="00D45CDF">
        <w:rPr>
          <w:rFonts w:asciiTheme="minorHAnsi" w:hAnsiTheme="minorHAnsi"/>
        </w:rPr>
        <w:t xml:space="preserve"> receive legal services without any kind of discrimination and </w:t>
      </w:r>
      <w:r w:rsidRPr="00D45CDF">
        <w:rPr>
          <w:rFonts w:asciiTheme="minorHAnsi" w:hAnsiTheme="minorHAnsi"/>
        </w:rPr>
        <w:t>should</w:t>
      </w:r>
      <w:r w:rsidR="009A0668" w:rsidRPr="00D45CDF">
        <w:rPr>
          <w:rFonts w:asciiTheme="minorHAnsi" w:hAnsiTheme="minorHAnsi"/>
        </w:rPr>
        <w:t xml:space="preserve"> be treated </w:t>
      </w:r>
      <w:r w:rsidR="00340400" w:rsidRPr="00D45CDF">
        <w:rPr>
          <w:rFonts w:asciiTheme="minorHAnsi" w:hAnsiTheme="minorHAnsi"/>
        </w:rPr>
        <w:t xml:space="preserve">in the same way </w:t>
      </w:r>
      <w:r w:rsidR="009A0668" w:rsidRPr="00D45CDF">
        <w:rPr>
          <w:rFonts w:asciiTheme="minorHAnsi" w:hAnsiTheme="minorHAnsi"/>
        </w:rPr>
        <w:t>as a Ugandan.</w:t>
      </w:r>
      <w:r w:rsidR="00B1314E" w:rsidRPr="00D45CDF">
        <w:rPr>
          <w:rStyle w:val="FootnoteReference"/>
          <w:rFonts w:asciiTheme="minorHAnsi" w:hAnsiTheme="minorHAnsi"/>
        </w:rPr>
        <w:footnoteReference w:id="99"/>
      </w:r>
      <w:r w:rsidR="009A0668" w:rsidRPr="00D45CDF">
        <w:rPr>
          <w:rFonts w:asciiTheme="minorHAnsi" w:hAnsiTheme="minorHAnsi"/>
        </w:rPr>
        <w:t xml:space="preserve"> The third </w:t>
      </w:r>
      <w:r w:rsidR="003F661F" w:rsidRPr="00D45CDF">
        <w:rPr>
          <w:rFonts w:asciiTheme="minorHAnsi" w:hAnsiTheme="minorHAnsi"/>
        </w:rPr>
        <w:t>M</w:t>
      </w:r>
      <w:r w:rsidR="009A0668" w:rsidRPr="00D45CDF">
        <w:rPr>
          <w:rFonts w:asciiTheme="minorHAnsi" w:hAnsiTheme="minorHAnsi"/>
        </w:rPr>
        <w:t xml:space="preserve">ode </w:t>
      </w:r>
      <w:r w:rsidR="00340400" w:rsidRPr="00D45CDF">
        <w:rPr>
          <w:rFonts w:asciiTheme="minorHAnsi" w:hAnsiTheme="minorHAnsi"/>
        </w:rPr>
        <w:t>concern</w:t>
      </w:r>
      <w:r w:rsidR="009A0668" w:rsidRPr="00D45CDF">
        <w:rPr>
          <w:rFonts w:asciiTheme="minorHAnsi" w:hAnsiTheme="minorHAnsi"/>
        </w:rPr>
        <w:t>s the commercial presence</w:t>
      </w:r>
      <w:r w:rsidR="007E4798" w:rsidRPr="00D45CDF">
        <w:rPr>
          <w:rFonts w:asciiTheme="minorHAnsi" w:hAnsiTheme="minorHAnsi"/>
        </w:rPr>
        <w:t xml:space="preserve"> of the service supplier in the territory of another partner state</w:t>
      </w:r>
      <w:r w:rsidR="00340400" w:rsidRPr="00D45CDF">
        <w:rPr>
          <w:rFonts w:asciiTheme="minorHAnsi" w:hAnsiTheme="minorHAnsi"/>
        </w:rPr>
        <w:t>:</w:t>
      </w:r>
      <w:r w:rsidR="00DF6231" w:rsidRPr="00D45CDF">
        <w:rPr>
          <w:rFonts w:asciiTheme="minorHAnsi" w:hAnsiTheme="minorHAnsi"/>
        </w:rPr>
        <w:t xml:space="preserve"> for example,</w:t>
      </w:r>
      <w:r w:rsidR="009A0668" w:rsidRPr="00D45CDF">
        <w:rPr>
          <w:rFonts w:asciiTheme="minorHAnsi" w:hAnsiTheme="minorHAnsi"/>
        </w:rPr>
        <w:t xml:space="preserve"> a </w:t>
      </w:r>
      <w:r w:rsidR="00C6029C" w:rsidRPr="00D45CDF">
        <w:rPr>
          <w:rFonts w:asciiTheme="minorHAnsi" w:hAnsiTheme="minorHAnsi"/>
        </w:rPr>
        <w:t xml:space="preserve">Rwandan </w:t>
      </w:r>
      <w:r w:rsidR="009A0668" w:rsidRPr="00D45CDF">
        <w:rPr>
          <w:rFonts w:asciiTheme="minorHAnsi" w:hAnsiTheme="minorHAnsi"/>
        </w:rPr>
        <w:t>law firm</w:t>
      </w:r>
      <w:r w:rsidR="00DF6231" w:rsidRPr="00D45CDF">
        <w:rPr>
          <w:rFonts w:asciiTheme="minorHAnsi" w:hAnsiTheme="minorHAnsi"/>
        </w:rPr>
        <w:t xml:space="preserve"> </w:t>
      </w:r>
      <w:r w:rsidRPr="00D45CDF">
        <w:rPr>
          <w:rFonts w:asciiTheme="minorHAnsi" w:hAnsiTheme="minorHAnsi"/>
        </w:rPr>
        <w:t xml:space="preserve">should be able </w:t>
      </w:r>
      <w:r w:rsidR="00DF6231" w:rsidRPr="00D45CDF">
        <w:rPr>
          <w:rFonts w:asciiTheme="minorHAnsi" w:hAnsiTheme="minorHAnsi"/>
        </w:rPr>
        <w:t>to</w:t>
      </w:r>
      <w:r w:rsidR="009A0668" w:rsidRPr="00D45CDF">
        <w:rPr>
          <w:rFonts w:asciiTheme="minorHAnsi" w:hAnsiTheme="minorHAnsi"/>
        </w:rPr>
        <w:t xml:space="preserve"> establish</w:t>
      </w:r>
      <w:r w:rsidR="00DF6231" w:rsidRPr="00D45CDF">
        <w:rPr>
          <w:rFonts w:asciiTheme="minorHAnsi" w:hAnsiTheme="minorHAnsi"/>
        </w:rPr>
        <w:t xml:space="preserve"> itself</w:t>
      </w:r>
      <w:r w:rsidR="009A0668" w:rsidRPr="00D45CDF">
        <w:rPr>
          <w:rFonts w:asciiTheme="minorHAnsi" w:hAnsiTheme="minorHAnsi"/>
        </w:rPr>
        <w:t xml:space="preserve"> in Burundi and provid</w:t>
      </w:r>
      <w:r w:rsidR="002745A0" w:rsidRPr="00D45CDF">
        <w:rPr>
          <w:rFonts w:asciiTheme="minorHAnsi" w:hAnsiTheme="minorHAnsi"/>
        </w:rPr>
        <w:t>e</w:t>
      </w:r>
      <w:r w:rsidR="009A0668" w:rsidRPr="00D45CDF">
        <w:rPr>
          <w:rFonts w:asciiTheme="minorHAnsi" w:hAnsiTheme="minorHAnsi"/>
        </w:rPr>
        <w:t xml:space="preserve"> legal services for </w:t>
      </w:r>
      <w:r w:rsidR="002745A0" w:rsidRPr="00D45CDF">
        <w:rPr>
          <w:rFonts w:asciiTheme="minorHAnsi" w:hAnsiTheme="minorHAnsi"/>
        </w:rPr>
        <w:t>clients</w:t>
      </w:r>
      <w:r w:rsidR="009A0668" w:rsidRPr="00D45CDF">
        <w:rPr>
          <w:rFonts w:asciiTheme="minorHAnsi" w:hAnsiTheme="minorHAnsi"/>
        </w:rPr>
        <w:t xml:space="preserve"> within the territory of Burundi</w:t>
      </w:r>
      <w:r w:rsidR="00F13990" w:rsidRPr="00D45CDF">
        <w:rPr>
          <w:rFonts w:asciiTheme="minorHAnsi" w:hAnsiTheme="minorHAnsi"/>
        </w:rPr>
        <w:t>.</w:t>
      </w:r>
      <w:r w:rsidR="00FD6FAB" w:rsidRPr="00D45CDF">
        <w:rPr>
          <w:rFonts w:asciiTheme="minorHAnsi" w:hAnsiTheme="minorHAnsi"/>
        </w:rPr>
        <w:t xml:space="preserve"> </w:t>
      </w:r>
      <w:r w:rsidR="00E23FF1" w:rsidRPr="00D45CDF">
        <w:rPr>
          <w:rFonts w:asciiTheme="minorHAnsi" w:hAnsiTheme="minorHAnsi"/>
        </w:rPr>
        <w:t>T</w:t>
      </w:r>
      <w:r w:rsidR="009A0668" w:rsidRPr="00D45CDF">
        <w:rPr>
          <w:rFonts w:asciiTheme="minorHAnsi" w:hAnsiTheme="minorHAnsi"/>
        </w:rPr>
        <w:t xml:space="preserve">he fourth </w:t>
      </w:r>
      <w:r w:rsidR="003F661F" w:rsidRPr="00D45CDF">
        <w:rPr>
          <w:rFonts w:asciiTheme="minorHAnsi" w:hAnsiTheme="minorHAnsi"/>
        </w:rPr>
        <w:t>M</w:t>
      </w:r>
      <w:r w:rsidR="009A0668" w:rsidRPr="00D45CDF">
        <w:rPr>
          <w:rFonts w:asciiTheme="minorHAnsi" w:hAnsiTheme="minorHAnsi"/>
        </w:rPr>
        <w:t xml:space="preserve">ode </w:t>
      </w:r>
      <w:r w:rsidR="00340400" w:rsidRPr="00D45CDF">
        <w:rPr>
          <w:rFonts w:asciiTheme="minorHAnsi" w:hAnsiTheme="minorHAnsi"/>
        </w:rPr>
        <w:t>concerns</w:t>
      </w:r>
      <w:r w:rsidR="009A0668" w:rsidRPr="00D45CDF">
        <w:rPr>
          <w:rFonts w:asciiTheme="minorHAnsi" w:hAnsiTheme="minorHAnsi"/>
        </w:rPr>
        <w:t xml:space="preserve"> the presence of a natural person</w:t>
      </w:r>
      <w:r w:rsidR="007E4798" w:rsidRPr="00D45CDF">
        <w:rPr>
          <w:rFonts w:asciiTheme="minorHAnsi" w:hAnsiTheme="minorHAnsi"/>
        </w:rPr>
        <w:t xml:space="preserve"> in a partner state</w:t>
      </w:r>
      <w:r w:rsidR="009A0668" w:rsidRPr="00D45CDF">
        <w:rPr>
          <w:rFonts w:asciiTheme="minorHAnsi" w:hAnsiTheme="minorHAnsi"/>
        </w:rPr>
        <w:t xml:space="preserve">, where </w:t>
      </w:r>
      <w:r w:rsidR="00332780" w:rsidRPr="00D45CDF">
        <w:rPr>
          <w:rFonts w:asciiTheme="minorHAnsi" w:hAnsiTheme="minorHAnsi"/>
        </w:rPr>
        <w:t xml:space="preserve">self-employed </w:t>
      </w:r>
      <w:r w:rsidR="009A0668" w:rsidRPr="00D45CDF">
        <w:rPr>
          <w:rFonts w:asciiTheme="minorHAnsi" w:hAnsiTheme="minorHAnsi"/>
        </w:rPr>
        <w:t xml:space="preserve">individual lawyers </w:t>
      </w:r>
      <w:r w:rsidRPr="00D45CDF">
        <w:rPr>
          <w:rFonts w:asciiTheme="minorHAnsi" w:hAnsiTheme="minorHAnsi"/>
        </w:rPr>
        <w:t xml:space="preserve">should be able to </w:t>
      </w:r>
      <w:r w:rsidR="009A0668" w:rsidRPr="00D45CDF">
        <w:rPr>
          <w:rFonts w:asciiTheme="minorHAnsi" w:hAnsiTheme="minorHAnsi"/>
        </w:rPr>
        <w:t>represent or assist their clients in the territory of a</w:t>
      </w:r>
      <w:r w:rsidR="00115586" w:rsidRPr="00D45CDF">
        <w:rPr>
          <w:rFonts w:asciiTheme="minorHAnsi" w:hAnsiTheme="minorHAnsi"/>
        </w:rPr>
        <w:t>nother</w:t>
      </w:r>
      <w:r w:rsidR="009A0668" w:rsidRPr="00D45CDF">
        <w:rPr>
          <w:rFonts w:asciiTheme="minorHAnsi" w:hAnsiTheme="minorHAnsi"/>
        </w:rPr>
        <w:t xml:space="preserve"> partner state.</w:t>
      </w:r>
      <w:r w:rsidR="00921696" w:rsidRPr="00D45CDF">
        <w:rPr>
          <w:rStyle w:val="FootnoteReference"/>
          <w:rFonts w:asciiTheme="minorHAnsi" w:hAnsiTheme="minorHAnsi"/>
        </w:rPr>
        <w:footnoteReference w:id="100"/>
      </w:r>
      <w:r w:rsidR="00FD6FAB" w:rsidRPr="00D45CDF">
        <w:rPr>
          <w:rFonts w:asciiTheme="minorHAnsi" w:hAnsiTheme="minorHAnsi"/>
        </w:rPr>
        <w:t xml:space="preserve"> </w:t>
      </w:r>
    </w:p>
    <w:p w14:paraId="1BF25001" w14:textId="77777777" w:rsidR="0011557D" w:rsidRPr="00D45CDF" w:rsidRDefault="009A0668" w:rsidP="001C5BA7">
      <w:pPr>
        <w:autoSpaceDE w:val="0"/>
        <w:autoSpaceDN w:val="0"/>
        <w:adjustRightInd w:val="0"/>
        <w:spacing w:line="240" w:lineRule="auto"/>
        <w:jc w:val="both"/>
        <w:rPr>
          <w:rFonts w:asciiTheme="minorHAnsi" w:hAnsiTheme="minorHAnsi"/>
          <w:sz w:val="24"/>
          <w:szCs w:val="24"/>
        </w:rPr>
      </w:pPr>
      <w:r w:rsidRPr="00D45CDF">
        <w:rPr>
          <w:rFonts w:asciiTheme="minorHAnsi" w:hAnsiTheme="minorHAnsi"/>
          <w:sz w:val="24"/>
          <w:szCs w:val="24"/>
        </w:rPr>
        <w:t>The liberalisation was to be progressive</w:t>
      </w:r>
      <w:r w:rsidR="00B50240" w:rsidRPr="00D45CDF">
        <w:rPr>
          <w:rFonts w:asciiTheme="minorHAnsi" w:hAnsiTheme="minorHAnsi"/>
          <w:sz w:val="24"/>
          <w:szCs w:val="24"/>
        </w:rPr>
        <w:t>.</w:t>
      </w:r>
      <w:r w:rsidR="002D3DEC" w:rsidRPr="00D45CDF">
        <w:rPr>
          <w:rStyle w:val="FootnoteReference"/>
          <w:rFonts w:asciiTheme="minorHAnsi" w:hAnsiTheme="minorHAnsi"/>
          <w:sz w:val="24"/>
          <w:szCs w:val="24"/>
        </w:rPr>
        <w:footnoteReference w:id="101"/>
      </w:r>
      <w:r w:rsidRPr="00D45CDF">
        <w:rPr>
          <w:rFonts w:asciiTheme="minorHAnsi" w:hAnsiTheme="minorHAnsi"/>
          <w:sz w:val="24"/>
          <w:szCs w:val="24"/>
        </w:rPr>
        <w:t xml:space="preserve"> </w:t>
      </w:r>
      <w:r w:rsidR="00B50240" w:rsidRPr="00D45CDF">
        <w:rPr>
          <w:rFonts w:asciiTheme="minorHAnsi" w:hAnsiTheme="minorHAnsi"/>
          <w:sz w:val="24"/>
          <w:szCs w:val="24"/>
        </w:rPr>
        <w:t>T</w:t>
      </w:r>
      <w:r w:rsidRPr="00D45CDF">
        <w:rPr>
          <w:rFonts w:asciiTheme="minorHAnsi" w:hAnsiTheme="minorHAnsi"/>
          <w:sz w:val="24"/>
          <w:szCs w:val="24"/>
        </w:rPr>
        <w:t>here are two main commitments: a standstill commitment, which means that</w:t>
      </w:r>
      <w:r w:rsidR="00B50240" w:rsidRPr="00D45CDF">
        <w:rPr>
          <w:rFonts w:asciiTheme="minorHAnsi" w:hAnsiTheme="minorHAnsi"/>
          <w:sz w:val="24"/>
          <w:szCs w:val="24"/>
        </w:rPr>
        <w:t>,</w:t>
      </w:r>
      <w:r w:rsidRPr="00D45CDF">
        <w:rPr>
          <w:rFonts w:asciiTheme="minorHAnsi" w:hAnsiTheme="minorHAnsi"/>
          <w:sz w:val="24"/>
          <w:szCs w:val="24"/>
        </w:rPr>
        <w:t xml:space="preserve"> from the entry into force of the Common Market Protocol in 2010, </w:t>
      </w:r>
      <w:r w:rsidR="00B50240" w:rsidRPr="00D45CDF">
        <w:rPr>
          <w:rFonts w:asciiTheme="minorHAnsi" w:hAnsiTheme="minorHAnsi"/>
          <w:sz w:val="24"/>
          <w:szCs w:val="24"/>
        </w:rPr>
        <w:t xml:space="preserve">it was agreed </w:t>
      </w:r>
      <w:r w:rsidR="00BA102E" w:rsidRPr="00D45CDF">
        <w:rPr>
          <w:rFonts w:asciiTheme="minorHAnsi" w:hAnsiTheme="minorHAnsi"/>
          <w:sz w:val="24"/>
          <w:szCs w:val="24"/>
        </w:rPr>
        <w:t xml:space="preserve">that no </w:t>
      </w:r>
      <w:r w:rsidRPr="00D45CDF">
        <w:rPr>
          <w:rFonts w:asciiTheme="minorHAnsi" w:hAnsiTheme="minorHAnsi"/>
          <w:sz w:val="24"/>
          <w:szCs w:val="24"/>
        </w:rPr>
        <w:t>barrier</w:t>
      </w:r>
      <w:r w:rsidR="00791108" w:rsidRPr="00D45CDF">
        <w:rPr>
          <w:rFonts w:asciiTheme="minorHAnsi" w:hAnsiTheme="minorHAnsi"/>
          <w:sz w:val="24"/>
          <w:szCs w:val="24"/>
        </w:rPr>
        <w:t>s</w:t>
      </w:r>
      <w:r w:rsidRPr="00D45CDF">
        <w:rPr>
          <w:rFonts w:asciiTheme="minorHAnsi" w:hAnsiTheme="minorHAnsi"/>
          <w:sz w:val="24"/>
          <w:szCs w:val="24"/>
        </w:rPr>
        <w:t xml:space="preserve"> to the free movement of services</w:t>
      </w:r>
      <w:r w:rsidR="00BA102E" w:rsidRPr="00D45CDF">
        <w:rPr>
          <w:rFonts w:asciiTheme="minorHAnsi" w:hAnsiTheme="minorHAnsi"/>
          <w:sz w:val="24"/>
          <w:szCs w:val="24"/>
        </w:rPr>
        <w:t xml:space="preserve"> would be introduced</w:t>
      </w:r>
      <w:r w:rsidR="00634D0C" w:rsidRPr="00D45CDF">
        <w:rPr>
          <w:rFonts w:asciiTheme="minorHAnsi" w:hAnsiTheme="minorHAnsi"/>
          <w:sz w:val="24"/>
          <w:szCs w:val="24"/>
        </w:rPr>
        <w:t xml:space="preserve">. The second obligation from 2010 was that </w:t>
      </w:r>
      <w:r w:rsidR="001D6D90" w:rsidRPr="00D45CDF">
        <w:rPr>
          <w:rFonts w:asciiTheme="minorHAnsi" w:hAnsiTheme="minorHAnsi"/>
          <w:sz w:val="24"/>
          <w:szCs w:val="24"/>
        </w:rPr>
        <w:t>Partner States</w:t>
      </w:r>
      <w:r w:rsidR="00634D0C" w:rsidRPr="00D45CDF">
        <w:rPr>
          <w:rFonts w:asciiTheme="minorHAnsi" w:hAnsiTheme="minorHAnsi"/>
          <w:sz w:val="24"/>
          <w:szCs w:val="24"/>
        </w:rPr>
        <w:t xml:space="preserve"> had to rollback, or remove</w:t>
      </w:r>
      <w:r w:rsidR="00BA102E" w:rsidRPr="00D45CDF">
        <w:rPr>
          <w:rFonts w:asciiTheme="minorHAnsi" w:hAnsiTheme="minorHAnsi"/>
          <w:sz w:val="24"/>
          <w:szCs w:val="24"/>
        </w:rPr>
        <w:t>,</w:t>
      </w:r>
      <w:r w:rsidR="00634D0C" w:rsidRPr="00D45CDF">
        <w:rPr>
          <w:rFonts w:asciiTheme="minorHAnsi" w:hAnsiTheme="minorHAnsi"/>
          <w:sz w:val="24"/>
          <w:szCs w:val="24"/>
        </w:rPr>
        <w:t xml:space="preserve"> all barriers to the free movement of services</w:t>
      </w:r>
      <w:r w:rsidR="00F72E6B" w:rsidRPr="00D45CDF">
        <w:rPr>
          <w:rFonts w:asciiTheme="minorHAnsi" w:hAnsiTheme="minorHAnsi"/>
          <w:sz w:val="24"/>
          <w:szCs w:val="24"/>
        </w:rPr>
        <w:t>.</w:t>
      </w:r>
      <w:r w:rsidRPr="00D45CDF">
        <w:rPr>
          <w:rStyle w:val="FootnoteReference"/>
          <w:rFonts w:asciiTheme="minorHAnsi" w:hAnsiTheme="minorHAnsi"/>
          <w:sz w:val="24"/>
          <w:szCs w:val="24"/>
        </w:rPr>
        <w:footnoteReference w:id="102"/>
      </w:r>
      <w:r w:rsidR="00F72E6B" w:rsidRPr="00D45CDF">
        <w:rPr>
          <w:rFonts w:asciiTheme="minorHAnsi" w:hAnsiTheme="minorHAnsi"/>
          <w:sz w:val="24"/>
          <w:szCs w:val="24"/>
        </w:rPr>
        <w:t xml:space="preserve"> </w:t>
      </w:r>
      <w:r w:rsidR="00C85347" w:rsidRPr="00D45CDF">
        <w:rPr>
          <w:rFonts w:asciiTheme="minorHAnsi" w:hAnsiTheme="minorHAnsi"/>
          <w:sz w:val="24"/>
          <w:szCs w:val="24"/>
        </w:rPr>
        <w:t xml:space="preserve">A principle of variable geometry, </w:t>
      </w:r>
      <w:r w:rsidR="00C85347" w:rsidRPr="00D45CDF">
        <w:rPr>
          <w:rFonts w:asciiTheme="minorHAnsi" w:eastAsiaTheme="minorHAnsi" w:hAnsiTheme="minorHAnsi"/>
          <w:sz w:val="24"/>
          <w:szCs w:val="24"/>
          <w:lang w:eastAsia="en-US"/>
        </w:rPr>
        <w:t xml:space="preserve">which </w:t>
      </w:r>
      <w:r w:rsidR="00340400" w:rsidRPr="00D45CDF">
        <w:rPr>
          <w:rFonts w:asciiTheme="minorHAnsi" w:eastAsiaTheme="minorHAnsi" w:hAnsiTheme="minorHAnsi"/>
          <w:sz w:val="24"/>
          <w:szCs w:val="24"/>
          <w:lang w:eastAsia="en-US"/>
        </w:rPr>
        <w:t>‘</w:t>
      </w:r>
      <w:r w:rsidR="00C85347" w:rsidRPr="00D45CDF">
        <w:rPr>
          <w:rFonts w:asciiTheme="minorHAnsi" w:eastAsiaTheme="minorHAnsi" w:hAnsiTheme="minorHAnsi"/>
          <w:sz w:val="24"/>
          <w:szCs w:val="24"/>
          <w:lang w:eastAsia="en-US"/>
        </w:rPr>
        <w:t>allows for progression in co-operation among a sub-group of members in a larger integration scheme in a variety of areas and at different speeds’</w:t>
      </w:r>
      <w:r w:rsidR="00BA102E" w:rsidRPr="00D45CDF">
        <w:rPr>
          <w:rFonts w:asciiTheme="minorHAnsi" w:eastAsiaTheme="minorHAnsi" w:hAnsiTheme="minorHAnsi"/>
          <w:sz w:val="24"/>
          <w:szCs w:val="24"/>
          <w:lang w:eastAsia="en-US"/>
        </w:rPr>
        <w:t>,</w:t>
      </w:r>
      <w:r w:rsidR="00C85347" w:rsidRPr="00D45CDF">
        <w:rPr>
          <w:rFonts w:asciiTheme="minorHAnsi" w:eastAsiaTheme="minorHAnsi" w:hAnsiTheme="minorHAnsi"/>
          <w:sz w:val="24"/>
          <w:szCs w:val="24"/>
          <w:lang w:eastAsia="en-US"/>
        </w:rPr>
        <w:t xml:space="preserve"> was built into the EAC Treaty,</w:t>
      </w:r>
      <w:r w:rsidR="00C85347" w:rsidRPr="00D45CDF">
        <w:rPr>
          <w:rStyle w:val="FootnoteReference"/>
          <w:rFonts w:asciiTheme="minorHAnsi" w:eastAsiaTheme="minorHAnsi" w:hAnsiTheme="minorHAnsi"/>
          <w:sz w:val="24"/>
          <w:szCs w:val="24"/>
          <w:lang w:eastAsia="en-US"/>
        </w:rPr>
        <w:footnoteReference w:id="103"/>
      </w:r>
      <w:r w:rsidR="00C85347" w:rsidRPr="00D45CDF">
        <w:rPr>
          <w:rFonts w:asciiTheme="minorHAnsi" w:eastAsiaTheme="minorHAnsi" w:hAnsiTheme="minorHAnsi"/>
          <w:sz w:val="24"/>
          <w:szCs w:val="24"/>
          <w:lang w:eastAsia="en-US"/>
        </w:rPr>
        <w:t xml:space="preserve"> allowing </w:t>
      </w:r>
      <w:r w:rsidR="001D6D90" w:rsidRPr="00D45CDF">
        <w:rPr>
          <w:rFonts w:asciiTheme="minorHAnsi" w:eastAsiaTheme="minorHAnsi" w:hAnsiTheme="minorHAnsi"/>
          <w:sz w:val="24"/>
          <w:szCs w:val="24"/>
          <w:lang w:eastAsia="en-US"/>
        </w:rPr>
        <w:t>Partner States</w:t>
      </w:r>
      <w:r w:rsidR="00C85347" w:rsidRPr="00D45CDF">
        <w:rPr>
          <w:rFonts w:asciiTheme="minorHAnsi" w:eastAsiaTheme="minorHAnsi" w:hAnsiTheme="minorHAnsi"/>
          <w:sz w:val="24"/>
          <w:szCs w:val="24"/>
          <w:lang w:eastAsia="en-US"/>
        </w:rPr>
        <w:t xml:space="preserve"> to integrate at their own pace. </w:t>
      </w:r>
      <w:r w:rsidR="00F72E6B" w:rsidRPr="00D45CDF">
        <w:rPr>
          <w:rFonts w:asciiTheme="minorHAnsi" w:hAnsiTheme="minorHAnsi"/>
          <w:sz w:val="24"/>
          <w:szCs w:val="24"/>
        </w:rPr>
        <w:t>These conditions also applied to the right of establishment.</w:t>
      </w:r>
      <w:r w:rsidR="00F72E6B" w:rsidRPr="00D45CDF">
        <w:rPr>
          <w:rStyle w:val="FootnoteReference"/>
          <w:rFonts w:asciiTheme="minorHAnsi" w:hAnsiTheme="minorHAnsi"/>
          <w:sz w:val="24"/>
          <w:szCs w:val="24"/>
        </w:rPr>
        <w:footnoteReference w:id="104"/>
      </w:r>
      <w:r w:rsidR="00634D0C" w:rsidRPr="00D45CDF">
        <w:rPr>
          <w:rFonts w:asciiTheme="minorHAnsi" w:hAnsiTheme="minorHAnsi"/>
          <w:sz w:val="24"/>
          <w:szCs w:val="24"/>
        </w:rPr>
        <w:t xml:space="preserve"> </w:t>
      </w:r>
      <w:r w:rsidRPr="00D45CDF">
        <w:rPr>
          <w:rFonts w:asciiTheme="minorHAnsi" w:hAnsiTheme="minorHAnsi"/>
          <w:sz w:val="24"/>
          <w:szCs w:val="24"/>
        </w:rPr>
        <w:t xml:space="preserve">For example, when the Common Market </w:t>
      </w:r>
      <w:r w:rsidR="00FA6388" w:rsidRPr="00D45CDF">
        <w:rPr>
          <w:rFonts w:asciiTheme="minorHAnsi" w:hAnsiTheme="minorHAnsi"/>
          <w:sz w:val="24"/>
          <w:szCs w:val="24"/>
        </w:rPr>
        <w:t>P</w:t>
      </w:r>
      <w:r w:rsidRPr="00D45CDF">
        <w:rPr>
          <w:rFonts w:asciiTheme="minorHAnsi" w:hAnsiTheme="minorHAnsi"/>
          <w:sz w:val="24"/>
          <w:szCs w:val="24"/>
        </w:rPr>
        <w:t>rotocol was</w:t>
      </w:r>
      <w:r w:rsidR="00334DEF" w:rsidRPr="00D45CDF">
        <w:rPr>
          <w:rFonts w:asciiTheme="minorHAnsi" w:hAnsiTheme="minorHAnsi"/>
          <w:sz w:val="24"/>
          <w:szCs w:val="24"/>
        </w:rPr>
        <w:t xml:space="preserve"> signed</w:t>
      </w:r>
      <w:r w:rsidRPr="00D45CDF">
        <w:rPr>
          <w:rFonts w:asciiTheme="minorHAnsi" w:hAnsiTheme="minorHAnsi"/>
          <w:sz w:val="24"/>
          <w:szCs w:val="24"/>
        </w:rPr>
        <w:t xml:space="preserve">, of the four </w:t>
      </w:r>
      <w:r w:rsidR="00EA3E24" w:rsidRPr="00D45CDF">
        <w:rPr>
          <w:rFonts w:asciiTheme="minorHAnsi" w:hAnsiTheme="minorHAnsi"/>
          <w:sz w:val="24"/>
          <w:szCs w:val="24"/>
        </w:rPr>
        <w:t>M</w:t>
      </w:r>
      <w:r w:rsidRPr="00D45CDF">
        <w:rPr>
          <w:rFonts w:asciiTheme="minorHAnsi" w:hAnsiTheme="minorHAnsi"/>
          <w:sz w:val="24"/>
          <w:szCs w:val="24"/>
        </w:rPr>
        <w:t>odes, Burundi did not</w:t>
      </w:r>
      <w:r w:rsidR="00BA102E" w:rsidRPr="00D45CDF">
        <w:rPr>
          <w:rFonts w:asciiTheme="minorHAnsi" w:hAnsiTheme="minorHAnsi"/>
          <w:sz w:val="24"/>
          <w:szCs w:val="24"/>
        </w:rPr>
        <w:t xml:space="preserve"> impose </w:t>
      </w:r>
      <w:r w:rsidRPr="00D45CDF">
        <w:rPr>
          <w:rFonts w:asciiTheme="minorHAnsi" w:hAnsiTheme="minorHAnsi"/>
          <w:sz w:val="24"/>
          <w:szCs w:val="24"/>
        </w:rPr>
        <w:t>any restriction</w:t>
      </w:r>
      <w:r w:rsidR="00AD4ABB" w:rsidRPr="00D45CDF">
        <w:rPr>
          <w:rFonts w:asciiTheme="minorHAnsi" w:hAnsiTheme="minorHAnsi"/>
          <w:sz w:val="24"/>
          <w:szCs w:val="24"/>
        </w:rPr>
        <w:t>s</w:t>
      </w:r>
      <w:r w:rsidRPr="00D45CDF">
        <w:rPr>
          <w:rFonts w:asciiTheme="minorHAnsi" w:hAnsiTheme="minorHAnsi"/>
          <w:sz w:val="24"/>
          <w:szCs w:val="24"/>
        </w:rPr>
        <w:t xml:space="preserve"> </w:t>
      </w:r>
      <w:r w:rsidR="00BA102E" w:rsidRPr="00D45CDF">
        <w:rPr>
          <w:rFonts w:asciiTheme="minorHAnsi" w:hAnsiTheme="minorHAnsi"/>
          <w:sz w:val="24"/>
          <w:szCs w:val="24"/>
        </w:rPr>
        <w:t>on</w:t>
      </w:r>
      <w:r w:rsidRPr="00D45CDF">
        <w:rPr>
          <w:rFonts w:asciiTheme="minorHAnsi" w:hAnsiTheme="minorHAnsi"/>
          <w:sz w:val="24"/>
          <w:szCs w:val="24"/>
        </w:rPr>
        <w:t xml:space="preserve"> cross-border supply</w:t>
      </w:r>
      <w:r w:rsidR="0071341C" w:rsidRPr="00D45CDF">
        <w:rPr>
          <w:rFonts w:asciiTheme="minorHAnsi" w:hAnsiTheme="minorHAnsi"/>
          <w:sz w:val="24"/>
          <w:szCs w:val="24"/>
        </w:rPr>
        <w:t xml:space="preserve"> (Mode I)</w:t>
      </w:r>
      <w:r w:rsidR="00FA6388" w:rsidRPr="00D45CDF">
        <w:rPr>
          <w:rFonts w:asciiTheme="minorHAnsi" w:hAnsiTheme="minorHAnsi"/>
          <w:sz w:val="24"/>
          <w:szCs w:val="24"/>
        </w:rPr>
        <w:t xml:space="preserve"> or </w:t>
      </w:r>
      <w:r w:rsidRPr="00D45CDF">
        <w:rPr>
          <w:rFonts w:asciiTheme="minorHAnsi" w:hAnsiTheme="minorHAnsi"/>
          <w:sz w:val="24"/>
          <w:szCs w:val="24"/>
        </w:rPr>
        <w:t>consumption</w:t>
      </w:r>
      <w:r w:rsidR="00FA6388" w:rsidRPr="00D45CDF">
        <w:rPr>
          <w:rFonts w:asciiTheme="minorHAnsi" w:hAnsiTheme="minorHAnsi"/>
          <w:sz w:val="24"/>
          <w:szCs w:val="24"/>
        </w:rPr>
        <w:t xml:space="preserve"> of legal services</w:t>
      </w:r>
      <w:r w:rsidR="0071341C" w:rsidRPr="00D45CDF">
        <w:rPr>
          <w:rFonts w:asciiTheme="minorHAnsi" w:hAnsiTheme="minorHAnsi"/>
          <w:sz w:val="24"/>
          <w:szCs w:val="24"/>
        </w:rPr>
        <w:t xml:space="preserve"> by citizens of other </w:t>
      </w:r>
      <w:r w:rsidR="001D6D90" w:rsidRPr="00D45CDF">
        <w:rPr>
          <w:rFonts w:asciiTheme="minorHAnsi" w:hAnsiTheme="minorHAnsi"/>
          <w:sz w:val="24"/>
          <w:szCs w:val="24"/>
        </w:rPr>
        <w:t>Partner States</w:t>
      </w:r>
      <w:r w:rsidR="0071341C" w:rsidRPr="00D45CDF">
        <w:rPr>
          <w:rFonts w:asciiTheme="minorHAnsi" w:hAnsiTheme="minorHAnsi"/>
          <w:sz w:val="24"/>
          <w:szCs w:val="24"/>
        </w:rPr>
        <w:t xml:space="preserve"> (Mode II)</w:t>
      </w:r>
      <w:r w:rsidR="00FA6388" w:rsidRPr="00D45CDF">
        <w:rPr>
          <w:rFonts w:asciiTheme="minorHAnsi" w:hAnsiTheme="minorHAnsi"/>
          <w:sz w:val="24"/>
          <w:szCs w:val="24"/>
        </w:rPr>
        <w:t>. With regard to</w:t>
      </w:r>
      <w:r w:rsidRPr="00D45CDF">
        <w:rPr>
          <w:rFonts w:asciiTheme="minorHAnsi" w:hAnsiTheme="minorHAnsi"/>
          <w:sz w:val="24"/>
          <w:szCs w:val="24"/>
        </w:rPr>
        <w:t xml:space="preserve"> commercial presence, </w:t>
      </w:r>
      <w:r w:rsidR="00BA102E" w:rsidRPr="00D45CDF">
        <w:rPr>
          <w:rFonts w:asciiTheme="minorHAnsi" w:hAnsiTheme="minorHAnsi"/>
          <w:sz w:val="24"/>
          <w:szCs w:val="24"/>
        </w:rPr>
        <w:t xml:space="preserve">however, </w:t>
      </w:r>
      <w:r w:rsidR="00FA6388" w:rsidRPr="00D45CDF">
        <w:rPr>
          <w:rFonts w:asciiTheme="minorHAnsi" w:hAnsiTheme="minorHAnsi"/>
          <w:sz w:val="24"/>
          <w:szCs w:val="24"/>
        </w:rPr>
        <w:t>Burundi maintained</w:t>
      </w:r>
      <w:r w:rsidRPr="00D45CDF">
        <w:rPr>
          <w:rFonts w:asciiTheme="minorHAnsi" w:hAnsiTheme="minorHAnsi"/>
          <w:sz w:val="24"/>
          <w:szCs w:val="24"/>
        </w:rPr>
        <w:t xml:space="preserve"> that </w:t>
      </w:r>
      <w:r w:rsidR="00FA6388" w:rsidRPr="00D45CDF">
        <w:rPr>
          <w:rFonts w:asciiTheme="minorHAnsi" w:hAnsiTheme="minorHAnsi"/>
          <w:sz w:val="24"/>
          <w:szCs w:val="24"/>
        </w:rPr>
        <w:t>i</w:t>
      </w:r>
      <w:r w:rsidRPr="00D45CDF">
        <w:rPr>
          <w:rFonts w:asciiTheme="minorHAnsi" w:hAnsiTheme="minorHAnsi"/>
          <w:sz w:val="24"/>
          <w:szCs w:val="24"/>
        </w:rPr>
        <w:t>t w</w:t>
      </w:r>
      <w:r w:rsidR="00FA6388" w:rsidRPr="00D45CDF">
        <w:rPr>
          <w:rFonts w:asciiTheme="minorHAnsi" w:hAnsiTheme="minorHAnsi"/>
          <w:sz w:val="24"/>
          <w:szCs w:val="24"/>
        </w:rPr>
        <w:t>as</w:t>
      </w:r>
      <w:r w:rsidRPr="00D45CDF">
        <w:rPr>
          <w:rFonts w:asciiTheme="minorHAnsi" w:hAnsiTheme="minorHAnsi"/>
          <w:sz w:val="24"/>
          <w:szCs w:val="24"/>
        </w:rPr>
        <w:t xml:space="preserve"> not bound to accept </w:t>
      </w:r>
      <w:r w:rsidR="00BA102E" w:rsidRPr="00D45CDF">
        <w:rPr>
          <w:rFonts w:asciiTheme="minorHAnsi" w:hAnsiTheme="minorHAnsi"/>
          <w:sz w:val="24"/>
          <w:szCs w:val="24"/>
        </w:rPr>
        <w:t xml:space="preserve">the establishment of </w:t>
      </w:r>
      <w:r w:rsidRPr="00D45CDF">
        <w:rPr>
          <w:rFonts w:asciiTheme="minorHAnsi" w:hAnsiTheme="minorHAnsi"/>
          <w:sz w:val="24"/>
          <w:szCs w:val="24"/>
        </w:rPr>
        <w:t>foreign law firm</w:t>
      </w:r>
      <w:r w:rsidR="00FA6388" w:rsidRPr="00D45CDF">
        <w:rPr>
          <w:rFonts w:asciiTheme="minorHAnsi" w:hAnsiTheme="minorHAnsi"/>
          <w:sz w:val="24"/>
          <w:szCs w:val="24"/>
        </w:rPr>
        <w:t>s</w:t>
      </w:r>
      <w:r w:rsidRPr="00D45CDF">
        <w:rPr>
          <w:rFonts w:asciiTheme="minorHAnsi" w:hAnsiTheme="minorHAnsi"/>
          <w:sz w:val="24"/>
          <w:szCs w:val="24"/>
        </w:rPr>
        <w:t xml:space="preserve"> </w:t>
      </w:r>
      <w:r w:rsidR="0071341C" w:rsidRPr="00D45CDF">
        <w:rPr>
          <w:rFonts w:asciiTheme="minorHAnsi" w:hAnsiTheme="minorHAnsi"/>
          <w:sz w:val="24"/>
          <w:szCs w:val="24"/>
        </w:rPr>
        <w:t>in Burundi (Mode III)</w:t>
      </w:r>
      <w:r w:rsidRPr="00D45CDF">
        <w:rPr>
          <w:rFonts w:asciiTheme="minorHAnsi" w:hAnsiTheme="minorHAnsi"/>
          <w:sz w:val="24"/>
          <w:szCs w:val="24"/>
        </w:rPr>
        <w:t>.</w:t>
      </w:r>
      <w:r w:rsidR="00BA102E" w:rsidRPr="00D45CDF">
        <w:rPr>
          <w:rFonts w:asciiTheme="minorHAnsi" w:hAnsiTheme="minorHAnsi"/>
          <w:sz w:val="24"/>
          <w:szCs w:val="24"/>
        </w:rPr>
        <w:t xml:space="preserve"> With regard to</w:t>
      </w:r>
      <w:r w:rsidR="00FA6388" w:rsidRPr="00D45CDF">
        <w:rPr>
          <w:rFonts w:asciiTheme="minorHAnsi" w:hAnsiTheme="minorHAnsi"/>
          <w:sz w:val="24"/>
          <w:szCs w:val="24"/>
        </w:rPr>
        <w:t xml:space="preserve"> </w:t>
      </w:r>
      <w:r w:rsidR="006F074E" w:rsidRPr="00D45CDF">
        <w:rPr>
          <w:rFonts w:asciiTheme="minorHAnsi" w:hAnsiTheme="minorHAnsi"/>
          <w:sz w:val="24"/>
          <w:szCs w:val="24"/>
        </w:rPr>
        <w:t>M</w:t>
      </w:r>
      <w:r w:rsidR="00FA6388" w:rsidRPr="00D45CDF">
        <w:rPr>
          <w:rFonts w:asciiTheme="minorHAnsi" w:hAnsiTheme="minorHAnsi"/>
          <w:sz w:val="24"/>
          <w:szCs w:val="24"/>
        </w:rPr>
        <w:t>ode IV, Burundi</w:t>
      </w:r>
      <w:r w:rsidRPr="00D45CDF">
        <w:rPr>
          <w:rFonts w:asciiTheme="minorHAnsi" w:hAnsiTheme="minorHAnsi"/>
          <w:sz w:val="24"/>
          <w:szCs w:val="24"/>
        </w:rPr>
        <w:t xml:space="preserve"> </w:t>
      </w:r>
      <w:r w:rsidR="00AD4ABB" w:rsidRPr="00D45CDF">
        <w:rPr>
          <w:rFonts w:asciiTheme="minorHAnsi" w:hAnsiTheme="minorHAnsi"/>
          <w:sz w:val="24"/>
          <w:szCs w:val="24"/>
        </w:rPr>
        <w:t xml:space="preserve">would only </w:t>
      </w:r>
      <w:r w:rsidRPr="00D45CDF">
        <w:rPr>
          <w:rFonts w:asciiTheme="minorHAnsi" w:hAnsiTheme="minorHAnsi"/>
          <w:sz w:val="24"/>
          <w:szCs w:val="24"/>
        </w:rPr>
        <w:t>allow individual lawyer</w:t>
      </w:r>
      <w:r w:rsidR="00AD4ABB" w:rsidRPr="00D45CDF">
        <w:rPr>
          <w:rFonts w:asciiTheme="minorHAnsi" w:hAnsiTheme="minorHAnsi"/>
          <w:sz w:val="24"/>
          <w:szCs w:val="24"/>
        </w:rPr>
        <w:t>s</w:t>
      </w:r>
      <w:r w:rsidRPr="00D45CDF">
        <w:rPr>
          <w:rFonts w:asciiTheme="minorHAnsi" w:hAnsiTheme="minorHAnsi"/>
          <w:sz w:val="24"/>
          <w:szCs w:val="24"/>
        </w:rPr>
        <w:t xml:space="preserve"> </w:t>
      </w:r>
      <w:r w:rsidR="00D200C0" w:rsidRPr="00D45CDF">
        <w:rPr>
          <w:rFonts w:asciiTheme="minorHAnsi" w:hAnsiTheme="minorHAnsi"/>
          <w:sz w:val="24"/>
          <w:szCs w:val="24"/>
        </w:rPr>
        <w:t xml:space="preserve">from other </w:t>
      </w:r>
      <w:r w:rsidR="001D6D90" w:rsidRPr="00D45CDF">
        <w:rPr>
          <w:rFonts w:asciiTheme="minorHAnsi" w:hAnsiTheme="minorHAnsi"/>
          <w:sz w:val="24"/>
          <w:szCs w:val="24"/>
        </w:rPr>
        <w:t>Partner States</w:t>
      </w:r>
      <w:r w:rsidR="00D200C0" w:rsidRPr="00D45CDF">
        <w:rPr>
          <w:rFonts w:asciiTheme="minorHAnsi" w:hAnsiTheme="minorHAnsi"/>
          <w:sz w:val="24"/>
          <w:szCs w:val="24"/>
        </w:rPr>
        <w:t xml:space="preserve"> </w:t>
      </w:r>
      <w:r w:rsidRPr="00D45CDF">
        <w:rPr>
          <w:rFonts w:asciiTheme="minorHAnsi" w:hAnsiTheme="minorHAnsi"/>
          <w:sz w:val="24"/>
          <w:szCs w:val="24"/>
        </w:rPr>
        <w:t>to come and present case</w:t>
      </w:r>
      <w:r w:rsidR="00AD4ABB" w:rsidRPr="00D45CDF">
        <w:rPr>
          <w:rFonts w:asciiTheme="minorHAnsi" w:hAnsiTheme="minorHAnsi"/>
          <w:sz w:val="24"/>
          <w:szCs w:val="24"/>
        </w:rPr>
        <w:t>s</w:t>
      </w:r>
      <w:r w:rsidRPr="00D45CDF">
        <w:rPr>
          <w:rFonts w:asciiTheme="minorHAnsi" w:hAnsiTheme="minorHAnsi"/>
          <w:sz w:val="24"/>
          <w:szCs w:val="24"/>
        </w:rPr>
        <w:t xml:space="preserve"> in Burundi </w:t>
      </w:r>
      <w:bookmarkStart w:id="4" w:name="_Hlk22938770"/>
      <w:r w:rsidRPr="00D45CDF">
        <w:rPr>
          <w:rFonts w:asciiTheme="minorHAnsi" w:hAnsiTheme="minorHAnsi"/>
          <w:sz w:val="24"/>
          <w:szCs w:val="24"/>
        </w:rPr>
        <w:t xml:space="preserve">subject to the </w:t>
      </w:r>
      <w:r w:rsidR="00FA6388" w:rsidRPr="00D45CDF">
        <w:rPr>
          <w:rFonts w:asciiTheme="minorHAnsi" w:hAnsiTheme="minorHAnsi"/>
          <w:sz w:val="24"/>
          <w:szCs w:val="24"/>
        </w:rPr>
        <w:t>EAC Common Market (Free Movement of Workers) Regulations</w:t>
      </w:r>
      <w:bookmarkEnd w:id="4"/>
      <w:r w:rsidR="00387EAC" w:rsidRPr="00D45CDF">
        <w:rPr>
          <w:rFonts w:asciiTheme="minorHAnsi" w:hAnsiTheme="minorHAnsi"/>
          <w:sz w:val="24"/>
          <w:szCs w:val="24"/>
        </w:rPr>
        <w:t>.</w:t>
      </w:r>
      <w:r w:rsidR="00DD546F" w:rsidRPr="00D45CDF">
        <w:rPr>
          <w:rStyle w:val="FootnoteReference"/>
          <w:rFonts w:asciiTheme="minorHAnsi" w:hAnsiTheme="minorHAnsi"/>
          <w:sz w:val="24"/>
          <w:szCs w:val="24"/>
        </w:rPr>
        <w:footnoteReference w:id="105"/>
      </w:r>
      <w:r w:rsidR="00FA6388" w:rsidRPr="00D45CDF">
        <w:rPr>
          <w:rFonts w:asciiTheme="minorHAnsi" w:hAnsiTheme="minorHAnsi"/>
          <w:sz w:val="24"/>
          <w:szCs w:val="24"/>
        </w:rPr>
        <w:t xml:space="preserve"> </w:t>
      </w:r>
      <w:r w:rsidR="00387EAC" w:rsidRPr="00D45CDF">
        <w:rPr>
          <w:rFonts w:asciiTheme="minorHAnsi" w:hAnsiTheme="minorHAnsi"/>
          <w:sz w:val="24"/>
          <w:szCs w:val="24"/>
        </w:rPr>
        <w:t xml:space="preserve">Compliance with the </w:t>
      </w:r>
      <w:r w:rsidR="0075586A" w:rsidRPr="00D45CDF">
        <w:rPr>
          <w:rFonts w:asciiTheme="minorHAnsi" w:hAnsiTheme="minorHAnsi"/>
          <w:sz w:val="24"/>
          <w:szCs w:val="24"/>
        </w:rPr>
        <w:t>(Free Movement of Workers) R</w:t>
      </w:r>
      <w:r w:rsidR="00387EAC" w:rsidRPr="00D45CDF">
        <w:rPr>
          <w:rFonts w:asciiTheme="minorHAnsi" w:hAnsiTheme="minorHAnsi"/>
          <w:sz w:val="24"/>
          <w:szCs w:val="24"/>
        </w:rPr>
        <w:t>egulations</w:t>
      </w:r>
      <w:r w:rsidR="0075586A" w:rsidRPr="00D45CDF">
        <w:rPr>
          <w:rFonts w:asciiTheme="minorHAnsi" w:hAnsiTheme="minorHAnsi"/>
          <w:sz w:val="24"/>
          <w:szCs w:val="24"/>
        </w:rPr>
        <w:t xml:space="preserve">, </w:t>
      </w:r>
      <w:r w:rsidR="00B96FD1" w:rsidRPr="00D45CDF">
        <w:rPr>
          <w:rFonts w:asciiTheme="minorHAnsi" w:hAnsiTheme="minorHAnsi"/>
          <w:sz w:val="24"/>
          <w:szCs w:val="24"/>
        </w:rPr>
        <w:t xml:space="preserve">which are </w:t>
      </w:r>
      <w:r w:rsidR="0075586A" w:rsidRPr="00D45CDF">
        <w:rPr>
          <w:rFonts w:asciiTheme="minorHAnsi" w:hAnsiTheme="minorHAnsi"/>
          <w:sz w:val="24"/>
          <w:szCs w:val="24"/>
        </w:rPr>
        <w:t>Annexes to the Common Market Protocol,</w:t>
      </w:r>
      <w:r w:rsidR="0075586A" w:rsidRPr="00D45CDF">
        <w:rPr>
          <w:rStyle w:val="FootnoteReference"/>
          <w:rFonts w:asciiTheme="minorHAnsi" w:hAnsiTheme="minorHAnsi"/>
          <w:sz w:val="24"/>
          <w:szCs w:val="24"/>
        </w:rPr>
        <w:footnoteReference w:id="106"/>
      </w:r>
      <w:r w:rsidR="00387EAC" w:rsidRPr="00D45CDF">
        <w:rPr>
          <w:rFonts w:asciiTheme="minorHAnsi" w:hAnsiTheme="minorHAnsi"/>
          <w:sz w:val="24"/>
          <w:szCs w:val="24"/>
        </w:rPr>
        <w:t xml:space="preserve"> entails fulfilling a set of conditions </w:t>
      </w:r>
      <w:r w:rsidR="00340400" w:rsidRPr="00D45CDF">
        <w:rPr>
          <w:rFonts w:asciiTheme="minorHAnsi" w:hAnsiTheme="minorHAnsi"/>
          <w:sz w:val="24"/>
          <w:szCs w:val="24"/>
        </w:rPr>
        <w:t xml:space="preserve">which include requirements </w:t>
      </w:r>
      <w:r w:rsidR="00387EAC" w:rsidRPr="00D45CDF">
        <w:rPr>
          <w:rFonts w:asciiTheme="minorHAnsi" w:hAnsiTheme="minorHAnsi"/>
          <w:sz w:val="24"/>
          <w:szCs w:val="24"/>
        </w:rPr>
        <w:t>such as</w:t>
      </w:r>
      <w:r w:rsidR="00556BC2" w:rsidRPr="00D45CDF">
        <w:rPr>
          <w:rFonts w:asciiTheme="minorHAnsi" w:hAnsiTheme="minorHAnsi"/>
          <w:sz w:val="24"/>
          <w:szCs w:val="24"/>
        </w:rPr>
        <w:t xml:space="preserve"> </w:t>
      </w:r>
      <w:r w:rsidR="00F64873" w:rsidRPr="00D45CDF">
        <w:rPr>
          <w:rFonts w:asciiTheme="minorHAnsi" w:hAnsiTheme="minorHAnsi"/>
          <w:sz w:val="24"/>
          <w:szCs w:val="24"/>
        </w:rPr>
        <w:t>having a travel document</w:t>
      </w:r>
      <w:r w:rsidR="00BA102E" w:rsidRPr="00D45CDF">
        <w:rPr>
          <w:rFonts w:asciiTheme="minorHAnsi" w:hAnsiTheme="minorHAnsi"/>
          <w:sz w:val="24"/>
          <w:szCs w:val="24"/>
        </w:rPr>
        <w:t xml:space="preserve"> or </w:t>
      </w:r>
      <w:r w:rsidR="00F64873" w:rsidRPr="00D45CDF">
        <w:rPr>
          <w:rFonts w:asciiTheme="minorHAnsi" w:hAnsiTheme="minorHAnsi"/>
          <w:sz w:val="24"/>
          <w:szCs w:val="24"/>
        </w:rPr>
        <w:t xml:space="preserve">identity card, </w:t>
      </w:r>
      <w:r w:rsidR="00556BC2" w:rsidRPr="00D45CDF">
        <w:rPr>
          <w:rFonts w:asciiTheme="minorHAnsi" w:hAnsiTheme="minorHAnsi"/>
          <w:sz w:val="24"/>
          <w:szCs w:val="24"/>
        </w:rPr>
        <w:t xml:space="preserve">obtaining a work permit and special pass </w:t>
      </w:r>
      <w:r w:rsidR="00556BC2" w:rsidRPr="00D45CDF">
        <w:rPr>
          <w:rFonts w:asciiTheme="minorHAnsi" w:hAnsiTheme="minorHAnsi"/>
          <w:sz w:val="24"/>
          <w:szCs w:val="24"/>
        </w:rPr>
        <w:lastRenderedPageBreak/>
        <w:t>where necessary,</w:t>
      </w:r>
      <w:r w:rsidR="007C5A31" w:rsidRPr="00D45CDF">
        <w:rPr>
          <w:rFonts w:asciiTheme="minorHAnsi" w:hAnsiTheme="minorHAnsi"/>
          <w:sz w:val="24"/>
          <w:szCs w:val="24"/>
        </w:rPr>
        <w:t xml:space="preserve"> be</w:t>
      </w:r>
      <w:r w:rsidR="002D6628" w:rsidRPr="00D45CDF">
        <w:rPr>
          <w:rFonts w:asciiTheme="minorHAnsi" w:hAnsiTheme="minorHAnsi"/>
          <w:sz w:val="24"/>
          <w:szCs w:val="24"/>
        </w:rPr>
        <w:t>ing</w:t>
      </w:r>
      <w:r w:rsidR="007C5A31" w:rsidRPr="00D45CDF">
        <w:rPr>
          <w:rFonts w:asciiTheme="minorHAnsi" w:hAnsiTheme="minorHAnsi"/>
          <w:sz w:val="24"/>
          <w:szCs w:val="24"/>
        </w:rPr>
        <w:t xml:space="preserve"> in possession of an employment contract,</w:t>
      </w:r>
      <w:r w:rsidR="00556BC2" w:rsidRPr="00D45CDF">
        <w:rPr>
          <w:rFonts w:asciiTheme="minorHAnsi" w:hAnsiTheme="minorHAnsi"/>
          <w:sz w:val="24"/>
          <w:szCs w:val="24"/>
        </w:rPr>
        <w:t xml:space="preserve"> </w:t>
      </w:r>
      <w:r w:rsidR="00E1704F" w:rsidRPr="00D45CDF">
        <w:rPr>
          <w:rFonts w:asciiTheme="minorHAnsi" w:hAnsiTheme="minorHAnsi"/>
          <w:sz w:val="24"/>
          <w:szCs w:val="24"/>
        </w:rPr>
        <w:t xml:space="preserve">but </w:t>
      </w:r>
      <w:r w:rsidR="00556BC2" w:rsidRPr="00D45CDF">
        <w:rPr>
          <w:rFonts w:asciiTheme="minorHAnsi" w:hAnsiTheme="minorHAnsi"/>
          <w:sz w:val="24"/>
          <w:szCs w:val="24"/>
        </w:rPr>
        <w:t>benefitting from equal treatment</w:t>
      </w:r>
      <w:r w:rsidR="00AD4ABB" w:rsidRPr="00D45CDF">
        <w:rPr>
          <w:rFonts w:asciiTheme="minorHAnsi" w:hAnsiTheme="minorHAnsi"/>
          <w:sz w:val="24"/>
          <w:szCs w:val="24"/>
        </w:rPr>
        <w:t xml:space="preserve"> with Burundian lawyers</w:t>
      </w:r>
      <w:r w:rsidR="00556BC2" w:rsidRPr="00D45CDF">
        <w:rPr>
          <w:rFonts w:asciiTheme="minorHAnsi" w:hAnsiTheme="minorHAnsi"/>
          <w:sz w:val="24"/>
          <w:szCs w:val="24"/>
        </w:rPr>
        <w:t>.</w:t>
      </w:r>
      <w:r w:rsidR="00556BC2" w:rsidRPr="00D45CDF">
        <w:rPr>
          <w:rStyle w:val="FootnoteReference"/>
          <w:rFonts w:asciiTheme="minorHAnsi" w:hAnsiTheme="minorHAnsi"/>
          <w:sz w:val="24"/>
          <w:szCs w:val="24"/>
        </w:rPr>
        <w:footnoteReference w:id="107"/>
      </w:r>
      <w:r w:rsidR="00556BC2" w:rsidRPr="00D45CDF">
        <w:rPr>
          <w:rFonts w:asciiTheme="minorHAnsi" w:hAnsiTheme="minorHAnsi"/>
          <w:sz w:val="24"/>
          <w:szCs w:val="24"/>
        </w:rPr>
        <w:t xml:space="preserve"> </w:t>
      </w:r>
    </w:p>
    <w:p w14:paraId="39F3FB99" w14:textId="77777777" w:rsidR="0039216D" w:rsidRPr="00D45CDF" w:rsidRDefault="007119D8" w:rsidP="001C5BA7">
      <w:pPr>
        <w:autoSpaceDE w:val="0"/>
        <w:autoSpaceDN w:val="0"/>
        <w:adjustRightInd w:val="0"/>
        <w:spacing w:line="240" w:lineRule="auto"/>
        <w:jc w:val="both"/>
        <w:rPr>
          <w:rFonts w:asciiTheme="minorHAnsi" w:hAnsiTheme="minorHAnsi"/>
          <w:sz w:val="24"/>
          <w:szCs w:val="24"/>
        </w:rPr>
      </w:pPr>
      <w:r w:rsidRPr="00D45CDF">
        <w:rPr>
          <w:rFonts w:asciiTheme="minorHAnsi" w:hAnsiTheme="minorHAnsi"/>
          <w:sz w:val="24"/>
          <w:szCs w:val="24"/>
        </w:rPr>
        <w:t xml:space="preserve">In contrast, </w:t>
      </w:r>
      <w:r w:rsidR="006F074E" w:rsidRPr="00D45CDF">
        <w:rPr>
          <w:rFonts w:asciiTheme="minorHAnsi" w:hAnsiTheme="minorHAnsi"/>
          <w:sz w:val="24"/>
          <w:szCs w:val="24"/>
        </w:rPr>
        <w:t>Rwanda has</w:t>
      </w:r>
      <w:r w:rsidRPr="00D45CDF">
        <w:rPr>
          <w:rFonts w:asciiTheme="minorHAnsi" w:hAnsiTheme="minorHAnsi"/>
          <w:sz w:val="24"/>
          <w:szCs w:val="24"/>
        </w:rPr>
        <w:t>,</w:t>
      </w:r>
      <w:r w:rsidR="006F074E" w:rsidRPr="00D45CDF">
        <w:rPr>
          <w:rFonts w:asciiTheme="minorHAnsi" w:hAnsiTheme="minorHAnsi"/>
          <w:sz w:val="24"/>
          <w:szCs w:val="24"/>
        </w:rPr>
        <w:t xml:space="preserve"> since 2010, had</w:t>
      </w:r>
      <w:r w:rsidR="00E1704F" w:rsidRPr="00D45CDF">
        <w:rPr>
          <w:rFonts w:asciiTheme="minorHAnsi" w:hAnsiTheme="minorHAnsi"/>
          <w:sz w:val="24"/>
          <w:szCs w:val="24"/>
        </w:rPr>
        <w:t xml:space="preserve"> </w:t>
      </w:r>
      <w:r w:rsidR="006F074E" w:rsidRPr="00D45CDF">
        <w:rPr>
          <w:rFonts w:asciiTheme="minorHAnsi" w:eastAsiaTheme="minorHAnsi" w:hAnsiTheme="minorHAnsi"/>
          <w:color w:val="000000"/>
          <w:sz w:val="24"/>
          <w:szCs w:val="24"/>
          <w:lang w:eastAsia="en-US"/>
        </w:rPr>
        <w:t xml:space="preserve">no restriction in market access </w:t>
      </w:r>
      <w:r w:rsidR="00EA3E24" w:rsidRPr="00D45CDF">
        <w:rPr>
          <w:rFonts w:asciiTheme="minorHAnsi" w:eastAsiaTheme="minorHAnsi" w:hAnsiTheme="minorHAnsi"/>
          <w:color w:val="000000"/>
          <w:sz w:val="24"/>
          <w:szCs w:val="24"/>
          <w:lang w:eastAsia="en-US"/>
        </w:rPr>
        <w:t>or</w:t>
      </w:r>
      <w:r w:rsidR="006F074E" w:rsidRPr="00D45CDF">
        <w:rPr>
          <w:rFonts w:asciiTheme="minorHAnsi" w:eastAsiaTheme="minorHAnsi" w:hAnsiTheme="minorHAnsi"/>
          <w:color w:val="000000"/>
          <w:sz w:val="24"/>
          <w:szCs w:val="24"/>
          <w:lang w:eastAsia="en-US"/>
        </w:rPr>
        <w:t xml:space="preserve"> national treatment for Modes I</w:t>
      </w:r>
      <w:r w:rsidR="0071341C" w:rsidRPr="00D45CDF">
        <w:rPr>
          <w:rFonts w:asciiTheme="minorHAnsi" w:eastAsiaTheme="minorHAnsi" w:hAnsiTheme="minorHAnsi"/>
          <w:color w:val="000000"/>
          <w:sz w:val="24"/>
          <w:szCs w:val="24"/>
          <w:lang w:eastAsia="en-US"/>
        </w:rPr>
        <w:t xml:space="preserve"> to </w:t>
      </w:r>
      <w:r w:rsidR="006F074E" w:rsidRPr="00D45CDF">
        <w:rPr>
          <w:rFonts w:asciiTheme="minorHAnsi" w:eastAsiaTheme="minorHAnsi" w:hAnsiTheme="minorHAnsi"/>
          <w:color w:val="000000"/>
          <w:sz w:val="24"/>
          <w:szCs w:val="24"/>
          <w:lang w:eastAsia="en-US"/>
        </w:rPr>
        <w:t>III</w:t>
      </w:r>
      <w:r w:rsidR="007B6FD9" w:rsidRPr="00D45CDF">
        <w:rPr>
          <w:rFonts w:asciiTheme="minorHAnsi" w:eastAsiaTheme="minorHAnsi" w:hAnsiTheme="minorHAnsi"/>
          <w:color w:val="000000"/>
          <w:sz w:val="24"/>
          <w:szCs w:val="24"/>
          <w:lang w:eastAsia="en-US"/>
        </w:rPr>
        <w:t xml:space="preserve">. </w:t>
      </w:r>
      <w:r w:rsidR="00D200C0" w:rsidRPr="00D45CDF">
        <w:rPr>
          <w:rFonts w:asciiTheme="minorHAnsi" w:eastAsiaTheme="minorHAnsi" w:hAnsiTheme="minorHAnsi"/>
          <w:color w:val="000000"/>
          <w:sz w:val="24"/>
          <w:szCs w:val="24"/>
          <w:lang w:eastAsia="en-US"/>
        </w:rPr>
        <w:t xml:space="preserve"> </w:t>
      </w:r>
      <w:r w:rsidR="007B6FD9" w:rsidRPr="00D45CDF">
        <w:rPr>
          <w:rFonts w:asciiTheme="minorHAnsi" w:hAnsiTheme="minorHAnsi"/>
          <w:sz w:val="24"/>
          <w:szCs w:val="24"/>
        </w:rPr>
        <w:t xml:space="preserve">This means that free movement of legal services across borders, freedom for citizens from </w:t>
      </w:r>
      <w:r w:rsidR="001D6D90" w:rsidRPr="00D45CDF">
        <w:rPr>
          <w:rFonts w:asciiTheme="minorHAnsi" w:hAnsiTheme="minorHAnsi"/>
          <w:sz w:val="24"/>
          <w:szCs w:val="24"/>
        </w:rPr>
        <w:t>Partner States</w:t>
      </w:r>
      <w:r w:rsidR="007B6FD9" w:rsidRPr="00D45CDF">
        <w:rPr>
          <w:rFonts w:asciiTheme="minorHAnsi" w:hAnsiTheme="minorHAnsi"/>
          <w:sz w:val="24"/>
          <w:szCs w:val="24"/>
        </w:rPr>
        <w:t xml:space="preserve"> to consume legal services in Rwanda and freedom of establishment are authorised in Rwanda, </w:t>
      </w:r>
      <w:r w:rsidR="00EA3E24" w:rsidRPr="00D45CDF">
        <w:rPr>
          <w:rFonts w:asciiTheme="minorHAnsi" w:eastAsiaTheme="minorHAnsi" w:hAnsiTheme="minorHAnsi"/>
          <w:color w:val="000000"/>
          <w:sz w:val="24"/>
          <w:szCs w:val="24"/>
          <w:lang w:eastAsia="en-US"/>
        </w:rPr>
        <w:t>but</w:t>
      </w:r>
      <w:r w:rsidR="006F074E" w:rsidRPr="00D45CDF">
        <w:rPr>
          <w:rFonts w:asciiTheme="minorHAnsi" w:eastAsiaTheme="minorHAnsi" w:hAnsiTheme="minorHAnsi"/>
          <w:color w:val="000000"/>
          <w:sz w:val="24"/>
          <w:szCs w:val="24"/>
          <w:lang w:eastAsia="en-US"/>
        </w:rPr>
        <w:t xml:space="preserve"> self-employed lawyers from </w:t>
      </w:r>
      <w:r w:rsidR="001D6D90" w:rsidRPr="00D45CDF">
        <w:rPr>
          <w:rFonts w:asciiTheme="minorHAnsi" w:eastAsiaTheme="minorHAnsi" w:hAnsiTheme="minorHAnsi"/>
          <w:color w:val="000000"/>
          <w:sz w:val="24"/>
          <w:szCs w:val="24"/>
          <w:lang w:eastAsia="en-US"/>
        </w:rPr>
        <w:t>Partner States</w:t>
      </w:r>
      <w:r w:rsidR="006F074E" w:rsidRPr="00D45CDF">
        <w:rPr>
          <w:rFonts w:asciiTheme="minorHAnsi" w:eastAsiaTheme="minorHAnsi" w:hAnsiTheme="minorHAnsi"/>
          <w:color w:val="000000"/>
          <w:sz w:val="24"/>
          <w:szCs w:val="24"/>
          <w:lang w:eastAsia="en-US"/>
        </w:rPr>
        <w:t xml:space="preserve"> a</w:t>
      </w:r>
      <w:r w:rsidR="007B6FD9" w:rsidRPr="00D45CDF">
        <w:rPr>
          <w:rFonts w:asciiTheme="minorHAnsi" w:eastAsiaTheme="minorHAnsi" w:hAnsiTheme="minorHAnsi"/>
          <w:color w:val="000000"/>
          <w:sz w:val="24"/>
          <w:szCs w:val="24"/>
          <w:lang w:eastAsia="en-US"/>
        </w:rPr>
        <w:t>re</w:t>
      </w:r>
      <w:r w:rsidR="006F074E" w:rsidRPr="00D45CDF">
        <w:rPr>
          <w:rFonts w:asciiTheme="minorHAnsi" w:eastAsiaTheme="minorHAnsi" w:hAnsiTheme="minorHAnsi"/>
          <w:color w:val="000000"/>
          <w:sz w:val="24"/>
          <w:szCs w:val="24"/>
          <w:lang w:eastAsia="en-US"/>
        </w:rPr>
        <w:t xml:space="preserve"> </w:t>
      </w:r>
      <w:r w:rsidR="006F074E" w:rsidRPr="00D45CDF">
        <w:rPr>
          <w:rFonts w:asciiTheme="minorHAnsi" w:hAnsiTheme="minorHAnsi"/>
          <w:sz w:val="24"/>
          <w:szCs w:val="24"/>
        </w:rPr>
        <w:t>subject to the Schedule of the EAC Common Market (Free Movement of Workers) Regulations</w:t>
      </w:r>
      <w:r w:rsidR="00D007DD" w:rsidRPr="00D45CDF">
        <w:rPr>
          <w:rFonts w:asciiTheme="minorHAnsi" w:hAnsiTheme="minorHAnsi"/>
          <w:sz w:val="24"/>
          <w:szCs w:val="24"/>
        </w:rPr>
        <w:t xml:space="preserve"> (Annex V)</w:t>
      </w:r>
      <w:r w:rsidRPr="00D45CDF">
        <w:rPr>
          <w:rFonts w:asciiTheme="minorHAnsi" w:hAnsiTheme="minorHAnsi"/>
          <w:sz w:val="24"/>
          <w:szCs w:val="24"/>
        </w:rPr>
        <w:t>, which indicates timelines for the liberalisation of a number of services, including legal services</w:t>
      </w:r>
      <w:r w:rsidR="006F074E" w:rsidRPr="00D45CDF">
        <w:rPr>
          <w:rFonts w:asciiTheme="minorHAnsi" w:hAnsiTheme="minorHAnsi"/>
          <w:sz w:val="24"/>
          <w:szCs w:val="24"/>
        </w:rPr>
        <w:t xml:space="preserve">. </w:t>
      </w:r>
      <w:r w:rsidR="00EA3E24" w:rsidRPr="00D45CDF">
        <w:rPr>
          <w:rFonts w:asciiTheme="minorHAnsi" w:hAnsiTheme="minorHAnsi"/>
          <w:sz w:val="24"/>
          <w:szCs w:val="24"/>
        </w:rPr>
        <w:t>W</w:t>
      </w:r>
      <w:r w:rsidR="009A0668" w:rsidRPr="00D45CDF">
        <w:rPr>
          <w:rFonts w:asciiTheme="minorHAnsi" w:hAnsiTheme="minorHAnsi"/>
          <w:sz w:val="24"/>
          <w:szCs w:val="24"/>
        </w:rPr>
        <w:t>hatever the situation</w:t>
      </w:r>
      <w:r w:rsidR="00DD546F" w:rsidRPr="00D45CDF">
        <w:rPr>
          <w:rFonts w:asciiTheme="minorHAnsi" w:hAnsiTheme="minorHAnsi"/>
          <w:sz w:val="24"/>
          <w:szCs w:val="24"/>
        </w:rPr>
        <w:t xml:space="preserve">, </w:t>
      </w:r>
      <w:r w:rsidR="001D6D90" w:rsidRPr="00D45CDF">
        <w:rPr>
          <w:rFonts w:asciiTheme="minorHAnsi" w:hAnsiTheme="minorHAnsi"/>
          <w:sz w:val="24"/>
          <w:szCs w:val="24"/>
        </w:rPr>
        <w:t>Partner States</w:t>
      </w:r>
      <w:r w:rsidR="009A0668" w:rsidRPr="00D45CDF">
        <w:rPr>
          <w:rFonts w:asciiTheme="minorHAnsi" w:hAnsiTheme="minorHAnsi"/>
          <w:sz w:val="24"/>
          <w:szCs w:val="24"/>
        </w:rPr>
        <w:t xml:space="preserve"> agreed that by 2015 they </w:t>
      </w:r>
      <w:r w:rsidR="0011557D" w:rsidRPr="00D45CDF">
        <w:rPr>
          <w:rFonts w:asciiTheme="minorHAnsi" w:hAnsiTheme="minorHAnsi"/>
          <w:sz w:val="24"/>
          <w:szCs w:val="24"/>
        </w:rPr>
        <w:t xml:space="preserve">should have removed </w:t>
      </w:r>
      <w:r w:rsidR="009A0668" w:rsidRPr="00D45CDF">
        <w:rPr>
          <w:rFonts w:asciiTheme="minorHAnsi" w:hAnsiTheme="minorHAnsi"/>
          <w:sz w:val="24"/>
          <w:szCs w:val="24"/>
        </w:rPr>
        <w:t>all barriers</w:t>
      </w:r>
      <w:r w:rsidR="00DD546F" w:rsidRPr="00D45CDF">
        <w:rPr>
          <w:rFonts w:asciiTheme="minorHAnsi" w:hAnsiTheme="minorHAnsi"/>
          <w:sz w:val="24"/>
          <w:szCs w:val="24"/>
        </w:rPr>
        <w:t xml:space="preserve"> to free movement of services and establishment</w:t>
      </w:r>
      <w:r w:rsidR="009A0668" w:rsidRPr="00D45CDF">
        <w:rPr>
          <w:rFonts w:asciiTheme="minorHAnsi" w:hAnsiTheme="minorHAnsi"/>
          <w:sz w:val="24"/>
          <w:szCs w:val="24"/>
        </w:rPr>
        <w:t xml:space="preserve">. As far as the national treatment principle </w:t>
      </w:r>
      <w:r w:rsidR="006B7688" w:rsidRPr="00D45CDF">
        <w:rPr>
          <w:rFonts w:asciiTheme="minorHAnsi" w:hAnsiTheme="minorHAnsi"/>
          <w:sz w:val="24"/>
          <w:szCs w:val="24"/>
        </w:rPr>
        <w:t>was concerned,</w:t>
      </w:r>
      <w:r w:rsidR="009A0668" w:rsidRPr="00D45CDF">
        <w:rPr>
          <w:rFonts w:asciiTheme="minorHAnsi" w:hAnsiTheme="minorHAnsi"/>
          <w:sz w:val="24"/>
          <w:szCs w:val="24"/>
        </w:rPr>
        <w:t xml:space="preserve"> </w:t>
      </w:r>
      <w:r w:rsidR="00A13AA0" w:rsidRPr="00D45CDF">
        <w:rPr>
          <w:rFonts w:asciiTheme="minorHAnsi" w:hAnsiTheme="minorHAnsi"/>
          <w:sz w:val="24"/>
          <w:szCs w:val="24"/>
        </w:rPr>
        <w:t xml:space="preserve">with regard to </w:t>
      </w:r>
      <w:r w:rsidR="006B7688" w:rsidRPr="00D45CDF">
        <w:rPr>
          <w:rFonts w:asciiTheme="minorHAnsi" w:hAnsiTheme="minorHAnsi"/>
          <w:sz w:val="24"/>
          <w:szCs w:val="24"/>
        </w:rPr>
        <w:t xml:space="preserve">discriminating against citizens of other </w:t>
      </w:r>
      <w:r w:rsidR="001D6D90" w:rsidRPr="00D45CDF">
        <w:rPr>
          <w:rFonts w:asciiTheme="minorHAnsi" w:hAnsiTheme="minorHAnsi"/>
          <w:sz w:val="24"/>
          <w:szCs w:val="24"/>
        </w:rPr>
        <w:t>Partner States</w:t>
      </w:r>
      <w:r w:rsidR="006B7688" w:rsidRPr="00D45CDF">
        <w:rPr>
          <w:rFonts w:asciiTheme="minorHAnsi" w:hAnsiTheme="minorHAnsi"/>
          <w:sz w:val="24"/>
          <w:szCs w:val="24"/>
        </w:rPr>
        <w:t xml:space="preserve"> and </w:t>
      </w:r>
      <w:r w:rsidR="009A0668" w:rsidRPr="00D45CDF">
        <w:rPr>
          <w:rFonts w:asciiTheme="minorHAnsi" w:hAnsiTheme="minorHAnsi"/>
          <w:sz w:val="24"/>
          <w:szCs w:val="24"/>
        </w:rPr>
        <w:t>favouring national</w:t>
      </w:r>
      <w:r w:rsidR="006B7688" w:rsidRPr="00D45CDF">
        <w:rPr>
          <w:rFonts w:asciiTheme="minorHAnsi" w:hAnsiTheme="minorHAnsi"/>
          <w:sz w:val="24"/>
          <w:szCs w:val="24"/>
        </w:rPr>
        <w:t>s</w:t>
      </w:r>
      <w:r w:rsidR="009A0668" w:rsidRPr="00D45CDF">
        <w:rPr>
          <w:rFonts w:asciiTheme="minorHAnsi" w:hAnsiTheme="minorHAnsi"/>
          <w:sz w:val="24"/>
          <w:szCs w:val="24"/>
        </w:rPr>
        <w:t>,</w:t>
      </w:r>
      <w:r w:rsidR="00997E93" w:rsidRPr="00D45CDF">
        <w:rPr>
          <w:rFonts w:asciiTheme="minorHAnsi" w:hAnsiTheme="minorHAnsi"/>
          <w:sz w:val="24"/>
          <w:szCs w:val="24"/>
        </w:rPr>
        <w:t xml:space="preserve"> </w:t>
      </w:r>
      <w:r w:rsidR="004432BD" w:rsidRPr="00D45CDF">
        <w:rPr>
          <w:rFonts w:asciiTheme="minorHAnsi" w:hAnsiTheme="minorHAnsi"/>
          <w:sz w:val="24"/>
          <w:szCs w:val="24"/>
        </w:rPr>
        <w:t xml:space="preserve">which is </w:t>
      </w:r>
      <w:r w:rsidR="00997E93" w:rsidRPr="00D45CDF">
        <w:rPr>
          <w:rFonts w:asciiTheme="minorHAnsi" w:hAnsiTheme="minorHAnsi"/>
          <w:sz w:val="24"/>
          <w:szCs w:val="24"/>
        </w:rPr>
        <w:t>specifically prohibited by the Common Market Protocol,</w:t>
      </w:r>
      <w:r w:rsidR="00997E93" w:rsidRPr="00D45CDF">
        <w:rPr>
          <w:rStyle w:val="FootnoteReference"/>
          <w:rFonts w:asciiTheme="minorHAnsi" w:hAnsiTheme="minorHAnsi"/>
          <w:sz w:val="24"/>
          <w:szCs w:val="24"/>
        </w:rPr>
        <w:footnoteReference w:id="108"/>
      </w:r>
      <w:r w:rsidR="00997E93" w:rsidRPr="00D45CDF">
        <w:rPr>
          <w:rFonts w:asciiTheme="minorHAnsi" w:hAnsiTheme="minorHAnsi"/>
          <w:sz w:val="24"/>
          <w:szCs w:val="24"/>
        </w:rPr>
        <w:t xml:space="preserve"> </w:t>
      </w:r>
      <w:r w:rsidR="006F074E" w:rsidRPr="00D45CDF">
        <w:rPr>
          <w:rFonts w:asciiTheme="minorHAnsi" w:hAnsiTheme="minorHAnsi"/>
          <w:sz w:val="24"/>
          <w:szCs w:val="24"/>
        </w:rPr>
        <w:t xml:space="preserve">both </w:t>
      </w:r>
      <w:r w:rsidR="009A0668" w:rsidRPr="00D45CDF">
        <w:rPr>
          <w:rFonts w:asciiTheme="minorHAnsi" w:hAnsiTheme="minorHAnsi"/>
          <w:sz w:val="24"/>
          <w:szCs w:val="24"/>
        </w:rPr>
        <w:t xml:space="preserve">Burundi </w:t>
      </w:r>
      <w:r w:rsidR="006F074E" w:rsidRPr="00D45CDF">
        <w:rPr>
          <w:rFonts w:asciiTheme="minorHAnsi" w:hAnsiTheme="minorHAnsi"/>
          <w:sz w:val="24"/>
          <w:szCs w:val="24"/>
        </w:rPr>
        <w:t xml:space="preserve">and Rwanda </w:t>
      </w:r>
      <w:r w:rsidR="009A0668" w:rsidRPr="00D45CDF">
        <w:rPr>
          <w:rFonts w:asciiTheme="minorHAnsi" w:hAnsiTheme="minorHAnsi"/>
          <w:sz w:val="24"/>
          <w:szCs w:val="24"/>
        </w:rPr>
        <w:t xml:space="preserve">committed to remove all barriers by 2010. </w:t>
      </w:r>
      <w:r w:rsidR="00DE242B" w:rsidRPr="00D45CDF">
        <w:rPr>
          <w:rFonts w:asciiTheme="minorHAnsi" w:hAnsiTheme="minorHAnsi"/>
          <w:sz w:val="24"/>
          <w:szCs w:val="24"/>
        </w:rPr>
        <w:t xml:space="preserve">Annex V of the </w:t>
      </w:r>
      <w:r w:rsidR="00DE242B" w:rsidRPr="00D45CDF">
        <w:rPr>
          <w:rFonts w:asciiTheme="minorHAnsi" w:eastAsiaTheme="minorHAnsi" w:hAnsiTheme="minorHAnsi"/>
          <w:color w:val="000000"/>
          <w:sz w:val="24"/>
          <w:szCs w:val="24"/>
          <w:lang w:eastAsia="en-US"/>
        </w:rPr>
        <w:t>E</w:t>
      </w:r>
      <w:r w:rsidR="00DE242B" w:rsidRPr="00D45CDF">
        <w:rPr>
          <w:rFonts w:asciiTheme="minorHAnsi" w:hAnsiTheme="minorHAnsi"/>
          <w:sz w:val="24"/>
          <w:szCs w:val="24"/>
        </w:rPr>
        <w:t>AC</w:t>
      </w:r>
      <w:r w:rsidR="00DE242B" w:rsidRPr="00D45CDF">
        <w:rPr>
          <w:rFonts w:asciiTheme="minorHAnsi" w:eastAsiaTheme="minorHAnsi" w:hAnsiTheme="minorHAnsi"/>
          <w:color w:val="000000"/>
          <w:sz w:val="24"/>
          <w:szCs w:val="24"/>
          <w:lang w:eastAsia="en-US"/>
        </w:rPr>
        <w:t xml:space="preserve"> </w:t>
      </w:r>
      <w:r w:rsidR="005B5589" w:rsidRPr="00D45CDF">
        <w:rPr>
          <w:rFonts w:asciiTheme="minorHAnsi" w:hAnsiTheme="minorHAnsi"/>
          <w:sz w:val="24"/>
          <w:szCs w:val="24"/>
        </w:rPr>
        <w:t>C</w:t>
      </w:r>
      <w:r w:rsidR="00DE242B" w:rsidRPr="00D45CDF">
        <w:rPr>
          <w:rFonts w:asciiTheme="minorHAnsi" w:eastAsiaTheme="minorHAnsi" w:hAnsiTheme="minorHAnsi"/>
          <w:color w:val="000000"/>
          <w:sz w:val="24"/>
          <w:szCs w:val="24"/>
          <w:lang w:eastAsia="en-US"/>
        </w:rPr>
        <w:t xml:space="preserve">ommon </w:t>
      </w:r>
      <w:r w:rsidR="005B5589" w:rsidRPr="00D45CDF">
        <w:rPr>
          <w:rFonts w:asciiTheme="minorHAnsi" w:hAnsiTheme="minorHAnsi"/>
          <w:sz w:val="24"/>
          <w:szCs w:val="24"/>
        </w:rPr>
        <w:t>M</w:t>
      </w:r>
      <w:r w:rsidR="00DE242B" w:rsidRPr="00D45CDF">
        <w:rPr>
          <w:rFonts w:asciiTheme="minorHAnsi" w:eastAsiaTheme="minorHAnsi" w:hAnsiTheme="minorHAnsi"/>
          <w:color w:val="000000"/>
          <w:sz w:val="24"/>
          <w:szCs w:val="24"/>
          <w:lang w:eastAsia="en-US"/>
        </w:rPr>
        <w:t xml:space="preserve">arket Schedule of </w:t>
      </w:r>
      <w:r w:rsidR="005B5589" w:rsidRPr="00D45CDF">
        <w:rPr>
          <w:rFonts w:asciiTheme="minorHAnsi" w:hAnsiTheme="minorHAnsi"/>
          <w:sz w:val="24"/>
          <w:szCs w:val="24"/>
        </w:rPr>
        <w:t>C</w:t>
      </w:r>
      <w:r w:rsidR="00DE242B" w:rsidRPr="00D45CDF">
        <w:rPr>
          <w:rFonts w:asciiTheme="minorHAnsi" w:eastAsiaTheme="minorHAnsi" w:hAnsiTheme="minorHAnsi"/>
          <w:color w:val="000000"/>
          <w:sz w:val="24"/>
          <w:szCs w:val="24"/>
          <w:lang w:eastAsia="en-US"/>
        </w:rPr>
        <w:t xml:space="preserve">ommitments on the </w:t>
      </w:r>
      <w:r w:rsidR="005B5589" w:rsidRPr="00D45CDF">
        <w:rPr>
          <w:rFonts w:asciiTheme="minorHAnsi" w:hAnsiTheme="minorHAnsi"/>
          <w:sz w:val="24"/>
          <w:szCs w:val="24"/>
        </w:rPr>
        <w:t>P</w:t>
      </w:r>
      <w:r w:rsidR="00DE242B" w:rsidRPr="00D45CDF">
        <w:rPr>
          <w:rFonts w:asciiTheme="minorHAnsi" w:eastAsiaTheme="minorHAnsi" w:hAnsiTheme="minorHAnsi"/>
          <w:color w:val="000000"/>
          <w:sz w:val="24"/>
          <w:szCs w:val="24"/>
          <w:lang w:eastAsia="en-US"/>
        </w:rPr>
        <w:t xml:space="preserve">rogressive Liberalisation of </w:t>
      </w:r>
      <w:r w:rsidR="00DE242B" w:rsidRPr="00D45CDF">
        <w:rPr>
          <w:rFonts w:asciiTheme="minorHAnsi" w:hAnsiTheme="minorHAnsi"/>
          <w:sz w:val="24"/>
          <w:szCs w:val="24"/>
        </w:rPr>
        <w:t>S</w:t>
      </w:r>
      <w:r w:rsidR="00DE242B" w:rsidRPr="00D45CDF">
        <w:rPr>
          <w:rFonts w:asciiTheme="minorHAnsi" w:eastAsiaTheme="minorHAnsi" w:hAnsiTheme="minorHAnsi"/>
          <w:color w:val="000000"/>
          <w:sz w:val="24"/>
          <w:szCs w:val="24"/>
          <w:lang w:eastAsia="en-US"/>
        </w:rPr>
        <w:t xml:space="preserve">ervices </w:t>
      </w:r>
      <w:r w:rsidR="009A0668" w:rsidRPr="00D45CDF">
        <w:rPr>
          <w:rFonts w:asciiTheme="minorHAnsi" w:hAnsiTheme="minorHAnsi"/>
          <w:sz w:val="24"/>
          <w:szCs w:val="24"/>
        </w:rPr>
        <w:t xml:space="preserve">shows that </w:t>
      </w:r>
      <w:r w:rsidR="001D6D90" w:rsidRPr="00D45CDF">
        <w:rPr>
          <w:rFonts w:asciiTheme="minorHAnsi" w:hAnsiTheme="minorHAnsi"/>
          <w:sz w:val="24"/>
          <w:szCs w:val="24"/>
        </w:rPr>
        <w:t>Partner States</w:t>
      </w:r>
      <w:r w:rsidR="009A0668" w:rsidRPr="00D45CDF">
        <w:rPr>
          <w:rFonts w:asciiTheme="minorHAnsi" w:hAnsiTheme="minorHAnsi"/>
          <w:sz w:val="24"/>
          <w:szCs w:val="24"/>
        </w:rPr>
        <w:t xml:space="preserve"> have</w:t>
      </w:r>
      <w:r w:rsidR="007A6E86" w:rsidRPr="00D45CDF">
        <w:rPr>
          <w:rFonts w:asciiTheme="minorHAnsi" w:hAnsiTheme="minorHAnsi"/>
          <w:sz w:val="24"/>
          <w:szCs w:val="24"/>
        </w:rPr>
        <w:t xml:space="preserve"> all</w:t>
      </w:r>
      <w:r w:rsidR="009A0668" w:rsidRPr="00D45CDF">
        <w:rPr>
          <w:rFonts w:asciiTheme="minorHAnsi" w:hAnsiTheme="minorHAnsi"/>
          <w:sz w:val="24"/>
          <w:szCs w:val="24"/>
        </w:rPr>
        <w:t xml:space="preserve"> </w:t>
      </w:r>
      <w:r w:rsidR="00DE242B" w:rsidRPr="00D45CDF">
        <w:rPr>
          <w:rFonts w:asciiTheme="minorHAnsi" w:hAnsiTheme="minorHAnsi"/>
          <w:sz w:val="24"/>
          <w:szCs w:val="24"/>
        </w:rPr>
        <w:t xml:space="preserve">committed to </w:t>
      </w:r>
      <w:r w:rsidR="009A0668" w:rsidRPr="00D45CDF">
        <w:rPr>
          <w:rFonts w:asciiTheme="minorHAnsi" w:hAnsiTheme="minorHAnsi"/>
          <w:sz w:val="24"/>
          <w:szCs w:val="24"/>
        </w:rPr>
        <w:t>the same</w:t>
      </w:r>
      <w:r w:rsidR="00DE242B" w:rsidRPr="00D45CDF">
        <w:rPr>
          <w:rFonts w:asciiTheme="minorHAnsi" w:hAnsiTheme="minorHAnsi"/>
          <w:sz w:val="24"/>
          <w:szCs w:val="24"/>
        </w:rPr>
        <w:t xml:space="preserve"> aims</w:t>
      </w:r>
      <w:r w:rsidR="009A0668" w:rsidRPr="00D45CDF">
        <w:rPr>
          <w:rFonts w:asciiTheme="minorHAnsi" w:hAnsiTheme="minorHAnsi"/>
          <w:sz w:val="24"/>
          <w:szCs w:val="24"/>
        </w:rPr>
        <w:t xml:space="preserve">, which means that by now legal services should be moving freely in the EAC, </w:t>
      </w:r>
      <w:r w:rsidR="007A6E86" w:rsidRPr="00D45CDF">
        <w:rPr>
          <w:rFonts w:asciiTheme="minorHAnsi" w:hAnsiTheme="minorHAnsi"/>
          <w:sz w:val="24"/>
          <w:szCs w:val="24"/>
        </w:rPr>
        <w:t xml:space="preserve">since there was a </w:t>
      </w:r>
      <w:r w:rsidR="009A0668" w:rsidRPr="00D45CDF">
        <w:rPr>
          <w:rFonts w:asciiTheme="minorHAnsi" w:hAnsiTheme="minorHAnsi"/>
          <w:sz w:val="24"/>
          <w:szCs w:val="24"/>
        </w:rPr>
        <w:t>commit</w:t>
      </w:r>
      <w:r w:rsidR="007A6E86" w:rsidRPr="00D45CDF">
        <w:rPr>
          <w:rFonts w:asciiTheme="minorHAnsi" w:hAnsiTheme="minorHAnsi"/>
          <w:sz w:val="24"/>
          <w:szCs w:val="24"/>
        </w:rPr>
        <w:t xml:space="preserve">ment </w:t>
      </w:r>
      <w:r w:rsidR="009A0668" w:rsidRPr="00D45CDF">
        <w:rPr>
          <w:rFonts w:asciiTheme="minorHAnsi" w:hAnsiTheme="minorHAnsi"/>
          <w:sz w:val="24"/>
          <w:szCs w:val="24"/>
        </w:rPr>
        <w:t>to remove</w:t>
      </w:r>
      <w:r w:rsidR="00DE242B" w:rsidRPr="00D45CDF">
        <w:rPr>
          <w:rFonts w:asciiTheme="minorHAnsi" w:hAnsiTheme="minorHAnsi"/>
          <w:sz w:val="24"/>
          <w:szCs w:val="24"/>
        </w:rPr>
        <w:t xml:space="preserve"> barriers </w:t>
      </w:r>
      <w:r w:rsidR="009A0668" w:rsidRPr="00D45CDF">
        <w:rPr>
          <w:rFonts w:asciiTheme="minorHAnsi" w:hAnsiTheme="minorHAnsi"/>
          <w:sz w:val="24"/>
          <w:szCs w:val="24"/>
        </w:rPr>
        <w:t>by 2015 at the latest</w:t>
      </w:r>
      <w:r w:rsidR="005B5589" w:rsidRPr="00D45CDF">
        <w:rPr>
          <w:rFonts w:asciiTheme="minorHAnsi" w:hAnsiTheme="minorHAnsi"/>
          <w:sz w:val="24"/>
          <w:szCs w:val="24"/>
        </w:rPr>
        <w:t>. However, this is not borne out by</w:t>
      </w:r>
      <w:r w:rsidR="009A0668" w:rsidRPr="00D45CDF">
        <w:rPr>
          <w:rFonts w:asciiTheme="minorHAnsi" w:hAnsiTheme="minorHAnsi"/>
          <w:sz w:val="24"/>
          <w:szCs w:val="24"/>
        </w:rPr>
        <w:t xml:space="preserve"> reality</w:t>
      </w:r>
      <w:r w:rsidR="005B5589" w:rsidRPr="00D45CDF">
        <w:rPr>
          <w:rFonts w:asciiTheme="minorHAnsi" w:hAnsiTheme="minorHAnsi"/>
          <w:sz w:val="24"/>
          <w:szCs w:val="24"/>
        </w:rPr>
        <w:t xml:space="preserve">, </w:t>
      </w:r>
      <w:r w:rsidR="009A0668" w:rsidRPr="00D45CDF">
        <w:rPr>
          <w:rFonts w:asciiTheme="minorHAnsi" w:hAnsiTheme="minorHAnsi"/>
          <w:sz w:val="24"/>
          <w:szCs w:val="24"/>
        </w:rPr>
        <w:t>when the free movement of services in the EAC</w:t>
      </w:r>
      <w:r w:rsidR="00B01F86" w:rsidRPr="00D45CDF">
        <w:rPr>
          <w:rFonts w:asciiTheme="minorHAnsi" w:hAnsiTheme="minorHAnsi"/>
          <w:sz w:val="24"/>
          <w:szCs w:val="24"/>
        </w:rPr>
        <w:t xml:space="preserve"> is considered</w:t>
      </w:r>
      <w:r w:rsidR="005B5589" w:rsidRPr="00D45CDF">
        <w:rPr>
          <w:rFonts w:asciiTheme="minorHAnsi" w:hAnsiTheme="minorHAnsi"/>
          <w:sz w:val="24"/>
          <w:szCs w:val="24"/>
        </w:rPr>
        <w:t>.</w:t>
      </w:r>
    </w:p>
    <w:p w14:paraId="6007F020" w14:textId="77777777" w:rsidR="00B01F86" w:rsidRPr="001B2C2B" w:rsidRDefault="000916E8" w:rsidP="001B2C2B">
      <w:pPr>
        <w:pStyle w:val="ListParagraph"/>
        <w:numPr>
          <w:ilvl w:val="1"/>
          <w:numId w:val="11"/>
        </w:numPr>
        <w:autoSpaceDE w:val="0"/>
        <w:autoSpaceDN w:val="0"/>
        <w:adjustRightInd w:val="0"/>
        <w:spacing w:line="240" w:lineRule="auto"/>
        <w:ind w:left="426" w:hanging="426"/>
        <w:jc w:val="both"/>
        <w:rPr>
          <w:rFonts w:asciiTheme="minorHAnsi" w:hAnsiTheme="minorHAnsi"/>
          <w:b/>
          <w:sz w:val="24"/>
          <w:szCs w:val="24"/>
        </w:rPr>
      </w:pPr>
      <w:r w:rsidRPr="001B2C2B">
        <w:rPr>
          <w:rFonts w:asciiTheme="minorHAnsi" w:hAnsiTheme="minorHAnsi"/>
          <w:b/>
          <w:sz w:val="24"/>
          <w:szCs w:val="24"/>
        </w:rPr>
        <w:t>The lo</w:t>
      </w:r>
      <w:r w:rsidR="00B01F86" w:rsidRPr="001B2C2B">
        <w:rPr>
          <w:rFonts w:asciiTheme="minorHAnsi" w:hAnsiTheme="minorHAnsi"/>
          <w:b/>
          <w:sz w:val="24"/>
          <w:szCs w:val="24"/>
        </w:rPr>
        <w:t xml:space="preserve">ng </w:t>
      </w:r>
      <w:r w:rsidRPr="001B2C2B">
        <w:rPr>
          <w:rFonts w:asciiTheme="minorHAnsi" w:hAnsiTheme="minorHAnsi"/>
          <w:b/>
          <w:sz w:val="24"/>
          <w:szCs w:val="24"/>
        </w:rPr>
        <w:t>road</w:t>
      </w:r>
      <w:r w:rsidR="00B01F86" w:rsidRPr="001B2C2B">
        <w:rPr>
          <w:rFonts w:asciiTheme="minorHAnsi" w:hAnsiTheme="minorHAnsi"/>
          <w:b/>
          <w:sz w:val="24"/>
          <w:szCs w:val="24"/>
        </w:rPr>
        <w:t xml:space="preserve"> to the Mutual Recognition Agreement</w:t>
      </w:r>
    </w:p>
    <w:p w14:paraId="2B93E9C5" w14:textId="77777777" w:rsidR="009A0668" w:rsidRPr="00D45CDF" w:rsidRDefault="00E5694F" w:rsidP="001C5BA7">
      <w:pPr>
        <w:spacing w:after="400" w:line="240" w:lineRule="auto"/>
        <w:jc w:val="both"/>
        <w:rPr>
          <w:rFonts w:asciiTheme="minorHAnsi" w:hAnsiTheme="minorHAnsi"/>
          <w:sz w:val="24"/>
          <w:szCs w:val="24"/>
        </w:rPr>
      </w:pPr>
      <w:r w:rsidRPr="00D45CDF">
        <w:rPr>
          <w:rFonts w:asciiTheme="minorHAnsi" w:hAnsiTheme="minorHAnsi"/>
          <w:sz w:val="24"/>
          <w:szCs w:val="24"/>
        </w:rPr>
        <w:t xml:space="preserve">To foster the free movement of </w:t>
      </w:r>
      <w:r w:rsidR="00B01F86" w:rsidRPr="00D45CDF">
        <w:rPr>
          <w:rFonts w:asciiTheme="minorHAnsi" w:hAnsiTheme="minorHAnsi"/>
          <w:sz w:val="24"/>
          <w:szCs w:val="24"/>
        </w:rPr>
        <w:t>workers</w:t>
      </w:r>
      <w:r w:rsidRPr="00D45CDF">
        <w:rPr>
          <w:rFonts w:asciiTheme="minorHAnsi" w:hAnsiTheme="minorHAnsi"/>
          <w:sz w:val="24"/>
          <w:szCs w:val="24"/>
        </w:rPr>
        <w:t xml:space="preserve">, </w:t>
      </w:r>
      <w:r w:rsidR="00B01F86" w:rsidRPr="00D45CDF">
        <w:rPr>
          <w:rFonts w:asciiTheme="minorHAnsi" w:hAnsiTheme="minorHAnsi"/>
          <w:sz w:val="24"/>
          <w:szCs w:val="24"/>
        </w:rPr>
        <w:t xml:space="preserve">including </w:t>
      </w:r>
      <w:r w:rsidR="007A6E86" w:rsidRPr="00D45CDF">
        <w:rPr>
          <w:rFonts w:asciiTheme="minorHAnsi" w:hAnsiTheme="minorHAnsi"/>
          <w:sz w:val="24"/>
          <w:szCs w:val="24"/>
        </w:rPr>
        <w:t xml:space="preserve">the </w:t>
      </w:r>
      <w:r w:rsidR="00B01F86" w:rsidRPr="00D45CDF">
        <w:rPr>
          <w:rFonts w:asciiTheme="minorHAnsi" w:hAnsiTheme="minorHAnsi"/>
          <w:sz w:val="24"/>
          <w:szCs w:val="24"/>
        </w:rPr>
        <w:t xml:space="preserve">self-employed such as </w:t>
      </w:r>
      <w:r w:rsidR="000E1E46" w:rsidRPr="00D45CDF">
        <w:rPr>
          <w:rFonts w:asciiTheme="minorHAnsi" w:hAnsiTheme="minorHAnsi"/>
          <w:sz w:val="24"/>
          <w:szCs w:val="24"/>
        </w:rPr>
        <w:t>lawyers</w:t>
      </w:r>
      <w:r w:rsidRPr="00D45CDF">
        <w:rPr>
          <w:rFonts w:asciiTheme="minorHAnsi" w:hAnsiTheme="minorHAnsi"/>
          <w:sz w:val="24"/>
          <w:szCs w:val="24"/>
        </w:rPr>
        <w:t xml:space="preserve">, </w:t>
      </w:r>
      <w:r w:rsidR="001D6D90" w:rsidRPr="00D45CDF">
        <w:rPr>
          <w:rFonts w:asciiTheme="minorHAnsi" w:hAnsiTheme="minorHAnsi"/>
          <w:sz w:val="24"/>
          <w:szCs w:val="24"/>
        </w:rPr>
        <w:t>Partner States</w:t>
      </w:r>
      <w:r w:rsidR="009A0668" w:rsidRPr="00D45CDF">
        <w:rPr>
          <w:rFonts w:asciiTheme="minorHAnsi" w:hAnsiTheme="minorHAnsi"/>
          <w:sz w:val="24"/>
          <w:szCs w:val="24"/>
        </w:rPr>
        <w:t xml:space="preserve"> had </w:t>
      </w:r>
      <w:r w:rsidRPr="00D45CDF">
        <w:rPr>
          <w:rFonts w:asciiTheme="minorHAnsi" w:hAnsiTheme="minorHAnsi"/>
          <w:sz w:val="24"/>
          <w:szCs w:val="24"/>
        </w:rPr>
        <w:t>to c</w:t>
      </w:r>
      <w:r w:rsidR="009A0668" w:rsidRPr="00D45CDF">
        <w:rPr>
          <w:rFonts w:asciiTheme="minorHAnsi" w:hAnsiTheme="minorHAnsi"/>
          <w:sz w:val="24"/>
          <w:szCs w:val="24"/>
        </w:rPr>
        <w:t xml:space="preserve">ommit to </w:t>
      </w:r>
      <w:r w:rsidR="00B32707" w:rsidRPr="00D45CDF">
        <w:rPr>
          <w:rFonts w:asciiTheme="minorHAnsi" w:hAnsiTheme="minorHAnsi"/>
          <w:sz w:val="24"/>
          <w:szCs w:val="24"/>
        </w:rPr>
        <w:t xml:space="preserve">mutual </w:t>
      </w:r>
      <w:r w:rsidR="009A0668" w:rsidRPr="00D45CDF">
        <w:rPr>
          <w:rFonts w:asciiTheme="minorHAnsi" w:hAnsiTheme="minorHAnsi"/>
          <w:sz w:val="24"/>
          <w:szCs w:val="24"/>
        </w:rPr>
        <w:t>recogni</w:t>
      </w:r>
      <w:r w:rsidR="00B32707" w:rsidRPr="00D45CDF">
        <w:rPr>
          <w:rFonts w:asciiTheme="minorHAnsi" w:hAnsiTheme="minorHAnsi"/>
          <w:sz w:val="24"/>
          <w:szCs w:val="24"/>
        </w:rPr>
        <w:t>tion of</w:t>
      </w:r>
      <w:r w:rsidRPr="00D45CDF">
        <w:rPr>
          <w:rFonts w:asciiTheme="minorHAnsi" w:hAnsiTheme="minorHAnsi"/>
          <w:sz w:val="24"/>
          <w:szCs w:val="24"/>
        </w:rPr>
        <w:t xml:space="preserve"> </w:t>
      </w:r>
      <w:r w:rsidR="009A0668" w:rsidRPr="00D45CDF">
        <w:rPr>
          <w:rFonts w:asciiTheme="minorHAnsi" w:hAnsiTheme="minorHAnsi"/>
          <w:sz w:val="24"/>
          <w:szCs w:val="24"/>
        </w:rPr>
        <w:t>academic and professional qualifications</w:t>
      </w:r>
      <w:r w:rsidRPr="00D45CDF">
        <w:rPr>
          <w:rFonts w:asciiTheme="minorHAnsi" w:hAnsiTheme="minorHAnsi"/>
          <w:sz w:val="24"/>
          <w:szCs w:val="24"/>
        </w:rPr>
        <w:t xml:space="preserve"> awarded</w:t>
      </w:r>
      <w:r w:rsidR="009A0668" w:rsidRPr="00D45CDF">
        <w:rPr>
          <w:rFonts w:asciiTheme="minorHAnsi" w:hAnsiTheme="minorHAnsi"/>
          <w:sz w:val="24"/>
          <w:szCs w:val="24"/>
        </w:rPr>
        <w:t>, experience obtained, requirement</w:t>
      </w:r>
      <w:r w:rsidRPr="00D45CDF">
        <w:rPr>
          <w:rFonts w:asciiTheme="minorHAnsi" w:hAnsiTheme="minorHAnsi"/>
          <w:sz w:val="24"/>
          <w:szCs w:val="24"/>
        </w:rPr>
        <w:t>s</w:t>
      </w:r>
      <w:r w:rsidR="009A0668" w:rsidRPr="00D45CDF">
        <w:rPr>
          <w:rFonts w:asciiTheme="minorHAnsi" w:hAnsiTheme="minorHAnsi"/>
          <w:sz w:val="24"/>
          <w:szCs w:val="24"/>
        </w:rPr>
        <w:t xml:space="preserve"> made, licences or certificate</w:t>
      </w:r>
      <w:r w:rsidRPr="00D45CDF">
        <w:rPr>
          <w:rFonts w:asciiTheme="minorHAnsi" w:hAnsiTheme="minorHAnsi"/>
          <w:sz w:val="24"/>
          <w:szCs w:val="24"/>
        </w:rPr>
        <w:t>s</w:t>
      </w:r>
      <w:r w:rsidR="009A0668" w:rsidRPr="00D45CDF">
        <w:rPr>
          <w:rFonts w:asciiTheme="minorHAnsi" w:hAnsiTheme="minorHAnsi"/>
          <w:sz w:val="24"/>
          <w:szCs w:val="24"/>
        </w:rPr>
        <w:t xml:space="preserve"> granted </w:t>
      </w:r>
      <w:r w:rsidR="0057477B" w:rsidRPr="00D45CDF">
        <w:rPr>
          <w:rFonts w:asciiTheme="minorHAnsi" w:hAnsiTheme="minorHAnsi"/>
          <w:sz w:val="24"/>
          <w:szCs w:val="24"/>
        </w:rPr>
        <w:t xml:space="preserve">to individuals and to firms </w:t>
      </w:r>
      <w:r w:rsidR="009A0668" w:rsidRPr="00D45CDF">
        <w:rPr>
          <w:rFonts w:asciiTheme="minorHAnsi" w:hAnsiTheme="minorHAnsi"/>
          <w:sz w:val="24"/>
          <w:szCs w:val="24"/>
        </w:rPr>
        <w:t xml:space="preserve">in other </w:t>
      </w:r>
      <w:r w:rsidR="001D6D90" w:rsidRPr="00D45CDF">
        <w:rPr>
          <w:rFonts w:asciiTheme="minorHAnsi" w:hAnsiTheme="minorHAnsi"/>
          <w:sz w:val="24"/>
          <w:szCs w:val="24"/>
        </w:rPr>
        <w:t>Partner States</w:t>
      </w:r>
      <w:r w:rsidR="009A0668" w:rsidRPr="00D45CDF">
        <w:rPr>
          <w:rFonts w:asciiTheme="minorHAnsi" w:hAnsiTheme="minorHAnsi"/>
          <w:sz w:val="24"/>
          <w:szCs w:val="24"/>
        </w:rPr>
        <w:t>,</w:t>
      </w:r>
      <w:r w:rsidRPr="00D45CDF">
        <w:rPr>
          <w:rStyle w:val="FootnoteReference"/>
          <w:rFonts w:asciiTheme="minorHAnsi" w:hAnsiTheme="minorHAnsi"/>
          <w:sz w:val="24"/>
          <w:szCs w:val="24"/>
        </w:rPr>
        <w:footnoteReference w:id="109"/>
      </w:r>
      <w:r w:rsidR="009A0668" w:rsidRPr="00D45CDF">
        <w:rPr>
          <w:rFonts w:asciiTheme="minorHAnsi" w:hAnsiTheme="minorHAnsi"/>
          <w:sz w:val="24"/>
          <w:szCs w:val="24"/>
        </w:rPr>
        <w:t xml:space="preserve"> </w:t>
      </w:r>
      <w:r w:rsidR="003460B2" w:rsidRPr="00D45CDF">
        <w:rPr>
          <w:rFonts w:asciiTheme="minorHAnsi" w:hAnsiTheme="minorHAnsi"/>
          <w:sz w:val="24"/>
          <w:szCs w:val="24"/>
        </w:rPr>
        <w:t>meaning</w:t>
      </w:r>
      <w:r w:rsidR="009A0668" w:rsidRPr="00D45CDF">
        <w:rPr>
          <w:rFonts w:asciiTheme="minorHAnsi" w:hAnsiTheme="minorHAnsi"/>
          <w:sz w:val="24"/>
          <w:szCs w:val="24"/>
        </w:rPr>
        <w:t xml:space="preserve"> that they committed</w:t>
      </w:r>
      <w:r w:rsidR="00B32707" w:rsidRPr="00D45CDF">
        <w:rPr>
          <w:rFonts w:asciiTheme="minorHAnsi" w:hAnsiTheme="minorHAnsi"/>
          <w:sz w:val="24"/>
          <w:szCs w:val="24"/>
        </w:rPr>
        <w:t>,</w:t>
      </w:r>
      <w:r w:rsidR="009A0668" w:rsidRPr="00D45CDF">
        <w:rPr>
          <w:rFonts w:asciiTheme="minorHAnsi" w:hAnsiTheme="minorHAnsi"/>
          <w:sz w:val="24"/>
          <w:szCs w:val="24"/>
        </w:rPr>
        <w:t xml:space="preserve"> </w:t>
      </w:r>
      <w:r w:rsidR="003460B2" w:rsidRPr="00D45CDF">
        <w:rPr>
          <w:rFonts w:asciiTheme="minorHAnsi" w:hAnsiTheme="minorHAnsi"/>
          <w:sz w:val="24"/>
          <w:szCs w:val="24"/>
        </w:rPr>
        <w:t>via</w:t>
      </w:r>
      <w:r w:rsidR="009A0668" w:rsidRPr="00D45CDF">
        <w:rPr>
          <w:rFonts w:asciiTheme="minorHAnsi" w:hAnsiTheme="minorHAnsi"/>
          <w:sz w:val="24"/>
          <w:szCs w:val="24"/>
        </w:rPr>
        <w:t xml:space="preserve"> </w:t>
      </w:r>
      <w:r w:rsidR="003460B2" w:rsidRPr="00D45CDF">
        <w:rPr>
          <w:rFonts w:asciiTheme="minorHAnsi" w:hAnsiTheme="minorHAnsi"/>
          <w:sz w:val="24"/>
          <w:szCs w:val="24"/>
        </w:rPr>
        <w:t xml:space="preserve">the </w:t>
      </w:r>
      <w:r w:rsidR="009A0668" w:rsidRPr="00D45CDF">
        <w:rPr>
          <w:rFonts w:asciiTheme="minorHAnsi" w:hAnsiTheme="minorHAnsi"/>
          <w:sz w:val="24"/>
          <w:szCs w:val="24"/>
        </w:rPr>
        <w:t xml:space="preserve">EAC </w:t>
      </w:r>
      <w:r w:rsidR="003460B2" w:rsidRPr="00D45CDF">
        <w:rPr>
          <w:rFonts w:asciiTheme="minorHAnsi" w:hAnsiTheme="minorHAnsi"/>
          <w:sz w:val="24"/>
          <w:szCs w:val="24"/>
        </w:rPr>
        <w:t>C</w:t>
      </w:r>
      <w:r w:rsidR="009A0668" w:rsidRPr="00D45CDF">
        <w:rPr>
          <w:rFonts w:asciiTheme="minorHAnsi" w:hAnsiTheme="minorHAnsi"/>
          <w:sz w:val="24"/>
          <w:szCs w:val="24"/>
        </w:rPr>
        <w:t xml:space="preserve">ommon </w:t>
      </w:r>
      <w:r w:rsidR="003460B2" w:rsidRPr="00D45CDF">
        <w:rPr>
          <w:rFonts w:asciiTheme="minorHAnsi" w:hAnsiTheme="minorHAnsi"/>
          <w:sz w:val="24"/>
          <w:szCs w:val="24"/>
        </w:rPr>
        <w:t>M</w:t>
      </w:r>
      <w:r w:rsidR="009A0668" w:rsidRPr="00D45CDF">
        <w:rPr>
          <w:rFonts w:asciiTheme="minorHAnsi" w:hAnsiTheme="minorHAnsi"/>
          <w:sz w:val="24"/>
          <w:szCs w:val="24"/>
        </w:rPr>
        <w:t xml:space="preserve">arket </w:t>
      </w:r>
      <w:r w:rsidR="003460B2" w:rsidRPr="00D45CDF">
        <w:rPr>
          <w:rFonts w:asciiTheme="minorHAnsi" w:hAnsiTheme="minorHAnsi"/>
          <w:sz w:val="24"/>
          <w:szCs w:val="24"/>
        </w:rPr>
        <w:t>P</w:t>
      </w:r>
      <w:r w:rsidR="009A0668" w:rsidRPr="00D45CDF">
        <w:rPr>
          <w:rFonts w:asciiTheme="minorHAnsi" w:hAnsiTheme="minorHAnsi"/>
          <w:sz w:val="24"/>
          <w:szCs w:val="24"/>
        </w:rPr>
        <w:t>rotocol</w:t>
      </w:r>
      <w:r w:rsidR="00B32707" w:rsidRPr="00D45CDF">
        <w:rPr>
          <w:rFonts w:asciiTheme="minorHAnsi" w:hAnsiTheme="minorHAnsi"/>
          <w:sz w:val="24"/>
          <w:szCs w:val="24"/>
        </w:rPr>
        <w:t>,</w:t>
      </w:r>
      <w:r w:rsidR="009A0668" w:rsidRPr="00D45CDF">
        <w:rPr>
          <w:rFonts w:asciiTheme="minorHAnsi" w:hAnsiTheme="minorHAnsi"/>
          <w:sz w:val="24"/>
          <w:szCs w:val="24"/>
        </w:rPr>
        <w:t xml:space="preserve"> to recognise degree</w:t>
      </w:r>
      <w:r w:rsidR="0062083E" w:rsidRPr="00D45CDF">
        <w:rPr>
          <w:rFonts w:asciiTheme="minorHAnsi" w:hAnsiTheme="minorHAnsi"/>
          <w:sz w:val="24"/>
          <w:szCs w:val="24"/>
        </w:rPr>
        <w:t xml:space="preserve"> qualifications</w:t>
      </w:r>
      <w:r w:rsidR="009A0668" w:rsidRPr="00D45CDF">
        <w:rPr>
          <w:rFonts w:asciiTheme="minorHAnsi" w:hAnsiTheme="minorHAnsi"/>
          <w:sz w:val="24"/>
          <w:szCs w:val="24"/>
        </w:rPr>
        <w:t xml:space="preserve"> that citizen</w:t>
      </w:r>
      <w:r w:rsidR="0062083E" w:rsidRPr="00D45CDF">
        <w:rPr>
          <w:rFonts w:asciiTheme="minorHAnsi" w:hAnsiTheme="minorHAnsi"/>
          <w:sz w:val="24"/>
          <w:szCs w:val="24"/>
        </w:rPr>
        <w:t>s</w:t>
      </w:r>
      <w:r w:rsidR="009A0668" w:rsidRPr="00D45CDF">
        <w:rPr>
          <w:rFonts w:asciiTheme="minorHAnsi" w:hAnsiTheme="minorHAnsi"/>
          <w:sz w:val="24"/>
          <w:szCs w:val="24"/>
        </w:rPr>
        <w:t xml:space="preserve"> of the EAC obtain</w:t>
      </w:r>
      <w:r w:rsidR="003460B2" w:rsidRPr="00D45CDF">
        <w:rPr>
          <w:rFonts w:asciiTheme="minorHAnsi" w:hAnsiTheme="minorHAnsi"/>
          <w:sz w:val="24"/>
          <w:szCs w:val="24"/>
        </w:rPr>
        <w:t>ed</w:t>
      </w:r>
      <w:r w:rsidR="009A0668" w:rsidRPr="00D45CDF">
        <w:rPr>
          <w:rFonts w:asciiTheme="minorHAnsi" w:hAnsiTheme="minorHAnsi"/>
          <w:sz w:val="24"/>
          <w:szCs w:val="24"/>
        </w:rPr>
        <w:t xml:space="preserve"> from </w:t>
      </w:r>
      <w:r w:rsidR="0062083E" w:rsidRPr="00D45CDF">
        <w:rPr>
          <w:rFonts w:asciiTheme="minorHAnsi" w:hAnsiTheme="minorHAnsi"/>
          <w:sz w:val="24"/>
          <w:szCs w:val="24"/>
        </w:rPr>
        <w:t>the</w:t>
      </w:r>
      <w:r w:rsidR="000E1E46" w:rsidRPr="00D45CDF">
        <w:rPr>
          <w:rFonts w:asciiTheme="minorHAnsi" w:hAnsiTheme="minorHAnsi"/>
          <w:sz w:val="24"/>
          <w:szCs w:val="24"/>
        </w:rPr>
        <w:t xml:space="preserve"> territories of other</w:t>
      </w:r>
      <w:r w:rsidR="009A0668" w:rsidRPr="00D45CDF">
        <w:rPr>
          <w:rFonts w:asciiTheme="minorHAnsi" w:hAnsiTheme="minorHAnsi"/>
          <w:sz w:val="24"/>
          <w:szCs w:val="24"/>
        </w:rPr>
        <w:t xml:space="preserve"> </w:t>
      </w:r>
      <w:r w:rsidR="001D6D90" w:rsidRPr="00D45CDF">
        <w:rPr>
          <w:rFonts w:asciiTheme="minorHAnsi" w:hAnsiTheme="minorHAnsi"/>
          <w:sz w:val="24"/>
          <w:szCs w:val="24"/>
        </w:rPr>
        <w:t>Partner States</w:t>
      </w:r>
      <w:r w:rsidR="009A0668" w:rsidRPr="00D45CDF">
        <w:rPr>
          <w:rFonts w:asciiTheme="minorHAnsi" w:hAnsiTheme="minorHAnsi"/>
          <w:sz w:val="24"/>
          <w:szCs w:val="24"/>
        </w:rPr>
        <w:t xml:space="preserve">. </w:t>
      </w:r>
      <w:r w:rsidR="009C5C65" w:rsidRPr="00D45CDF">
        <w:rPr>
          <w:rFonts w:asciiTheme="minorHAnsi" w:hAnsiTheme="minorHAnsi"/>
          <w:sz w:val="24"/>
          <w:szCs w:val="24"/>
        </w:rPr>
        <w:t xml:space="preserve">This </w:t>
      </w:r>
      <w:r w:rsidR="009A0668" w:rsidRPr="00D45CDF">
        <w:rPr>
          <w:rFonts w:asciiTheme="minorHAnsi" w:hAnsiTheme="minorHAnsi"/>
          <w:sz w:val="24"/>
          <w:szCs w:val="24"/>
        </w:rPr>
        <w:t>means that a</w:t>
      </w:r>
      <w:r w:rsidR="0062083E" w:rsidRPr="00D45CDF">
        <w:rPr>
          <w:rFonts w:asciiTheme="minorHAnsi" w:hAnsiTheme="minorHAnsi"/>
          <w:sz w:val="24"/>
          <w:szCs w:val="24"/>
        </w:rPr>
        <w:t xml:space="preserve"> </w:t>
      </w:r>
      <w:r w:rsidR="009A0668" w:rsidRPr="00D45CDF">
        <w:rPr>
          <w:rFonts w:asciiTheme="minorHAnsi" w:hAnsiTheme="minorHAnsi"/>
          <w:sz w:val="24"/>
          <w:szCs w:val="24"/>
        </w:rPr>
        <w:t>lawyer obtain</w:t>
      </w:r>
      <w:r w:rsidR="0062083E" w:rsidRPr="00D45CDF">
        <w:rPr>
          <w:rFonts w:asciiTheme="minorHAnsi" w:hAnsiTheme="minorHAnsi"/>
          <w:sz w:val="24"/>
          <w:szCs w:val="24"/>
        </w:rPr>
        <w:t>ing</w:t>
      </w:r>
      <w:r w:rsidR="009A0668" w:rsidRPr="00D45CDF">
        <w:rPr>
          <w:rFonts w:asciiTheme="minorHAnsi" w:hAnsiTheme="minorHAnsi"/>
          <w:sz w:val="24"/>
          <w:szCs w:val="24"/>
        </w:rPr>
        <w:t xml:space="preserve"> a licence to practice in </w:t>
      </w:r>
      <w:r w:rsidR="009C5C65" w:rsidRPr="00D45CDF">
        <w:rPr>
          <w:rFonts w:asciiTheme="minorHAnsi" w:hAnsiTheme="minorHAnsi"/>
          <w:sz w:val="24"/>
          <w:szCs w:val="24"/>
        </w:rPr>
        <w:t>one partner state</w:t>
      </w:r>
      <w:r w:rsidR="009A0668" w:rsidRPr="00D45CDF">
        <w:rPr>
          <w:rFonts w:asciiTheme="minorHAnsi" w:hAnsiTheme="minorHAnsi"/>
          <w:sz w:val="24"/>
          <w:szCs w:val="24"/>
        </w:rPr>
        <w:t xml:space="preserve"> should</w:t>
      </w:r>
      <w:r w:rsidR="009C5C65" w:rsidRPr="00D45CDF">
        <w:rPr>
          <w:rFonts w:asciiTheme="minorHAnsi" w:hAnsiTheme="minorHAnsi"/>
          <w:sz w:val="24"/>
          <w:szCs w:val="24"/>
        </w:rPr>
        <w:t xml:space="preserve"> have that licence </w:t>
      </w:r>
      <w:r w:rsidR="009A0668" w:rsidRPr="00D45CDF">
        <w:rPr>
          <w:rFonts w:asciiTheme="minorHAnsi" w:hAnsiTheme="minorHAnsi"/>
          <w:sz w:val="24"/>
          <w:szCs w:val="24"/>
        </w:rPr>
        <w:t xml:space="preserve">recognised </w:t>
      </w:r>
      <w:r w:rsidR="0062083E" w:rsidRPr="00D45CDF">
        <w:rPr>
          <w:rFonts w:asciiTheme="minorHAnsi" w:hAnsiTheme="minorHAnsi"/>
          <w:sz w:val="24"/>
          <w:szCs w:val="24"/>
        </w:rPr>
        <w:t>by</w:t>
      </w:r>
      <w:r w:rsidR="009A0668" w:rsidRPr="00D45CDF">
        <w:rPr>
          <w:rFonts w:asciiTheme="minorHAnsi" w:hAnsiTheme="minorHAnsi"/>
          <w:sz w:val="24"/>
          <w:szCs w:val="24"/>
        </w:rPr>
        <w:t xml:space="preserve"> </w:t>
      </w:r>
      <w:r w:rsidR="009C5C65" w:rsidRPr="00D45CDF">
        <w:rPr>
          <w:rFonts w:asciiTheme="minorHAnsi" w:hAnsiTheme="minorHAnsi"/>
          <w:sz w:val="24"/>
          <w:szCs w:val="24"/>
        </w:rPr>
        <w:t>another partner state</w:t>
      </w:r>
      <w:r w:rsidR="009A0668" w:rsidRPr="00D45CDF">
        <w:rPr>
          <w:rFonts w:asciiTheme="minorHAnsi" w:hAnsiTheme="minorHAnsi"/>
          <w:sz w:val="24"/>
          <w:szCs w:val="24"/>
        </w:rPr>
        <w:t xml:space="preserve">. </w:t>
      </w:r>
    </w:p>
    <w:p w14:paraId="647C04DA" w14:textId="77777777" w:rsidR="00FB24D8" w:rsidRPr="00D45CDF" w:rsidRDefault="001D6D90" w:rsidP="001C5BA7">
      <w:pPr>
        <w:spacing w:after="400" w:line="240" w:lineRule="auto"/>
        <w:jc w:val="both"/>
        <w:rPr>
          <w:rFonts w:asciiTheme="minorHAnsi" w:hAnsiTheme="minorHAnsi"/>
          <w:sz w:val="24"/>
          <w:szCs w:val="24"/>
        </w:rPr>
      </w:pPr>
      <w:r w:rsidRPr="00D45CDF">
        <w:rPr>
          <w:rFonts w:asciiTheme="minorHAnsi" w:hAnsiTheme="minorHAnsi"/>
          <w:sz w:val="24"/>
          <w:szCs w:val="24"/>
        </w:rPr>
        <w:t>Partner States</w:t>
      </w:r>
      <w:r w:rsidR="00772B79" w:rsidRPr="00D45CDF">
        <w:rPr>
          <w:rFonts w:asciiTheme="minorHAnsi" w:hAnsiTheme="minorHAnsi"/>
          <w:sz w:val="24"/>
          <w:szCs w:val="24"/>
        </w:rPr>
        <w:t xml:space="preserve"> also</w:t>
      </w:r>
      <w:r w:rsidR="009A0668" w:rsidRPr="00D45CDF">
        <w:rPr>
          <w:rFonts w:asciiTheme="minorHAnsi" w:hAnsiTheme="minorHAnsi"/>
          <w:sz w:val="24"/>
          <w:szCs w:val="24"/>
        </w:rPr>
        <w:t xml:space="preserve"> agreed to harmonise the curriculum of legal education, to review the</w:t>
      </w:r>
      <w:r w:rsidR="00693F7A" w:rsidRPr="00D45CDF">
        <w:rPr>
          <w:rFonts w:asciiTheme="minorHAnsi" w:hAnsiTheme="minorHAnsi"/>
          <w:sz w:val="24"/>
          <w:szCs w:val="24"/>
        </w:rPr>
        <w:t>ir</w:t>
      </w:r>
      <w:r w:rsidR="009A0668" w:rsidRPr="00D45CDF">
        <w:rPr>
          <w:rFonts w:asciiTheme="minorHAnsi" w:hAnsiTheme="minorHAnsi"/>
          <w:sz w:val="24"/>
          <w:szCs w:val="24"/>
        </w:rPr>
        <w:t xml:space="preserve"> examination system</w:t>
      </w:r>
      <w:r w:rsidR="00693F7A" w:rsidRPr="00D45CDF">
        <w:rPr>
          <w:rFonts w:asciiTheme="minorHAnsi" w:hAnsiTheme="minorHAnsi"/>
          <w:sz w:val="24"/>
          <w:szCs w:val="24"/>
        </w:rPr>
        <w:t>s</w:t>
      </w:r>
      <w:r w:rsidR="009A0668" w:rsidRPr="00D45CDF">
        <w:rPr>
          <w:rFonts w:asciiTheme="minorHAnsi" w:hAnsiTheme="minorHAnsi"/>
          <w:sz w:val="24"/>
          <w:szCs w:val="24"/>
        </w:rPr>
        <w:t>, standards, certification of accreditation of secondary education, and training institutions</w:t>
      </w:r>
      <w:r w:rsidR="00A546A4" w:rsidRPr="00D45CDF">
        <w:rPr>
          <w:rFonts w:asciiTheme="minorHAnsi" w:hAnsiTheme="minorHAnsi"/>
          <w:sz w:val="24"/>
          <w:szCs w:val="24"/>
        </w:rPr>
        <w:t xml:space="preserve">, and this </w:t>
      </w:r>
      <w:r w:rsidR="00B21A07" w:rsidRPr="00D45CDF">
        <w:rPr>
          <w:rFonts w:asciiTheme="minorHAnsi" w:hAnsiTheme="minorHAnsi"/>
          <w:sz w:val="24"/>
          <w:szCs w:val="24"/>
        </w:rPr>
        <w:t xml:space="preserve">aim </w:t>
      </w:r>
      <w:r w:rsidR="00A546A4" w:rsidRPr="00D45CDF">
        <w:rPr>
          <w:rFonts w:asciiTheme="minorHAnsi" w:hAnsiTheme="minorHAnsi"/>
          <w:sz w:val="24"/>
          <w:szCs w:val="24"/>
        </w:rPr>
        <w:t xml:space="preserve">is </w:t>
      </w:r>
      <w:r w:rsidR="00B21A07" w:rsidRPr="00D45CDF">
        <w:rPr>
          <w:rFonts w:asciiTheme="minorHAnsi" w:hAnsiTheme="minorHAnsi"/>
          <w:sz w:val="24"/>
          <w:szCs w:val="24"/>
        </w:rPr>
        <w:t xml:space="preserve">expressed </w:t>
      </w:r>
      <w:r w:rsidR="00A546A4" w:rsidRPr="00D45CDF">
        <w:rPr>
          <w:rFonts w:asciiTheme="minorHAnsi" w:hAnsiTheme="minorHAnsi"/>
          <w:sz w:val="24"/>
          <w:szCs w:val="24"/>
        </w:rPr>
        <w:t xml:space="preserve">in </w:t>
      </w:r>
      <w:r w:rsidR="00FB24D8" w:rsidRPr="00D45CDF">
        <w:rPr>
          <w:rFonts w:asciiTheme="minorHAnsi" w:hAnsiTheme="minorHAnsi"/>
          <w:sz w:val="24"/>
          <w:szCs w:val="24"/>
        </w:rPr>
        <w:t xml:space="preserve">Article 126 of </w:t>
      </w:r>
      <w:r w:rsidR="00A546A4" w:rsidRPr="00D45CDF">
        <w:rPr>
          <w:rFonts w:asciiTheme="minorHAnsi" w:hAnsiTheme="minorHAnsi"/>
          <w:sz w:val="24"/>
          <w:szCs w:val="24"/>
        </w:rPr>
        <w:t xml:space="preserve">the </w:t>
      </w:r>
      <w:r w:rsidR="00FB24D8" w:rsidRPr="00D45CDF">
        <w:rPr>
          <w:rFonts w:asciiTheme="minorHAnsi" w:hAnsiTheme="minorHAnsi"/>
          <w:sz w:val="24"/>
          <w:szCs w:val="24"/>
        </w:rPr>
        <w:t>EAC Treaty of 1999:</w:t>
      </w:r>
    </w:p>
    <w:p w14:paraId="04D31AAE" w14:textId="77777777" w:rsidR="00FB24D8" w:rsidRPr="00D45CDF" w:rsidRDefault="00FB24D8" w:rsidP="001C5BA7">
      <w:pPr>
        <w:tabs>
          <w:tab w:val="left" w:pos="8080"/>
          <w:tab w:val="left" w:pos="8222"/>
        </w:tabs>
        <w:autoSpaceDE w:val="0"/>
        <w:autoSpaceDN w:val="0"/>
        <w:adjustRightInd w:val="0"/>
        <w:spacing w:line="240" w:lineRule="auto"/>
        <w:ind w:left="720" w:right="521"/>
        <w:jc w:val="both"/>
        <w:rPr>
          <w:rFonts w:asciiTheme="minorHAnsi" w:hAnsiTheme="minorHAnsi"/>
          <w:sz w:val="24"/>
          <w:szCs w:val="24"/>
        </w:rPr>
      </w:pPr>
      <w:r w:rsidRPr="00D45CDF">
        <w:rPr>
          <w:rFonts w:asciiTheme="minorHAnsi" w:eastAsiaTheme="minorHAnsi" w:hAnsiTheme="minorHAnsi"/>
          <w:sz w:val="24"/>
          <w:szCs w:val="24"/>
          <w:lang w:eastAsia="en-US"/>
        </w:rPr>
        <w:t xml:space="preserve">In order to promote the achievement of the objectives of the Community as set out in Article 5 of this Treaty, the </w:t>
      </w:r>
      <w:r w:rsidR="001D6D90" w:rsidRPr="00D45CDF">
        <w:rPr>
          <w:rFonts w:asciiTheme="minorHAnsi" w:eastAsiaTheme="minorHAnsi" w:hAnsiTheme="minorHAnsi"/>
          <w:sz w:val="24"/>
          <w:szCs w:val="24"/>
          <w:lang w:eastAsia="en-US"/>
        </w:rPr>
        <w:t>Partner States</w:t>
      </w:r>
      <w:r w:rsidRPr="00D45CDF">
        <w:rPr>
          <w:rFonts w:asciiTheme="minorHAnsi" w:eastAsiaTheme="minorHAnsi" w:hAnsiTheme="minorHAnsi"/>
          <w:sz w:val="24"/>
          <w:szCs w:val="24"/>
          <w:lang w:eastAsia="en-US"/>
        </w:rPr>
        <w:t xml:space="preserve"> shall take steps to harmonise their legal training and certification; and shall encourage the standardisation of the judgements of courts within the Community.</w:t>
      </w:r>
    </w:p>
    <w:p w14:paraId="31B345E0" w14:textId="77777777" w:rsidR="0007478F" w:rsidRPr="00D45CDF" w:rsidRDefault="009A0668" w:rsidP="001C5BA7">
      <w:pPr>
        <w:spacing w:line="240" w:lineRule="auto"/>
        <w:jc w:val="both"/>
        <w:rPr>
          <w:rFonts w:asciiTheme="minorHAnsi" w:hAnsiTheme="minorHAnsi"/>
          <w:sz w:val="24"/>
          <w:szCs w:val="24"/>
        </w:rPr>
      </w:pPr>
      <w:r w:rsidRPr="00D45CDF">
        <w:rPr>
          <w:rFonts w:asciiTheme="minorHAnsi" w:hAnsiTheme="minorHAnsi"/>
          <w:sz w:val="24"/>
          <w:szCs w:val="24"/>
        </w:rPr>
        <w:t>This</w:t>
      </w:r>
      <w:r w:rsidR="00B21A07" w:rsidRPr="00D45CDF">
        <w:rPr>
          <w:rFonts w:asciiTheme="minorHAnsi" w:hAnsiTheme="minorHAnsi"/>
          <w:sz w:val="24"/>
          <w:szCs w:val="24"/>
        </w:rPr>
        <w:t xml:space="preserve"> harmonisation</w:t>
      </w:r>
      <w:r w:rsidRPr="00D45CDF">
        <w:rPr>
          <w:rFonts w:asciiTheme="minorHAnsi" w:hAnsiTheme="minorHAnsi"/>
          <w:sz w:val="24"/>
          <w:szCs w:val="24"/>
        </w:rPr>
        <w:t xml:space="preserve"> is a long-term process </w:t>
      </w:r>
      <w:r w:rsidR="00FB24D8" w:rsidRPr="00D45CDF">
        <w:rPr>
          <w:rFonts w:asciiTheme="minorHAnsi" w:hAnsiTheme="minorHAnsi"/>
          <w:sz w:val="24"/>
          <w:szCs w:val="24"/>
        </w:rPr>
        <w:t xml:space="preserve">and </w:t>
      </w:r>
      <w:r w:rsidRPr="00D45CDF">
        <w:rPr>
          <w:rFonts w:asciiTheme="minorHAnsi" w:hAnsiTheme="minorHAnsi"/>
          <w:sz w:val="24"/>
          <w:szCs w:val="24"/>
        </w:rPr>
        <w:t xml:space="preserve">is still </w:t>
      </w:r>
      <w:r w:rsidR="005B2708" w:rsidRPr="00D45CDF">
        <w:rPr>
          <w:rFonts w:asciiTheme="minorHAnsi" w:hAnsiTheme="minorHAnsi"/>
          <w:sz w:val="24"/>
          <w:szCs w:val="24"/>
        </w:rPr>
        <w:t>on-</w:t>
      </w:r>
      <w:r w:rsidRPr="00D45CDF">
        <w:rPr>
          <w:rFonts w:asciiTheme="minorHAnsi" w:hAnsiTheme="minorHAnsi"/>
          <w:sz w:val="24"/>
          <w:szCs w:val="24"/>
        </w:rPr>
        <w:t>going</w:t>
      </w:r>
      <w:r w:rsidR="00FB24D8" w:rsidRPr="00D45CDF">
        <w:rPr>
          <w:rFonts w:asciiTheme="minorHAnsi" w:hAnsiTheme="minorHAnsi"/>
          <w:sz w:val="24"/>
          <w:szCs w:val="24"/>
        </w:rPr>
        <w:t>.</w:t>
      </w:r>
      <w:r w:rsidR="00700510" w:rsidRPr="00D45CDF">
        <w:rPr>
          <w:rStyle w:val="FootnoteReference"/>
          <w:rFonts w:asciiTheme="minorHAnsi" w:hAnsiTheme="minorHAnsi"/>
          <w:sz w:val="24"/>
          <w:szCs w:val="24"/>
        </w:rPr>
        <w:footnoteReference w:id="110"/>
      </w:r>
      <w:r w:rsidR="00FB24D8" w:rsidRPr="00D45CDF">
        <w:rPr>
          <w:rFonts w:asciiTheme="minorHAnsi" w:hAnsiTheme="minorHAnsi"/>
          <w:sz w:val="24"/>
          <w:szCs w:val="24"/>
        </w:rPr>
        <w:t xml:space="preserve"> </w:t>
      </w:r>
      <w:r w:rsidR="00EF3C1D" w:rsidRPr="00D45CDF">
        <w:rPr>
          <w:rFonts w:asciiTheme="minorHAnsi" w:hAnsiTheme="minorHAnsi"/>
          <w:sz w:val="24"/>
          <w:szCs w:val="24"/>
        </w:rPr>
        <w:t xml:space="preserve">But, unlike the EU where an arsenal of directives have been adopted to regulate the free movement of legal services as described above, so far there </w:t>
      </w:r>
      <w:r w:rsidR="007E26D6" w:rsidRPr="00D45CDF">
        <w:rPr>
          <w:rFonts w:asciiTheme="minorHAnsi" w:hAnsiTheme="minorHAnsi"/>
          <w:sz w:val="24"/>
          <w:szCs w:val="24"/>
        </w:rPr>
        <w:t xml:space="preserve">are no </w:t>
      </w:r>
      <w:r w:rsidR="00834CD8" w:rsidRPr="00D45CDF">
        <w:rPr>
          <w:rFonts w:asciiTheme="minorHAnsi" w:hAnsiTheme="minorHAnsi"/>
          <w:sz w:val="24"/>
          <w:szCs w:val="24"/>
        </w:rPr>
        <w:t>additional</w:t>
      </w:r>
      <w:r w:rsidR="007E26D6" w:rsidRPr="00D45CDF">
        <w:rPr>
          <w:rFonts w:asciiTheme="minorHAnsi" w:hAnsiTheme="minorHAnsi"/>
          <w:sz w:val="24"/>
          <w:szCs w:val="24"/>
        </w:rPr>
        <w:t xml:space="preserve"> equivalent </w:t>
      </w:r>
      <w:r w:rsidR="00EF3C1D" w:rsidRPr="00D45CDF">
        <w:rPr>
          <w:rFonts w:asciiTheme="minorHAnsi" w:hAnsiTheme="minorHAnsi"/>
          <w:sz w:val="24"/>
          <w:szCs w:val="24"/>
        </w:rPr>
        <w:t>legal text</w:t>
      </w:r>
      <w:r w:rsidR="007E26D6" w:rsidRPr="00D45CDF">
        <w:rPr>
          <w:rFonts w:asciiTheme="minorHAnsi" w:hAnsiTheme="minorHAnsi"/>
          <w:sz w:val="24"/>
          <w:szCs w:val="24"/>
        </w:rPr>
        <w:t>s</w:t>
      </w:r>
      <w:r w:rsidR="00EF3C1D" w:rsidRPr="00D45CDF">
        <w:rPr>
          <w:rFonts w:asciiTheme="minorHAnsi" w:hAnsiTheme="minorHAnsi"/>
          <w:sz w:val="24"/>
          <w:szCs w:val="24"/>
        </w:rPr>
        <w:t xml:space="preserve"> in force enacted by EAC organs</w:t>
      </w:r>
      <w:r w:rsidR="00FA3D0F" w:rsidRPr="00D45CDF">
        <w:rPr>
          <w:rFonts w:asciiTheme="minorHAnsi" w:hAnsiTheme="minorHAnsi"/>
          <w:sz w:val="24"/>
          <w:szCs w:val="24"/>
        </w:rPr>
        <w:t xml:space="preserve"> to achieve this</w:t>
      </w:r>
      <w:r w:rsidR="00EF3C1D" w:rsidRPr="00D45CDF">
        <w:rPr>
          <w:rFonts w:asciiTheme="minorHAnsi" w:hAnsiTheme="minorHAnsi"/>
          <w:sz w:val="24"/>
          <w:szCs w:val="24"/>
        </w:rPr>
        <w:t>.</w:t>
      </w:r>
      <w:r w:rsidR="007C4AEE" w:rsidRPr="00D45CDF">
        <w:rPr>
          <w:rFonts w:asciiTheme="minorHAnsi" w:hAnsiTheme="minorHAnsi"/>
          <w:sz w:val="24"/>
          <w:szCs w:val="24"/>
        </w:rPr>
        <w:t xml:space="preserve"> </w:t>
      </w:r>
      <w:r w:rsidR="007C4AEE" w:rsidRPr="00D45CDF">
        <w:rPr>
          <w:rFonts w:asciiTheme="minorHAnsi" w:hAnsiTheme="minorHAnsi"/>
          <w:sz w:val="24"/>
          <w:szCs w:val="24"/>
          <w:lang w:val="en-US"/>
        </w:rPr>
        <w:t>T</w:t>
      </w:r>
      <w:r w:rsidR="00700510" w:rsidRPr="00D45CDF">
        <w:rPr>
          <w:rFonts w:asciiTheme="minorHAnsi" w:hAnsiTheme="minorHAnsi"/>
          <w:sz w:val="24"/>
          <w:szCs w:val="24"/>
          <w:lang w:val="en-US"/>
        </w:rPr>
        <w:t>he EAC Cross-Border Legal Practice Bill</w:t>
      </w:r>
      <w:r w:rsidR="00EF3C1D" w:rsidRPr="00D45CDF">
        <w:rPr>
          <w:rFonts w:asciiTheme="minorHAnsi" w:hAnsiTheme="minorHAnsi"/>
          <w:sz w:val="24"/>
          <w:szCs w:val="24"/>
          <w:lang w:val="en-US"/>
        </w:rPr>
        <w:t xml:space="preserve"> 2014</w:t>
      </w:r>
      <w:r w:rsidR="00834CD8" w:rsidRPr="00D45CDF">
        <w:rPr>
          <w:rFonts w:asciiTheme="minorHAnsi" w:hAnsiTheme="minorHAnsi"/>
          <w:sz w:val="24"/>
          <w:szCs w:val="24"/>
          <w:lang w:val="en-US"/>
        </w:rPr>
        <w:t xml:space="preserve">, which provides for the </w:t>
      </w:r>
      <w:r w:rsidR="00834CD8" w:rsidRPr="00D45CDF">
        <w:rPr>
          <w:rFonts w:asciiTheme="minorHAnsi" w:hAnsiTheme="minorHAnsi"/>
          <w:sz w:val="24"/>
          <w:szCs w:val="24"/>
          <w:lang w:val="en-US"/>
        </w:rPr>
        <w:lastRenderedPageBreak/>
        <w:t xml:space="preserve">conduct and regulation of cross-border legal practice and requires </w:t>
      </w:r>
      <w:r w:rsidR="001D6D90" w:rsidRPr="00D45CDF">
        <w:rPr>
          <w:rFonts w:asciiTheme="minorHAnsi" w:hAnsiTheme="minorHAnsi"/>
          <w:sz w:val="24"/>
          <w:szCs w:val="24"/>
          <w:lang w:val="en-US"/>
        </w:rPr>
        <w:t>Partner States</w:t>
      </w:r>
      <w:r w:rsidR="00834CD8" w:rsidRPr="00D45CDF">
        <w:rPr>
          <w:rFonts w:asciiTheme="minorHAnsi" w:hAnsiTheme="minorHAnsi"/>
          <w:sz w:val="24"/>
          <w:szCs w:val="24"/>
          <w:lang w:val="en-US"/>
        </w:rPr>
        <w:t xml:space="preserve"> to take steps to </w:t>
      </w:r>
      <w:r w:rsidR="00834CD8" w:rsidRPr="00D45CDF">
        <w:rPr>
          <w:rFonts w:asciiTheme="minorHAnsi" w:hAnsiTheme="minorHAnsi"/>
          <w:sz w:val="24"/>
          <w:szCs w:val="24"/>
        </w:rPr>
        <w:t>harmonise</w:t>
      </w:r>
      <w:r w:rsidR="00834CD8" w:rsidRPr="00D45CDF">
        <w:rPr>
          <w:rFonts w:asciiTheme="minorHAnsi" w:hAnsiTheme="minorHAnsi"/>
          <w:sz w:val="24"/>
          <w:szCs w:val="24"/>
          <w:lang w:val="en-US"/>
        </w:rPr>
        <w:t xml:space="preserve"> training and certification,</w:t>
      </w:r>
      <w:r w:rsidR="00700510" w:rsidRPr="00D45CDF">
        <w:rPr>
          <w:rFonts w:asciiTheme="minorHAnsi" w:hAnsiTheme="minorHAnsi"/>
          <w:sz w:val="24"/>
          <w:szCs w:val="24"/>
          <w:lang w:val="en-US"/>
        </w:rPr>
        <w:t xml:space="preserve"> </w:t>
      </w:r>
      <w:r w:rsidR="007E26D6" w:rsidRPr="00D45CDF">
        <w:rPr>
          <w:rFonts w:asciiTheme="minorHAnsi" w:hAnsiTheme="minorHAnsi"/>
          <w:sz w:val="24"/>
          <w:szCs w:val="24"/>
          <w:lang w:val="en-US"/>
        </w:rPr>
        <w:t>has</w:t>
      </w:r>
      <w:r w:rsidR="00700510" w:rsidRPr="00D45CDF">
        <w:rPr>
          <w:rFonts w:asciiTheme="minorHAnsi" w:hAnsiTheme="minorHAnsi"/>
          <w:sz w:val="24"/>
          <w:szCs w:val="24"/>
          <w:lang w:val="en-US"/>
        </w:rPr>
        <w:t xml:space="preserve"> still to enter into force.</w:t>
      </w:r>
      <w:r w:rsidR="00700510" w:rsidRPr="00D45CDF">
        <w:rPr>
          <w:rStyle w:val="FootnoteReference"/>
          <w:rFonts w:asciiTheme="minorHAnsi" w:hAnsiTheme="minorHAnsi"/>
          <w:sz w:val="24"/>
          <w:szCs w:val="24"/>
          <w:lang w:val="en-US"/>
        </w:rPr>
        <w:footnoteReference w:id="111"/>
      </w:r>
      <w:r w:rsidR="00700510" w:rsidRPr="00D45CDF">
        <w:rPr>
          <w:rFonts w:asciiTheme="minorHAnsi" w:hAnsiTheme="minorHAnsi"/>
          <w:sz w:val="24"/>
          <w:szCs w:val="24"/>
          <w:lang w:val="en-US"/>
        </w:rPr>
        <w:t xml:space="preserve"> </w:t>
      </w:r>
      <w:r w:rsidR="00F54C10" w:rsidRPr="00D45CDF">
        <w:rPr>
          <w:rFonts w:asciiTheme="minorHAnsi" w:hAnsiTheme="minorHAnsi"/>
          <w:sz w:val="24"/>
          <w:szCs w:val="24"/>
        </w:rPr>
        <w:t xml:space="preserve">The </w:t>
      </w:r>
      <w:r w:rsidR="007C4AEE" w:rsidRPr="00D45CDF">
        <w:rPr>
          <w:rFonts w:asciiTheme="minorHAnsi" w:hAnsiTheme="minorHAnsi"/>
          <w:sz w:val="24"/>
          <w:szCs w:val="24"/>
        </w:rPr>
        <w:t xml:space="preserve">delayed </w:t>
      </w:r>
      <w:r w:rsidR="00EF3C1D" w:rsidRPr="00D45CDF">
        <w:rPr>
          <w:rFonts w:asciiTheme="minorHAnsi" w:hAnsiTheme="minorHAnsi"/>
          <w:sz w:val="24"/>
          <w:szCs w:val="24"/>
        </w:rPr>
        <w:t xml:space="preserve">entry into force of the </w:t>
      </w:r>
      <w:r w:rsidR="00F54C10" w:rsidRPr="00D45CDF">
        <w:rPr>
          <w:rFonts w:asciiTheme="minorHAnsi" w:hAnsiTheme="minorHAnsi"/>
          <w:sz w:val="24"/>
          <w:szCs w:val="24"/>
        </w:rPr>
        <w:t>EAC Cross Border Legal Practice Bill</w:t>
      </w:r>
      <w:r w:rsidR="00EF3C1D" w:rsidRPr="00D45CDF">
        <w:rPr>
          <w:rFonts w:asciiTheme="minorHAnsi" w:hAnsiTheme="minorHAnsi"/>
          <w:sz w:val="24"/>
          <w:szCs w:val="24"/>
        </w:rPr>
        <w:t xml:space="preserve"> 2014</w:t>
      </w:r>
      <w:r w:rsidR="00F54C10" w:rsidRPr="00D45CDF">
        <w:rPr>
          <w:rFonts w:asciiTheme="minorHAnsi" w:hAnsiTheme="minorHAnsi"/>
          <w:sz w:val="24"/>
          <w:szCs w:val="24"/>
        </w:rPr>
        <w:t xml:space="preserve"> is just another </w:t>
      </w:r>
      <w:r w:rsidR="00382DF9" w:rsidRPr="00D45CDF">
        <w:rPr>
          <w:rFonts w:asciiTheme="minorHAnsi" w:hAnsiTheme="minorHAnsi"/>
          <w:sz w:val="24"/>
          <w:szCs w:val="24"/>
        </w:rPr>
        <w:t>obstacle</w:t>
      </w:r>
      <w:r w:rsidR="00F54C10" w:rsidRPr="00D45CDF">
        <w:rPr>
          <w:rFonts w:asciiTheme="minorHAnsi" w:hAnsiTheme="minorHAnsi"/>
          <w:sz w:val="24"/>
          <w:szCs w:val="24"/>
        </w:rPr>
        <w:t xml:space="preserve"> added to the </w:t>
      </w:r>
      <w:r w:rsidR="00EF3C1D" w:rsidRPr="00D45CDF">
        <w:rPr>
          <w:rFonts w:asciiTheme="minorHAnsi" w:hAnsiTheme="minorHAnsi"/>
          <w:sz w:val="24"/>
          <w:szCs w:val="24"/>
        </w:rPr>
        <w:t>l</w:t>
      </w:r>
      <w:r w:rsidR="00FA3D0F" w:rsidRPr="00D45CDF">
        <w:rPr>
          <w:rFonts w:asciiTheme="minorHAnsi" w:hAnsiTheme="minorHAnsi"/>
          <w:sz w:val="24"/>
          <w:szCs w:val="24"/>
        </w:rPr>
        <w:t>engthy</w:t>
      </w:r>
      <w:r w:rsidR="00EF3C1D" w:rsidRPr="00D45CDF">
        <w:rPr>
          <w:rFonts w:asciiTheme="minorHAnsi" w:hAnsiTheme="minorHAnsi"/>
          <w:sz w:val="24"/>
          <w:szCs w:val="24"/>
        </w:rPr>
        <w:t xml:space="preserve"> discussion on the </w:t>
      </w:r>
      <w:r w:rsidR="00F54C10" w:rsidRPr="00D45CDF">
        <w:rPr>
          <w:rFonts w:asciiTheme="minorHAnsi" w:hAnsiTheme="minorHAnsi"/>
          <w:sz w:val="24"/>
          <w:szCs w:val="24"/>
        </w:rPr>
        <w:t>adoption of a Mutual Recognition Agreement (MRA)</w:t>
      </w:r>
      <w:r w:rsidR="007C4AEE" w:rsidRPr="00D45CDF">
        <w:rPr>
          <w:rFonts w:asciiTheme="minorHAnsi" w:hAnsiTheme="minorHAnsi"/>
          <w:sz w:val="24"/>
          <w:szCs w:val="24"/>
        </w:rPr>
        <w:t xml:space="preserve"> –  whereby the qualifications granted in the home </w:t>
      </w:r>
      <w:r w:rsidR="000C368B" w:rsidRPr="00D45CDF">
        <w:rPr>
          <w:rFonts w:asciiTheme="minorHAnsi" w:hAnsiTheme="minorHAnsi"/>
          <w:sz w:val="24"/>
          <w:szCs w:val="24"/>
        </w:rPr>
        <w:t>state</w:t>
      </w:r>
      <w:r w:rsidR="007C4AEE" w:rsidRPr="00D45CDF">
        <w:rPr>
          <w:rFonts w:asciiTheme="minorHAnsi" w:hAnsiTheme="minorHAnsi"/>
          <w:sz w:val="24"/>
          <w:szCs w:val="24"/>
        </w:rPr>
        <w:t xml:space="preserve"> </w:t>
      </w:r>
      <w:r w:rsidR="000C368B" w:rsidRPr="00D45CDF">
        <w:rPr>
          <w:rFonts w:asciiTheme="minorHAnsi" w:hAnsiTheme="minorHAnsi"/>
          <w:sz w:val="24"/>
          <w:szCs w:val="24"/>
        </w:rPr>
        <w:t>will be</w:t>
      </w:r>
      <w:r w:rsidR="007C4AEE" w:rsidRPr="00D45CDF">
        <w:rPr>
          <w:rFonts w:asciiTheme="minorHAnsi" w:hAnsiTheme="minorHAnsi"/>
          <w:sz w:val="24"/>
          <w:szCs w:val="24"/>
        </w:rPr>
        <w:t xml:space="preserve"> recognised in the host </w:t>
      </w:r>
      <w:r w:rsidR="000C368B" w:rsidRPr="00D45CDF">
        <w:rPr>
          <w:rFonts w:asciiTheme="minorHAnsi" w:hAnsiTheme="minorHAnsi"/>
          <w:sz w:val="24"/>
          <w:szCs w:val="24"/>
        </w:rPr>
        <w:t>state</w:t>
      </w:r>
      <w:r w:rsidR="007C4AEE" w:rsidRPr="00D45CDF">
        <w:rPr>
          <w:rFonts w:asciiTheme="minorHAnsi" w:hAnsiTheme="minorHAnsi"/>
          <w:sz w:val="24"/>
          <w:szCs w:val="24"/>
        </w:rPr>
        <w:t xml:space="preserve"> and vice versa </w:t>
      </w:r>
      <w:r w:rsidR="003D40EC" w:rsidRPr="00D45CDF">
        <w:rPr>
          <w:rFonts w:asciiTheme="minorHAnsi" w:hAnsiTheme="minorHAnsi"/>
          <w:sz w:val="24"/>
          <w:szCs w:val="24"/>
        </w:rPr>
        <w:sym w:font="Symbol" w:char="F02D"/>
      </w:r>
      <w:r w:rsidR="007C4AEE" w:rsidRPr="00D45CDF">
        <w:rPr>
          <w:rFonts w:asciiTheme="minorHAnsi" w:hAnsiTheme="minorHAnsi"/>
          <w:sz w:val="24"/>
          <w:szCs w:val="24"/>
        </w:rPr>
        <w:t xml:space="preserve"> for</w:t>
      </w:r>
      <w:r w:rsidR="00F54C10" w:rsidRPr="00D45CDF">
        <w:rPr>
          <w:rFonts w:asciiTheme="minorHAnsi" w:hAnsiTheme="minorHAnsi"/>
          <w:sz w:val="24"/>
          <w:szCs w:val="24"/>
        </w:rPr>
        <w:t xml:space="preserve"> the implementation of the free movement of legal services. </w:t>
      </w:r>
    </w:p>
    <w:p w14:paraId="458C72D9" w14:textId="77777777" w:rsidR="009A0668" w:rsidRPr="00D45CDF" w:rsidRDefault="007C4AEE" w:rsidP="001C5BA7">
      <w:pPr>
        <w:spacing w:line="240" w:lineRule="auto"/>
        <w:jc w:val="both"/>
        <w:rPr>
          <w:rFonts w:asciiTheme="minorHAnsi" w:hAnsiTheme="minorHAnsi"/>
          <w:sz w:val="24"/>
          <w:szCs w:val="24"/>
        </w:rPr>
      </w:pPr>
      <w:r w:rsidRPr="00D45CDF">
        <w:rPr>
          <w:rFonts w:asciiTheme="minorHAnsi" w:hAnsiTheme="minorHAnsi"/>
          <w:sz w:val="24"/>
          <w:szCs w:val="24"/>
        </w:rPr>
        <w:t>However, n</w:t>
      </w:r>
      <w:r w:rsidR="00AD40BA" w:rsidRPr="00D45CDF">
        <w:rPr>
          <w:rFonts w:asciiTheme="minorHAnsi" w:hAnsiTheme="minorHAnsi"/>
          <w:sz w:val="24"/>
          <w:szCs w:val="24"/>
        </w:rPr>
        <w:t xml:space="preserve">either the </w:t>
      </w:r>
      <w:r w:rsidR="009A0668" w:rsidRPr="00D45CDF">
        <w:rPr>
          <w:rFonts w:asciiTheme="minorHAnsi" w:hAnsiTheme="minorHAnsi"/>
          <w:sz w:val="24"/>
          <w:szCs w:val="24"/>
        </w:rPr>
        <w:t xml:space="preserve">Common Market </w:t>
      </w:r>
      <w:r w:rsidR="00AC4D0E" w:rsidRPr="00D45CDF">
        <w:rPr>
          <w:rFonts w:asciiTheme="minorHAnsi" w:hAnsiTheme="minorHAnsi"/>
          <w:sz w:val="24"/>
          <w:szCs w:val="24"/>
        </w:rPr>
        <w:t>P</w:t>
      </w:r>
      <w:r w:rsidR="009A0668" w:rsidRPr="00D45CDF">
        <w:rPr>
          <w:rFonts w:asciiTheme="minorHAnsi" w:hAnsiTheme="minorHAnsi"/>
          <w:sz w:val="24"/>
          <w:szCs w:val="24"/>
        </w:rPr>
        <w:t xml:space="preserve">rotocol </w:t>
      </w:r>
      <w:r w:rsidR="00AD40BA" w:rsidRPr="00D45CDF">
        <w:rPr>
          <w:rFonts w:asciiTheme="minorHAnsi" w:hAnsiTheme="minorHAnsi"/>
          <w:sz w:val="24"/>
          <w:szCs w:val="24"/>
        </w:rPr>
        <w:t xml:space="preserve">nor </w:t>
      </w:r>
      <w:r w:rsidR="009A0668" w:rsidRPr="00D45CDF">
        <w:rPr>
          <w:rFonts w:asciiTheme="minorHAnsi" w:hAnsiTheme="minorHAnsi"/>
          <w:sz w:val="24"/>
          <w:szCs w:val="24"/>
        </w:rPr>
        <w:t xml:space="preserve">the </w:t>
      </w:r>
      <w:r w:rsidR="00AD40BA" w:rsidRPr="00D45CDF">
        <w:rPr>
          <w:rFonts w:asciiTheme="minorHAnsi" w:hAnsiTheme="minorHAnsi"/>
          <w:sz w:val="24"/>
          <w:szCs w:val="24"/>
        </w:rPr>
        <w:t>T</w:t>
      </w:r>
      <w:r w:rsidR="009A0668" w:rsidRPr="00D45CDF">
        <w:rPr>
          <w:rFonts w:asciiTheme="minorHAnsi" w:hAnsiTheme="minorHAnsi"/>
          <w:sz w:val="24"/>
          <w:szCs w:val="24"/>
        </w:rPr>
        <w:t>reaty establishing the EAC</w:t>
      </w:r>
      <w:r w:rsidR="00AD40BA" w:rsidRPr="00D45CDF">
        <w:rPr>
          <w:rFonts w:asciiTheme="minorHAnsi" w:hAnsiTheme="minorHAnsi"/>
          <w:sz w:val="24"/>
          <w:szCs w:val="24"/>
        </w:rPr>
        <w:t xml:space="preserve"> have any </w:t>
      </w:r>
      <w:r w:rsidR="000478AE" w:rsidRPr="00D45CDF">
        <w:rPr>
          <w:rFonts w:asciiTheme="minorHAnsi" w:hAnsiTheme="minorHAnsi"/>
          <w:sz w:val="24"/>
          <w:szCs w:val="24"/>
        </w:rPr>
        <w:t xml:space="preserve">clear </w:t>
      </w:r>
      <w:r w:rsidR="00AD40BA" w:rsidRPr="00D45CDF">
        <w:rPr>
          <w:rFonts w:asciiTheme="minorHAnsi" w:hAnsiTheme="minorHAnsi"/>
          <w:sz w:val="24"/>
          <w:szCs w:val="24"/>
        </w:rPr>
        <w:t>mention of</w:t>
      </w:r>
      <w:r w:rsidR="009A0668" w:rsidRPr="00D45CDF">
        <w:rPr>
          <w:rFonts w:asciiTheme="minorHAnsi" w:hAnsiTheme="minorHAnsi"/>
          <w:sz w:val="24"/>
          <w:szCs w:val="24"/>
        </w:rPr>
        <w:t xml:space="preserve"> a requirement for a signature of a</w:t>
      </w:r>
      <w:r w:rsidR="00097C65" w:rsidRPr="00D45CDF">
        <w:rPr>
          <w:rFonts w:asciiTheme="minorHAnsi" w:hAnsiTheme="minorHAnsi"/>
          <w:sz w:val="24"/>
          <w:szCs w:val="24"/>
        </w:rPr>
        <w:t>n</w:t>
      </w:r>
      <w:r w:rsidR="009A0668" w:rsidRPr="00D45CDF">
        <w:rPr>
          <w:rFonts w:asciiTheme="minorHAnsi" w:hAnsiTheme="minorHAnsi"/>
          <w:sz w:val="24"/>
          <w:szCs w:val="24"/>
        </w:rPr>
        <w:t xml:space="preserve"> </w:t>
      </w:r>
      <w:r w:rsidR="00F54C10" w:rsidRPr="00D45CDF">
        <w:rPr>
          <w:rFonts w:asciiTheme="minorHAnsi" w:hAnsiTheme="minorHAnsi"/>
          <w:sz w:val="24"/>
          <w:szCs w:val="24"/>
        </w:rPr>
        <w:t>MRA</w:t>
      </w:r>
      <w:r w:rsidRPr="00D45CDF">
        <w:rPr>
          <w:rFonts w:asciiTheme="minorHAnsi" w:hAnsiTheme="minorHAnsi"/>
          <w:sz w:val="24"/>
          <w:szCs w:val="24"/>
        </w:rPr>
        <w:t xml:space="preserve"> for the </w:t>
      </w:r>
      <w:r w:rsidR="00AC1095" w:rsidRPr="00D45CDF">
        <w:rPr>
          <w:rFonts w:asciiTheme="minorHAnsi" w:hAnsiTheme="minorHAnsi"/>
          <w:sz w:val="24"/>
          <w:szCs w:val="24"/>
        </w:rPr>
        <w:t>implementation</w:t>
      </w:r>
      <w:r w:rsidRPr="00D45CDF">
        <w:rPr>
          <w:rFonts w:asciiTheme="minorHAnsi" w:hAnsiTheme="minorHAnsi"/>
          <w:sz w:val="24"/>
          <w:szCs w:val="24"/>
        </w:rPr>
        <w:t xml:space="preserve"> of the free movement of legal services</w:t>
      </w:r>
      <w:r w:rsidR="00F54C10" w:rsidRPr="00D45CDF">
        <w:rPr>
          <w:rFonts w:asciiTheme="minorHAnsi" w:hAnsiTheme="minorHAnsi"/>
          <w:sz w:val="24"/>
          <w:szCs w:val="24"/>
        </w:rPr>
        <w:t>.</w:t>
      </w:r>
      <w:r w:rsidR="00AD40BA" w:rsidRPr="00D45CDF">
        <w:rPr>
          <w:rFonts w:asciiTheme="minorHAnsi" w:hAnsiTheme="minorHAnsi"/>
          <w:sz w:val="24"/>
          <w:szCs w:val="24"/>
        </w:rPr>
        <w:t xml:space="preserve"> </w:t>
      </w:r>
      <w:r w:rsidR="00EA6471" w:rsidRPr="00D45CDF">
        <w:rPr>
          <w:rFonts w:asciiTheme="minorHAnsi" w:hAnsiTheme="minorHAnsi"/>
          <w:sz w:val="24"/>
          <w:szCs w:val="24"/>
        </w:rPr>
        <w:t>C</w:t>
      </w:r>
      <w:r w:rsidR="00B76B6F" w:rsidRPr="00D45CDF">
        <w:rPr>
          <w:rFonts w:asciiTheme="minorHAnsi" w:hAnsiTheme="minorHAnsi"/>
          <w:sz w:val="24"/>
          <w:szCs w:val="24"/>
        </w:rPr>
        <w:t xml:space="preserve">ertain countries such as Rwanda and Kenya have pressed for free movement of legal services, meeting reticence from other </w:t>
      </w:r>
      <w:r w:rsidR="001D6D90" w:rsidRPr="00D45CDF">
        <w:rPr>
          <w:rFonts w:asciiTheme="minorHAnsi" w:hAnsiTheme="minorHAnsi"/>
          <w:sz w:val="24"/>
          <w:szCs w:val="24"/>
        </w:rPr>
        <w:t>Partner States</w:t>
      </w:r>
      <w:r w:rsidR="00B76B6F" w:rsidRPr="00D45CDF">
        <w:rPr>
          <w:rFonts w:asciiTheme="minorHAnsi" w:hAnsiTheme="minorHAnsi"/>
          <w:sz w:val="24"/>
          <w:szCs w:val="24"/>
        </w:rPr>
        <w:t xml:space="preserve">, who </w:t>
      </w:r>
      <w:r w:rsidR="00EA6471" w:rsidRPr="00D45CDF">
        <w:rPr>
          <w:rFonts w:asciiTheme="minorHAnsi" w:hAnsiTheme="minorHAnsi"/>
          <w:sz w:val="24"/>
          <w:szCs w:val="24"/>
        </w:rPr>
        <w:t xml:space="preserve">have </w:t>
      </w:r>
      <w:r w:rsidR="00B76B6F" w:rsidRPr="00D45CDF">
        <w:rPr>
          <w:rFonts w:asciiTheme="minorHAnsi" w:hAnsiTheme="minorHAnsi"/>
          <w:sz w:val="24"/>
          <w:szCs w:val="24"/>
        </w:rPr>
        <w:t>refused to proceed without a</w:t>
      </w:r>
      <w:r w:rsidR="00097C65" w:rsidRPr="00D45CDF">
        <w:rPr>
          <w:rFonts w:asciiTheme="minorHAnsi" w:hAnsiTheme="minorHAnsi"/>
          <w:sz w:val="24"/>
          <w:szCs w:val="24"/>
        </w:rPr>
        <w:t>n</w:t>
      </w:r>
      <w:r w:rsidR="00B76B6F" w:rsidRPr="00D45CDF">
        <w:rPr>
          <w:rFonts w:asciiTheme="minorHAnsi" w:hAnsiTheme="minorHAnsi"/>
          <w:sz w:val="24"/>
          <w:szCs w:val="24"/>
        </w:rPr>
        <w:t xml:space="preserve"> </w:t>
      </w:r>
      <w:r w:rsidR="00F54C10" w:rsidRPr="00D45CDF">
        <w:rPr>
          <w:rFonts w:asciiTheme="minorHAnsi" w:hAnsiTheme="minorHAnsi"/>
          <w:sz w:val="24"/>
          <w:szCs w:val="24"/>
        </w:rPr>
        <w:t>MRA</w:t>
      </w:r>
      <w:r w:rsidR="00B76B6F" w:rsidRPr="00D45CDF">
        <w:rPr>
          <w:rFonts w:asciiTheme="minorHAnsi" w:hAnsiTheme="minorHAnsi"/>
          <w:sz w:val="24"/>
          <w:szCs w:val="24"/>
        </w:rPr>
        <w:t>.</w:t>
      </w:r>
      <w:r w:rsidR="00097C65" w:rsidRPr="00D45CDF">
        <w:rPr>
          <w:rStyle w:val="FootnoteReference"/>
          <w:rFonts w:asciiTheme="minorHAnsi" w:hAnsiTheme="minorHAnsi"/>
          <w:sz w:val="24"/>
          <w:szCs w:val="24"/>
        </w:rPr>
        <w:footnoteReference w:id="112"/>
      </w:r>
      <w:r w:rsidR="00B76B6F" w:rsidRPr="00D45CDF">
        <w:rPr>
          <w:rFonts w:asciiTheme="minorHAnsi" w:hAnsiTheme="minorHAnsi"/>
          <w:sz w:val="24"/>
          <w:szCs w:val="24"/>
        </w:rPr>
        <w:t xml:space="preserve"> </w:t>
      </w:r>
      <w:r w:rsidR="001D6D90" w:rsidRPr="00D45CDF">
        <w:rPr>
          <w:rFonts w:asciiTheme="minorHAnsi" w:hAnsiTheme="minorHAnsi"/>
          <w:color w:val="000000"/>
          <w:sz w:val="24"/>
          <w:szCs w:val="24"/>
          <w:shd w:val="clear" w:color="auto" w:fill="FFFFFF"/>
        </w:rPr>
        <w:t>Partner States</w:t>
      </w:r>
      <w:r w:rsidR="006A6BCE" w:rsidRPr="00D45CDF">
        <w:rPr>
          <w:rFonts w:asciiTheme="minorHAnsi" w:hAnsiTheme="minorHAnsi"/>
          <w:color w:val="000000"/>
          <w:sz w:val="24"/>
          <w:szCs w:val="24"/>
          <w:shd w:val="clear" w:color="auto" w:fill="FFFFFF"/>
        </w:rPr>
        <w:t xml:space="preserve"> </w:t>
      </w:r>
      <w:r w:rsidR="00B76B6F" w:rsidRPr="00D45CDF">
        <w:rPr>
          <w:rFonts w:asciiTheme="minorHAnsi" w:hAnsiTheme="minorHAnsi"/>
          <w:color w:val="000000"/>
          <w:sz w:val="24"/>
          <w:szCs w:val="24"/>
          <w:shd w:val="clear" w:color="auto" w:fill="FFFFFF"/>
        </w:rPr>
        <w:t xml:space="preserve">have now drafted </w:t>
      </w:r>
      <w:r w:rsidR="006A6BCE" w:rsidRPr="00D45CDF">
        <w:rPr>
          <w:rFonts w:asciiTheme="minorHAnsi" w:hAnsiTheme="minorHAnsi"/>
          <w:color w:val="000000"/>
          <w:sz w:val="24"/>
          <w:szCs w:val="24"/>
          <w:shd w:val="clear" w:color="auto" w:fill="FFFFFF"/>
        </w:rPr>
        <w:t xml:space="preserve">EAC Common Market (Mutual Recognition of Academic and Professional Qualifications) Regulations 2011, which </w:t>
      </w:r>
      <w:r w:rsidR="00B76B6F" w:rsidRPr="00D45CDF">
        <w:rPr>
          <w:rFonts w:asciiTheme="minorHAnsi" w:hAnsiTheme="minorHAnsi"/>
          <w:color w:val="000000"/>
          <w:sz w:val="24"/>
          <w:szCs w:val="24"/>
          <w:shd w:val="clear" w:color="auto" w:fill="FFFFFF"/>
        </w:rPr>
        <w:t xml:space="preserve">stipulate </w:t>
      </w:r>
      <w:r w:rsidR="006A6BCE" w:rsidRPr="00D45CDF">
        <w:rPr>
          <w:rFonts w:asciiTheme="minorHAnsi" w:hAnsiTheme="minorHAnsi"/>
          <w:color w:val="000000"/>
          <w:sz w:val="24"/>
          <w:szCs w:val="24"/>
          <w:shd w:val="clear" w:color="auto" w:fill="FFFFFF"/>
        </w:rPr>
        <w:t xml:space="preserve">the process by which Common Market Protocol </w:t>
      </w:r>
      <w:r w:rsidR="003D6BD8" w:rsidRPr="00D45CDF">
        <w:rPr>
          <w:rFonts w:asciiTheme="minorHAnsi" w:hAnsiTheme="minorHAnsi"/>
          <w:color w:val="000000"/>
          <w:sz w:val="24"/>
          <w:szCs w:val="24"/>
          <w:shd w:val="clear" w:color="auto" w:fill="FFFFFF"/>
        </w:rPr>
        <w:t xml:space="preserve">Article 11 on mutual recognition of </w:t>
      </w:r>
      <w:r w:rsidR="00CB4160" w:rsidRPr="00D45CDF">
        <w:rPr>
          <w:rFonts w:asciiTheme="minorHAnsi" w:hAnsiTheme="minorHAnsi"/>
          <w:color w:val="000000"/>
          <w:sz w:val="24"/>
          <w:szCs w:val="24"/>
          <w:shd w:val="clear" w:color="auto" w:fill="FFFFFF"/>
        </w:rPr>
        <w:t xml:space="preserve">academic and professional </w:t>
      </w:r>
      <w:r w:rsidR="003D6BD8" w:rsidRPr="00D45CDF">
        <w:rPr>
          <w:rFonts w:asciiTheme="minorHAnsi" w:hAnsiTheme="minorHAnsi"/>
          <w:color w:val="000000"/>
          <w:sz w:val="24"/>
          <w:szCs w:val="24"/>
          <w:shd w:val="clear" w:color="auto" w:fill="FFFFFF"/>
        </w:rPr>
        <w:t xml:space="preserve">qualifications </w:t>
      </w:r>
      <w:r w:rsidR="00CB4160" w:rsidRPr="00D45CDF">
        <w:rPr>
          <w:rFonts w:asciiTheme="minorHAnsi" w:hAnsiTheme="minorHAnsi"/>
          <w:color w:val="000000"/>
          <w:sz w:val="24"/>
          <w:szCs w:val="24"/>
          <w:shd w:val="clear" w:color="auto" w:fill="FFFFFF"/>
        </w:rPr>
        <w:t xml:space="preserve">and experience </w:t>
      </w:r>
      <w:r w:rsidR="006A6BCE" w:rsidRPr="00D45CDF">
        <w:rPr>
          <w:rFonts w:asciiTheme="minorHAnsi" w:hAnsiTheme="minorHAnsi"/>
          <w:color w:val="000000"/>
          <w:sz w:val="24"/>
          <w:szCs w:val="24"/>
          <w:shd w:val="clear" w:color="auto" w:fill="FFFFFF"/>
        </w:rPr>
        <w:t>would be implemented.</w:t>
      </w:r>
      <w:r w:rsidR="00CB4160" w:rsidRPr="00D45CDF">
        <w:rPr>
          <w:rFonts w:asciiTheme="minorHAnsi" w:hAnsiTheme="minorHAnsi"/>
          <w:color w:val="000000"/>
          <w:sz w:val="24"/>
          <w:szCs w:val="24"/>
          <w:shd w:val="clear" w:color="auto" w:fill="FFFFFF"/>
        </w:rPr>
        <w:t xml:space="preserve"> </w:t>
      </w:r>
      <w:r w:rsidR="006A6BCE" w:rsidRPr="00D45CDF">
        <w:rPr>
          <w:rFonts w:asciiTheme="minorHAnsi" w:hAnsiTheme="minorHAnsi"/>
          <w:color w:val="000000"/>
          <w:sz w:val="24"/>
          <w:szCs w:val="24"/>
          <w:shd w:val="clear" w:color="auto" w:fill="FFFFFF"/>
        </w:rPr>
        <w:t xml:space="preserve">Negotiating and signing of the </w:t>
      </w:r>
      <w:r w:rsidR="00F54C10" w:rsidRPr="00D45CDF">
        <w:rPr>
          <w:rFonts w:asciiTheme="minorHAnsi" w:hAnsiTheme="minorHAnsi"/>
          <w:color w:val="000000"/>
          <w:sz w:val="24"/>
          <w:szCs w:val="24"/>
          <w:shd w:val="clear" w:color="auto" w:fill="FFFFFF"/>
        </w:rPr>
        <w:t>MRA</w:t>
      </w:r>
      <w:r w:rsidR="006A6BCE" w:rsidRPr="00D45CDF">
        <w:rPr>
          <w:rFonts w:asciiTheme="minorHAnsi" w:hAnsiTheme="minorHAnsi"/>
          <w:color w:val="000000"/>
          <w:sz w:val="24"/>
          <w:szCs w:val="24"/>
          <w:shd w:val="clear" w:color="auto" w:fill="FFFFFF"/>
        </w:rPr>
        <w:t xml:space="preserve"> under Annex VI </w:t>
      </w:r>
      <w:r w:rsidR="00CB4160" w:rsidRPr="00D45CDF">
        <w:rPr>
          <w:rFonts w:asciiTheme="minorHAnsi" w:hAnsiTheme="minorHAnsi"/>
          <w:color w:val="000000"/>
          <w:sz w:val="24"/>
          <w:szCs w:val="24"/>
          <w:shd w:val="clear" w:color="auto" w:fill="FFFFFF"/>
        </w:rPr>
        <w:t>wa</w:t>
      </w:r>
      <w:r w:rsidR="006A6BCE" w:rsidRPr="00D45CDF">
        <w:rPr>
          <w:rFonts w:asciiTheme="minorHAnsi" w:hAnsiTheme="minorHAnsi"/>
          <w:color w:val="000000"/>
          <w:sz w:val="24"/>
          <w:szCs w:val="24"/>
          <w:shd w:val="clear" w:color="auto" w:fill="FFFFFF"/>
        </w:rPr>
        <w:t>s to be undertaken by ‘Competent Authorities’, that is to say a Ministry, a department, office, institution or agency designated by a Partner State to carry out the functions required under these regulations.</w:t>
      </w:r>
      <w:r w:rsidR="006A6BCE" w:rsidRPr="00D45CDF">
        <w:rPr>
          <w:rFonts w:asciiTheme="minorHAnsi" w:hAnsiTheme="minorHAnsi"/>
          <w:sz w:val="24"/>
          <w:szCs w:val="24"/>
        </w:rPr>
        <w:t xml:space="preserve"> </w:t>
      </w:r>
      <w:r w:rsidR="00AD40BA" w:rsidRPr="00D45CDF">
        <w:rPr>
          <w:rFonts w:asciiTheme="minorHAnsi" w:hAnsiTheme="minorHAnsi"/>
          <w:sz w:val="24"/>
          <w:szCs w:val="24"/>
        </w:rPr>
        <w:t xml:space="preserve">As a result, a </w:t>
      </w:r>
      <w:r w:rsidR="009A0668" w:rsidRPr="00D45CDF">
        <w:rPr>
          <w:rFonts w:asciiTheme="minorHAnsi" w:hAnsiTheme="minorHAnsi"/>
          <w:sz w:val="24"/>
          <w:szCs w:val="24"/>
        </w:rPr>
        <w:t>process of negotiating mutual recognition agreements</w:t>
      </w:r>
      <w:r w:rsidR="00236F71" w:rsidRPr="00D45CDF">
        <w:rPr>
          <w:rFonts w:asciiTheme="minorHAnsi" w:hAnsiTheme="minorHAnsi"/>
          <w:sz w:val="24"/>
          <w:szCs w:val="24"/>
        </w:rPr>
        <w:t xml:space="preserve"> has </w:t>
      </w:r>
      <w:r w:rsidR="00AD40BA" w:rsidRPr="00D45CDF">
        <w:rPr>
          <w:rFonts w:asciiTheme="minorHAnsi" w:hAnsiTheme="minorHAnsi"/>
          <w:sz w:val="24"/>
          <w:szCs w:val="24"/>
        </w:rPr>
        <w:t>commenced, which has been time-consuming and frustrating</w:t>
      </w:r>
      <w:r w:rsidR="009A0668" w:rsidRPr="00D45CDF">
        <w:rPr>
          <w:rFonts w:asciiTheme="minorHAnsi" w:hAnsiTheme="minorHAnsi"/>
          <w:sz w:val="24"/>
          <w:szCs w:val="24"/>
        </w:rPr>
        <w:t xml:space="preserve">. </w:t>
      </w:r>
      <w:r w:rsidR="00BE7C92" w:rsidRPr="00D45CDF">
        <w:rPr>
          <w:rFonts w:asciiTheme="minorHAnsi" w:hAnsiTheme="minorHAnsi"/>
          <w:sz w:val="24"/>
          <w:szCs w:val="24"/>
        </w:rPr>
        <w:t xml:space="preserve">Although </w:t>
      </w:r>
      <w:r w:rsidR="00B76B6F" w:rsidRPr="00D45CDF">
        <w:rPr>
          <w:rFonts w:asciiTheme="minorHAnsi" w:hAnsiTheme="minorHAnsi"/>
          <w:sz w:val="24"/>
          <w:szCs w:val="24"/>
        </w:rPr>
        <w:t xml:space="preserve">the MRA </w:t>
      </w:r>
      <w:r w:rsidR="000E1E46" w:rsidRPr="00D45CDF">
        <w:rPr>
          <w:rFonts w:asciiTheme="minorHAnsi" w:hAnsiTheme="minorHAnsi"/>
          <w:sz w:val="24"/>
          <w:szCs w:val="24"/>
        </w:rPr>
        <w:t xml:space="preserve">is </w:t>
      </w:r>
      <w:r w:rsidR="00B76B6F" w:rsidRPr="00D45CDF">
        <w:rPr>
          <w:rFonts w:asciiTheme="minorHAnsi" w:hAnsiTheme="minorHAnsi"/>
          <w:sz w:val="24"/>
          <w:szCs w:val="24"/>
        </w:rPr>
        <w:t xml:space="preserve">now </w:t>
      </w:r>
      <w:r w:rsidR="000E1E46" w:rsidRPr="00D45CDF">
        <w:rPr>
          <w:rFonts w:asciiTheme="minorHAnsi" w:hAnsiTheme="minorHAnsi"/>
          <w:sz w:val="24"/>
          <w:szCs w:val="24"/>
        </w:rPr>
        <w:t xml:space="preserve">drafted </w:t>
      </w:r>
      <w:r w:rsidR="000916E8" w:rsidRPr="00D45CDF">
        <w:rPr>
          <w:rFonts w:asciiTheme="minorHAnsi" w:hAnsiTheme="minorHAnsi"/>
          <w:sz w:val="24"/>
          <w:szCs w:val="24"/>
        </w:rPr>
        <w:t xml:space="preserve">and </w:t>
      </w:r>
      <w:r w:rsidR="002577F5" w:rsidRPr="00D45CDF">
        <w:rPr>
          <w:rFonts w:asciiTheme="minorHAnsi" w:hAnsiTheme="minorHAnsi"/>
          <w:sz w:val="24"/>
          <w:szCs w:val="24"/>
        </w:rPr>
        <w:t xml:space="preserve">should in principle </w:t>
      </w:r>
      <w:r w:rsidR="000916E8" w:rsidRPr="00D45CDF">
        <w:rPr>
          <w:rFonts w:asciiTheme="minorHAnsi" w:hAnsiTheme="minorHAnsi"/>
          <w:sz w:val="24"/>
          <w:szCs w:val="24"/>
        </w:rPr>
        <w:t>a</w:t>
      </w:r>
      <w:r w:rsidR="003609DE" w:rsidRPr="00D45CDF">
        <w:rPr>
          <w:rFonts w:asciiTheme="minorHAnsi" w:hAnsiTheme="minorHAnsi"/>
          <w:sz w:val="24"/>
          <w:szCs w:val="24"/>
        </w:rPr>
        <w:t>llow advocate</w:t>
      </w:r>
      <w:r w:rsidR="00B76B6F" w:rsidRPr="00D45CDF">
        <w:rPr>
          <w:rFonts w:asciiTheme="minorHAnsi" w:hAnsiTheme="minorHAnsi"/>
          <w:sz w:val="24"/>
          <w:szCs w:val="24"/>
        </w:rPr>
        <w:t>s</w:t>
      </w:r>
      <w:r w:rsidR="003609DE" w:rsidRPr="00D45CDF">
        <w:rPr>
          <w:rFonts w:asciiTheme="minorHAnsi" w:hAnsiTheme="minorHAnsi"/>
          <w:sz w:val="24"/>
          <w:szCs w:val="24"/>
        </w:rPr>
        <w:t xml:space="preserve"> who meet the requirements set out in the mutual recognition agreement to make an application to a competent authority in a </w:t>
      </w:r>
      <w:r w:rsidR="00236F71" w:rsidRPr="00D45CDF">
        <w:rPr>
          <w:rFonts w:asciiTheme="minorHAnsi" w:hAnsiTheme="minorHAnsi"/>
          <w:sz w:val="24"/>
          <w:szCs w:val="24"/>
        </w:rPr>
        <w:t>P</w:t>
      </w:r>
      <w:r w:rsidR="003609DE" w:rsidRPr="00D45CDF">
        <w:rPr>
          <w:rFonts w:asciiTheme="minorHAnsi" w:hAnsiTheme="minorHAnsi"/>
          <w:sz w:val="24"/>
          <w:szCs w:val="24"/>
        </w:rPr>
        <w:t xml:space="preserve">artner </w:t>
      </w:r>
      <w:r w:rsidR="00236F71" w:rsidRPr="00D45CDF">
        <w:rPr>
          <w:rFonts w:asciiTheme="minorHAnsi" w:hAnsiTheme="minorHAnsi"/>
          <w:sz w:val="24"/>
          <w:szCs w:val="24"/>
        </w:rPr>
        <w:t>S</w:t>
      </w:r>
      <w:r w:rsidR="003609DE" w:rsidRPr="00D45CDF">
        <w:rPr>
          <w:rFonts w:asciiTheme="minorHAnsi" w:hAnsiTheme="minorHAnsi"/>
          <w:sz w:val="24"/>
          <w:szCs w:val="24"/>
        </w:rPr>
        <w:t xml:space="preserve">tate within which they do not practice </w:t>
      </w:r>
      <w:r w:rsidR="00B76B6F" w:rsidRPr="00D45CDF">
        <w:rPr>
          <w:rFonts w:asciiTheme="minorHAnsi" w:hAnsiTheme="minorHAnsi"/>
          <w:sz w:val="24"/>
          <w:szCs w:val="24"/>
        </w:rPr>
        <w:t xml:space="preserve">and </w:t>
      </w:r>
      <w:r w:rsidR="003609DE" w:rsidRPr="00D45CDF">
        <w:rPr>
          <w:rFonts w:asciiTheme="minorHAnsi" w:hAnsiTheme="minorHAnsi"/>
          <w:sz w:val="24"/>
          <w:szCs w:val="24"/>
        </w:rPr>
        <w:t>to be recognised as practising advocate</w:t>
      </w:r>
      <w:r w:rsidR="00B76B6F" w:rsidRPr="00D45CDF">
        <w:rPr>
          <w:rFonts w:asciiTheme="minorHAnsi" w:hAnsiTheme="minorHAnsi"/>
          <w:sz w:val="24"/>
          <w:szCs w:val="24"/>
        </w:rPr>
        <w:t>s</w:t>
      </w:r>
      <w:r w:rsidR="003609DE" w:rsidRPr="00D45CDF">
        <w:rPr>
          <w:rFonts w:asciiTheme="minorHAnsi" w:hAnsiTheme="minorHAnsi"/>
          <w:sz w:val="24"/>
          <w:szCs w:val="24"/>
        </w:rPr>
        <w:t xml:space="preserve"> of that </w:t>
      </w:r>
      <w:r w:rsidR="00236F71" w:rsidRPr="00D45CDF">
        <w:rPr>
          <w:rFonts w:asciiTheme="minorHAnsi" w:hAnsiTheme="minorHAnsi"/>
          <w:sz w:val="24"/>
          <w:szCs w:val="24"/>
        </w:rPr>
        <w:t>P</w:t>
      </w:r>
      <w:r w:rsidR="003609DE" w:rsidRPr="00D45CDF">
        <w:rPr>
          <w:rFonts w:asciiTheme="minorHAnsi" w:hAnsiTheme="minorHAnsi"/>
          <w:sz w:val="24"/>
          <w:szCs w:val="24"/>
        </w:rPr>
        <w:t xml:space="preserve">artner </w:t>
      </w:r>
      <w:r w:rsidR="00236F71" w:rsidRPr="00D45CDF">
        <w:rPr>
          <w:rFonts w:asciiTheme="minorHAnsi" w:hAnsiTheme="minorHAnsi"/>
          <w:sz w:val="24"/>
          <w:szCs w:val="24"/>
        </w:rPr>
        <w:t>S</w:t>
      </w:r>
      <w:r w:rsidR="003609DE" w:rsidRPr="00D45CDF">
        <w:rPr>
          <w:rFonts w:asciiTheme="minorHAnsi" w:hAnsiTheme="minorHAnsi"/>
          <w:sz w:val="24"/>
          <w:szCs w:val="24"/>
        </w:rPr>
        <w:t>tate</w:t>
      </w:r>
      <w:r w:rsidR="00BE7C92" w:rsidRPr="00D45CDF">
        <w:rPr>
          <w:rFonts w:asciiTheme="minorHAnsi" w:hAnsiTheme="minorHAnsi"/>
          <w:sz w:val="24"/>
          <w:szCs w:val="24"/>
        </w:rPr>
        <w:t>,</w:t>
      </w:r>
      <w:r w:rsidR="009A0668" w:rsidRPr="00D45CDF">
        <w:rPr>
          <w:rFonts w:asciiTheme="minorHAnsi" w:hAnsiTheme="minorHAnsi"/>
          <w:sz w:val="24"/>
          <w:szCs w:val="24"/>
        </w:rPr>
        <w:t xml:space="preserve"> </w:t>
      </w:r>
      <w:r w:rsidR="003609DE" w:rsidRPr="00D45CDF">
        <w:rPr>
          <w:rFonts w:asciiTheme="minorHAnsi" w:hAnsiTheme="minorHAnsi"/>
          <w:sz w:val="24"/>
          <w:szCs w:val="24"/>
        </w:rPr>
        <w:t>this</w:t>
      </w:r>
      <w:r w:rsidR="009A0668" w:rsidRPr="00D45CDF">
        <w:rPr>
          <w:rFonts w:asciiTheme="minorHAnsi" w:hAnsiTheme="minorHAnsi"/>
          <w:sz w:val="24"/>
          <w:szCs w:val="24"/>
        </w:rPr>
        <w:t xml:space="preserve"> ha</w:t>
      </w:r>
      <w:r w:rsidR="00A355CC" w:rsidRPr="00D45CDF">
        <w:rPr>
          <w:rFonts w:asciiTheme="minorHAnsi" w:hAnsiTheme="minorHAnsi"/>
          <w:sz w:val="24"/>
          <w:szCs w:val="24"/>
        </w:rPr>
        <w:t>s</w:t>
      </w:r>
      <w:r w:rsidR="009A0668" w:rsidRPr="00D45CDF">
        <w:rPr>
          <w:rFonts w:asciiTheme="minorHAnsi" w:hAnsiTheme="minorHAnsi"/>
          <w:sz w:val="24"/>
          <w:szCs w:val="24"/>
        </w:rPr>
        <w:t xml:space="preserve"> </w:t>
      </w:r>
      <w:r w:rsidR="00236F71" w:rsidRPr="00D45CDF">
        <w:rPr>
          <w:rFonts w:asciiTheme="minorHAnsi" w:hAnsiTheme="minorHAnsi"/>
          <w:sz w:val="24"/>
          <w:szCs w:val="24"/>
        </w:rPr>
        <w:t xml:space="preserve">yet </w:t>
      </w:r>
      <w:r w:rsidR="009A0668" w:rsidRPr="00D45CDF">
        <w:rPr>
          <w:rFonts w:asciiTheme="minorHAnsi" w:hAnsiTheme="minorHAnsi"/>
          <w:sz w:val="24"/>
          <w:szCs w:val="24"/>
        </w:rPr>
        <w:t xml:space="preserve">to be agreed by the </w:t>
      </w:r>
      <w:r w:rsidR="0007478F" w:rsidRPr="00D45CDF">
        <w:rPr>
          <w:rFonts w:asciiTheme="minorHAnsi" w:hAnsiTheme="minorHAnsi"/>
          <w:sz w:val="24"/>
          <w:szCs w:val="24"/>
        </w:rPr>
        <w:t xml:space="preserve">EAC </w:t>
      </w:r>
      <w:r w:rsidR="00BE7C92" w:rsidRPr="00D45CDF">
        <w:rPr>
          <w:rFonts w:asciiTheme="minorHAnsi" w:hAnsiTheme="minorHAnsi"/>
          <w:sz w:val="24"/>
          <w:szCs w:val="24"/>
        </w:rPr>
        <w:t>C</w:t>
      </w:r>
      <w:r w:rsidR="009A0668" w:rsidRPr="00D45CDF">
        <w:rPr>
          <w:rFonts w:asciiTheme="minorHAnsi" w:hAnsiTheme="minorHAnsi"/>
          <w:sz w:val="24"/>
          <w:szCs w:val="24"/>
        </w:rPr>
        <w:t xml:space="preserve">ouncil </w:t>
      </w:r>
      <w:r w:rsidR="0007478F" w:rsidRPr="00D45CDF">
        <w:rPr>
          <w:rFonts w:asciiTheme="minorHAnsi" w:hAnsiTheme="minorHAnsi"/>
          <w:sz w:val="24"/>
          <w:szCs w:val="24"/>
        </w:rPr>
        <w:t xml:space="preserve">of Ministers </w:t>
      </w:r>
      <w:r w:rsidR="009A0668" w:rsidRPr="00D45CDF">
        <w:rPr>
          <w:rFonts w:asciiTheme="minorHAnsi" w:hAnsiTheme="minorHAnsi"/>
          <w:sz w:val="24"/>
          <w:szCs w:val="24"/>
        </w:rPr>
        <w:t xml:space="preserve">and later by the </w:t>
      </w:r>
      <w:r w:rsidR="00BE7C92" w:rsidRPr="00D45CDF">
        <w:rPr>
          <w:rFonts w:asciiTheme="minorHAnsi" w:hAnsiTheme="minorHAnsi"/>
          <w:sz w:val="24"/>
          <w:szCs w:val="24"/>
        </w:rPr>
        <w:t>S</w:t>
      </w:r>
      <w:r w:rsidR="009A0668" w:rsidRPr="00D45CDF">
        <w:rPr>
          <w:rFonts w:asciiTheme="minorHAnsi" w:hAnsiTheme="minorHAnsi"/>
          <w:sz w:val="24"/>
          <w:szCs w:val="24"/>
        </w:rPr>
        <w:t>ummit</w:t>
      </w:r>
      <w:r w:rsidR="003609DE" w:rsidRPr="00D45CDF">
        <w:rPr>
          <w:rFonts w:asciiTheme="minorHAnsi" w:hAnsiTheme="minorHAnsi"/>
          <w:sz w:val="24"/>
          <w:szCs w:val="24"/>
        </w:rPr>
        <w:t>.</w:t>
      </w:r>
      <w:r w:rsidR="000E1E46" w:rsidRPr="00D45CDF">
        <w:rPr>
          <w:rStyle w:val="FootnoteReference"/>
          <w:rFonts w:asciiTheme="minorHAnsi" w:hAnsiTheme="minorHAnsi"/>
          <w:sz w:val="24"/>
          <w:szCs w:val="24"/>
        </w:rPr>
        <w:footnoteReference w:id="113"/>
      </w:r>
      <w:r w:rsidR="003609DE" w:rsidRPr="00D45CDF">
        <w:rPr>
          <w:rFonts w:asciiTheme="minorHAnsi" w:hAnsiTheme="minorHAnsi"/>
          <w:sz w:val="24"/>
          <w:szCs w:val="24"/>
        </w:rPr>
        <w:t xml:space="preserve"> </w:t>
      </w:r>
    </w:p>
    <w:p w14:paraId="381ECBD2" w14:textId="77777777" w:rsidR="00DE1DB4" w:rsidRPr="00D45CDF" w:rsidRDefault="00D021A7" w:rsidP="001C5BA7">
      <w:pPr>
        <w:spacing w:line="240" w:lineRule="auto"/>
        <w:jc w:val="both"/>
        <w:rPr>
          <w:rFonts w:asciiTheme="minorHAnsi" w:eastAsiaTheme="minorHAnsi" w:hAnsiTheme="minorHAnsi"/>
          <w:color w:val="000000"/>
          <w:sz w:val="24"/>
          <w:szCs w:val="24"/>
          <w:lang w:eastAsia="en-US"/>
        </w:rPr>
      </w:pPr>
      <w:r w:rsidRPr="00D45CDF">
        <w:rPr>
          <w:rFonts w:asciiTheme="minorHAnsi" w:hAnsiTheme="minorHAnsi"/>
          <w:sz w:val="24"/>
          <w:szCs w:val="24"/>
        </w:rPr>
        <w:t xml:space="preserve">Via </w:t>
      </w:r>
      <w:r w:rsidR="0050761F" w:rsidRPr="00D45CDF">
        <w:rPr>
          <w:rFonts w:asciiTheme="minorHAnsi" w:hAnsiTheme="minorHAnsi"/>
          <w:sz w:val="24"/>
          <w:szCs w:val="24"/>
        </w:rPr>
        <w:t xml:space="preserve">the </w:t>
      </w:r>
      <w:r w:rsidRPr="00D45CDF">
        <w:rPr>
          <w:rFonts w:asciiTheme="minorHAnsi" w:hAnsiTheme="minorHAnsi"/>
          <w:sz w:val="24"/>
          <w:szCs w:val="24"/>
        </w:rPr>
        <w:t xml:space="preserve">Common Market Protocol, </w:t>
      </w:r>
      <w:r w:rsidR="001D6D90" w:rsidRPr="00D45CDF">
        <w:rPr>
          <w:rFonts w:asciiTheme="minorHAnsi" w:hAnsiTheme="minorHAnsi"/>
          <w:sz w:val="24"/>
          <w:szCs w:val="24"/>
        </w:rPr>
        <w:t>Partner States</w:t>
      </w:r>
      <w:r w:rsidR="009A0668" w:rsidRPr="00D45CDF">
        <w:rPr>
          <w:rFonts w:asciiTheme="minorHAnsi" w:hAnsiTheme="minorHAnsi"/>
          <w:sz w:val="24"/>
          <w:szCs w:val="24"/>
        </w:rPr>
        <w:t xml:space="preserve"> </w:t>
      </w:r>
      <w:r w:rsidR="00F74E80" w:rsidRPr="00D45CDF">
        <w:rPr>
          <w:rFonts w:asciiTheme="minorHAnsi" w:hAnsiTheme="minorHAnsi"/>
          <w:sz w:val="24"/>
          <w:szCs w:val="24"/>
        </w:rPr>
        <w:t xml:space="preserve">also </w:t>
      </w:r>
      <w:r w:rsidR="009A0668" w:rsidRPr="00D45CDF">
        <w:rPr>
          <w:rFonts w:asciiTheme="minorHAnsi" w:hAnsiTheme="minorHAnsi"/>
          <w:sz w:val="24"/>
          <w:szCs w:val="24"/>
        </w:rPr>
        <w:t xml:space="preserve">agreed </w:t>
      </w:r>
      <w:r w:rsidR="00F74E80" w:rsidRPr="00D45CDF">
        <w:rPr>
          <w:rFonts w:asciiTheme="minorHAnsi" w:hAnsiTheme="minorHAnsi"/>
          <w:sz w:val="24"/>
          <w:szCs w:val="24"/>
        </w:rPr>
        <w:t>t</w:t>
      </w:r>
      <w:r w:rsidR="009A0668" w:rsidRPr="00D45CDF">
        <w:rPr>
          <w:rFonts w:asciiTheme="minorHAnsi" w:hAnsiTheme="minorHAnsi"/>
          <w:sz w:val="24"/>
          <w:szCs w:val="24"/>
        </w:rPr>
        <w:t xml:space="preserve">o </w:t>
      </w:r>
      <w:r w:rsidR="00F24CCD" w:rsidRPr="00D45CDF">
        <w:rPr>
          <w:rFonts w:asciiTheme="minorHAnsi" w:hAnsiTheme="minorHAnsi"/>
          <w:sz w:val="24"/>
          <w:szCs w:val="24"/>
        </w:rPr>
        <w:t>treat</w:t>
      </w:r>
      <w:r w:rsidR="00F74E80" w:rsidRPr="00D45CDF">
        <w:rPr>
          <w:rFonts w:asciiTheme="minorHAnsi" w:hAnsiTheme="minorHAnsi"/>
          <w:sz w:val="24"/>
          <w:szCs w:val="24"/>
        </w:rPr>
        <w:t xml:space="preserve"> </w:t>
      </w:r>
      <w:r w:rsidR="009A0668" w:rsidRPr="00D45CDF">
        <w:rPr>
          <w:rFonts w:asciiTheme="minorHAnsi" w:hAnsiTheme="minorHAnsi"/>
          <w:sz w:val="24"/>
          <w:szCs w:val="24"/>
        </w:rPr>
        <w:t xml:space="preserve">legal services and lawyers </w:t>
      </w:r>
      <w:r w:rsidR="0007478F" w:rsidRPr="00D45CDF">
        <w:rPr>
          <w:rFonts w:asciiTheme="minorHAnsi" w:hAnsiTheme="minorHAnsi"/>
          <w:sz w:val="24"/>
          <w:szCs w:val="24"/>
        </w:rPr>
        <w:t>from</w:t>
      </w:r>
      <w:r w:rsidR="009A0668" w:rsidRPr="00D45CDF">
        <w:rPr>
          <w:rFonts w:asciiTheme="minorHAnsi" w:hAnsiTheme="minorHAnsi"/>
          <w:sz w:val="24"/>
          <w:szCs w:val="24"/>
        </w:rPr>
        <w:t xml:space="preserve"> other </w:t>
      </w:r>
      <w:r w:rsidR="001D6D90" w:rsidRPr="00D45CDF">
        <w:rPr>
          <w:rFonts w:asciiTheme="minorHAnsi" w:hAnsiTheme="minorHAnsi"/>
          <w:sz w:val="24"/>
          <w:szCs w:val="24"/>
        </w:rPr>
        <w:t>Partner States</w:t>
      </w:r>
      <w:r w:rsidR="009A0668" w:rsidRPr="00D45CDF">
        <w:rPr>
          <w:rFonts w:asciiTheme="minorHAnsi" w:hAnsiTheme="minorHAnsi"/>
          <w:sz w:val="24"/>
          <w:szCs w:val="24"/>
        </w:rPr>
        <w:t xml:space="preserve"> </w:t>
      </w:r>
      <w:r w:rsidR="00F24CCD" w:rsidRPr="00D45CDF">
        <w:rPr>
          <w:rFonts w:asciiTheme="minorHAnsi" w:hAnsiTheme="minorHAnsi"/>
          <w:sz w:val="24"/>
          <w:szCs w:val="24"/>
        </w:rPr>
        <w:t>no</w:t>
      </w:r>
      <w:r w:rsidR="009A0668" w:rsidRPr="00D45CDF">
        <w:rPr>
          <w:rFonts w:asciiTheme="minorHAnsi" w:hAnsiTheme="minorHAnsi"/>
          <w:sz w:val="24"/>
          <w:szCs w:val="24"/>
        </w:rPr>
        <w:t xml:space="preserve"> less </w:t>
      </w:r>
      <w:r w:rsidR="00F24CCD" w:rsidRPr="00D45CDF">
        <w:rPr>
          <w:rFonts w:asciiTheme="minorHAnsi" w:hAnsiTheme="minorHAnsi"/>
          <w:sz w:val="24"/>
          <w:szCs w:val="24"/>
        </w:rPr>
        <w:t>favourably</w:t>
      </w:r>
      <w:r w:rsidR="009A0668" w:rsidRPr="00D45CDF">
        <w:rPr>
          <w:rFonts w:asciiTheme="minorHAnsi" w:hAnsiTheme="minorHAnsi"/>
          <w:sz w:val="24"/>
          <w:szCs w:val="24"/>
        </w:rPr>
        <w:t xml:space="preserve"> than their own lawyers.</w:t>
      </w:r>
      <w:r w:rsidR="00B11EFA" w:rsidRPr="00D45CDF">
        <w:rPr>
          <w:rStyle w:val="FootnoteReference"/>
          <w:rFonts w:asciiTheme="minorHAnsi" w:hAnsiTheme="minorHAnsi"/>
          <w:sz w:val="24"/>
          <w:szCs w:val="24"/>
        </w:rPr>
        <w:footnoteReference w:id="114"/>
      </w:r>
      <w:r w:rsidR="009A0668" w:rsidRPr="00D45CDF">
        <w:rPr>
          <w:rFonts w:asciiTheme="minorHAnsi" w:hAnsiTheme="minorHAnsi"/>
          <w:sz w:val="24"/>
          <w:szCs w:val="24"/>
        </w:rPr>
        <w:t xml:space="preserve"> </w:t>
      </w:r>
      <w:r w:rsidR="00F24CCD" w:rsidRPr="00D45CDF">
        <w:rPr>
          <w:rFonts w:asciiTheme="minorHAnsi" w:hAnsiTheme="minorHAnsi"/>
          <w:sz w:val="24"/>
          <w:szCs w:val="24"/>
        </w:rPr>
        <w:t xml:space="preserve">This </w:t>
      </w:r>
      <w:r w:rsidR="009A0668" w:rsidRPr="00D45CDF">
        <w:rPr>
          <w:rFonts w:asciiTheme="minorHAnsi" w:hAnsiTheme="minorHAnsi"/>
          <w:sz w:val="24"/>
          <w:szCs w:val="24"/>
        </w:rPr>
        <w:t>means that</w:t>
      </w:r>
      <w:r w:rsidR="00F24CCD" w:rsidRPr="00D45CDF">
        <w:rPr>
          <w:rFonts w:asciiTheme="minorHAnsi" w:hAnsiTheme="minorHAnsi"/>
          <w:sz w:val="24"/>
          <w:szCs w:val="24"/>
        </w:rPr>
        <w:t xml:space="preserve"> i</w:t>
      </w:r>
      <w:r w:rsidR="009A0668" w:rsidRPr="00D45CDF">
        <w:rPr>
          <w:rFonts w:asciiTheme="minorHAnsi" w:hAnsiTheme="minorHAnsi"/>
          <w:sz w:val="24"/>
          <w:szCs w:val="24"/>
        </w:rPr>
        <w:t xml:space="preserve">f there are conditions to be met, both citizens from other EAC states and the nationals of the host country </w:t>
      </w:r>
      <w:r w:rsidR="00B11EFA" w:rsidRPr="00D45CDF">
        <w:rPr>
          <w:rFonts w:asciiTheme="minorHAnsi" w:hAnsiTheme="minorHAnsi"/>
          <w:sz w:val="24"/>
          <w:szCs w:val="24"/>
        </w:rPr>
        <w:t>would be required to comply with them</w:t>
      </w:r>
      <w:r w:rsidR="009A0668" w:rsidRPr="00D45CDF">
        <w:rPr>
          <w:rFonts w:asciiTheme="minorHAnsi" w:hAnsiTheme="minorHAnsi"/>
          <w:sz w:val="24"/>
          <w:szCs w:val="24"/>
        </w:rPr>
        <w:t xml:space="preserve">. </w:t>
      </w:r>
      <w:r w:rsidR="00F24CCD" w:rsidRPr="00D45CDF">
        <w:rPr>
          <w:rFonts w:asciiTheme="minorHAnsi" w:hAnsiTheme="minorHAnsi"/>
          <w:sz w:val="24"/>
          <w:szCs w:val="24"/>
        </w:rPr>
        <w:t>However,</w:t>
      </w:r>
      <w:r w:rsidR="009A0668" w:rsidRPr="00D45CDF">
        <w:rPr>
          <w:rFonts w:asciiTheme="minorHAnsi" w:hAnsiTheme="minorHAnsi"/>
          <w:sz w:val="24"/>
          <w:szCs w:val="24"/>
        </w:rPr>
        <w:t xml:space="preserve"> the EAC </w:t>
      </w:r>
      <w:r w:rsidR="00F24CCD" w:rsidRPr="00D45CDF">
        <w:rPr>
          <w:rFonts w:asciiTheme="minorHAnsi" w:hAnsiTheme="minorHAnsi"/>
          <w:sz w:val="24"/>
          <w:szCs w:val="24"/>
        </w:rPr>
        <w:t>C</w:t>
      </w:r>
      <w:r w:rsidR="009A0668" w:rsidRPr="00D45CDF">
        <w:rPr>
          <w:rFonts w:asciiTheme="minorHAnsi" w:hAnsiTheme="minorHAnsi"/>
          <w:sz w:val="24"/>
          <w:szCs w:val="24"/>
        </w:rPr>
        <w:t xml:space="preserve">ommon </w:t>
      </w:r>
      <w:r w:rsidR="00F24CCD" w:rsidRPr="00D45CDF">
        <w:rPr>
          <w:rFonts w:asciiTheme="minorHAnsi" w:hAnsiTheme="minorHAnsi"/>
          <w:sz w:val="24"/>
          <w:szCs w:val="24"/>
        </w:rPr>
        <w:t>M</w:t>
      </w:r>
      <w:r w:rsidR="009A0668" w:rsidRPr="00D45CDF">
        <w:rPr>
          <w:rFonts w:asciiTheme="minorHAnsi" w:hAnsiTheme="minorHAnsi"/>
          <w:sz w:val="24"/>
          <w:szCs w:val="24"/>
        </w:rPr>
        <w:t xml:space="preserve">arket </w:t>
      </w:r>
      <w:r w:rsidR="00F24CCD" w:rsidRPr="00D45CDF">
        <w:rPr>
          <w:rFonts w:asciiTheme="minorHAnsi" w:hAnsiTheme="minorHAnsi"/>
          <w:sz w:val="24"/>
          <w:szCs w:val="24"/>
        </w:rPr>
        <w:t>P</w:t>
      </w:r>
      <w:r w:rsidR="009A0668" w:rsidRPr="00D45CDF">
        <w:rPr>
          <w:rFonts w:asciiTheme="minorHAnsi" w:hAnsiTheme="minorHAnsi"/>
          <w:sz w:val="24"/>
          <w:szCs w:val="24"/>
        </w:rPr>
        <w:t>rotocol went</w:t>
      </w:r>
      <w:r w:rsidR="00E67954" w:rsidRPr="00D45CDF">
        <w:rPr>
          <w:rFonts w:asciiTheme="minorHAnsi" w:hAnsiTheme="minorHAnsi"/>
          <w:sz w:val="24"/>
          <w:szCs w:val="24"/>
        </w:rPr>
        <w:t xml:space="preserve"> one step</w:t>
      </w:r>
      <w:r w:rsidR="009A0668" w:rsidRPr="00D45CDF">
        <w:rPr>
          <w:rFonts w:asciiTheme="minorHAnsi" w:hAnsiTheme="minorHAnsi"/>
          <w:sz w:val="24"/>
          <w:szCs w:val="24"/>
        </w:rPr>
        <w:t xml:space="preserve"> further</w:t>
      </w:r>
      <w:r w:rsidR="0050761F" w:rsidRPr="00D45CDF">
        <w:rPr>
          <w:rFonts w:asciiTheme="minorHAnsi" w:hAnsiTheme="minorHAnsi"/>
          <w:sz w:val="24"/>
          <w:szCs w:val="24"/>
        </w:rPr>
        <w:t>, stating that it m</w:t>
      </w:r>
      <w:r w:rsidR="0007478F" w:rsidRPr="00D45CDF">
        <w:rPr>
          <w:rFonts w:asciiTheme="minorHAnsi" w:hAnsiTheme="minorHAnsi"/>
          <w:sz w:val="24"/>
          <w:szCs w:val="24"/>
        </w:rPr>
        <w:t>ight</w:t>
      </w:r>
      <w:r w:rsidR="0050761F" w:rsidRPr="00D45CDF">
        <w:rPr>
          <w:rFonts w:asciiTheme="minorHAnsi" w:hAnsiTheme="minorHAnsi"/>
          <w:sz w:val="24"/>
          <w:szCs w:val="24"/>
        </w:rPr>
        <w:t xml:space="preserve"> be necessary for EAC states to accord different treatment to service suppliers from </w:t>
      </w:r>
      <w:r w:rsidR="001D6D90" w:rsidRPr="00D45CDF">
        <w:rPr>
          <w:rFonts w:asciiTheme="minorHAnsi" w:hAnsiTheme="minorHAnsi"/>
          <w:sz w:val="24"/>
          <w:szCs w:val="24"/>
        </w:rPr>
        <w:t>Partner States</w:t>
      </w:r>
      <w:r w:rsidR="0050761F" w:rsidRPr="00D45CDF">
        <w:rPr>
          <w:rFonts w:asciiTheme="minorHAnsi" w:hAnsiTheme="minorHAnsi"/>
          <w:sz w:val="24"/>
          <w:szCs w:val="24"/>
        </w:rPr>
        <w:t xml:space="preserve">, if providing identical treatment to service suppliers from </w:t>
      </w:r>
      <w:r w:rsidR="001D6D90" w:rsidRPr="00D45CDF">
        <w:rPr>
          <w:rFonts w:asciiTheme="minorHAnsi" w:hAnsiTheme="minorHAnsi"/>
          <w:sz w:val="24"/>
          <w:szCs w:val="24"/>
        </w:rPr>
        <w:t>Partner States</w:t>
      </w:r>
      <w:r w:rsidR="0050761F" w:rsidRPr="00D45CDF">
        <w:rPr>
          <w:rFonts w:asciiTheme="minorHAnsi" w:hAnsiTheme="minorHAnsi"/>
          <w:sz w:val="24"/>
          <w:szCs w:val="24"/>
        </w:rPr>
        <w:t xml:space="preserve"> had the effect of placing them at a disadvantage in terms of </w:t>
      </w:r>
      <w:r w:rsidR="0050761F" w:rsidRPr="00D45CDF">
        <w:rPr>
          <w:rFonts w:asciiTheme="minorHAnsi" w:eastAsiaTheme="minorHAnsi" w:hAnsiTheme="minorHAnsi"/>
          <w:color w:val="000000"/>
          <w:sz w:val="24"/>
          <w:szCs w:val="24"/>
          <w:lang w:eastAsia="en-US"/>
        </w:rPr>
        <w:t>competition with service suppliers of the home state.</w:t>
      </w:r>
      <w:r w:rsidR="000478AE" w:rsidRPr="00D45CDF">
        <w:rPr>
          <w:rStyle w:val="FootnoteReference"/>
          <w:rFonts w:asciiTheme="minorHAnsi" w:eastAsiaTheme="minorHAnsi" w:hAnsiTheme="minorHAnsi"/>
          <w:color w:val="000000"/>
          <w:sz w:val="24"/>
          <w:szCs w:val="24"/>
          <w:lang w:eastAsia="en-US"/>
        </w:rPr>
        <w:footnoteReference w:id="115"/>
      </w:r>
      <w:r w:rsidR="00881729" w:rsidRPr="00D45CDF">
        <w:rPr>
          <w:rFonts w:asciiTheme="minorHAnsi" w:eastAsiaTheme="minorHAnsi" w:hAnsiTheme="minorHAnsi"/>
          <w:color w:val="000000"/>
          <w:sz w:val="24"/>
          <w:szCs w:val="24"/>
          <w:lang w:eastAsia="en-US"/>
        </w:rPr>
        <w:t xml:space="preserve"> </w:t>
      </w:r>
    </w:p>
    <w:p w14:paraId="107DFABA" w14:textId="77777777" w:rsidR="008F1B80" w:rsidRPr="00D45CDF" w:rsidRDefault="00DE1DB4" w:rsidP="001C5BA7">
      <w:pPr>
        <w:spacing w:line="240" w:lineRule="auto"/>
        <w:jc w:val="both"/>
        <w:rPr>
          <w:rFonts w:asciiTheme="minorHAnsi" w:hAnsiTheme="minorHAnsi"/>
          <w:sz w:val="24"/>
          <w:szCs w:val="24"/>
        </w:rPr>
      </w:pPr>
      <w:r w:rsidRPr="00D45CDF">
        <w:rPr>
          <w:rFonts w:asciiTheme="minorHAnsi" w:eastAsiaTheme="minorHAnsi" w:hAnsiTheme="minorHAnsi"/>
          <w:color w:val="000000"/>
          <w:sz w:val="24"/>
          <w:szCs w:val="24"/>
          <w:lang w:eastAsia="en-US"/>
        </w:rPr>
        <w:lastRenderedPageBreak/>
        <w:t>The ongoing discussions for the adoption of an MRA in the EAC to operationali</w:t>
      </w:r>
      <w:r w:rsidR="0007478F" w:rsidRPr="00D45CDF">
        <w:rPr>
          <w:rFonts w:asciiTheme="minorHAnsi" w:eastAsiaTheme="minorHAnsi" w:hAnsiTheme="minorHAnsi"/>
          <w:color w:val="000000"/>
          <w:sz w:val="24"/>
          <w:szCs w:val="24"/>
          <w:lang w:eastAsia="en-US"/>
        </w:rPr>
        <w:t>s</w:t>
      </w:r>
      <w:r w:rsidRPr="00D45CDF">
        <w:rPr>
          <w:rFonts w:asciiTheme="minorHAnsi" w:eastAsiaTheme="minorHAnsi" w:hAnsiTheme="minorHAnsi"/>
          <w:color w:val="000000"/>
          <w:sz w:val="24"/>
          <w:szCs w:val="24"/>
          <w:lang w:eastAsia="en-US"/>
        </w:rPr>
        <w:t xml:space="preserve">e the FOM of legal services is not </w:t>
      </w:r>
      <w:r w:rsidR="00E4463C" w:rsidRPr="00D45CDF">
        <w:rPr>
          <w:rFonts w:asciiTheme="minorHAnsi" w:eastAsiaTheme="minorHAnsi" w:hAnsiTheme="minorHAnsi"/>
          <w:color w:val="000000"/>
          <w:sz w:val="24"/>
          <w:szCs w:val="24"/>
          <w:lang w:eastAsia="en-US"/>
        </w:rPr>
        <w:t>new</w:t>
      </w:r>
      <w:r w:rsidRPr="00D45CDF">
        <w:rPr>
          <w:rFonts w:asciiTheme="minorHAnsi" w:eastAsiaTheme="minorHAnsi" w:hAnsiTheme="minorHAnsi"/>
          <w:color w:val="000000"/>
          <w:sz w:val="24"/>
          <w:szCs w:val="24"/>
          <w:lang w:eastAsia="en-US"/>
        </w:rPr>
        <w:t xml:space="preserve">. The EU went through a similar path. </w:t>
      </w:r>
      <w:r w:rsidR="0089095F" w:rsidRPr="00D45CDF">
        <w:rPr>
          <w:rFonts w:asciiTheme="minorHAnsi" w:eastAsiaTheme="minorHAnsi" w:hAnsiTheme="minorHAnsi"/>
          <w:color w:val="000000"/>
          <w:sz w:val="24"/>
          <w:szCs w:val="24"/>
          <w:lang w:eastAsia="en-US"/>
        </w:rPr>
        <w:t xml:space="preserve">However, the history of </w:t>
      </w:r>
      <w:r w:rsidR="00F96EAD" w:rsidRPr="00D45CDF">
        <w:rPr>
          <w:rFonts w:asciiTheme="minorHAnsi" w:eastAsiaTheme="minorHAnsi" w:hAnsiTheme="minorHAnsi"/>
          <w:color w:val="000000"/>
          <w:sz w:val="24"/>
          <w:szCs w:val="24"/>
          <w:lang w:eastAsia="en-US"/>
        </w:rPr>
        <w:t xml:space="preserve">the </w:t>
      </w:r>
      <w:r w:rsidRPr="00D45CDF">
        <w:rPr>
          <w:rFonts w:asciiTheme="minorHAnsi" w:eastAsiaTheme="minorHAnsi" w:hAnsiTheme="minorHAnsi"/>
          <w:color w:val="000000"/>
          <w:sz w:val="24"/>
          <w:szCs w:val="24"/>
          <w:lang w:eastAsia="en-US"/>
        </w:rPr>
        <w:t>EU</w:t>
      </w:r>
      <w:r w:rsidR="0089095F" w:rsidRPr="00D45CDF">
        <w:rPr>
          <w:rFonts w:asciiTheme="minorHAnsi" w:eastAsiaTheme="minorHAnsi" w:hAnsiTheme="minorHAnsi"/>
          <w:color w:val="000000"/>
          <w:sz w:val="24"/>
          <w:szCs w:val="24"/>
          <w:lang w:eastAsia="en-US"/>
        </w:rPr>
        <w:t xml:space="preserve"> </w:t>
      </w:r>
      <w:r w:rsidR="00F96EAD" w:rsidRPr="00D45CDF">
        <w:rPr>
          <w:rFonts w:asciiTheme="minorHAnsi" w:eastAsiaTheme="minorHAnsi" w:hAnsiTheme="minorHAnsi"/>
          <w:color w:val="000000"/>
          <w:sz w:val="24"/>
          <w:szCs w:val="24"/>
          <w:lang w:eastAsia="en-US"/>
        </w:rPr>
        <w:t>bears testament to the fact</w:t>
      </w:r>
      <w:r w:rsidR="0089095F" w:rsidRPr="00D45CDF">
        <w:rPr>
          <w:rFonts w:asciiTheme="minorHAnsi" w:eastAsiaTheme="minorHAnsi" w:hAnsiTheme="minorHAnsi"/>
          <w:color w:val="000000"/>
          <w:sz w:val="24"/>
          <w:szCs w:val="24"/>
          <w:lang w:eastAsia="en-US"/>
        </w:rPr>
        <w:t xml:space="preserve"> that</w:t>
      </w:r>
      <w:r w:rsidRPr="00D45CDF">
        <w:rPr>
          <w:rFonts w:asciiTheme="minorHAnsi" w:eastAsiaTheme="minorHAnsi" w:hAnsiTheme="minorHAnsi"/>
          <w:color w:val="000000"/>
          <w:sz w:val="24"/>
          <w:szCs w:val="24"/>
          <w:lang w:eastAsia="en-US"/>
        </w:rPr>
        <w:t xml:space="preserve"> </w:t>
      </w:r>
      <w:r w:rsidR="0089095F" w:rsidRPr="00D45CDF">
        <w:rPr>
          <w:rFonts w:asciiTheme="minorHAnsi" w:eastAsiaTheme="minorHAnsi" w:hAnsiTheme="minorHAnsi"/>
          <w:color w:val="000000"/>
          <w:sz w:val="24"/>
          <w:szCs w:val="24"/>
          <w:lang w:eastAsia="en-US"/>
        </w:rPr>
        <w:t xml:space="preserve">the </w:t>
      </w:r>
      <w:r w:rsidRPr="00D45CDF">
        <w:rPr>
          <w:rFonts w:asciiTheme="minorHAnsi" w:eastAsiaTheme="minorHAnsi" w:hAnsiTheme="minorHAnsi"/>
          <w:color w:val="000000"/>
          <w:sz w:val="24"/>
          <w:szCs w:val="24"/>
          <w:lang w:eastAsia="en-US"/>
        </w:rPr>
        <w:t xml:space="preserve">Commission and the ECJ </w:t>
      </w:r>
      <w:r w:rsidR="0089095F" w:rsidRPr="00D45CDF">
        <w:rPr>
          <w:rFonts w:asciiTheme="minorHAnsi" w:eastAsiaTheme="minorHAnsi" w:hAnsiTheme="minorHAnsi"/>
          <w:color w:val="000000"/>
          <w:sz w:val="24"/>
          <w:szCs w:val="24"/>
          <w:lang w:eastAsia="en-US"/>
        </w:rPr>
        <w:t xml:space="preserve">have </w:t>
      </w:r>
      <w:r w:rsidRPr="00D45CDF">
        <w:rPr>
          <w:rFonts w:asciiTheme="minorHAnsi" w:eastAsiaTheme="minorHAnsi" w:hAnsiTheme="minorHAnsi"/>
          <w:color w:val="000000"/>
          <w:sz w:val="24"/>
          <w:szCs w:val="24"/>
          <w:lang w:eastAsia="en-US"/>
        </w:rPr>
        <w:t xml:space="preserve">played </w:t>
      </w:r>
      <w:r w:rsidR="00E67954" w:rsidRPr="00D45CDF">
        <w:rPr>
          <w:rFonts w:asciiTheme="minorHAnsi" w:eastAsiaTheme="minorHAnsi" w:hAnsiTheme="minorHAnsi"/>
          <w:color w:val="000000"/>
          <w:sz w:val="24"/>
          <w:szCs w:val="24"/>
          <w:lang w:eastAsia="en-US"/>
        </w:rPr>
        <w:t xml:space="preserve">a </w:t>
      </w:r>
      <w:r w:rsidR="0089095F" w:rsidRPr="00D45CDF">
        <w:rPr>
          <w:rFonts w:asciiTheme="minorHAnsi" w:eastAsiaTheme="minorHAnsi" w:hAnsiTheme="minorHAnsi"/>
          <w:color w:val="000000"/>
          <w:sz w:val="24"/>
          <w:szCs w:val="24"/>
          <w:lang w:eastAsia="en-US"/>
        </w:rPr>
        <w:t xml:space="preserve">paramount </w:t>
      </w:r>
      <w:r w:rsidRPr="00D45CDF">
        <w:rPr>
          <w:rFonts w:asciiTheme="minorHAnsi" w:eastAsiaTheme="minorHAnsi" w:hAnsiTheme="minorHAnsi"/>
          <w:color w:val="000000"/>
          <w:sz w:val="24"/>
          <w:szCs w:val="24"/>
          <w:lang w:eastAsia="en-US"/>
        </w:rPr>
        <w:t xml:space="preserve">role </w:t>
      </w:r>
      <w:r w:rsidR="0089095F" w:rsidRPr="00D45CDF">
        <w:rPr>
          <w:rFonts w:asciiTheme="minorHAnsi" w:eastAsiaTheme="minorHAnsi" w:hAnsiTheme="minorHAnsi"/>
          <w:color w:val="000000"/>
          <w:sz w:val="24"/>
          <w:szCs w:val="24"/>
          <w:lang w:eastAsia="en-US"/>
        </w:rPr>
        <w:t xml:space="preserve">in building the European legal framework. </w:t>
      </w:r>
      <w:r w:rsidR="00CC2CB8" w:rsidRPr="00D45CDF">
        <w:rPr>
          <w:rFonts w:asciiTheme="minorHAnsi" w:eastAsiaTheme="minorHAnsi" w:hAnsiTheme="minorHAnsi"/>
          <w:color w:val="000000"/>
          <w:sz w:val="24"/>
          <w:szCs w:val="24"/>
          <w:lang w:eastAsia="en-US"/>
        </w:rPr>
        <w:t xml:space="preserve">Given </w:t>
      </w:r>
      <w:r w:rsidR="0089095F" w:rsidRPr="00D45CDF">
        <w:rPr>
          <w:rFonts w:asciiTheme="minorHAnsi" w:eastAsiaTheme="minorHAnsi" w:hAnsiTheme="minorHAnsi"/>
          <w:color w:val="000000"/>
          <w:sz w:val="24"/>
          <w:szCs w:val="24"/>
          <w:lang w:eastAsia="en-US"/>
        </w:rPr>
        <w:t xml:space="preserve">the </w:t>
      </w:r>
      <w:r w:rsidR="00CC2CB8" w:rsidRPr="00D45CDF">
        <w:rPr>
          <w:rFonts w:asciiTheme="minorHAnsi" w:eastAsiaTheme="minorHAnsi" w:hAnsiTheme="minorHAnsi"/>
          <w:color w:val="000000"/>
          <w:sz w:val="24"/>
          <w:szCs w:val="24"/>
          <w:lang w:eastAsia="en-US"/>
        </w:rPr>
        <w:t xml:space="preserve">slowness of relevant EAC organs to adopt the EAC Cross Border Legal Practice Bill, 2014 and the MRA, </w:t>
      </w:r>
      <w:r w:rsidR="002577F5" w:rsidRPr="00D45CDF">
        <w:rPr>
          <w:rFonts w:asciiTheme="minorHAnsi" w:eastAsiaTheme="minorHAnsi" w:hAnsiTheme="minorHAnsi"/>
          <w:color w:val="000000"/>
          <w:sz w:val="24"/>
          <w:szCs w:val="24"/>
          <w:lang w:eastAsia="en-US"/>
        </w:rPr>
        <w:t>the East Af</w:t>
      </w:r>
      <w:r w:rsidR="00CC2CB8" w:rsidRPr="00D45CDF">
        <w:rPr>
          <w:rFonts w:asciiTheme="minorHAnsi" w:eastAsiaTheme="minorHAnsi" w:hAnsiTheme="minorHAnsi"/>
          <w:color w:val="000000"/>
          <w:sz w:val="24"/>
          <w:szCs w:val="24"/>
          <w:lang w:eastAsia="en-US"/>
        </w:rPr>
        <w:t xml:space="preserve">rican Court of Justice </w:t>
      </w:r>
      <w:r w:rsidR="00997787" w:rsidRPr="00D45CDF">
        <w:rPr>
          <w:rFonts w:asciiTheme="minorHAnsi" w:eastAsiaTheme="minorHAnsi" w:hAnsiTheme="minorHAnsi"/>
          <w:color w:val="000000"/>
          <w:sz w:val="24"/>
          <w:szCs w:val="24"/>
          <w:lang w:eastAsia="en-US"/>
        </w:rPr>
        <w:t>c</w:t>
      </w:r>
      <w:r w:rsidR="0029485F" w:rsidRPr="00D45CDF">
        <w:rPr>
          <w:rFonts w:asciiTheme="minorHAnsi" w:eastAsiaTheme="minorHAnsi" w:hAnsiTheme="minorHAnsi"/>
          <w:color w:val="000000"/>
          <w:sz w:val="24"/>
          <w:szCs w:val="24"/>
          <w:lang w:eastAsia="en-US"/>
        </w:rPr>
        <w:t>ould</w:t>
      </w:r>
      <w:r w:rsidR="00CC2CB8" w:rsidRPr="00D45CDF">
        <w:rPr>
          <w:rFonts w:asciiTheme="minorHAnsi" w:eastAsiaTheme="minorHAnsi" w:hAnsiTheme="minorHAnsi"/>
          <w:color w:val="000000"/>
          <w:sz w:val="24"/>
          <w:szCs w:val="24"/>
          <w:lang w:eastAsia="en-US"/>
        </w:rPr>
        <w:t xml:space="preserve"> play</w:t>
      </w:r>
      <w:r w:rsidR="00997787" w:rsidRPr="00D45CDF">
        <w:rPr>
          <w:rFonts w:asciiTheme="minorHAnsi" w:eastAsiaTheme="minorHAnsi" w:hAnsiTheme="minorHAnsi"/>
          <w:color w:val="000000"/>
          <w:sz w:val="24"/>
          <w:szCs w:val="24"/>
          <w:lang w:eastAsia="en-US"/>
        </w:rPr>
        <w:t xml:space="preserve"> a</w:t>
      </w:r>
      <w:r w:rsidR="00CC2CB8" w:rsidRPr="00D45CDF">
        <w:rPr>
          <w:rFonts w:asciiTheme="minorHAnsi" w:eastAsiaTheme="minorHAnsi" w:hAnsiTheme="minorHAnsi"/>
          <w:color w:val="000000"/>
          <w:sz w:val="24"/>
          <w:szCs w:val="24"/>
          <w:lang w:eastAsia="en-US"/>
        </w:rPr>
        <w:t xml:space="preserve"> saluta</w:t>
      </w:r>
      <w:r w:rsidR="002577F5" w:rsidRPr="00D45CDF">
        <w:rPr>
          <w:rFonts w:asciiTheme="minorHAnsi" w:eastAsiaTheme="minorHAnsi" w:hAnsiTheme="minorHAnsi"/>
          <w:color w:val="000000"/>
          <w:sz w:val="24"/>
          <w:szCs w:val="24"/>
          <w:lang w:eastAsia="en-US"/>
        </w:rPr>
        <w:t>ry role through a</w:t>
      </w:r>
      <w:r w:rsidR="0089095F" w:rsidRPr="00D45CDF">
        <w:rPr>
          <w:rFonts w:asciiTheme="minorHAnsi" w:eastAsiaTheme="minorHAnsi" w:hAnsiTheme="minorHAnsi"/>
          <w:color w:val="000000"/>
          <w:sz w:val="24"/>
          <w:szCs w:val="24"/>
          <w:lang w:eastAsia="en-US"/>
        </w:rPr>
        <w:t xml:space="preserve"> pro-integration interpretation </w:t>
      </w:r>
      <w:r w:rsidR="00CC2CB8" w:rsidRPr="00D45CDF">
        <w:rPr>
          <w:rFonts w:asciiTheme="minorHAnsi" w:eastAsiaTheme="minorHAnsi" w:hAnsiTheme="minorHAnsi"/>
          <w:color w:val="000000"/>
          <w:sz w:val="24"/>
          <w:szCs w:val="24"/>
          <w:lang w:eastAsia="en-US"/>
        </w:rPr>
        <w:t>by following</w:t>
      </w:r>
      <w:r w:rsidR="00997787" w:rsidRPr="00D45CDF">
        <w:rPr>
          <w:rFonts w:asciiTheme="minorHAnsi" w:eastAsiaTheme="minorHAnsi" w:hAnsiTheme="minorHAnsi"/>
          <w:color w:val="000000"/>
          <w:sz w:val="24"/>
          <w:szCs w:val="24"/>
          <w:lang w:eastAsia="en-US"/>
        </w:rPr>
        <w:t xml:space="preserve"> in</w:t>
      </w:r>
      <w:r w:rsidR="00CC2CB8" w:rsidRPr="00D45CDF">
        <w:rPr>
          <w:rFonts w:asciiTheme="minorHAnsi" w:eastAsiaTheme="minorHAnsi" w:hAnsiTheme="minorHAnsi"/>
          <w:color w:val="000000"/>
          <w:sz w:val="24"/>
          <w:szCs w:val="24"/>
          <w:lang w:eastAsia="en-US"/>
        </w:rPr>
        <w:t xml:space="preserve"> the footsteps of its European counterpart</w:t>
      </w:r>
      <w:r w:rsidR="00997787" w:rsidRPr="00D45CDF">
        <w:rPr>
          <w:rFonts w:asciiTheme="minorHAnsi" w:eastAsiaTheme="minorHAnsi" w:hAnsiTheme="minorHAnsi"/>
          <w:color w:val="000000"/>
          <w:sz w:val="24"/>
          <w:szCs w:val="24"/>
          <w:lang w:eastAsia="en-US"/>
        </w:rPr>
        <w:t>,</w:t>
      </w:r>
      <w:r w:rsidR="0029485F" w:rsidRPr="00D45CDF">
        <w:rPr>
          <w:rFonts w:asciiTheme="minorHAnsi" w:eastAsiaTheme="minorHAnsi" w:hAnsiTheme="minorHAnsi"/>
          <w:color w:val="000000"/>
          <w:sz w:val="24"/>
          <w:szCs w:val="24"/>
          <w:lang w:eastAsia="en-US"/>
        </w:rPr>
        <w:t xml:space="preserve"> </w:t>
      </w:r>
      <w:r w:rsidR="00CC2CB8" w:rsidRPr="00D45CDF">
        <w:rPr>
          <w:rFonts w:asciiTheme="minorHAnsi" w:eastAsiaTheme="minorHAnsi" w:hAnsiTheme="minorHAnsi"/>
          <w:color w:val="000000"/>
          <w:sz w:val="24"/>
          <w:szCs w:val="24"/>
          <w:lang w:eastAsia="en-US"/>
        </w:rPr>
        <w:t>if cases involving violations of the free movement of law</w:t>
      </w:r>
      <w:r w:rsidR="0029485F" w:rsidRPr="00D45CDF">
        <w:rPr>
          <w:rFonts w:asciiTheme="minorHAnsi" w:eastAsiaTheme="minorHAnsi" w:hAnsiTheme="minorHAnsi"/>
          <w:color w:val="000000"/>
          <w:sz w:val="24"/>
          <w:szCs w:val="24"/>
          <w:lang w:eastAsia="en-US"/>
        </w:rPr>
        <w:t>yers were</w:t>
      </w:r>
      <w:r w:rsidR="00CC2CB8" w:rsidRPr="00D45CDF">
        <w:rPr>
          <w:rFonts w:asciiTheme="minorHAnsi" w:eastAsiaTheme="minorHAnsi" w:hAnsiTheme="minorHAnsi"/>
          <w:color w:val="000000"/>
          <w:sz w:val="24"/>
          <w:szCs w:val="24"/>
          <w:lang w:eastAsia="en-US"/>
        </w:rPr>
        <w:t xml:space="preserve"> brought under its consideration</w:t>
      </w:r>
      <w:r w:rsidR="0089095F" w:rsidRPr="00D45CDF">
        <w:rPr>
          <w:rFonts w:asciiTheme="minorHAnsi" w:eastAsiaTheme="minorHAnsi" w:hAnsiTheme="minorHAnsi"/>
          <w:color w:val="000000"/>
          <w:sz w:val="24"/>
          <w:szCs w:val="24"/>
          <w:lang w:eastAsia="en-US"/>
        </w:rPr>
        <w:t>.</w:t>
      </w:r>
      <w:r w:rsidR="0089095F" w:rsidRPr="00D45CDF">
        <w:rPr>
          <w:rStyle w:val="FootnoteReference"/>
          <w:rFonts w:asciiTheme="minorHAnsi" w:eastAsiaTheme="minorHAnsi" w:hAnsiTheme="minorHAnsi"/>
          <w:color w:val="000000"/>
          <w:sz w:val="24"/>
          <w:szCs w:val="24"/>
          <w:lang w:eastAsia="en-US"/>
        </w:rPr>
        <w:footnoteReference w:id="116"/>
      </w:r>
    </w:p>
    <w:p w14:paraId="4C087754" w14:textId="77777777" w:rsidR="007852BE" w:rsidRDefault="00FD1546" w:rsidP="001B2C2B">
      <w:pPr>
        <w:pStyle w:val="ListParagraph"/>
        <w:numPr>
          <w:ilvl w:val="1"/>
          <w:numId w:val="11"/>
        </w:numPr>
        <w:spacing w:line="240" w:lineRule="auto"/>
        <w:ind w:left="426" w:hanging="426"/>
        <w:jc w:val="both"/>
        <w:rPr>
          <w:rFonts w:asciiTheme="minorHAnsi" w:hAnsiTheme="minorHAnsi"/>
          <w:b/>
          <w:bCs/>
          <w:sz w:val="24"/>
          <w:szCs w:val="24"/>
        </w:rPr>
      </w:pPr>
      <w:r w:rsidRPr="001B2C2B">
        <w:rPr>
          <w:rFonts w:asciiTheme="minorHAnsi" w:hAnsiTheme="minorHAnsi"/>
          <w:b/>
          <w:bCs/>
          <w:sz w:val="24"/>
          <w:szCs w:val="24"/>
        </w:rPr>
        <w:t xml:space="preserve">Regulation of </w:t>
      </w:r>
      <w:r w:rsidR="003C7E50" w:rsidRPr="001B2C2B">
        <w:rPr>
          <w:rFonts w:asciiTheme="minorHAnsi" w:hAnsiTheme="minorHAnsi"/>
          <w:b/>
          <w:bCs/>
          <w:sz w:val="24"/>
          <w:szCs w:val="24"/>
        </w:rPr>
        <w:t xml:space="preserve">the practice of </w:t>
      </w:r>
      <w:r w:rsidRPr="001B2C2B">
        <w:rPr>
          <w:rFonts w:asciiTheme="minorHAnsi" w:hAnsiTheme="minorHAnsi"/>
          <w:b/>
          <w:bCs/>
          <w:sz w:val="24"/>
          <w:szCs w:val="24"/>
        </w:rPr>
        <w:t xml:space="preserve">foreign lawyers in Rwanda </w:t>
      </w:r>
    </w:p>
    <w:p w14:paraId="7BD6AF79" w14:textId="77777777" w:rsidR="007D0606" w:rsidRPr="00D45CDF" w:rsidRDefault="00CE1325" w:rsidP="001C5BA7">
      <w:pPr>
        <w:spacing w:line="240" w:lineRule="auto"/>
        <w:jc w:val="both"/>
        <w:rPr>
          <w:rFonts w:asciiTheme="minorHAnsi" w:hAnsiTheme="minorHAnsi"/>
          <w:sz w:val="24"/>
          <w:szCs w:val="24"/>
        </w:rPr>
      </w:pPr>
      <w:r w:rsidRPr="00D45CDF">
        <w:rPr>
          <w:rFonts w:asciiTheme="minorHAnsi" w:hAnsiTheme="minorHAnsi"/>
          <w:sz w:val="24"/>
          <w:szCs w:val="24"/>
        </w:rPr>
        <w:t>Despite the entry into force of the EAC Common Market Protocol in 2010, the law establishing the Bar Association in Rwanda</w:t>
      </w:r>
      <w:r w:rsidR="009773AE" w:rsidRPr="00D45CDF">
        <w:rPr>
          <w:rFonts w:asciiTheme="minorHAnsi" w:hAnsiTheme="minorHAnsi"/>
          <w:sz w:val="24"/>
          <w:szCs w:val="24"/>
        </w:rPr>
        <w:t xml:space="preserve"> (hereinafter RBA Law)</w:t>
      </w:r>
      <w:r w:rsidRPr="00D45CDF">
        <w:rPr>
          <w:rFonts w:asciiTheme="minorHAnsi" w:hAnsiTheme="minorHAnsi"/>
          <w:sz w:val="24"/>
          <w:szCs w:val="24"/>
        </w:rPr>
        <w:t xml:space="preserve"> lists being a Rwandan national as the first condition</w:t>
      </w:r>
      <w:r w:rsidR="009773AE" w:rsidRPr="00D45CDF">
        <w:rPr>
          <w:rFonts w:asciiTheme="minorHAnsi" w:hAnsiTheme="minorHAnsi"/>
          <w:sz w:val="24"/>
          <w:szCs w:val="24"/>
        </w:rPr>
        <w:t xml:space="preserve"> of eligibility</w:t>
      </w:r>
      <w:r w:rsidRPr="00D45CDF">
        <w:rPr>
          <w:rFonts w:asciiTheme="minorHAnsi" w:hAnsiTheme="minorHAnsi"/>
          <w:sz w:val="24"/>
          <w:szCs w:val="24"/>
        </w:rPr>
        <w:t xml:space="preserve"> to practice </w:t>
      </w:r>
      <w:r w:rsidR="007B7CD6" w:rsidRPr="00D45CDF">
        <w:rPr>
          <w:rFonts w:asciiTheme="minorHAnsi" w:hAnsiTheme="minorHAnsi"/>
          <w:sz w:val="24"/>
          <w:szCs w:val="24"/>
        </w:rPr>
        <w:t xml:space="preserve">as a lawyer </w:t>
      </w:r>
      <w:r w:rsidRPr="00D45CDF">
        <w:rPr>
          <w:rFonts w:asciiTheme="minorHAnsi" w:hAnsiTheme="minorHAnsi"/>
          <w:sz w:val="24"/>
          <w:szCs w:val="24"/>
        </w:rPr>
        <w:t>in Rwanda.</w:t>
      </w:r>
      <w:r w:rsidRPr="00D45CDF">
        <w:rPr>
          <w:rStyle w:val="FootnoteReference"/>
          <w:rFonts w:asciiTheme="minorHAnsi" w:hAnsiTheme="minorHAnsi"/>
          <w:sz w:val="24"/>
          <w:szCs w:val="24"/>
        </w:rPr>
        <w:footnoteReference w:id="117"/>
      </w:r>
      <w:r w:rsidRPr="00D45CDF">
        <w:rPr>
          <w:rFonts w:asciiTheme="minorHAnsi" w:hAnsiTheme="minorHAnsi"/>
          <w:sz w:val="24"/>
          <w:szCs w:val="24"/>
        </w:rPr>
        <w:t xml:space="preserve"> However,</w:t>
      </w:r>
      <w:r w:rsidR="009773AE" w:rsidRPr="00D45CDF">
        <w:rPr>
          <w:rFonts w:asciiTheme="minorHAnsi" w:hAnsiTheme="minorHAnsi"/>
          <w:sz w:val="24"/>
          <w:szCs w:val="24"/>
        </w:rPr>
        <w:t xml:space="preserve"> there are two possible routes for</w:t>
      </w:r>
      <w:r w:rsidRPr="00D45CDF">
        <w:rPr>
          <w:rFonts w:asciiTheme="minorHAnsi" w:hAnsiTheme="minorHAnsi"/>
          <w:sz w:val="24"/>
          <w:szCs w:val="24"/>
        </w:rPr>
        <w:t xml:space="preserve"> </w:t>
      </w:r>
      <w:r w:rsidR="004C4005" w:rsidRPr="00D45CDF">
        <w:rPr>
          <w:rFonts w:asciiTheme="minorHAnsi" w:hAnsiTheme="minorHAnsi"/>
          <w:sz w:val="24"/>
          <w:szCs w:val="24"/>
        </w:rPr>
        <w:t>non-Rwandans</w:t>
      </w:r>
      <w:r w:rsidRPr="00D45CDF">
        <w:rPr>
          <w:rFonts w:asciiTheme="minorHAnsi" w:hAnsiTheme="minorHAnsi"/>
          <w:sz w:val="24"/>
          <w:szCs w:val="24"/>
        </w:rPr>
        <w:t xml:space="preserve"> </w:t>
      </w:r>
      <w:r w:rsidR="009773AE" w:rsidRPr="00D45CDF">
        <w:rPr>
          <w:rFonts w:asciiTheme="minorHAnsi" w:hAnsiTheme="minorHAnsi"/>
          <w:sz w:val="24"/>
          <w:szCs w:val="24"/>
        </w:rPr>
        <w:t xml:space="preserve">to </w:t>
      </w:r>
      <w:r w:rsidRPr="00D45CDF">
        <w:rPr>
          <w:rFonts w:asciiTheme="minorHAnsi" w:hAnsiTheme="minorHAnsi"/>
          <w:sz w:val="24"/>
          <w:szCs w:val="24"/>
        </w:rPr>
        <w:t>practice in Rwanda</w:t>
      </w:r>
      <w:r w:rsidR="009773AE" w:rsidRPr="00D45CDF">
        <w:rPr>
          <w:rFonts w:asciiTheme="minorHAnsi" w:hAnsiTheme="minorHAnsi"/>
          <w:sz w:val="24"/>
          <w:szCs w:val="24"/>
        </w:rPr>
        <w:t>.</w:t>
      </w:r>
      <w:r w:rsidR="000412A7" w:rsidRPr="00D45CDF">
        <w:rPr>
          <w:rFonts w:asciiTheme="minorHAnsi" w:hAnsiTheme="minorHAnsi"/>
          <w:sz w:val="24"/>
          <w:szCs w:val="24"/>
        </w:rPr>
        <w:t xml:space="preserve"> The first possibility applies</w:t>
      </w:r>
      <w:r w:rsidR="009773AE" w:rsidRPr="00D45CDF">
        <w:rPr>
          <w:rFonts w:asciiTheme="minorHAnsi" w:hAnsiTheme="minorHAnsi"/>
          <w:sz w:val="24"/>
          <w:szCs w:val="24"/>
        </w:rPr>
        <w:t xml:space="preserve"> </w:t>
      </w:r>
      <w:r w:rsidR="000412A7" w:rsidRPr="00D45CDF">
        <w:rPr>
          <w:rFonts w:asciiTheme="minorHAnsi" w:hAnsiTheme="minorHAnsi"/>
          <w:sz w:val="24"/>
          <w:szCs w:val="24"/>
        </w:rPr>
        <w:t xml:space="preserve">if there is a reciprocal agreement in place and </w:t>
      </w:r>
      <w:r w:rsidR="006D33EF" w:rsidRPr="00D45CDF">
        <w:rPr>
          <w:rFonts w:asciiTheme="minorHAnsi" w:hAnsiTheme="minorHAnsi"/>
          <w:sz w:val="24"/>
          <w:szCs w:val="24"/>
        </w:rPr>
        <w:t xml:space="preserve">the foreign advocate </w:t>
      </w:r>
      <w:r w:rsidR="009773AE" w:rsidRPr="00D45CDF">
        <w:rPr>
          <w:rFonts w:asciiTheme="minorHAnsi" w:hAnsiTheme="minorHAnsi"/>
          <w:sz w:val="24"/>
          <w:szCs w:val="24"/>
        </w:rPr>
        <w:t xml:space="preserve">is </w:t>
      </w:r>
      <w:r w:rsidR="006D33EF" w:rsidRPr="00D45CDF">
        <w:rPr>
          <w:rFonts w:asciiTheme="minorHAnsi" w:hAnsiTheme="minorHAnsi"/>
          <w:sz w:val="24"/>
          <w:szCs w:val="24"/>
        </w:rPr>
        <w:t xml:space="preserve">a national of a </w:t>
      </w:r>
      <w:r w:rsidR="000412A7" w:rsidRPr="00D45CDF">
        <w:rPr>
          <w:rFonts w:asciiTheme="minorHAnsi" w:hAnsiTheme="minorHAnsi"/>
          <w:sz w:val="24"/>
          <w:szCs w:val="24"/>
        </w:rPr>
        <w:t>state</w:t>
      </w:r>
      <w:r w:rsidR="006D33EF" w:rsidRPr="00D45CDF">
        <w:rPr>
          <w:rFonts w:asciiTheme="minorHAnsi" w:hAnsiTheme="minorHAnsi"/>
          <w:sz w:val="24"/>
          <w:szCs w:val="24"/>
        </w:rPr>
        <w:t xml:space="preserve"> which also allows Rwandans to practice in that country subject to international agreements</w:t>
      </w:r>
      <w:r w:rsidR="000412A7" w:rsidRPr="00D45CDF">
        <w:rPr>
          <w:rFonts w:asciiTheme="minorHAnsi" w:hAnsiTheme="minorHAnsi"/>
          <w:sz w:val="24"/>
          <w:szCs w:val="24"/>
        </w:rPr>
        <w:t>.</w:t>
      </w:r>
      <w:r w:rsidR="009773AE" w:rsidRPr="00D45CDF">
        <w:rPr>
          <w:rFonts w:asciiTheme="minorHAnsi" w:hAnsiTheme="minorHAnsi"/>
          <w:sz w:val="24"/>
          <w:szCs w:val="24"/>
        </w:rPr>
        <w:t xml:space="preserve"> </w:t>
      </w:r>
      <w:r w:rsidR="000412A7" w:rsidRPr="00D45CDF">
        <w:rPr>
          <w:rFonts w:asciiTheme="minorHAnsi" w:hAnsiTheme="minorHAnsi"/>
          <w:sz w:val="24"/>
          <w:szCs w:val="24"/>
        </w:rPr>
        <w:t>T</w:t>
      </w:r>
      <w:r w:rsidR="009773AE" w:rsidRPr="00D45CDF">
        <w:rPr>
          <w:rFonts w:asciiTheme="minorHAnsi" w:hAnsiTheme="minorHAnsi"/>
          <w:sz w:val="24"/>
          <w:szCs w:val="24"/>
        </w:rPr>
        <w:t xml:space="preserve">his extends beyond </w:t>
      </w:r>
      <w:r w:rsidR="001D6D90" w:rsidRPr="00D45CDF">
        <w:rPr>
          <w:rFonts w:asciiTheme="minorHAnsi" w:hAnsiTheme="minorHAnsi"/>
          <w:sz w:val="24"/>
          <w:szCs w:val="24"/>
        </w:rPr>
        <w:t>Partner States</w:t>
      </w:r>
      <w:r w:rsidR="009773AE" w:rsidRPr="00D45CDF">
        <w:rPr>
          <w:rFonts w:asciiTheme="minorHAnsi" w:hAnsiTheme="minorHAnsi"/>
          <w:sz w:val="24"/>
          <w:szCs w:val="24"/>
        </w:rPr>
        <w:t xml:space="preserve"> of the EAC</w:t>
      </w:r>
      <w:r w:rsidR="006D33EF" w:rsidRPr="00D45CDF">
        <w:rPr>
          <w:rFonts w:asciiTheme="minorHAnsi" w:hAnsiTheme="minorHAnsi"/>
          <w:sz w:val="24"/>
          <w:szCs w:val="24"/>
        </w:rPr>
        <w:t>. In th</w:t>
      </w:r>
      <w:r w:rsidR="00F354D7" w:rsidRPr="00D45CDF">
        <w:rPr>
          <w:rFonts w:asciiTheme="minorHAnsi" w:hAnsiTheme="minorHAnsi"/>
          <w:sz w:val="24"/>
          <w:szCs w:val="24"/>
        </w:rPr>
        <w:t>e</w:t>
      </w:r>
      <w:r w:rsidR="006D33EF" w:rsidRPr="00D45CDF">
        <w:rPr>
          <w:rFonts w:asciiTheme="minorHAnsi" w:hAnsiTheme="minorHAnsi"/>
          <w:sz w:val="24"/>
          <w:szCs w:val="24"/>
        </w:rPr>
        <w:t xml:space="preserve"> case</w:t>
      </w:r>
      <w:r w:rsidR="00F354D7" w:rsidRPr="00D45CDF">
        <w:rPr>
          <w:rFonts w:asciiTheme="minorHAnsi" w:hAnsiTheme="minorHAnsi"/>
          <w:sz w:val="24"/>
          <w:szCs w:val="24"/>
        </w:rPr>
        <w:t xml:space="preserve"> of reciprocal agreements</w:t>
      </w:r>
      <w:r w:rsidR="006D33EF" w:rsidRPr="00D45CDF">
        <w:rPr>
          <w:rFonts w:asciiTheme="minorHAnsi" w:hAnsiTheme="minorHAnsi"/>
          <w:sz w:val="24"/>
          <w:szCs w:val="24"/>
        </w:rPr>
        <w:t xml:space="preserve">, </w:t>
      </w:r>
      <w:r w:rsidR="00735FFF" w:rsidRPr="00D45CDF">
        <w:rPr>
          <w:rFonts w:asciiTheme="minorHAnsi" w:hAnsiTheme="minorHAnsi"/>
          <w:sz w:val="24"/>
          <w:szCs w:val="24"/>
        </w:rPr>
        <w:t>the President of the Rwanda Bar Association (RBA) has the power to authori</w:t>
      </w:r>
      <w:r w:rsidR="00780809" w:rsidRPr="00D45CDF">
        <w:rPr>
          <w:rFonts w:asciiTheme="minorHAnsi" w:hAnsiTheme="minorHAnsi"/>
          <w:sz w:val="24"/>
          <w:szCs w:val="24"/>
        </w:rPr>
        <w:t>s</w:t>
      </w:r>
      <w:r w:rsidR="00735FFF" w:rsidRPr="00D45CDF">
        <w:rPr>
          <w:rFonts w:asciiTheme="minorHAnsi" w:hAnsiTheme="minorHAnsi"/>
          <w:sz w:val="24"/>
          <w:szCs w:val="24"/>
        </w:rPr>
        <w:t xml:space="preserve">e such a lawyer to practice in Rwanda upon </w:t>
      </w:r>
      <w:r w:rsidR="00794DAC" w:rsidRPr="00D45CDF">
        <w:rPr>
          <w:rFonts w:asciiTheme="minorHAnsi" w:hAnsiTheme="minorHAnsi"/>
          <w:sz w:val="24"/>
          <w:szCs w:val="24"/>
        </w:rPr>
        <w:t xml:space="preserve">the presentation of </w:t>
      </w:r>
      <w:r w:rsidR="00735FFF" w:rsidRPr="00D45CDF">
        <w:rPr>
          <w:rFonts w:asciiTheme="minorHAnsi" w:hAnsiTheme="minorHAnsi"/>
          <w:sz w:val="24"/>
          <w:szCs w:val="24"/>
        </w:rPr>
        <w:t xml:space="preserve">a recommendation </w:t>
      </w:r>
      <w:r w:rsidR="009773AE" w:rsidRPr="00D45CDF">
        <w:rPr>
          <w:rFonts w:asciiTheme="minorHAnsi" w:hAnsiTheme="minorHAnsi"/>
          <w:sz w:val="24"/>
          <w:szCs w:val="24"/>
        </w:rPr>
        <w:t xml:space="preserve">from </w:t>
      </w:r>
      <w:r w:rsidR="00735FFF" w:rsidRPr="00D45CDF">
        <w:rPr>
          <w:rFonts w:asciiTheme="minorHAnsi" w:hAnsiTheme="minorHAnsi"/>
          <w:sz w:val="24"/>
          <w:szCs w:val="24"/>
        </w:rPr>
        <w:t xml:space="preserve">the President of Bar of </w:t>
      </w:r>
      <w:r w:rsidR="009773AE" w:rsidRPr="00D45CDF">
        <w:rPr>
          <w:rFonts w:asciiTheme="minorHAnsi" w:hAnsiTheme="minorHAnsi"/>
          <w:sz w:val="24"/>
          <w:szCs w:val="24"/>
        </w:rPr>
        <w:t xml:space="preserve">the advocate’s state of </w:t>
      </w:r>
      <w:r w:rsidR="00735FFF" w:rsidRPr="00D45CDF">
        <w:rPr>
          <w:rFonts w:asciiTheme="minorHAnsi" w:hAnsiTheme="minorHAnsi"/>
          <w:sz w:val="24"/>
          <w:szCs w:val="24"/>
        </w:rPr>
        <w:t xml:space="preserve">origin and </w:t>
      </w:r>
      <w:r w:rsidR="009773AE" w:rsidRPr="00D45CDF">
        <w:rPr>
          <w:rFonts w:asciiTheme="minorHAnsi" w:hAnsiTheme="minorHAnsi"/>
          <w:sz w:val="24"/>
          <w:szCs w:val="24"/>
        </w:rPr>
        <w:t xml:space="preserve">of </w:t>
      </w:r>
      <w:r w:rsidR="00735FFF" w:rsidRPr="00D45CDF">
        <w:rPr>
          <w:rFonts w:asciiTheme="minorHAnsi" w:hAnsiTheme="minorHAnsi"/>
          <w:sz w:val="24"/>
          <w:szCs w:val="24"/>
        </w:rPr>
        <w:t>proof of the fulfilment of reciprocity requirement.</w:t>
      </w:r>
      <w:r w:rsidR="00D2308B" w:rsidRPr="00D45CDF">
        <w:rPr>
          <w:rStyle w:val="FootnoteReference"/>
          <w:rFonts w:asciiTheme="minorHAnsi" w:hAnsiTheme="minorHAnsi"/>
          <w:sz w:val="24"/>
          <w:szCs w:val="24"/>
        </w:rPr>
        <w:footnoteReference w:id="118"/>
      </w:r>
      <w:r w:rsidR="00735FFF" w:rsidRPr="00D45CDF">
        <w:rPr>
          <w:rFonts w:asciiTheme="minorHAnsi" w:hAnsiTheme="minorHAnsi"/>
          <w:sz w:val="24"/>
          <w:szCs w:val="24"/>
        </w:rPr>
        <w:t xml:space="preserve"> Lawyers thus authori</w:t>
      </w:r>
      <w:r w:rsidR="00780809" w:rsidRPr="00D45CDF">
        <w:rPr>
          <w:rFonts w:asciiTheme="minorHAnsi" w:hAnsiTheme="minorHAnsi"/>
          <w:sz w:val="24"/>
          <w:szCs w:val="24"/>
        </w:rPr>
        <w:t>s</w:t>
      </w:r>
      <w:r w:rsidR="00735FFF" w:rsidRPr="00D45CDF">
        <w:rPr>
          <w:rFonts w:asciiTheme="minorHAnsi" w:hAnsiTheme="minorHAnsi"/>
          <w:sz w:val="24"/>
          <w:szCs w:val="24"/>
        </w:rPr>
        <w:t xml:space="preserve">ed are entitled to practice in Rwanda only </w:t>
      </w:r>
      <w:r w:rsidR="007852BE" w:rsidRPr="00D45CDF">
        <w:rPr>
          <w:rFonts w:asciiTheme="minorHAnsi" w:hAnsiTheme="minorHAnsi"/>
          <w:sz w:val="24"/>
          <w:szCs w:val="24"/>
        </w:rPr>
        <w:t>‘</w:t>
      </w:r>
      <w:r w:rsidR="00735FFF" w:rsidRPr="00D45CDF">
        <w:rPr>
          <w:rFonts w:asciiTheme="minorHAnsi" w:hAnsiTheme="minorHAnsi"/>
          <w:sz w:val="24"/>
          <w:szCs w:val="24"/>
        </w:rPr>
        <w:t>occasionally</w:t>
      </w:r>
      <w:r w:rsidR="007852BE" w:rsidRPr="00D45CDF">
        <w:rPr>
          <w:rFonts w:asciiTheme="minorHAnsi" w:hAnsiTheme="minorHAnsi"/>
          <w:sz w:val="24"/>
          <w:szCs w:val="24"/>
        </w:rPr>
        <w:t>’</w:t>
      </w:r>
      <w:r w:rsidR="00307BCB" w:rsidRPr="00D45CDF">
        <w:rPr>
          <w:rFonts w:asciiTheme="minorHAnsi" w:hAnsiTheme="minorHAnsi"/>
          <w:sz w:val="24"/>
          <w:szCs w:val="24"/>
        </w:rPr>
        <w:t>,</w:t>
      </w:r>
      <w:r w:rsidR="00307BCB" w:rsidRPr="00D45CDF">
        <w:rPr>
          <w:rStyle w:val="FootnoteReference"/>
          <w:rFonts w:asciiTheme="minorHAnsi" w:hAnsiTheme="minorHAnsi"/>
          <w:sz w:val="24"/>
          <w:szCs w:val="24"/>
        </w:rPr>
        <w:footnoteReference w:id="119"/>
      </w:r>
      <w:r w:rsidR="00307BCB" w:rsidRPr="00D45CDF">
        <w:rPr>
          <w:rFonts w:asciiTheme="minorHAnsi" w:hAnsiTheme="minorHAnsi"/>
          <w:sz w:val="24"/>
          <w:szCs w:val="24"/>
        </w:rPr>
        <w:t xml:space="preserve"> meaning that they are not </w:t>
      </w:r>
      <w:r w:rsidR="009773AE" w:rsidRPr="00D45CDF">
        <w:rPr>
          <w:rFonts w:asciiTheme="minorHAnsi" w:hAnsiTheme="minorHAnsi"/>
          <w:sz w:val="24"/>
          <w:szCs w:val="24"/>
        </w:rPr>
        <w:t>considered as</w:t>
      </w:r>
      <w:r w:rsidR="00307BCB" w:rsidRPr="00D45CDF">
        <w:rPr>
          <w:rFonts w:asciiTheme="minorHAnsi" w:hAnsiTheme="minorHAnsi"/>
          <w:sz w:val="24"/>
          <w:szCs w:val="24"/>
        </w:rPr>
        <w:t xml:space="preserve"> permanently settled in Rwanda. </w:t>
      </w:r>
    </w:p>
    <w:p w14:paraId="7616AC9D" w14:textId="77777777" w:rsidR="00E83147" w:rsidRPr="00D45CDF" w:rsidRDefault="007D0606" w:rsidP="001C5BA7">
      <w:pPr>
        <w:spacing w:line="240" w:lineRule="auto"/>
        <w:jc w:val="both"/>
        <w:rPr>
          <w:rFonts w:asciiTheme="minorHAnsi" w:hAnsiTheme="minorHAnsi"/>
          <w:sz w:val="24"/>
          <w:szCs w:val="24"/>
        </w:rPr>
      </w:pPr>
      <w:r w:rsidRPr="00D45CDF">
        <w:rPr>
          <w:rFonts w:asciiTheme="minorHAnsi" w:hAnsiTheme="minorHAnsi"/>
          <w:sz w:val="24"/>
          <w:szCs w:val="24"/>
        </w:rPr>
        <w:t xml:space="preserve">The second </w:t>
      </w:r>
      <w:r w:rsidR="009773AE" w:rsidRPr="00D45CDF">
        <w:rPr>
          <w:rFonts w:asciiTheme="minorHAnsi" w:hAnsiTheme="minorHAnsi"/>
          <w:sz w:val="24"/>
          <w:szCs w:val="24"/>
        </w:rPr>
        <w:t xml:space="preserve">route </w:t>
      </w:r>
      <w:r w:rsidRPr="00D45CDF">
        <w:rPr>
          <w:rFonts w:asciiTheme="minorHAnsi" w:hAnsiTheme="minorHAnsi"/>
          <w:sz w:val="24"/>
          <w:szCs w:val="24"/>
        </w:rPr>
        <w:t xml:space="preserve">is </w:t>
      </w:r>
      <w:r w:rsidR="00236386" w:rsidRPr="00D45CDF">
        <w:rPr>
          <w:rFonts w:asciiTheme="minorHAnsi" w:hAnsiTheme="minorHAnsi"/>
          <w:sz w:val="24"/>
          <w:szCs w:val="24"/>
        </w:rPr>
        <w:t xml:space="preserve">open to </w:t>
      </w:r>
      <w:r w:rsidRPr="00D45CDF">
        <w:rPr>
          <w:rFonts w:asciiTheme="minorHAnsi" w:hAnsiTheme="minorHAnsi"/>
          <w:sz w:val="24"/>
          <w:szCs w:val="24"/>
        </w:rPr>
        <w:t>national</w:t>
      </w:r>
      <w:r w:rsidR="00236386" w:rsidRPr="00D45CDF">
        <w:rPr>
          <w:rFonts w:asciiTheme="minorHAnsi" w:hAnsiTheme="minorHAnsi"/>
          <w:sz w:val="24"/>
          <w:szCs w:val="24"/>
        </w:rPr>
        <w:t>s</w:t>
      </w:r>
      <w:r w:rsidRPr="00D45CDF">
        <w:rPr>
          <w:rFonts w:asciiTheme="minorHAnsi" w:hAnsiTheme="minorHAnsi"/>
          <w:sz w:val="24"/>
          <w:szCs w:val="24"/>
        </w:rPr>
        <w:t xml:space="preserve"> from a country that has concluded a regional integration agreement with Rwanda</w:t>
      </w:r>
      <w:r w:rsidR="000412A7" w:rsidRPr="00D45CDF">
        <w:rPr>
          <w:rFonts w:asciiTheme="minorHAnsi" w:hAnsiTheme="minorHAnsi"/>
          <w:sz w:val="24"/>
          <w:szCs w:val="24"/>
        </w:rPr>
        <w:t>,</w:t>
      </w:r>
      <w:r w:rsidRPr="00D45CDF">
        <w:rPr>
          <w:rStyle w:val="FootnoteReference"/>
          <w:rFonts w:asciiTheme="minorHAnsi" w:hAnsiTheme="minorHAnsi"/>
          <w:sz w:val="24"/>
          <w:szCs w:val="24"/>
        </w:rPr>
        <w:footnoteReference w:id="120"/>
      </w:r>
      <w:r w:rsidRPr="00D45CDF">
        <w:rPr>
          <w:rFonts w:asciiTheme="minorHAnsi" w:hAnsiTheme="minorHAnsi"/>
          <w:sz w:val="24"/>
          <w:szCs w:val="24"/>
        </w:rPr>
        <w:t xml:space="preserve"> </w:t>
      </w:r>
      <w:r w:rsidR="000412A7" w:rsidRPr="00D45CDF">
        <w:rPr>
          <w:rFonts w:asciiTheme="minorHAnsi" w:hAnsiTheme="minorHAnsi"/>
          <w:sz w:val="24"/>
          <w:szCs w:val="24"/>
        </w:rPr>
        <w:t>such as applies to</w:t>
      </w:r>
      <w:r w:rsidRPr="00D45CDF">
        <w:rPr>
          <w:rFonts w:asciiTheme="minorHAnsi" w:hAnsiTheme="minorHAnsi"/>
          <w:sz w:val="24"/>
          <w:szCs w:val="24"/>
        </w:rPr>
        <w:t xml:space="preserve"> lawyers from other EAC </w:t>
      </w:r>
      <w:r w:rsidR="001D6D90" w:rsidRPr="00D45CDF">
        <w:rPr>
          <w:rFonts w:asciiTheme="minorHAnsi" w:hAnsiTheme="minorHAnsi"/>
          <w:sz w:val="24"/>
          <w:szCs w:val="24"/>
        </w:rPr>
        <w:t>Partner States</w:t>
      </w:r>
      <w:r w:rsidR="000412A7" w:rsidRPr="00D45CDF">
        <w:rPr>
          <w:rFonts w:asciiTheme="minorHAnsi" w:hAnsiTheme="minorHAnsi"/>
          <w:sz w:val="24"/>
          <w:szCs w:val="24"/>
        </w:rPr>
        <w:t>,</w:t>
      </w:r>
      <w:r w:rsidRPr="00D45CDF">
        <w:rPr>
          <w:rFonts w:asciiTheme="minorHAnsi" w:hAnsiTheme="minorHAnsi"/>
          <w:sz w:val="24"/>
          <w:szCs w:val="24"/>
        </w:rPr>
        <w:t xml:space="preserve"> who </w:t>
      </w:r>
      <w:r w:rsidR="000412A7" w:rsidRPr="00D45CDF">
        <w:rPr>
          <w:rFonts w:asciiTheme="minorHAnsi" w:hAnsiTheme="minorHAnsi"/>
          <w:sz w:val="24"/>
          <w:szCs w:val="24"/>
        </w:rPr>
        <w:t xml:space="preserve">may </w:t>
      </w:r>
      <w:r w:rsidRPr="00D45CDF">
        <w:rPr>
          <w:rFonts w:asciiTheme="minorHAnsi" w:hAnsiTheme="minorHAnsi"/>
          <w:sz w:val="24"/>
          <w:szCs w:val="24"/>
        </w:rPr>
        <w:t>wish to provide legal services in Rwanda.</w:t>
      </w:r>
      <w:r w:rsidR="00896EEA" w:rsidRPr="00D45CDF">
        <w:rPr>
          <w:rStyle w:val="FootnoteReference"/>
          <w:rFonts w:asciiTheme="minorHAnsi" w:hAnsiTheme="minorHAnsi"/>
          <w:sz w:val="24"/>
          <w:szCs w:val="24"/>
        </w:rPr>
        <w:footnoteReference w:id="121"/>
      </w:r>
      <w:r w:rsidRPr="00D45CDF">
        <w:rPr>
          <w:rFonts w:asciiTheme="minorHAnsi" w:hAnsiTheme="minorHAnsi"/>
          <w:sz w:val="24"/>
          <w:szCs w:val="24"/>
        </w:rPr>
        <w:t xml:space="preserve"> The RBA</w:t>
      </w:r>
      <w:r w:rsidR="00236386" w:rsidRPr="00D45CDF">
        <w:rPr>
          <w:rFonts w:asciiTheme="minorHAnsi" w:hAnsiTheme="minorHAnsi"/>
          <w:sz w:val="24"/>
          <w:szCs w:val="24"/>
        </w:rPr>
        <w:t xml:space="preserve"> Law</w:t>
      </w:r>
      <w:r w:rsidRPr="00D45CDF">
        <w:rPr>
          <w:rFonts w:asciiTheme="minorHAnsi" w:hAnsiTheme="minorHAnsi"/>
          <w:sz w:val="24"/>
          <w:szCs w:val="24"/>
        </w:rPr>
        <w:t xml:space="preserve"> subjects the practice of lawyers in this category to the provisions of the regional integration agreement </w:t>
      </w:r>
      <w:r w:rsidR="009773AE" w:rsidRPr="00D45CDF">
        <w:rPr>
          <w:rFonts w:asciiTheme="minorHAnsi" w:hAnsiTheme="minorHAnsi"/>
          <w:sz w:val="24"/>
          <w:szCs w:val="24"/>
        </w:rPr>
        <w:t>concerned</w:t>
      </w:r>
      <w:r w:rsidR="000412A7" w:rsidRPr="00D45CDF">
        <w:rPr>
          <w:rFonts w:asciiTheme="minorHAnsi" w:hAnsiTheme="minorHAnsi"/>
          <w:sz w:val="24"/>
          <w:szCs w:val="24"/>
        </w:rPr>
        <w:t xml:space="preserve"> (for example, </w:t>
      </w:r>
      <w:r w:rsidR="001E4593" w:rsidRPr="00D45CDF">
        <w:rPr>
          <w:rFonts w:asciiTheme="minorHAnsi" w:hAnsiTheme="minorHAnsi"/>
          <w:sz w:val="24"/>
          <w:szCs w:val="24"/>
        </w:rPr>
        <w:t xml:space="preserve">in the case of the </w:t>
      </w:r>
      <w:r w:rsidR="000412A7" w:rsidRPr="00D45CDF">
        <w:rPr>
          <w:rFonts w:asciiTheme="minorHAnsi" w:hAnsiTheme="minorHAnsi"/>
          <w:sz w:val="24"/>
          <w:szCs w:val="24"/>
        </w:rPr>
        <w:t>EAC</w:t>
      </w:r>
      <w:r w:rsidR="001E4593" w:rsidRPr="00D45CDF">
        <w:rPr>
          <w:rFonts w:asciiTheme="minorHAnsi" w:hAnsiTheme="minorHAnsi"/>
          <w:sz w:val="24"/>
          <w:szCs w:val="24"/>
        </w:rPr>
        <w:t xml:space="preserve">, the </w:t>
      </w:r>
      <w:r w:rsidR="000412A7" w:rsidRPr="00D45CDF">
        <w:rPr>
          <w:rFonts w:asciiTheme="minorHAnsi" w:hAnsiTheme="minorHAnsi"/>
          <w:sz w:val="24"/>
          <w:szCs w:val="24"/>
        </w:rPr>
        <w:t>Common Market Protocol)</w:t>
      </w:r>
      <w:r w:rsidR="00236386" w:rsidRPr="00D45CDF">
        <w:rPr>
          <w:rFonts w:asciiTheme="minorHAnsi" w:hAnsiTheme="minorHAnsi"/>
          <w:sz w:val="24"/>
          <w:szCs w:val="24"/>
        </w:rPr>
        <w:t>,</w:t>
      </w:r>
      <w:r w:rsidR="009773AE" w:rsidRPr="00D45CDF">
        <w:rPr>
          <w:rFonts w:asciiTheme="minorHAnsi" w:hAnsiTheme="minorHAnsi"/>
          <w:sz w:val="24"/>
          <w:szCs w:val="24"/>
        </w:rPr>
        <w:t xml:space="preserve"> </w:t>
      </w:r>
      <w:r w:rsidR="00D64115" w:rsidRPr="00D45CDF">
        <w:rPr>
          <w:rFonts w:asciiTheme="minorHAnsi" w:hAnsiTheme="minorHAnsi"/>
          <w:sz w:val="24"/>
          <w:szCs w:val="24"/>
        </w:rPr>
        <w:t xml:space="preserve">but it does not </w:t>
      </w:r>
      <w:r w:rsidR="009773AE" w:rsidRPr="00D45CDF">
        <w:rPr>
          <w:rFonts w:asciiTheme="minorHAnsi" w:hAnsiTheme="minorHAnsi"/>
          <w:sz w:val="24"/>
          <w:szCs w:val="24"/>
        </w:rPr>
        <w:t>provid</w:t>
      </w:r>
      <w:r w:rsidR="00D64115" w:rsidRPr="00D45CDF">
        <w:rPr>
          <w:rFonts w:asciiTheme="minorHAnsi" w:hAnsiTheme="minorHAnsi"/>
          <w:sz w:val="24"/>
          <w:szCs w:val="24"/>
        </w:rPr>
        <w:t>e</w:t>
      </w:r>
      <w:r w:rsidR="009773AE" w:rsidRPr="00D45CDF">
        <w:rPr>
          <w:rFonts w:asciiTheme="minorHAnsi" w:hAnsiTheme="minorHAnsi"/>
          <w:sz w:val="24"/>
          <w:szCs w:val="24"/>
        </w:rPr>
        <w:t xml:space="preserve"> </w:t>
      </w:r>
      <w:r w:rsidRPr="00D45CDF">
        <w:rPr>
          <w:rFonts w:asciiTheme="minorHAnsi" w:hAnsiTheme="minorHAnsi"/>
          <w:sz w:val="24"/>
          <w:szCs w:val="24"/>
        </w:rPr>
        <w:t>further details.</w:t>
      </w:r>
      <w:r w:rsidR="00E92CEA" w:rsidRPr="00D45CDF">
        <w:rPr>
          <w:rStyle w:val="FootnoteReference"/>
          <w:rFonts w:asciiTheme="minorHAnsi" w:hAnsiTheme="minorHAnsi"/>
          <w:sz w:val="24"/>
          <w:szCs w:val="24"/>
        </w:rPr>
        <w:footnoteReference w:id="122"/>
      </w:r>
      <w:r w:rsidR="00307BCB" w:rsidRPr="00D45CDF">
        <w:rPr>
          <w:rFonts w:asciiTheme="minorHAnsi" w:hAnsiTheme="minorHAnsi"/>
          <w:sz w:val="24"/>
          <w:szCs w:val="24"/>
        </w:rPr>
        <w:t xml:space="preserve"> </w:t>
      </w:r>
      <w:r w:rsidR="00440C05" w:rsidRPr="00D45CDF">
        <w:rPr>
          <w:rFonts w:asciiTheme="minorHAnsi" w:hAnsiTheme="minorHAnsi"/>
          <w:sz w:val="24"/>
          <w:szCs w:val="24"/>
        </w:rPr>
        <w:t xml:space="preserve">There is no </w:t>
      </w:r>
      <w:r w:rsidR="001E4593" w:rsidRPr="00D45CDF">
        <w:rPr>
          <w:rFonts w:asciiTheme="minorHAnsi" w:hAnsiTheme="minorHAnsi"/>
          <w:sz w:val="24"/>
          <w:szCs w:val="24"/>
        </w:rPr>
        <w:t xml:space="preserve">specific </w:t>
      </w:r>
      <w:r w:rsidR="00440C05" w:rsidRPr="00D45CDF">
        <w:rPr>
          <w:rFonts w:asciiTheme="minorHAnsi" w:hAnsiTheme="minorHAnsi"/>
          <w:sz w:val="24"/>
          <w:szCs w:val="24"/>
        </w:rPr>
        <w:t xml:space="preserve">domestic legislation to </w:t>
      </w:r>
      <w:r w:rsidR="000412A7" w:rsidRPr="00D45CDF">
        <w:rPr>
          <w:rFonts w:asciiTheme="minorHAnsi" w:hAnsiTheme="minorHAnsi"/>
          <w:sz w:val="24"/>
          <w:szCs w:val="24"/>
        </w:rPr>
        <w:t xml:space="preserve">implement </w:t>
      </w:r>
      <w:r w:rsidR="00440C05" w:rsidRPr="00D45CDF">
        <w:rPr>
          <w:rFonts w:asciiTheme="minorHAnsi" w:hAnsiTheme="minorHAnsi"/>
          <w:sz w:val="24"/>
          <w:szCs w:val="24"/>
        </w:rPr>
        <w:t xml:space="preserve">the EAC Common Market protocol </w:t>
      </w:r>
      <w:r w:rsidR="000412A7" w:rsidRPr="00D45CDF">
        <w:rPr>
          <w:rFonts w:asciiTheme="minorHAnsi" w:hAnsiTheme="minorHAnsi"/>
          <w:sz w:val="24"/>
          <w:szCs w:val="24"/>
        </w:rPr>
        <w:t>for the freedom of movement</w:t>
      </w:r>
      <w:r w:rsidR="00440C05" w:rsidRPr="00D45CDF">
        <w:rPr>
          <w:rFonts w:asciiTheme="minorHAnsi" w:hAnsiTheme="minorHAnsi"/>
          <w:sz w:val="24"/>
          <w:szCs w:val="24"/>
        </w:rPr>
        <w:t xml:space="preserve"> of </w:t>
      </w:r>
      <w:r w:rsidR="002F7BAE" w:rsidRPr="00D45CDF">
        <w:rPr>
          <w:rFonts w:asciiTheme="minorHAnsi" w:hAnsiTheme="minorHAnsi"/>
          <w:sz w:val="24"/>
          <w:szCs w:val="24"/>
        </w:rPr>
        <w:t>l</w:t>
      </w:r>
      <w:r w:rsidR="00440C05" w:rsidRPr="00D45CDF">
        <w:rPr>
          <w:rFonts w:asciiTheme="minorHAnsi" w:hAnsiTheme="minorHAnsi"/>
          <w:sz w:val="24"/>
          <w:szCs w:val="24"/>
        </w:rPr>
        <w:t>egal services in Rwanda</w:t>
      </w:r>
      <w:r w:rsidR="001E4593" w:rsidRPr="00D45CDF">
        <w:rPr>
          <w:rFonts w:asciiTheme="minorHAnsi" w:hAnsiTheme="minorHAnsi"/>
          <w:sz w:val="24"/>
          <w:szCs w:val="24"/>
        </w:rPr>
        <w:t>, and t</w:t>
      </w:r>
      <w:r w:rsidR="000412A7" w:rsidRPr="00D45CDF">
        <w:rPr>
          <w:rFonts w:asciiTheme="minorHAnsi" w:hAnsiTheme="minorHAnsi"/>
          <w:sz w:val="24"/>
          <w:szCs w:val="24"/>
        </w:rPr>
        <w:t xml:space="preserve">he </w:t>
      </w:r>
      <w:r w:rsidR="002F7BAE" w:rsidRPr="00D45CDF">
        <w:rPr>
          <w:rFonts w:asciiTheme="minorHAnsi" w:hAnsiTheme="minorHAnsi"/>
          <w:sz w:val="24"/>
          <w:szCs w:val="24"/>
        </w:rPr>
        <w:t xml:space="preserve">RBA </w:t>
      </w:r>
      <w:r w:rsidR="001E4593" w:rsidRPr="00D45CDF">
        <w:rPr>
          <w:rFonts w:asciiTheme="minorHAnsi" w:hAnsiTheme="minorHAnsi"/>
          <w:sz w:val="24"/>
          <w:szCs w:val="24"/>
        </w:rPr>
        <w:t>L</w:t>
      </w:r>
      <w:r w:rsidR="002F7BAE" w:rsidRPr="00D45CDF">
        <w:rPr>
          <w:rFonts w:asciiTheme="minorHAnsi" w:hAnsiTheme="minorHAnsi"/>
          <w:sz w:val="24"/>
          <w:szCs w:val="24"/>
        </w:rPr>
        <w:t xml:space="preserve">aw governs legal practice in Rwanda in general. </w:t>
      </w:r>
      <w:r w:rsidR="00896EEA" w:rsidRPr="00D45CDF">
        <w:rPr>
          <w:rFonts w:asciiTheme="minorHAnsi" w:hAnsiTheme="minorHAnsi"/>
          <w:sz w:val="24"/>
          <w:szCs w:val="24"/>
        </w:rPr>
        <w:t>Although</w:t>
      </w:r>
      <w:r w:rsidR="0029485F" w:rsidRPr="00D45CDF">
        <w:rPr>
          <w:rFonts w:asciiTheme="minorHAnsi" w:hAnsiTheme="minorHAnsi"/>
          <w:sz w:val="24"/>
          <w:szCs w:val="24"/>
        </w:rPr>
        <w:t xml:space="preserve"> Article 7 of the RBA Law authori</w:t>
      </w:r>
      <w:r w:rsidR="00A07427" w:rsidRPr="00D45CDF">
        <w:rPr>
          <w:rFonts w:asciiTheme="minorHAnsi" w:hAnsiTheme="minorHAnsi"/>
          <w:sz w:val="24"/>
          <w:szCs w:val="24"/>
        </w:rPr>
        <w:t>s</w:t>
      </w:r>
      <w:r w:rsidR="0029485F" w:rsidRPr="00D45CDF">
        <w:rPr>
          <w:rFonts w:asciiTheme="minorHAnsi" w:hAnsiTheme="minorHAnsi"/>
          <w:sz w:val="24"/>
          <w:szCs w:val="24"/>
        </w:rPr>
        <w:t xml:space="preserve">es foreign lawyers to practice in Rwanda, </w:t>
      </w:r>
      <w:r w:rsidR="002F7BAE" w:rsidRPr="00D45CDF">
        <w:rPr>
          <w:rFonts w:asciiTheme="minorHAnsi" w:hAnsiTheme="minorHAnsi"/>
          <w:sz w:val="24"/>
          <w:szCs w:val="24"/>
        </w:rPr>
        <w:t>it is unclear whether the Rwandan l</w:t>
      </w:r>
      <w:r w:rsidR="001E4593" w:rsidRPr="00D45CDF">
        <w:rPr>
          <w:rFonts w:asciiTheme="minorHAnsi" w:hAnsiTheme="minorHAnsi"/>
          <w:sz w:val="24"/>
          <w:szCs w:val="24"/>
        </w:rPr>
        <w:t>egislator</w:t>
      </w:r>
      <w:r w:rsidR="002F7BAE" w:rsidRPr="00D45CDF">
        <w:rPr>
          <w:rFonts w:asciiTheme="minorHAnsi" w:hAnsiTheme="minorHAnsi"/>
          <w:sz w:val="24"/>
          <w:szCs w:val="24"/>
        </w:rPr>
        <w:t xml:space="preserve"> had the implementation of the EAC Common Market </w:t>
      </w:r>
      <w:r w:rsidR="001E4593" w:rsidRPr="00D45CDF">
        <w:rPr>
          <w:rFonts w:asciiTheme="minorHAnsi" w:hAnsiTheme="minorHAnsi"/>
          <w:sz w:val="24"/>
          <w:szCs w:val="24"/>
        </w:rPr>
        <w:t>P</w:t>
      </w:r>
      <w:r w:rsidR="002F7BAE" w:rsidRPr="00D45CDF">
        <w:rPr>
          <w:rFonts w:asciiTheme="minorHAnsi" w:hAnsiTheme="minorHAnsi"/>
          <w:sz w:val="24"/>
          <w:szCs w:val="24"/>
        </w:rPr>
        <w:t xml:space="preserve">rotocol in mind when </w:t>
      </w:r>
      <w:r w:rsidR="001E4593" w:rsidRPr="00D45CDF">
        <w:rPr>
          <w:rFonts w:asciiTheme="minorHAnsi" w:hAnsiTheme="minorHAnsi"/>
          <w:sz w:val="24"/>
          <w:szCs w:val="24"/>
        </w:rPr>
        <w:t xml:space="preserve">the RBA Law was </w:t>
      </w:r>
      <w:r w:rsidR="001E4593" w:rsidRPr="00D45CDF">
        <w:rPr>
          <w:rFonts w:asciiTheme="minorHAnsi" w:hAnsiTheme="minorHAnsi"/>
          <w:sz w:val="24"/>
          <w:szCs w:val="24"/>
        </w:rPr>
        <w:lastRenderedPageBreak/>
        <w:t>drafted,</w:t>
      </w:r>
      <w:r w:rsidR="002F7BAE" w:rsidRPr="00D45CDF">
        <w:rPr>
          <w:rFonts w:asciiTheme="minorHAnsi" w:hAnsiTheme="minorHAnsi"/>
          <w:sz w:val="24"/>
          <w:szCs w:val="24"/>
        </w:rPr>
        <w:t xml:space="preserve"> as th</w:t>
      </w:r>
      <w:r w:rsidR="0029485F" w:rsidRPr="00D45CDF">
        <w:rPr>
          <w:rFonts w:asciiTheme="minorHAnsi" w:hAnsiTheme="minorHAnsi"/>
          <w:sz w:val="24"/>
          <w:szCs w:val="24"/>
        </w:rPr>
        <w:t>is</w:t>
      </w:r>
      <w:r w:rsidR="002F7BAE" w:rsidRPr="00D45CDF">
        <w:rPr>
          <w:rFonts w:asciiTheme="minorHAnsi" w:hAnsiTheme="minorHAnsi"/>
          <w:sz w:val="24"/>
          <w:szCs w:val="24"/>
        </w:rPr>
        <w:t xml:space="preserve"> provision equally appl</w:t>
      </w:r>
      <w:r w:rsidR="0029485F" w:rsidRPr="00D45CDF">
        <w:rPr>
          <w:rFonts w:asciiTheme="minorHAnsi" w:hAnsiTheme="minorHAnsi"/>
          <w:sz w:val="24"/>
          <w:szCs w:val="24"/>
        </w:rPr>
        <w:t>ies</w:t>
      </w:r>
      <w:r w:rsidR="002F7BAE" w:rsidRPr="00D45CDF">
        <w:rPr>
          <w:rFonts w:asciiTheme="minorHAnsi" w:hAnsiTheme="minorHAnsi"/>
          <w:sz w:val="24"/>
          <w:szCs w:val="24"/>
        </w:rPr>
        <w:t xml:space="preserve"> to </w:t>
      </w:r>
      <w:r w:rsidR="00416119" w:rsidRPr="00D45CDF">
        <w:rPr>
          <w:rFonts w:asciiTheme="minorHAnsi" w:hAnsiTheme="minorHAnsi"/>
          <w:sz w:val="24"/>
          <w:szCs w:val="24"/>
        </w:rPr>
        <w:t>lawyers</w:t>
      </w:r>
      <w:r w:rsidR="002F7BAE" w:rsidRPr="00D45CDF">
        <w:rPr>
          <w:rFonts w:asciiTheme="minorHAnsi" w:hAnsiTheme="minorHAnsi"/>
          <w:sz w:val="24"/>
          <w:szCs w:val="24"/>
        </w:rPr>
        <w:t xml:space="preserve"> from </w:t>
      </w:r>
      <w:r w:rsidR="00A07427" w:rsidRPr="00D45CDF">
        <w:rPr>
          <w:rFonts w:asciiTheme="minorHAnsi" w:hAnsiTheme="minorHAnsi"/>
          <w:sz w:val="24"/>
          <w:szCs w:val="24"/>
        </w:rPr>
        <w:t>COMESA</w:t>
      </w:r>
      <w:r w:rsidR="00A07427" w:rsidRPr="00D45CDF">
        <w:rPr>
          <w:rFonts w:asciiTheme="minorHAnsi" w:hAnsiTheme="minorHAnsi"/>
          <w:sz w:val="24"/>
          <w:szCs w:val="24"/>
          <w:shd w:val="clear" w:color="auto" w:fill="FFFFFF"/>
        </w:rPr>
        <w:t xml:space="preserve"> (Common Market for Eastern and Southern Africa)</w:t>
      </w:r>
      <w:r w:rsidR="00A07427" w:rsidRPr="00D45CDF">
        <w:rPr>
          <w:rFonts w:asciiTheme="minorHAnsi" w:hAnsiTheme="minorHAnsi"/>
          <w:sz w:val="24"/>
          <w:szCs w:val="24"/>
        </w:rPr>
        <w:t xml:space="preserve"> </w:t>
      </w:r>
      <w:r w:rsidR="002F7BAE" w:rsidRPr="00D45CDF">
        <w:rPr>
          <w:rFonts w:asciiTheme="minorHAnsi" w:hAnsiTheme="minorHAnsi"/>
          <w:sz w:val="24"/>
          <w:szCs w:val="24"/>
        </w:rPr>
        <w:t>and ECCAS</w:t>
      </w:r>
      <w:r w:rsidR="00A07427" w:rsidRPr="00D45CDF">
        <w:rPr>
          <w:rFonts w:asciiTheme="minorHAnsi" w:hAnsiTheme="minorHAnsi"/>
          <w:sz w:val="24"/>
          <w:szCs w:val="24"/>
          <w:shd w:val="clear" w:color="auto" w:fill="FFFFFF"/>
        </w:rPr>
        <w:t xml:space="preserve"> (Economic Community of Central African States)</w:t>
      </w:r>
      <w:r w:rsidR="0029485F" w:rsidRPr="00D45CDF">
        <w:rPr>
          <w:rFonts w:asciiTheme="minorHAnsi" w:hAnsiTheme="minorHAnsi"/>
          <w:sz w:val="24"/>
          <w:szCs w:val="24"/>
        </w:rPr>
        <w:t xml:space="preserve"> countries</w:t>
      </w:r>
      <w:r w:rsidR="002F7BAE" w:rsidRPr="00D45CDF">
        <w:rPr>
          <w:rFonts w:asciiTheme="minorHAnsi" w:hAnsiTheme="minorHAnsi"/>
          <w:sz w:val="24"/>
          <w:szCs w:val="24"/>
        </w:rPr>
        <w:t xml:space="preserve">, for instance. </w:t>
      </w:r>
      <w:r w:rsidR="002452A6" w:rsidRPr="00D45CDF">
        <w:rPr>
          <w:rFonts w:asciiTheme="minorHAnsi" w:hAnsiTheme="minorHAnsi"/>
          <w:sz w:val="24"/>
          <w:szCs w:val="24"/>
        </w:rPr>
        <w:t>In any event,</w:t>
      </w:r>
      <w:r w:rsidR="00E92CEA" w:rsidRPr="00D45CDF">
        <w:rPr>
          <w:rFonts w:asciiTheme="minorHAnsi" w:hAnsiTheme="minorHAnsi"/>
          <w:sz w:val="24"/>
          <w:szCs w:val="24"/>
        </w:rPr>
        <w:t xml:space="preserve"> unlike foreign lawyers from countries that do not have a regional integration agreement with Rwanda,</w:t>
      </w:r>
      <w:r w:rsidR="00416119" w:rsidRPr="00D45CDF">
        <w:rPr>
          <w:rFonts w:asciiTheme="minorHAnsi" w:hAnsiTheme="minorHAnsi"/>
          <w:sz w:val="24"/>
          <w:szCs w:val="24"/>
        </w:rPr>
        <w:t xml:space="preserve"> l</w:t>
      </w:r>
      <w:r w:rsidR="00764E12" w:rsidRPr="00D45CDF">
        <w:rPr>
          <w:rFonts w:asciiTheme="minorHAnsi" w:hAnsiTheme="minorHAnsi"/>
          <w:sz w:val="24"/>
          <w:szCs w:val="24"/>
        </w:rPr>
        <w:t xml:space="preserve">awyers from EAC </w:t>
      </w:r>
      <w:r w:rsidR="001D6D90" w:rsidRPr="00D45CDF">
        <w:rPr>
          <w:rFonts w:asciiTheme="minorHAnsi" w:hAnsiTheme="minorHAnsi"/>
          <w:sz w:val="24"/>
          <w:szCs w:val="24"/>
        </w:rPr>
        <w:t>Partner States</w:t>
      </w:r>
      <w:r w:rsidR="00764E12" w:rsidRPr="00D45CDF">
        <w:rPr>
          <w:rFonts w:asciiTheme="minorHAnsi" w:hAnsiTheme="minorHAnsi"/>
          <w:sz w:val="24"/>
          <w:szCs w:val="24"/>
        </w:rPr>
        <w:t xml:space="preserve"> </w:t>
      </w:r>
      <w:r w:rsidR="002452A6" w:rsidRPr="00D45CDF">
        <w:rPr>
          <w:rFonts w:asciiTheme="minorHAnsi" w:hAnsiTheme="minorHAnsi"/>
          <w:sz w:val="24"/>
          <w:szCs w:val="24"/>
        </w:rPr>
        <w:t>‘</w:t>
      </w:r>
      <w:r w:rsidR="00F32FE0" w:rsidRPr="00D45CDF">
        <w:rPr>
          <w:rFonts w:asciiTheme="minorHAnsi" w:hAnsiTheme="minorHAnsi"/>
          <w:sz w:val="24"/>
          <w:szCs w:val="24"/>
        </w:rPr>
        <w:t>enjoy the freedom to practice in case of need</w:t>
      </w:r>
      <w:r w:rsidR="002452A6" w:rsidRPr="00D45CDF">
        <w:rPr>
          <w:rFonts w:asciiTheme="minorHAnsi" w:hAnsiTheme="minorHAnsi"/>
          <w:sz w:val="24"/>
          <w:szCs w:val="24"/>
        </w:rPr>
        <w:t>’</w:t>
      </w:r>
      <w:r w:rsidR="00F32FE0" w:rsidRPr="00D45CDF">
        <w:rPr>
          <w:rFonts w:asciiTheme="minorHAnsi" w:hAnsiTheme="minorHAnsi"/>
          <w:sz w:val="24"/>
          <w:szCs w:val="24"/>
        </w:rPr>
        <w:t xml:space="preserve"> and </w:t>
      </w:r>
      <w:r w:rsidR="00E92CEA" w:rsidRPr="00D45CDF">
        <w:rPr>
          <w:rFonts w:asciiTheme="minorHAnsi" w:hAnsiTheme="minorHAnsi"/>
          <w:sz w:val="24"/>
          <w:szCs w:val="24"/>
        </w:rPr>
        <w:t>are not required</w:t>
      </w:r>
      <w:r w:rsidR="00764E12" w:rsidRPr="00D45CDF">
        <w:rPr>
          <w:rFonts w:asciiTheme="minorHAnsi" w:hAnsiTheme="minorHAnsi"/>
          <w:sz w:val="24"/>
          <w:szCs w:val="24"/>
        </w:rPr>
        <w:t xml:space="preserve"> to present a recommendation of the president of the</w:t>
      </w:r>
      <w:r w:rsidR="00794DAC" w:rsidRPr="00D45CDF">
        <w:rPr>
          <w:rFonts w:asciiTheme="minorHAnsi" w:hAnsiTheme="minorHAnsi"/>
          <w:sz w:val="24"/>
          <w:szCs w:val="24"/>
        </w:rPr>
        <w:t xml:space="preserve">ir home </w:t>
      </w:r>
      <w:r w:rsidR="000D3526" w:rsidRPr="00D45CDF">
        <w:rPr>
          <w:rFonts w:asciiTheme="minorHAnsi" w:hAnsiTheme="minorHAnsi"/>
          <w:sz w:val="24"/>
          <w:szCs w:val="24"/>
        </w:rPr>
        <w:t>B</w:t>
      </w:r>
      <w:r w:rsidR="00794DAC" w:rsidRPr="00D45CDF">
        <w:rPr>
          <w:rFonts w:asciiTheme="minorHAnsi" w:hAnsiTheme="minorHAnsi"/>
          <w:sz w:val="24"/>
          <w:szCs w:val="24"/>
        </w:rPr>
        <w:t xml:space="preserve">ar, although they must obtain the approval of the President of </w:t>
      </w:r>
      <w:r w:rsidR="001E4593" w:rsidRPr="00D45CDF">
        <w:rPr>
          <w:rFonts w:asciiTheme="minorHAnsi" w:hAnsiTheme="minorHAnsi"/>
          <w:sz w:val="24"/>
          <w:szCs w:val="24"/>
        </w:rPr>
        <w:t xml:space="preserve">the </w:t>
      </w:r>
      <w:r w:rsidR="00794DAC" w:rsidRPr="00D45CDF">
        <w:rPr>
          <w:rFonts w:asciiTheme="minorHAnsi" w:hAnsiTheme="minorHAnsi"/>
          <w:sz w:val="24"/>
          <w:szCs w:val="24"/>
        </w:rPr>
        <w:t xml:space="preserve">RBA to </w:t>
      </w:r>
      <w:r w:rsidR="000D3526" w:rsidRPr="00D45CDF">
        <w:rPr>
          <w:rFonts w:asciiTheme="minorHAnsi" w:hAnsiTheme="minorHAnsi"/>
          <w:sz w:val="24"/>
          <w:szCs w:val="24"/>
        </w:rPr>
        <w:t>commence</w:t>
      </w:r>
      <w:r w:rsidR="00794DAC" w:rsidRPr="00D45CDF">
        <w:rPr>
          <w:rFonts w:asciiTheme="minorHAnsi" w:hAnsiTheme="minorHAnsi"/>
          <w:sz w:val="24"/>
          <w:szCs w:val="24"/>
        </w:rPr>
        <w:t xml:space="preserve"> practic</w:t>
      </w:r>
      <w:r w:rsidR="000D3526" w:rsidRPr="00D45CDF">
        <w:rPr>
          <w:rFonts w:asciiTheme="minorHAnsi" w:hAnsiTheme="minorHAnsi"/>
          <w:sz w:val="24"/>
          <w:szCs w:val="24"/>
        </w:rPr>
        <w:t>e</w:t>
      </w:r>
      <w:r w:rsidR="00794DAC" w:rsidRPr="00D45CDF">
        <w:rPr>
          <w:rFonts w:asciiTheme="minorHAnsi" w:hAnsiTheme="minorHAnsi"/>
          <w:sz w:val="24"/>
          <w:szCs w:val="24"/>
        </w:rPr>
        <w:t>.</w:t>
      </w:r>
      <w:r w:rsidR="00BF3D8F" w:rsidRPr="00D45CDF">
        <w:rPr>
          <w:rStyle w:val="FootnoteReference"/>
          <w:rFonts w:asciiTheme="minorHAnsi" w:hAnsiTheme="minorHAnsi"/>
          <w:sz w:val="24"/>
          <w:szCs w:val="24"/>
        </w:rPr>
        <w:footnoteReference w:id="123"/>
      </w:r>
      <w:r w:rsidR="00764E12" w:rsidRPr="00D45CDF">
        <w:rPr>
          <w:rFonts w:asciiTheme="minorHAnsi" w:hAnsiTheme="minorHAnsi"/>
          <w:sz w:val="24"/>
          <w:szCs w:val="24"/>
        </w:rPr>
        <w:t xml:space="preserve"> </w:t>
      </w:r>
    </w:p>
    <w:p w14:paraId="5EE90662" w14:textId="77777777" w:rsidR="00E37142" w:rsidRPr="00D45CDF" w:rsidRDefault="00845B86" w:rsidP="001C5BA7">
      <w:pPr>
        <w:spacing w:line="240" w:lineRule="auto"/>
        <w:jc w:val="both"/>
        <w:rPr>
          <w:rFonts w:asciiTheme="minorHAnsi" w:hAnsiTheme="minorHAnsi"/>
          <w:sz w:val="24"/>
          <w:szCs w:val="24"/>
        </w:rPr>
      </w:pPr>
      <w:r w:rsidRPr="00D45CDF">
        <w:rPr>
          <w:rFonts w:asciiTheme="minorHAnsi" w:hAnsiTheme="minorHAnsi"/>
          <w:sz w:val="24"/>
          <w:szCs w:val="24"/>
        </w:rPr>
        <w:t xml:space="preserve">It </w:t>
      </w:r>
      <w:r w:rsidR="0099593A" w:rsidRPr="00D45CDF">
        <w:rPr>
          <w:rFonts w:asciiTheme="minorHAnsi" w:hAnsiTheme="minorHAnsi"/>
          <w:sz w:val="24"/>
          <w:szCs w:val="24"/>
        </w:rPr>
        <w:t xml:space="preserve">is </w:t>
      </w:r>
      <w:r w:rsidRPr="00D45CDF">
        <w:rPr>
          <w:rFonts w:asciiTheme="minorHAnsi" w:hAnsiTheme="minorHAnsi"/>
          <w:sz w:val="24"/>
          <w:szCs w:val="24"/>
        </w:rPr>
        <w:t xml:space="preserve">worth mentioning that Rwanda and Kenya </w:t>
      </w:r>
      <w:r w:rsidR="00F03F23" w:rsidRPr="00D45CDF">
        <w:rPr>
          <w:rFonts w:asciiTheme="minorHAnsi" w:hAnsiTheme="minorHAnsi"/>
          <w:sz w:val="24"/>
          <w:szCs w:val="24"/>
        </w:rPr>
        <w:t>find themselves</w:t>
      </w:r>
      <w:r w:rsidRPr="00D45CDF">
        <w:rPr>
          <w:rFonts w:asciiTheme="minorHAnsi" w:hAnsiTheme="minorHAnsi"/>
          <w:sz w:val="24"/>
          <w:szCs w:val="24"/>
        </w:rPr>
        <w:t xml:space="preserve"> at odd</w:t>
      </w:r>
      <w:r w:rsidR="00271777" w:rsidRPr="00D45CDF">
        <w:rPr>
          <w:rFonts w:asciiTheme="minorHAnsi" w:hAnsiTheme="minorHAnsi"/>
          <w:sz w:val="24"/>
          <w:szCs w:val="24"/>
        </w:rPr>
        <w:t>s</w:t>
      </w:r>
      <w:r w:rsidRPr="00D45CDF">
        <w:rPr>
          <w:rFonts w:asciiTheme="minorHAnsi" w:hAnsiTheme="minorHAnsi"/>
          <w:sz w:val="24"/>
          <w:szCs w:val="24"/>
        </w:rPr>
        <w:t xml:space="preserve"> with other EAC </w:t>
      </w:r>
      <w:r w:rsidR="001D6D90" w:rsidRPr="00D45CDF">
        <w:rPr>
          <w:rFonts w:asciiTheme="minorHAnsi" w:hAnsiTheme="minorHAnsi"/>
          <w:sz w:val="24"/>
          <w:szCs w:val="24"/>
        </w:rPr>
        <w:t>Partner States</w:t>
      </w:r>
      <w:r w:rsidRPr="00D45CDF">
        <w:rPr>
          <w:rFonts w:asciiTheme="minorHAnsi" w:hAnsiTheme="minorHAnsi"/>
          <w:sz w:val="24"/>
          <w:szCs w:val="24"/>
        </w:rPr>
        <w:t xml:space="preserve"> in</w:t>
      </w:r>
      <w:r w:rsidR="00543584" w:rsidRPr="00D45CDF">
        <w:rPr>
          <w:rFonts w:asciiTheme="minorHAnsi" w:hAnsiTheme="minorHAnsi"/>
          <w:sz w:val="24"/>
          <w:szCs w:val="24"/>
        </w:rPr>
        <w:t xml:space="preserve"> pressing ahead and</w:t>
      </w:r>
      <w:r w:rsidRPr="00D45CDF">
        <w:rPr>
          <w:rFonts w:asciiTheme="minorHAnsi" w:hAnsiTheme="minorHAnsi"/>
          <w:sz w:val="24"/>
          <w:szCs w:val="24"/>
        </w:rPr>
        <w:t xml:space="preserve"> </w:t>
      </w:r>
      <w:r w:rsidR="00543584" w:rsidRPr="00D45CDF">
        <w:rPr>
          <w:rFonts w:asciiTheme="minorHAnsi" w:hAnsiTheme="minorHAnsi"/>
          <w:sz w:val="24"/>
          <w:szCs w:val="24"/>
        </w:rPr>
        <w:t xml:space="preserve">implementing </w:t>
      </w:r>
      <w:r w:rsidRPr="00D45CDF">
        <w:rPr>
          <w:rFonts w:asciiTheme="minorHAnsi" w:hAnsiTheme="minorHAnsi"/>
          <w:sz w:val="24"/>
          <w:szCs w:val="24"/>
        </w:rPr>
        <w:t xml:space="preserve">the </w:t>
      </w:r>
      <w:r w:rsidR="00543584" w:rsidRPr="00D45CDF">
        <w:rPr>
          <w:rFonts w:asciiTheme="minorHAnsi" w:hAnsiTheme="minorHAnsi"/>
          <w:sz w:val="24"/>
          <w:szCs w:val="24"/>
        </w:rPr>
        <w:t xml:space="preserve">freedom of movement </w:t>
      </w:r>
      <w:r w:rsidRPr="00D45CDF">
        <w:rPr>
          <w:rFonts w:asciiTheme="minorHAnsi" w:hAnsiTheme="minorHAnsi"/>
          <w:sz w:val="24"/>
          <w:szCs w:val="24"/>
        </w:rPr>
        <w:t>of legal services</w:t>
      </w:r>
      <w:r w:rsidR="00543584" w:rsidRPr="00D45CDF">
        <w:rPr>
          <w:rFonts w:asciiTheme="minorHAnsi" w:hAnsiTheme="minorHAnsi"/>
          <w:sz w:val="24"/>
          <w:szCs w:val="24"/>
        </w:rPr>
        <w:t>,</w:t>
      </w:r>
      <w:r w:rsidR="00E83147" w:rsidRPr="00D45CDF">
        <w:rPr>
          <w:rFonts w:asciiTheme="minorHAnsi" w:hAnsiTheme="minorHAnsi"/>
          <w:sz w:val="24"/>
          <w:szCs w:val="24"/>
        </w:rPr>
        <w:t xml:space="preserve"> despite the fact that</w:t>
      </w:r>
      <w:r w:rsidR="00440C05" w:rsidRPr="00D45CDF">
        <w:rPr>
          <w:rFonts w:asciiTheme="minorHAnsi" w:hAnsiTheme="minorHAnsi"/>
          <w:sz w:val="24"/>
          <w:szCs w:val="24"/>
        </w:rPr>
        <w:t xml:space="preserve"> the EAC Cross-Border Legal Practice Bill and the MRA </w:t>
      </w:r>
      <w:r w:rsidR="00543584" w:rsidRPr="00D45CDF">
        <w:rPr>
          <w:rFonts w:asciiTheme="minorHAnsi" w:hAnsiTheme="minorHAnsi"/>
          <w:sz w:val="24"/>
          <w:szCs w:val="24"/>
        </w:rPr>
        <w:t xml:space="preserve">have </w:t>
      </w:r>
      <w:r w:rsidR="00440C05" w:rsidRPr="00D45CDF">
        <w:rPr>
          <w:rFonts w:asciiTheme="minorHAnsi" w:hAnsiTheme="minorHAnsi"/>
          <w:sz w:val="24"/>
          <w:szCs w:val="24"/>
        </w:rPr>
        <w:t>not yet</w:t>
      </w:r>
      <w:r w:rsidR="00543584" w:rsidRPr="00D45CDF">
        <w:rPr>
          <w:rFonts w:asciiTheme="minorHAnsi" w:hAnsiTheme="minorHAnsi"/>
          <w:sz w:val="24"/>
          <w:szCs w:val="24"/>
        </w:rPr>
        <w:t xml:space="preserve"> been</w:t>
      </w:r>
      <w:r w:rsidR="00440C05" w:rsidRPr="00D45CDF">
        <w:rPr>
          <w:rFonts w:asciiTheme="minorHAnsi" w:hAnsiTheme="minorHAnsi"/>
          <w:sz w:val="24"/>
          <w:szCs w:val="24"/>
        </w:rPr>
        <w:t xml:space="preserve"> enacted. </w:t>
      </w:r>
      <w:r w:rsidR="0099593A" w:rsidRPr="00D45CDF">
        <w:rPr>
          <w:rFonts w:asciiTheme="minorHAnsi" w:hAnsiTheme="minorHAnsi"/>
          <w:sz w:val="24"/>
          <w:szCs w:val="24"/>
        </w:rPr>
        <w:t xml:space="preserve">In principle, the applicability of supra-national norms at domestic level depends on </w:t>
      </w:r>
      <w:r w:rsidR="00182C99" w:rsidRPr="00D45CDF">
        <w:rPr>
          <w:rFonts w:asciiTheme="minorHAnsi" w:hAnsiTheme="minorHAnsi"/>
          <w:sz w:val="24"/>
          <w:szCs w:val="24"/>
        </w:rPr>
        <w:t xml:space="preserve">whether the </w:t>
      </w:r>
      <w:r w:rsidR="00D50FC8" w:rsidRPr="00D45CDF">
        <w:rPr>
          <w:rFonts w:asciiTheme="minorHAnsi" w:hAnsiTheme="minorHAnsi"/>
          <w:sz w:val="24"/>
          <w:szCs w:val="24"/>
        </w:rPr>
        <w:t>state</w:t>
      </w:r>
      <w:r w:rsidR="00182C99" w:rsidRPr="00D45CDF">
        <w:rPr>
          <w:rFonts w:asciiTheme="minorHAnsi" w:hAnsiTheme="minorHAnsi"/>
          <w:sz w:val="24"/>
          <w:szCs w:val="24"/>
        </w:rPr>
        <w:t xml:space="preserve"> </w:t>
      </w:r>
      <w:r w:rsidR="00684C9C" w:rsidRPr="00D45CDF">
        <w:rPr>
          <w:rFonts w:asciiTheme="minorHAnsi" w:hAnsiTheme="minorHAnsi"/>
          <w:sz w:val="24"/>
          <w:szCs w:val="24"/>
        </w:rPr>
        <w:t xml:space="preserve">concerned </w:t>
      </w:r>
      <w:r w:rsidR="00182C99" w:rsidRPr="00D45CDF">
        <w:rPr>
          <w:rFonts w:asciiTheme="minorHAnsi" w:hAnsiTheme="minorHAnsi"/>
          <w:sz w:val="24"/>
          <w:szCs w:val="24"/>
        </w:rPr>
        <w:t xml:space="preserve">is monist or dualist. Although both Rwanda and Kenya are monist </w:t>
      </w:r>
      <w:r w:rsidR="00543584" w:rsidRPr="00D45CDF">
        <w:rPr>
          <w:rFonts w:asciiTheme="minorHAnsi" w:hAnsiTheme="minorHAnsi"/>
          <w:sz w:val="24"/>
          <w:szCs w:val="24"/>
        </w:rPr>
        <w:t>states</w:t>
      </w:r>
      <w:r w:rsidR="00D50FC8" w:rsidRPr="00D45CDF">
        <w:rPr>
          <w:rFonts w:asciiTheme="minorHAnsi" w:hAnsiTheme="minorHAnsi"/>
          <w:sz w:val="24"/>
          <w:szCs w:val="24"/>
        </w:rPr>
        <w:t>,</w:t>
      </w:r>
      <w:r w:rsidR="005113E8" w:rsidRPr="00D45CDF">
        <w:rPr>
          <w:rStyle w:val="FootnoteReference"/>
          <w:rFonts w:asciiTheme="minorHAnsi" w:hAnsiTheme="minorHAnsi"/>
          <w:sz w:val="24"/>
          <w:szCs w:val="24"/>
        </w:rPr>
        <w:footnoteReference w:id="124"/>
      </w:r>
      <w:r w:rsidR="00182C99" w:rsidRPr="00D45CDF">
        <w:rPr>
          <w:rFonts w:asciiTheme="minorHAnsi" w:hAnsiTheme="minorHAnsi"/>
          <w:sz w:val="24"/>
          <w:szCs w:val="24"/>
        </w:rPr>
        <w:t xml:space="preserve"> </w:t>
      </w:r>
      <w:r w:rsidR="008C7A22" w:rsidRPr="00D45CDF">
        <w:rPr>
          <w:rFonts w:asciiTheme="minorHAnsi" w:hAnsiTheme="minorHAnsi"/>
          <w:sz w:val="24"/>
          <w:szCs w:val="24"/>
        </w:rPr>
        <w:t xml:space="preserve">signifying that </w:t>
      </w:r>
      <w:r w:rsidR="00D50FC8" w:rsidRPr="00D45CDF">
        <w:rPr>
          <w:rFonts w:asciiTheme="minorHAnsi" w:hAnsiTheme="minorHAnsi"/>
          <w:sz w:val="24"/>
          <w:szCs w:val="24"/>
        </w:rPr>
        <w:t xml:space="preserve">international law is directly applicable in their national legal systems, </w:t>
      </w:r>
      <w:r w:rsidR="00182C99" w:rsidRPr="00D45CDF">
        <w:rPr>
          <w:rFonts w:asciiTheme="minorHAnsi" w:hAnsiTheme="minorHAnsi"/>
          <w:sz w:val="24"/>
          <w:szCs w:val="24"/>
        </w:rPr>
        <w:t xml:space="preserve">this has little to do with their </w:t>
      </w:r>
      <w:r w:rsidR="007B2B44" w:rsidRPr="00D45CDF">
        <w:rPr>
          <w:rFonts w:asciiTheme="minorHAnsi" w:hAnsiTheme="minorHAnsi"/>
          <w:sz w:val="24"/>
          <w:szCs w:val="24"/>
        </w:rPr>
        <w:t xml:space="preserve">progress in the </w:t>
      </w:r>
      <w:r w:rsidR="00182C99" w:rsidRPr="00D45CDF">
        <w:rPr>
          <w:rFonts w:asciiTheme="minorHAnsi" w:hAnsiTheme="minorHAnsi"/>
          <w:sz w:val="24"/>
          <w:szCs w:val="24"/>
        </w:rPr>
        <w:t xml:space="preserve">implementation of the </w:t>
      </w:r>
      <w:r w:rsidR="00543584" w:rsidRPr="00D45CDF">
        <w:rPr>
          <w:rFonts w:asciiTheme="minorHAnsi" w:hAnsiTheme="minorHAnsi"/>
          <w:sz w:val="24"/>
          <w:szCs w:val="24"/>
        </w:rPr>
        <w:t xml:space="preserve">freedom of movement </w:t>
      </w:r>
      <w:r w:rsidR="00182C99" w:rsidRPr="00D45CDF">
        <w:rPr>
          <w:rFonts w:asciiTheme="minorHAnsi" w:hAnsiTheme="minorHAnsi"/>
          <w:sz w:val="24"/>
          <w:szCs w:val="24"/>
        </w:rPr>
        <w:t>of legal services.</w:t>
      </w:r>
      <w:r w:rsidR="00761445" w:rsidRPr="00D45CDF">
        <w:rPr>
          <w:rStyle w:val="FootnoteReference"/>
          <w:rFonts w:asciiTheme="minorHAnsi" w:hAnsiTheme="minorHAnsi"/>
          <w:sz w:val="24"/>
          <w:szCs w:val="24"/>
        </w:rPr>
        <w:footnoteReference w:id="125"/>
      </w:r>
      <w:r w:rsidR="00182C99" w:rsidRPr="00D45CDF">
        <w:rPr>
          <w:rFonts w:asciiTheme="minorHAnsi" w:hAnsiTheme="minorHAnsi"/>
          <w:sz w:val="24"/>
          <w:szCs w:val="24"/>
        </w:rPr>
        <w:t xml:space="preserve"> In fact, pursuant to Article 8(4) of the EAC Treaty, community laws have precedence over </w:t>
      </w:r>
      <w:r w:rsidR="001D6D90" w:rsidRPr="00D45CDF">
        <w:rPr>
          <w:rFonts w:asciiTheme="minorHAnsi" w:hAnsiTheme="minorHAnsi"/>
          <w:sz w:val="24"/>
          <w:szCs w:val="24"/>
        </w:rPr>
        <w:t>Partner States</w:t>
      </w:r>
      <w:r w:rsidR="005113E8" w:rsidRPr="00D45CDF">
        <w:rPr>
          <w:rFonts w:asciiTheme="minorHAnsi" w:hAnsiTheme="minorHAnsi"/>
          <w:sz w:val="24"/>
          <w:szCs w:val="24"/>
        </w:rPr>
        <w:t>’</w:t>
      </w:r>
      <w:r w:rsidR="00182C99" w:rsidRPr="00D45CDF">
        <w:rPr>
          <w:rFonts w:asciiTheme="minorHAnsi" w:hAnsiTheme="minorHAnsi"/>
          <w:sz w:val="24"/>
          <w:szCs w:val="24"/>
        </w:rPr>
        <w:t xml:space="preserve"> laws on matters pertaining to the implementation of the treaty</w:t>
      </w:r>
      <w:r w:rsidR="00D50FC8" w:rsidRPr="00D45CDF">
        <w:rPr>
          <w:rFonts w:asciiTheme="minorHAnsi" w:hAnsiTheme="minorHAnsi"/>
          <w:sz w:val="24"/>
          <w:szCs w:val="24"/>
        </w:rPr>
        <w:t xml:space="preserve"> provisions</w:t>
      </w:r>
      <w:r w:rsidR="005113E8" w:rsidRPr="00D45CDF">
        <w:rPr>
          <w:rFonts w:asciiTheme="minorHAnsi" w:hAnsiTheme="minorHAnsi"/>
          <w:sz w:val="24"/>
          <w:szCs w:val="24"/>
        </w:rPr>
        <w:t xml:space="preserve">. </w:t>
      </w:r>
      <w:r w:rsidR="00D50FC8" w:rsidRPr="00D45CDF">
        <w:rPr>
          <w:rFonts w:asciiTheme="minorHAnsi" w:hAnsiTheme="minorHAnsi"/>
          <w:sz w:val="24"/>
          <w:szCs w:val="24"/>
        </w:rPr>
        <w:t>Similarly,</w:t>
      </w:r>
      <w:r w:rsidR="005113E8" w:rsidRPr="00D45CDF">
        <w:rPr>
          <w:rFonts w:asciiTheme="minorHAnsi" w:hAnsiTheme="minorHAnsi"/>
          <w:sz w:val="24"/>
          <w:szCs w:val="24"/>
        </w:rPr>
        <w:t xml:space="preserve"> EAC laws have a direct effect</w:t>
      </w:r>
      <w:r w:rsidR="00761445" w:rsidRPr="00D45CDF">
        <w:rPr>
          <w:rFonts w:asciiTheme="minorHAnsi" w:hAnsiTheme="minorHAnsi"/>
          <w:sz w:val="24"/>
          <w:szCs w:val="24"/>
        </w:rPr>
        <w:t xml:space="preserve"> i</w:t>
      </w:r>
      <w:r w:rsidR="005113E8" w:rsidRPr="00D45CDF">
        <w:rPr>
          <w:rFonts w:asciiTheme="minorHAnsi" w:hAnsiTheme="minorHAnsi"/>
          <w:sz w:val="24"/>
          <w:szCs w:val="24"/>
        </w:rPr>
        <w:t>n</w:t>
      </w:r>
      <w:r w:rsidR="00761445" w:rsidRPr="00D45CDF">
        <w:rPr>
          <w:rFonts w:asciiTheme="minorHAnsi" w:hAnsiTheme="minorHAnsi"/>
          <w:sz w:val="24"/>
          <w:szCs w:val="24"/>
        </w:rPr>
        <w:t>to</w:t>
      </w:r>
      <w:r w:rsidR="005113E8" w:rsidRPr="00D45CDF">
        <w:rPr>
          <w:rFonts w:asciiTheme="minorHAnsi" w:hAnsiTheme="minorHAnsi"/>
          <w:sz w:val="24"/>
          <w:szCs w:val="24"/>
        </w:rPr>
        <w:t xml:space="preserve"> </w:t>
      </w:r>
      <w:r w:rsidR="001D6D90" w:rsidRPr="00D45CDF">
        <w:rPr>
          <w:rFonts w:asciiTheme="minorHAnsi" w:hAnsiTheme="minorHAnsi"/>
          <w:sz w:val="24"/>
          <w:szCs w:val="24"/>
        </w:rPr>
        <w:t>Partner States</w:t>
      </w:r>
      <w:r w:rsidR="005113E8" w:rsidRPr="00D45CDF">
        <w:rPr>
          <w:rFonts w:asciiTheme="minorHAnsi" w:hAnsiTheme="minorHAnsi"/>
          <w:sz w:val="24"/>
          <w:szCs w:val="24"/>
        </w:rPr>
        <w:t>’ legal order</w:t>
      </w:r>
      <w:r w:rsidR="00D50FC8" w:rsidRPr="00D45CDF">
        <w:rPr>
          <w:rFonts w:asciiTheme="minorHAnsi" w:hAnsiTheme="minorHAnsi"/>
          <w:sz w:val="24"/>
          <w:szCs w:val="24"/>
        </w:rPr>
        <w:t>s</w:t>
      </w:r>
      <w:r w:rsidR="005113E8" w:rsidRPr="00D45CDF">
        <w:rPr>
          <w:rFonts w:asciiTheme="minorHAnsi" w:hAnsiTheme="minorHAnsi"/>
          <w:sz w:val="24"/>
          <w:szCs w:val="24"/>
        </w:rPr>
        <w:t>.</w:t>
      </w:r>
      <w:r w:rsidR="00370BFE" w:rsidRPr="00D45CDF">
        <w:rPr>
          <w:rStyle w:val="FootnoteReference"/>
          <w:rFonts w:asciiTheme="minorHAnsi" w:hAnsiTheme="minorHAnsi"/>
          <w:sz w:val="24"/>
          <w:szCs w:val="24"/>
        </w:rPr>
        <w:footnoteReference w:id="126"/>
      </w:r>
      <w:r w:rsidR="005113E8" w:rsidRPr="00D45CDF">
        <w:rPr>
          <w:rFonts w:asciiTheme="minorHAnsi" w:hAnsiTheme="minorHAnsi"/>
          <w:sz w:val="24"/>
          <w:szCs w:val="24"/>
        </w:rPr>
        <w:t xml:space="preserve"> Therefore, </w:t>
      </w:r>
      <w:r w:rsidR="00D50FC8" w:rsidRPr="00D45CDF">
        <w:rPr>
          <w:rFonts w:asciiTheme="minorHAnsi" w:hAnsiTheme="minorHAnsi"/>
          <w:sz w:val="24"/>
          <w:szCs w:val="24"/>
        </w:rPr>
        <w:t xml:space="preserve">the </w:t>
      </w:r>
      <w:r w:rsidR="005113E8" w:rsidRPr="00D45CDF">
        <w:rPr>
          <w:rFonts w:asciiTheme="minorHAnsi" w:hAnsiTheme="minorHAnsi"/>
          <w:sz w:val="24"/>
          <w:szCs w:val="24"/>
        </w:rPr>
        <w:t>legal system</w:t>
      </w:r>
      <w:r w:rsidR="00D50FC8" w:rsidRPr="00D45CDF">
        <w:rPr>
          <w:rFonts w:asciiTheme="minorHAnsi" w:hAnsiTheme="minorHAnsi"/>
          <w:sz w:val="24"/>
          <w:szCs w:val="24"/>
        </w:rPr>
        <w:t>s</w:t>
      </w:r>
      <w:r w:rsidR="005113E8" w:rsidRPr="00D45CDF">
        <w:rPr>
          <w:rFonts w:asciiTheme="minorHAnsi" w:hAnsiTheme="minorHAnsi"/>
          <w:sz w:val="24"/>
          <w:szCs w:val="24"/>
        </w:rPr>
        <w:t xml:space="preserve"> </w:t>
      </w:r>
      <w:r w:rsidR="00D50FC8" w:rsidRPr="00D45CDF">
        <w:rPr>
          <w:rFonts w:asciiTheme="minorHAnsi" w:hAnsiTheme="minorHAnsi"/>
          <w:sz w:val="24"/>
          <w:szCs w:val="24"/>
        </w:rPr>
        <w:t xml:space="preserve">of </w:t>
      </w:r>
      <w:r w:rsidR="001D6D90" w:rsidRPr="00D45CDF">
        <w:rPr>
          <w:rFonts w:asciiTheme="minorHAnsi" w:hAnsiTheme="minorHAnsi"/>
          <w:sz w:val="24"/>
          <w:szCs w:val="24"/>
        </w:rPr>
        <w:t>Partner States</w:t>
      </w:r>
      <w:r w:rsidR="00D50FC8" w:rsidRPr="00D45CDF">
        <w:rPr>
          <w:rFonts w:asciiTheme="minorHAnsi" w:hAnsiTheme="minorHAnsi"/>
          <w:sz w:val="24"/>
          <w:szCs w:val="24"/>
        </w:rPr>
        <w:t xml:space="preserve"> </w:t>
      </w:r>
      <w:r w:rsidR="005113E8" w:rsidRPr="00D45CDF">
        <w:rPr>
          <w:rFonts w:asciiTheme="minorHAnsi" w:hAnsiTheme="minorHAnsi"/>
          <w:sz w:val="24"/>
          <w:szCs w:val="24"/>
        </w:rPr>
        <w:t xml:space="preserve">should not be an excuse </w:t>
      </w:r>
      <w:r w:rsidR="00D50FC8" w:rsidRPr="00D45CDF">
        <w:rPr>
          <w:rFonts w:asciiTheme="minorHAnsi" w:hAnsiTheme="minorHAnsi"/>
          <w:sz w:val="24"/>
          <w:szCs w:val="24"/>
        </w:rPr>
        <w:t xml:space="preserve">for </w:t>
      </w:r>
      <w:r w:rsidR="005113E8" w:rsidRPr="00D45CDF">
        <w:rPr>
          <w:rFonts w:asciiTheme="minorHAnsi" w:hAnsiTheme="minorHAnsi"/>
          <w:sz w:val="24"/>
          <w:szCs w:val="24"/>
        </w:rPr>
        <w:t>delay</w:t>
      </w:r>
      <w:r w:rsidR="00D50FC8" w:rsidRPr="00D45CDF">
        <w:rPr>
          <w:rFonts w:asciiTheme="minorHAnsi" w:hAnsiTheme="minorHAnsi"/>
          <w:sz w:val="24"/>
          <w:szCs w:val="24"/>
        </w:rPr>
        <w:t>ing</w:t>
      </w:r>
      <w:r w:rsidR="005113E8" w:rsidRPr="00D45CDF">
        <w:rPr>
          <w:rFonts w:asciiTheme="minorHAnsi" w:hAnsiTheme="minorHAnsi"/>
          <w:sz w:val="24"/>
          <w:szCs w:val="24"/>
        </w:rPr>
        <w:t xml:space="preserve"> the implementation of rights and freedoms enshrined in EAC instruments</w:t>
      </w:r>
      <w:r w:rsidR="0067575C" w:rsidRPr="00D45CDF">
        <w:rPr>
          <w:rFonts w:asciiTheme="minorHAnsi" w:hAnsiTheme="minorHAnsi"/>
          <w:sz w:val="24"/>
          <w:szCs w:val="24"/>
        </w:rPr>
        <w:t>, although this appears to be the case in practice</w:t>
      </w:r>
      <w:r w:rsidR="005113E8" w:rsidRPr="00D45CDF">
        <w:rPr>
          <w:rFonts w:asciiTheme="minorHAnsi" w:hAnsiTheme="minorHAnsi"/>
          <w:sz w:val="24"/>
          <w:szCs w:val="24"/>
        </w:rPr>
        <w:t>.</w:t>
      </w:r>
      <w:r w:rsidR="00182C99" w:rsidRPr="00D45CDF">
        <w:rPr>
          <w:rFonts w:asciiTheme="minorHAnsi" w:hAnsiTheme="minorHAnsi"/>
          <w:sz w:val="24"/>
          <w:szCs w:val="24"/>
        </w:rPr>
        <w:t xml:space="preserve"> </w:t>
      </w:r>
    </w:p>
    <w:p w14:paraId="2CA6C77A" w14:textId="77777777" w:rsidR="001B2C2B" w:rsidRDefault="00794DAC" w:rsidP="001B2C2B">
      <w:pPr>
        <w:spacing w:line="240" w:lineRule="auto"/>
        <w:jc w:val="both"/>
        <w:rPr>
          <w:rFonts w:asciiTheme="minorHAnsi" w:hAnsiTheme="minorHAnsi"/>
          <w:sz w:val="24"/>
          <w:szCs w:val="24"/>
        </w:rPr>
      </w:pPr>
      <w:r w:rsidRPr="00D45CDF">
        <w:rPr>
          <w:rFonts w:asciiTheme="minorHAnsi" w:hAnsiTheme="minorHAnsi"/>
          <w:sz w:val="24"/>
          <w:szCs w:val="24"/>
        </w:rPr>
        <w:t xml:space="preserve">During their </w:t>
      </w:r>
      <w:r w:rsidR="008C7A22" w:rsidRPr="00D45CDF">
        <w:rPr>
          <w:rFonts w:asciiTheme="minorHAnsi" w:hAnsiTheme="minorHAnsi"/>
          <w:sz w:val="24"/>
          <w:szCs w:val="24"/>
        </w:rPr>
        <w:t xml:space="preserve">period of </w:t>
      </w:r>
      <w:r w:rsidRPr="00D45CDF">
        <w:rPr>
          <w:rFonts w:asciiTheme="minorHAnsi" w:hAnsiTheme="minorHAnsi"/>
          <w:sz w:val="24"/>
          <w:szCs w:val="24"/>
        </w:rPr>
        <w:t xml:space="preserve">practice in Rwanda, </w:t>
      </w:r>
      <w:r w:rsidR="007B7CD6" w:rsidRPr="00D45CDF">
        <w:rPr>
          <w:rFonts w:asciiTheme="minorHAnsi" w:hAnsiTheme="minorHAnsi"/>
          <w:sz w:val="24"/>
          <w:szCs w:val="24"/>
        </w:rPr>
        <w:t xml:space="preserve">foreign </w:t>
      </w:r>
      <w:r w:rsidRPr="00D45CDF">
        <w:rPr>
          <w:rFonts w:asciiTheme="minorHAnsi" w:hAnsiTheme="minorHAnsi"/>
          <w:sz w:val="24"/>
          <w:szCs w:val="24"/>
        </w:rPr>
        <w:t xml:space="preserve">lawyers </w:t>
      </w:r>
      <w:r w:rsidR="00D32974" w:rsidRPr="00D45CDF">
        <w:rPr>
          <w:rFonts w:asciiTheme="minorHAnsi" w:hAnsiTheme="minorHAnsi"/>
          <w:sz w:val="24"/>
          <w:szCs w:val="24"/>
        </w:rPr>
        <w:t>in</w:t>
      </w:r>
      <w:r w:rsidRPr="00D45CDF">
        <w:rPr>
          <w:rFonts w:asciiTheme="minorHAnsi" w:hAnsiTheme="minorHAnsi"/>
          <w:sz w:val="24"/>
          <w:szCs w:val="24"/>
        </w:rPr>
        <w:t xml:space="preserve"> </w:t>
      </w:r>
      <w:r w:rsidR="007B7CD6" w:rsidRPr="00D45CDF">
        <w:rPr>
          <w:rFonts w:asciiTheme="minorHAnsi" w:hAnsiTheme="minorHAnsi"/>
          <w:sz w:val="24"/>
          <w:szCs w:val="24"/>
        </w:rPr>
        <w:t>both</w:t>
      </w:r>
      <w:r w:rsidRPr="00D45CDF">
        <w:rPr>
          <w:rFonts w:asciiTheme="minorHAnsi" w:hAnsiTheme="minorHAnsi"/>
          <w:sz w:val="24"/>
          <w:szCs w:val="24"/>
        </w:rPr>
        <w:t xml:space="preserve"> categor</w:t>
      </w:r>
      <w:r w:rsidR="007B7CD6" w:rsidRPr="00D45CDF">
        <w:rPr>
          <w:rFonts w:asciiTheme="minorHAnsi" w:hAnsiTheme="minorHAnsi"/>
          <w:sz w:val="24"/>
          <w:szCs w:val="24"/>
        </w:rPr>
        <w:t>ies</w:t>
      </w:r>
      <w:r w:rsidRPr="00D45CDF">
        <w:rPr>
          <w:rFonts w:asciiTheme="minorHAnsi" w:hAnsiTheme="minorHAnsi"/>
          <w:sz w:val="24"/>
          <w:szCs w:val="24"/>
        </w:rPr>
        <w:t xml:space="preserve"> </w:t>
      </w:r>
      <w:r w:rsidR="008C7A22" w:rsidRPr="00D45CDF">
        <w:rPr>
          <w:rFonts w:asciiTheme="minorHAnsi" w:hAnsiTheme="minorHAnsi"/>
          <w:sz w:val="24"/>
          <w:szCs w:val="24"/>
        </w:rPr>
        <w:t xml:space="preserve">outlined above </w:t>
      </w:r>
      <w:r w:rsidRPr="00D45CDF">
        <w:rPr>
          <w:rFonts w:asciiTheme="minorHAnsi" w:hAnsiTheme="minorHAnsi"/>
          <w:sz w:val="24"/>
          <w:szCs w:val="24"/>
        </w:rPr>
        <w:t>are subject to a double deontology</w:t>
      </w:r>
      <w:r w:rsidR="00D473E6" w:rsidRPr="00D45CDF">
        <w:rPr>
          <w:rFonts w:asciiTheme="minorHAnsi" w:hAnsiTheme="minorHAnsi"/>
          <w:sz w:val="24"/>
          <w:szCs w:val="24"/>
        </w:rPr>
        <w:t>,</w:t>
      </w:r>
      <w:r w:rsidRPr="00D45CDF">
        <w:rPr>
          <w:rFonts w:asciiTheme="minorHAnsi" w:hAnsiTheme="minorHAnsi"/>
          <w:sz w:val="24"/>
          <w:szCs w:val="24"/>
        </w:rPr>
        <w:t xml:space="preserve"> like RELs in England </w:t>
      </w:r>
      <w:r w:rsidR="00283E98" w:rsidRPr="00D45CDF">
        <w:rPr>
          <w:rFonts w:asciiTheme="minorHAnsi" w:hAnsiTheme="minorHAnsi"/>
          <w:sz w:val="24"/>
          <w:szCs w:val="24"/>
        </w:rPr>
        <w:t xml:space="preserve">and Wales, </w:t>
      </w:r>
      <w:r w:rsidRPr="00D45CDF">
        <w:rPr>
          <w:rFonts w:asciiTheme="minorHAnsi" w:hAnsiTheme="minorHAnsi"/>
          <w:sz w:val="24"/>
          <w:szCs w:val="24"/>
        </w:rPr>
        <w:t xml:space="preserve">and </w:t>
      </w:r>
      <w:r w:rsidR="002602B6" w:rsidRPr="00D45CDF">
        <w:rPr>
          <w:rFonts w:asciiTheme="minorHAnsi" w:hAnsiTheme="minorHAnsi"/>
          <w:sz w:val="24"/>
          <w:szCs w:val="24"/>
        </w:rPr>
        <w:t>must</w:t>
      </w:r>
      <w:r w:rsidRPr="00D45CDF">
        <w:rPr>
          <w:rFonts w:asciiTheme="minorHAnsi" w:hAnsiTheme="minorHAnsi"/>
          <w:sz w:val="24"/>
          <w:szCs w:val="24"/>
        </w:rPr>
        <w:t xml:space="preserve"> pay annual contribution</w:t>
      </w:r>
      <w:r w:rsidR="00384ADF" w:rsidRPr="00D45CDF">
        <w:rPr>
          <w:rFonts w:asciiTheme="minorHAnsi" w:hAnsiTheme="minorHAnsi"/>
          <w:sz w:val="24"/>
          <w:szCs w:val="24"/>
        </w:rPr>
        <w:t>s</w:t>
      </w:r>
      <w:r w:rsidRPr="00D45CDF">
        <w:rPr>
          <w:rFonts w:asciiTheme="minorHAnsi" w:hAnsiTheme="minorHAnsi"/>
          <w:sz w:val="24"/>
          <w:szCs w:val="24"/>
        </w:rPr>
        <w:t xml:space="preserve"> to </w:t>
      </w:r>
      <w:r w:rsidR="008C7A22" w:rsidRPr="00D45CDF">
        <w:rPr>
          <w:rFonts w:asciiTheme="minorHAnsi" w:hAnsiTheme="minorHAnsi"/>
          <w:sz w:val="24"/>
          <w:szCs w:val="24"/>
        </w:rPr>
        <w:t xml:space="preserve">the </w:t>
      </w:r>
      <w:r w:rsidRPr="00D45CDF">
        <w:rPr>
          <w:rFonts w:asciiTheme="minorHAnsi" w:hAnsiTheme="minorHAnsi"/>
          <w:sz w:val="24"/>
          <w:szCs w:val="24"/>
        </w:rPr>
        <w:t>RBA</w:t>
      </w:r>
      <w:r w:rsidR="00283E98" w:rsidRPr="00D45CDF">
        <w:rPr>
          <w:rFonts w:asciiTheme="minorHAnsi" w:hAnsiTheme="minorHAnsi"/>
          <w:sz w:val="24"/>
          <w:szCs w:val="24"/>
        </w:rPr>
        <w:t>,</w:t>
      </w:r>
      <w:r w:rsidRPr="00D45CDF">
        <w:rPr>
          <w:rFonts w:asciiTheme="minorHAnsi" w:hAnsiTheme="minorHAnsi"/>
          <w:sz w:val="24"/>
          <w:szCs w:val="24"/>
        </w:rPr>
        <w:t xml:space="preserve"> pro rata f</w:t>
      </w:r>
      <w:r w:rsidR="00283E98" w:rsidRPr="00D45CDF">
        <w:rPr>
          <w:rFonts w:asciiTheme="minorHAnsi" w:hAnsiTheme="minorHAnsi"/>
          <w:sz w:val="24"/>
          <w:szCs w:val="24"/>
        </w:rPr>
        <w:t>or</w:t>
      </w:r>
      <w:r w:rsidRPr="00D45CDF">
        <w:rPr>
          <w:rFonts w:asciiTheme="minorHAnsi" w:hAnsiTheme="minorHAnsi"/>
          <w:sz w:val="24"/>
          <w:szCs w:val="24"/>
        </w:rPr>
        <w:t xml:space="preserve"> the number of months they </w:t>
      </w:r>
      <w:r w:rsidR="002602B6" w:rsidRPr="00D45CDF">
        <w:rPr>
          <w:rFonts w:asciiTheme="minorHAnsi" w:hAnsiTheme="minorHAnsi"/>
          <w:sz w:val="24"/>
          <w:szCs w:val="24"/>
        </w:rPr>
        <w:t>intend</w:t>
      </w:r>
      <w:r w:rsidRPr="00D45CDF">
        <w:rPr>
          <w:rFonts w:asciiTheme="minorHAnsi" w:hAnsiTheme="minorHAnsi"/>
          <w:sz w:val="24"/>
          <w:szCs w:val="24"/>
        </w:rPr>
        <w:t xml:space="preserve"> to </w:t>
      </w:r>
      <w:r w:rsidR="002602B6" w:rsidRPr="00D45CDF">
        <w:rPr>
          <w:rFonts w:asciiTheme="minorHAnsi" w:hAnsiTheme="minorHAnsi"/>
          <w:sz w:val="24"/>
          <w:szCs w:val="24"/>
        </w:rPr>
        <w:t xml:space="preserve">practice </w:t>
      </w:r>
      <w:r w:rsidRPr="00D45CDF">
        <w:rPr>
          <w:rFonts w:asciiTheme="minorHAnsi" w:hAnsiTheme="minorHAnsi"/>
          <w:sz w:val="24"/>
          <w:szCs w:val="24"/>
        </w:rPr>
        <w:t>in Rwanda.</w:t>
      </w:r>
      <w:r w:rsidRPr="00D45CDF">
        <w:rPr>
          <w:rStyle w:val="FootnoteReference"/>
          <w:rFonts w:asciiTheme="minorHAnsi" w:hAnsiTheme="minorHAnsi"/>
          <w:sz w:val="24"/>
          <w:szCs w:val="24"/>
        </w:rPr>
        <w:footnoteReference w:id="127"/>
      </w:r>
      <w:r w:rsidR="00384ADF" w:rsidRPr="00D45CDF" w:rsidDel="00384ADF">
        <w:rPr>
          <w:rFonts w:asciiTheme="minorHAnsi" w:hAnsiTheme="minorHAnsi"/>
          <w:sz w:val="24"/>
          <w:szCs w:val="24"/>
        </w:rPr>
        <w:t xml:space="preserve"> </w:t>
      </w:r>
      <w:r w:rsidR="00384ADF" w:rsidRPr="00D45CDF">
        <w:rPr>
          <w:rFonts w:asciiTheme="minorHAnsi" w:hAnsiTheme="minorHAnsi"/>
          <w:sz w:val="24"/>
          <w:szCs w:val="24"/>
        </w:rPr>
        <w:t xml:space="preserve">Contrary to </w:t>
      </w:r>
      <w:r w:rsidR="002602B6" w:rsidRPr="00D45CDF">
        <w:rPr>
          <w:rFonts w:asciiTheme="minorHAnsi" w:hAnsiTheme="minorHAnsi"/>
          <w:sz w:val="24"/>
          <w:szCs w:val="24"/>
        </w:rPr>
        <w:t>the situation in the EU</w:t>
      </w:r>
      <w:r w:rsidR="00384ADF" w:rsidRPr="00D45CDF">
        <w:rPr>
          <w:rFonts w:asciiTheme="minorHAnsi" w:hAnsiTheme="minorHAnsi"/>
          <w:sz w:val="24"/>
          <w:szCs w:val="24"/>
        </w:rPr>
        <w:t>, the legal landscape for the regulation of the free movement of legal services in the EAC is in an embryonic phase</w:t>
      </w:r>
      <w:r w:rsidR="00254FE0" w:rsidRPr="00D45CDF">
        <w:rPr>
          <w:rFonts w:asciiTheme="minorHAnsi" w:hAnsiTheme="minorHAnsi"/>
          <w:sz w:val="24"/>
          <w:szCs w:val="24"/>
        </w:rPr>
        <w:t xml:space="preserve">. </w:t>
      </w:r>
      <w:r w:rsidR="002602B6" w:rsidRPr="00D45CDF">
        <w:rPr>
          <w:rFonts w:asciiTheme="minorHAnsi" w:hAnsiTheme="minorHAnsi"/>
          <w:sz w:val="24"/>
          <w:szCs w:val="24"/>
        </w:rPr>
        <w:t>With regard to</w:t>
      </w:r>
      <w:r w:rsidR="00254FE0" w:rsidRPr="00D45CDF">
        <w:rPr>
          <w:rFonts w:asciiTheme="minorHAnsi" w:hAnsiTheme="minorHAnsi"/>
          <w:sz w:val="24"/>
          <w:szCs w:val="24"/>
        </w:rPr>
        <w:t xml:space="preserve"> Rwanda, there are </w:t>
      </w:r>
      <w:r w:rsidR="00BE7B24" w:rsidRPr="00D45CDF">
        <w:rPr>
          <w:rFonts w:asciiTheme="minorHAnsi" w:hAnsiTheme="minorHAnsi"/>
          <w:sz w:val="24"/>
          <w:szCs w:val="24"/>
        </w:rPr>
        <w:t xml:space="preserve">still </w:t>
      </w:r>
      <w:r w:rsidR="00254FE0" w:rsidRPr="00D45CDF">
        <w:rPr>
          <w:rFonts w:asciiTheme="minorHAnsi" w:hAnsiTheme="minorHAnsi"/>
          <w:sz w:val="24"/>
          <w:szCs w:val="24"/>
        </w:rPr>
        <w:t>many</w:t>
      </w:r>
      <w:r w:rsidR="00384ADF" w:rsidRPr="00D45CDF">
        <w:rPr>
          <w:rFonts w:asciiTheme="minorHAnsi" w:hAnsiTheme="minorHAnsi"/>
          <w:sz w:val="24"/>
          <w:szCs w:val="24"/>
        </w:rPr>
        <w:t xml:space="preserve"> </w:t>
      </w:r>
      <w:r w:rsidR="002602B6" w:rsidRPr="00D45CDF">
        <w:rPr>
          <w:rFonts w:asciiTheme="minorHAnsi" w:hAnsiTheme="minorHAnsi"/>
          <w:sz w:val="24"/>
          <w:szCs w:val="24"/>
        </w:rPr>
        <w:t>uncertainties,</w:t>
      </w:r>
      <w:r w:rsidR="00254FE0" w:rsidRPr="00D45CDF">
        <w:rPr>
          <w:rFonts w:asciiTheme="minorHAnsi" w:hAnsiTheme="minorHAnsi"/>
          <w:sz w:val="24"/>
          <w:szCs w:val="24"/>
        </w:rPr>
        <w:t xml:space="preserve"> such as whether </w:t>
      </w:r>
      <w:r w:rsidR="00BE7B24" w:rsidRPr="00D45CDF">
        <w:rPr>
          <w:rFonts w:asciiTheme="minorHAnsi" w:hAnsiTheme="minorHAnsi"/>
          <w:sz w:val="24"/>
          <w:szCs w:val="24"/>
        </w:rPr>
        <w:t>a certain type of service is exclusively</w:t>
      </w:r>
      <w:r w:rsidR="00254FE0" w:rsidRPr="00D45CDF">
        <w:rPr>
          <w:rFonts w:asciiTheme="minorHAnsi" w:hAnsiTheme="minorHAnsi"/>
          <w:sz w:val="24"/>
          <w:szCs w:val="24"/>
        </w:rPr>
        <w:t xml:space="preserve"> reserved to Rwandan lawyers, whether foreign lawyers should </w:t>
      </w:r>
      <w:r w:rsidR="002602B6" w:rsidRPr="00D45CDF">
        <w:rPr>
          <w:rFonts w:asciiTheme="minorHAnsi" w:hAnsiTheme="minorHAnsi"/>
          <w:sz w:val="24"/>
          <w:szCs w:val="24"/>
        </w:rPr>
        <w:t>practise under</w:t>
      </w:r>
      <w:r w:rsidR="00254FE0" w:rsidRPr="00D45CDF">
        <w:rPr>
          <w:rFonts w:asciiTheme="minorHAnsi" w:hAnsiTheme="minorHAnsi"/>
          <w:sz w:val="24"/>
          <w:szCs w:val="24"/>
        </w:rPr>
        <w:t xml:space="preserve"> their home country title in Rwanda, </w:t>
      </w:r>
      <w:r w:rsidR="00BE7B24" w:rsidRPr="00D45CDF">
        <w:rPr>
          <w:rFonts w:asciiTheme="minorHAnsi" w:hAnsiTheme="minorHAnsi"/>
          <w:sz w:val="24"/>
          <w:szCs w:val="24"/>
        </w:rPr>
        <w:t>whether some areas are subject to practice in conjunction with Rwandan lawyers</w:t>
      </w:r>
      <w:r w:rsidR="00254FE0" w:rsidRPr="00D45CDF">
        <w:rPr>
          <w:rFonts w:asciiTheme="minorHAnsi" w:hAnsiTheme="minorHAnsi"/>
          <w:sz w:val="24"/>
          <w:szCs w:val="24"/>
        </w:rPr>
        <w:t>.</w:t>
      </w:r>
      <w:r w:rsidR="00384ADF" w:rsidRPr="00D45CDF">
        <w:rPr>
          <w:rFonts w:asciiTheme="minorHAnsi" w:hAnsiTheme="minorHAnsi"/>
          <w:sz w:val="24"/>
          <w:szCs w:val="24"/>
        </w:rPr>
        <w:t xml:space="preserve"> </w:t>
      </w:r>
      <w:r w:rsidR="002602B6" w:rsidRPr="00D45CDF">
        <w:rPr>
          <w:rFonts w:asciiTheme="minorHAnsi" w:hAnsiTheme="minorHAnsi"/>
          <w:sz w:val="24"/>
          <w:szCs w:val="24"/>
        </w:rPr>
        <w:t xml:space="preserve">It may be that </w:t>
      </w:r>
      <w:r w:rsidR="000E2ECA" w:rsidRPr="00D45CDF">
        <w:rPr>
          <w:rFonts w:asciiTheme="minorHAnsi" w:hAnsiTheme="minorHAnsi"/>
          <w:sz w:val="24"/>
          <w:szCs w:val="24"/>
        </w:rPr>
        <w:t xml:space="preserve">if </w:t>
      </w:r>
      <w:r w:rsidR="002602B6" w:rsidRPr="00D45CDF">
        <w:rPr>
          <w:rFonts w:asciiTheme="minorHAnsi" w:hAnsiTheme="minorHAnsi"/>
          <w:sz w:val="24"/>
          <w:szCs w:val="24"/>
        </w:rPr>
        <w:t xml:space="preserve">the </w:t>
      </w:r>
      <w:r w:rsidR="000E2ECA" w:rsidRPr="00D45CDF">
        <w:rPr>
          <w:rFonts w:asciiTheme="minorHAnsi" w:hAnsiTheme="minorHAnsi"/>
          <w:sz w:val="24"/>
          <w:szCs w:val="24"/>
        </w:rPr>
        <w:t>EAC adopts directives that clearly</w:t>
      </w:r>
      <w:r w:rsidR="002602B6" w:rsidRPr="00D45CDF">
        <w:rPr>
          <w:rFonts w:asciiTheme="minorHAnsi" w:hAnsiTheme="minorHAnsi"/>
          <w:sz w:val="24"/>
          <w:szCs w:val="24"/>
        </w:rPr>
        <w:t xml:space="preserve"> follow the EU approach and</w:t>
      </w:r>
      <w:r w:rsidR="000E2ECA" w:rsidRPr="00D45CDF">
        <w:rPr>
          <w:rFonts w:asciiTheme="minorHAnsi" w:hAnsiTheme="minorHAnsi"/>
          <w:sz w:val="24"/>
          <w:szCs w:val="24"/>
        </w:rPr>
        <w:t xml:space="preserve"> address</w:t>
      </w:r>
      <w:r w:rsidR="00BE7B24" w:rsidRPr="00D45CDF">
        <w:rPr>
          <w:rFonts w:asciiTheme="minorHAnsi" w:hAnsiTheme="minorHAnsi"/>
          <w:sz w:val="24"/>
          <w:szCs w:val="24"/>
        </w:rPr>
        <w:t xml:space="preserve"> th</w:t>
      </w:r>
      <w:r w:rsidR="00780809" w:rsidRPr="00D45CDF">
        <w:rPr>
          <w:rFonts w:asciiTheme="minorHAnsi" w:hAnsiTheme="minorHAnsi"/>
          <w:sz w:val="24"/>
          <w:szCs w:val="24"/>
        </w:rPr>
        <w:t>e</w:t>
      </w:r>
      <w:r w:rsidR="00BE7B24" w:rsidRPr="00D45CDF">
        <w:rPr>
          <w:rFonts w:asciiTheme="minorHAnsi" w:hAnsiTheme="minorHAnsi"/>
          <w:sz w:val="24"/>
          <w:szCs w:val="24"/>
        </w:rPr>
        <w:t>s</w:t>
      </w:r>
      <w:r w:rsidR="00780809" w:rsidRPr="00D45CDF">
        <w:rPr>
          <w:rFonts w:asciiTheme="minorHAnsi" w:hAnsiTheme="minorHAnsi"/>
          <w:sz w:val="24"/>
          <w:szCs w:val="24"/>
        </w:rPr>
        <w:t>e</w:t>
      </w:r>
      <w:r w:rsidR="00BE7B24" w:rsidRPr="00D45CDF">
        <w:rPr>
          <w:rFonts w:asciiTheme="minorHAnsi" w:hAnsiTheme="minorHAnsi"/>
          <w:sz w:val="24"/>
          <w:szCs w:val="24"/>
        </w:rPr>
        <w:t xml:space="preserve"> issues</w:t>
      </w:r>
      <w:r w:rsidR="000E2ECA" w:rsidRPr="00D45CDF">
        <w:rPr>
          <w:rFonts w:asciiTheme="minorHAnsi" w:hAnsiTheme="minorHAnsi"/>
          <w:sz w:val="24"/>
          <w:szCs w:val="24"/>
        </w:rPr>
        <w:t>, it</w:t>
      </w:r>
      <w:r w:rsidR="00BE7B24" w:rsidRPr="00D45CDF">
        <w:rPr>
          <w:rFonts w:asciiTheme="minorHAnsi" w:hAnsiTheme="minorHAnsi"/>
          <w:sz w:val="24"/>
          <w:szCs w:val="24"/>
        </w:rPr>
        <w:t xml:space="preserve"> would</w:t>
      </w:r>
      <w:r w:rsidR="000E2ECA" w:rsidRPr="00D45CDF">
        <w:rPr>
          <w:rFonts w:asciiTheme="minorHAnsi" w:hAnsiTheme="minorHAnsi"/>
          <w:sz w:val="24"/>
          <w:szCs w:val="24"/>
        </w:rPr>
        <w:t xml:space="preserve"> help</w:t>
      </w:r>
      <w:r w:rsidR="00BE7B24" w:rsidRPr="00D45CDF">
        <w:rPr>
          <w:rFonts w:asciiTheme="minorHAnsi" w:hAnsiTheme="minorHAnsi"/>
          <w:sz w:val="24"/>
          <w:szCs w:val="24"/>
        </w:rPr>
        <w:t xml:space="preserve"> build the confidence of the legal fraternity in the integration process. </w:t>
      </w:r>
      <w:r w:rsidR="000E2ECA" w:rsidRPr="00D45CDF">
        <w:rPr>
          <w:rFonts w:asciiTheme="minorHAnsi" w:hAnsiTheme="minorHAnsi"/>
          <w:sz w:val="24"/>
          <w:szCs w:val="24"/>
        </w:rPr>
        <w:t xml:space="preserve">Nature abhorring a vacuum, it </w:t>
      </w:r>
      <w:r w:rsidR="00D32974" w:rsidRPr="00D45CDF">
        <w:rPr>
          <w:rFonts w:asciiTheme="minorHAnsi" w:hAnsiTheme="minorHAnsi"/>
          <w:sz w:val="24"/>
          <w:szCs w:val="24"/>
        </w:rPr>
        <w:t>may</w:t>
      </w:r>
      <w:r w:rsidR="000E2ECA" w:rsidRPr="00D45CDF">
        <w:rPr>
          <w:rFonts w:asciiTheme="minorHAnsi" w:hAnsiTheme="minorHAnsi"/>
          <w:sz w:val="24"/>
          <w:szCs w:val="24"/>
        </w:rPr>
        <w:t xml:space="preserve"> be </w:t>
      </w:r>
      <w:r w:rsidR="00D32974" w:rsidRPr="00D45CDF">
        <w:rPr>
          <w:rFonts w:asciiTheme="minorHAnsi" w:hAnsiTheme="minorHAnsi"/>
          <w:sz w:val="24"/>
          <w:szCs w:val="24"/>
        </w:rPr>
        <w:t xml:space="preserve">that it is </w:t>
      </w:r>
      <w:r w:rsidR="000E2ECA" w:rsidRPr="00D45CDF">
        <w:rPr>
          <w:rFonts w:asciiTheme="minorHAnsi" w:hAnsiTheme="minorHAnsi"/>
          <w:sz w:val="24"/>
          <w:szCs w:val="24"/>
        </w:rPr>
        <w:t xml:space="preserve">the lack of legal instruments regulating specific aspects of this free movement </w:t>
      </w:r>
      <w:r w:rsidR="00384ADF" w:rsidRPr="00D45CDF">
        <w:rPr>
          <w:rFonts w:asciiTheme="minorHAnsi" w:hAnsiTheme="minorHAnsi"/>
          <w:sz w:val="24"/>
          <w:szCs w:val="24"/>
        </w:rPr>
        <w:t xml:space="preserve">that </w:t>
      </w:r>
      <w:r w:rsidR="000E2ECA" w:rsidRPr="00D45CDF">
        <w:rPr>
          <w:rFonts w:asciiTheme="minorHAnsi" w:hAnsiTheme="minorHAnsi"/>
          <w:sz w:val="24"/>
          <w:szCs w:val="24"/>
        </w:rPr>
        <w:t xml:space="preserve">nurtures reluctance in some </w:t>
      </w:r>
      <w:r w:rsidR="001D6D90" w:rsidRPr="00D45CDF">
        <w:rPr>
          <w:rFonts w:asciiTheme="minorHAnsi" w:hAnsiTheme="minorHAnsi"/>
          <w:sz w:val="24"/>
          <w:szCs w:val="24"/>
        </w:rPr>
        <w:t>Partner States</w:t>
      </w:r>
      <w:r w:rsidR="000E2ECA" w:rsidRPr="00D45CDF">
        <w:rPr>
          <w:rFonts w:asciiTheme="minorHAnsi" w:hAnsiTheme="minorHAnsi"/>
          <w:sz w:val="24"/>
          <w:szCs w:val="24"/>
        </w:rPr>
        <w:t>’ constituencies, and caus</w:t>
      </w:r>
      <w:r w:rsidR="002602B6" w:rsidRPr="00D45CDF">
        <w:rPr>
          <w:rFonts w:asciiTheme="minorHAnsi" w:hAnsiTheme="minorHAnsi"/>
          <w:sz w:val="24"/>
          <w:szCs w:val="24"/>
        </w:rPr>
        <w:t>es</w:t>
      </w:r>
      <w:r w:rsidR="000E2ECA" w:rsidRPr="00D45CDF">
        <w:rPr>
          <w:rFonts w:asciiTheme="minorHAnsi" w:hAnsiTheme="minorHAnsi"/>
          <w:sz w:val="24"/>
          <w:szCs w:val="24"/>
        </w:rPr>
        <w:t xml:space="preserve"> difficulties </w:t>
      </w:r>
      <w:r w:rsidR="002602B6" w:rsidRPr="00D45CDF">
        <w:rPr>
          <w:rFonts w:asciiTheme="minorHAnsi" w:hAnsiTheme="minorHAnsi"/>
          <w:sz w:val="24"/>
          <w:szCs w:val="24"/>
        </w:rPr>
        <w:t>in</w:t>
      </w:r>
      <w:r w:rsidR="000E2ECA" w:rsidRPr="00D45CDF">
        <w:rPr>
          <w:rFonts w:asciiTheme="minorHAnsi" w:hAnsiTheme="minorHAnsi"/>
          <w:sz w:val="24"/>
          <w:szCs w:val="24"/>
        </w:rPr>
        <w:t xml:space="preserve"> </w:t>
      </w:r>
      <w:r w:rsidR="00254FE0" w:rsidRPr="00D45CDF">
        <w:rPr>
          <w:rFonts w:asciiTheme="minorHAnsi" w:hAnsiTheme="minorHAnsi"/>
          <w:sz w:val="24"/>
          <w:szCs w:val="24"/>
        </w:rPr>
        <w:t>implement</w:t>
      </w:r>
      <w:r w:rsidR="002602B6" w:rsidRPr="00D45CDF">
        <w:rPr>
          <w:rFonts w:asciiTheme="minorHAnsi" w:hAnsiTheme="minorHAnsi"/>
          <w:sz w:val="24"/>
          <w:szCs w:val="24"/>
        </w:rPr>
        <w:t>ing</w:t>
      </w:r>
      <w:r w:rsidR="00254FE0" w:rsidRPr="00D45CDF">
        <w:rPr>
          <w:rFonts w:asciiTheme="minorHAnsi" w:hAnsiTheme="minorHAnsi"/>
          <w:sz w:val="24"/>
          <w:szCs w:val="24"/>
        </w:rPr>
        <w:t xml:space="preserve"> the Common Market Protocol</w:t>
      </w:r>
      <w:r w:rsidR="00D32974" w:rsidRPr="00D45CDF">
        <w:rPr>
          <w:rFonts w:asciiTheme="minorHAnsi" w:hAnsiTheme="minorHAnsi"/>
          <w:sz w:val="24"/>
          <w:szCs w:val="24"/>
        </w:rPr>
        <w:t xml:space="preserve"> in Rwanda</w:t>
      </w:r>
      <w:r w:rsidR="00384ADF" w:rsidRPr="00D45CDF">
        <w:rPr>
          <w:rFonts w:asciiTheme="minorHAnsi" w:hAnsiTheme="minorHAnsi"/>
          <w:sz w:val="24"/>
          <w:szCs w:val="24"/>
        </w:rPr>
        <w:t>.</w:t>
      </w:r>
    </w:p>
    <w:p w14:paraId="153F600D" w14:textId="77777777" w:rsidR="001B2C2B" w:rsidRPr="001B2C2B" w:rsidRDefault="001B2C2B" w:rsidP="001B2C2B">
      <w:pPr>
        <w:pStyle w:val="ListParagraph"/>
        <w:numPr>
          <w:ilvl w:val="1"/>
          <w:numId w:val="11"/>
        </w:numPr>
        <w:spacing w:line="240" w:lineRule="auto"/>
        <w:ind w:left="426" w:hanging="426"/>
        <w:jc w:val="both"/>
        <w:rPr>
          <w:rFonts w:asciiTheme="minorHAnsi" w:hAnsiTheme="minorHAnsi"/>
          <w:sz w:val="24"/>
          <w:szCs w:val="24"/>
        </w:rPr>
      </w:pPr>
      <w:r w:rsidRPr="001B2C2B">
        <w:rPr>
          <w:rFonts w:asciiTheme="minorHAnsi" w:hAnsiTheme="minorHAnsi"/>
          <w:b/>
          <w:bCs/>
          <w:sz w:val="24"/>
          <w:szCs w:val="24"/>
        </w:rPr>
        <w:lastRenderedPageBreak/>
        <w:t>Structural/practical challenges to the FOM of legal services in the EAC</w:t>
      </w:r>
    </w:p>
    <w:p w14:paraId="3B548633" w14:textId="77777777" w:rsidR="00F22251" w:rsidRPr="00D45CDF" w:rsidRDefault="00701865" w:rsidP="001C5BA7">
      <w:pPr>
        <w:spacing w:line="240" w:lineRule="auto"/>
        <w:jc w:val="both"/>
        <w:rPr>
          <w:rFonts w:asciiTheme="minorHAnsi" w:hAnsiTheme="minorHAnsi"/>
          <w:sz w:val="24"/>
          <w:szCs w:val="24"/>
        </w:rPr>
      </w:pPr>
      <w:r w:rsidRPr="00D45CDF">
        <w:rPr>
          <w:rFonts w:asciiTheme="minorHAnsi" w:hAnsiTheme="minorHAnsi"/>
          <w:sz w:val="24"/>
          <w:szCs w:val="24"/>
        </w:rPr>
        <w:t xml:space="preserve">The </w:t>
      </w:r>
      <w:r w:rsidR="00F22251" w:rsidRPr="00D45CDF">
        <w:rPr>
          <w:rFonts w:asciiTheme="minorHAnsi" w:hAnsiTheme="minorHAnsi"/>
          <w:sz w:val="24"/>
          <w:szCs w:val="24"/>
        </w:rPr>
        <w:t>challenges</w:t>
      </w:r>
      <w:r w:rsidRPr="00D45CDF">
        <w:rPr>
          <w:rFonts w:asciiTheme="minorHAnsi" w:hAnsiTheme="minorHAnsi"/>
          <w:sz w:val="24"/>
          <w:szCs w:val="24"/>
        </w:rPr>
        <w:t xml:space="preserve"> </w:t>
      </w:r>
      <w:r w:rsidR="009A0668" w:rsidRPr="00D45CDF">
        <w:rPr>
          <w:rFonts w:asciiTheme="minorHAnsi" w:hAnsiTheme="minorHAnsi"/>
          <w:sz w:val="24"/>
          <w:szCs w:val="24"/>
        </w:rPr>
        <w:t xml:space="preserve">of implementing the EAC </w:t>
      </w:r>
      <w:r w:rsidRPr="00D45CDF">
        <w:rPr>
          <w:rFonts w:asciiTheme="minorHAnsi" w:hAnsiTheme="minorHAnsi"/>
          <w:sz w:val="24"/>
          <w:szCs w:val="24"/>
        </w:rPr>
        <w:t>C</w:t>
      </w:r>
      <w:r w:rsidR="009A0668" w:rsidRPr="00D45CDF">
        <w:rPr>
          <w:rFonts w:asciiTheme="minorHAnsi" w:hAnsiTheme="minorHAnsi"/>
          <w:sz w:val="24"/>
          <w:szCs w:val="24"/>
        </w:rPr>
        <w:t xml:space="preserve">ommon </w:t>
      </w:r>
      <w:r w:rsidRPr="00D45CDF">
        <w:rPr>
          <w:rFonts w:asciiTheme="minorHAnsi" w:hAnsiTheme="minorHAnsi"/>
          <w:sz w:val="24"/>
          <w:szCs w:val="24"/>
        </w:rPr>
        <w:t>M</w:t>
      </w:r>
      <w:r w:rsidR="009A0668" w:rsidRPr="00D45CDF">
        <w:rPr>
          <w:rFonts w:asciiTheme="minorHAnsi" w:hAnsiTheme="minorHAnsi"/>
          <w:sz w:val="24"/>
          <w:szCs w:val="24"/>
        </w:rPr>
        <w:t xml:space="preserve">arket </w:t>
      </w:r>
      <w:r w:rsidRPr="00D45CDF">
        <w:rPr>
          <w:rFonts w:asciiTheme="minorHAnsi" w:hAnsiTheme="minorHAnsi"/>
          <w:sz w:val="24"/>
          <w:szCs w:val="24"/>
        </w:rPr>
        <w:t>P</w:t>
      </w:r>
      <w:r w:rsidR="009A0668" w:rsidRPr="00D45CDF">
        <w:rPr>
          <w:rFonts w:asciiTheme="minorHAnsi" w:hAnsiTheme="minorHAnsi"/>
          <w:sz w:val="24"/>
          <w:szCs w:val="24"/>
        </w:rPr>
        <w:t>rotocol</w:t>
      </w:r>
      <w:r w:rsidRPr="00D45CDF">
        <w:rPr>
          <w:rFonts w:asciiTheme="minorHAnsi" w:hAnsiTheme="minorHAnsi"/>
          <w:sz w:val="24"/>
          <w:szCs w:val="24"/>
        </w:rPr>
        <w:t xml:space="preserve"> and validating the</w:t>
      </w:r>
      <w:r w:rsidR="009A0668" w:rsidRPr="00D45CDF">
        <w:rPr>
          <w:rFonts w:asciiTheme="minorHAnsi" w:hAnsiTheme="minorHAnsi"/>
          <w:sz w:val="24"/>
          <w:szCs w:val="24"/>
        </w:rPr>
        <w:t xml:space="preserve"> </w:t>
      </w:r>
      <w:r w:rsidRPr="00D45CDF">
        <w:rPr>
          <w:rFonts w:asciiTheme="minorHAnsi" w:hAnsiTheme="minorHAnsi"/>
          <w:sz w:val="24"/>
          <w:szCs w:val="24"/>
        </w:rPr>
        <w:t xml:space="preserve">MRA are not the only </w:t>
      </w:r>
      <w:r w:rsidR="00F22251" w:rsidRPr="00D45CDF">
        <w:rPr>
          <w:rFonts w:asciiTheme="minorHAnsi" w:hAnsiTheme="minorHAnsi"/>
          <w:sz w:val="24"/>
          <w:szCs w:val="24"/>
        </w:rPr>
        <w:t>impediments</w:t>
      </w:r>
      <w:r w:rsidRPr="00D45CDF">
        <w:rPr>
          <w:rFonts w:asciiTheme="minorHAnsi" w:hAnsiTheme="minorHAnsi"/>
          <w:sz w:val="24"/>
          <w:szCs w:val="24"/>
        </w:rPr>
        <w:t xml:space="preserve"> </w:t>
      </w:r>
      <w:r w:rsidR="00EF7B8F" w:rsidRPr="00D45CDF">
        <w:rPr>
          <w:rFonts w:asciiTheme="minorHAnsi" w:hAnsiTheme="minorHAnsi"/>
          <w:sz w:val="24"/>
          <w:szCs w:val="24"/>
        </w:rPr>
        <w:t>to f</w:t>
      </w:r>
      <w:r w:rsidRPr="00D45CDF">
        <w:rPr>
          <w:rFonts w:asciiTheme="minorHAnsi" w:hAnsiTheme="minorHAnsi"/>
          <w:sz w:val="24"/>
          <w:szCs w:val="24"/>
        </w:rPr>
        <w:t>ree movement of legal services in the EAC</w:t>
      </w:r>
      <w:r w:rsidR="009A0668" w:rsidRPr="00D45CDF">
        <w:rPr>
          <w:rFonts w:asciiTheme="minorHAnsi" w:hAnsiTheme="minorHAnsi"/>
          <w:sz w:val="24"/>
          <w:szCs w:val="24"/>
        </w:rPr>
        <w:t xml:space="preserve">. </w:t>
      </w:r>
      <w:r w:rsidRPr="00D45CDF">
        <w:rPr>
          <w:rFonts w:asciiTheme="minorHAnsi" w:hAnsiTheme="minorHAnsi"/>
          <w:sz w:val="24"/>
          <w:szCs w:val="24"/>
        </w:rPr>
        <w:t>Of particular note</w:t>
      </w:r>
      <w:r w:rsidR="009A0668" w:rsidRPr="00D45CDF">
        <w:rPr>
          <w:rFonts w:asciiTheme="minorHAnsi" w:hAnsiTheme="minorHAnsi"/>
          <w:sz w:val="24"/>
          <w:szCs w:val="24"/>
        </w:rPr>
        <w:t xml:space="preserve"> is the resistance of professional bodies in some </w:t>
      </w:r>
      <w:r w:rsidR="001D6D90" w:rsidRPr="00D45CDF">
        <w:rPr>
          <w:rFonts w:asciiTheme="minorHAnsi" w:hAnsiTheme="minorHAnsi"/>
          <w:sz w:val="24"/>
          <w:szCs w:val="24"/>
        </w:rPr>
        <w:t>Partner States</w:t>
      </w:r>
      <w:r w:rsidRPr="00D45CDF">
        <w:rPr>
          <w:rFonts w:asciiTheme="minorHAnsi" w:hAnsiTheme="minorHAnsi"/>
          <w:sz w:val="24"/>
          <w:szCs w:val="24"/>
        </w:rPr>
        <w:t>, and it</w:t>
      </w:r>
      <w:r w:rsidR="009A0668" w:rsidRPr="00D45CDF">
        <w:rPr>
          <w:rFonts w:asciiTheme="minorHAnsi" w:hAnsiTheme="minorHAnsi"/>
          <w:sz w:val="24"/>
          <w:szCs w:val="24"/>
        </w:rPr>
        <w:t xml:space="preserve"> is actually the professional bodies, </w:t>
      </w:r>
      <w:r w:rsidR="00F22251" w:rsidRPr="00D45CDF">
        <w:rPr>
          <w:rFonts w:asciiTheme="minorHAnsi" w:hAnsiTheme="minorHAnsi"/>
          <w:sz w:val="24"/>
          <w:szCs w:val="24"/>
        </w:rPr>
        <w:t>L</w:t>
      </w:r>
      <w:r w:rsidR="009A0668" w:rsidRPr="00D45CDF">
        <w:rPr>
          <w:rFonts w:asciiTheme="minorHAnsi" w:hAnsiTheme="minorHAnsi"/>
          <w:sz w:val="24"/>
          <w:szCs w:val="24"/>
        </w:rPr>
        <w:t xml:space="preserve">aw </w:t>
      </w:r>
      <w:r w:rsidR="00F22251" w:rsidRPr="00D45CDF">
        <w:rPr>
          <w:rFonts w:asciiTheme="minorHAnsi" w:hAnsiTheme="minorHAnsi"/>
          <w:sz w:val="24"/>
          <w:szCs w:val="24"/>
        </w:rPr>
        <w:t>A</w:t>
      </w:r>
      <w:r w:rsidR="009A0668" w:rsidRPr="00D45CDF">
        <w:rPr>
          <w:rFonts w:asciiTheme="minorHAnsi" w:hAnsiTheme="minorHAnsi"/>
          <w:sz w:val="24"/>
          <w:szCs w:val="24"/>
        </w:rPr>
        <w:t xml:space="preserve">ssociations or </w:t>
      </w:r>
      <w:r w:rsidR="00F22251" w:rsidRPr="00D45CDF">
        <w:rPr>
          <w:rFonts w:asciiTheme="minorHAnsi" w:hAnsiTheme="minorHAnsi"/>
          <w:sz w:val="24"/>
          <w:szCs w:val="24"/>
        </w:rPr>
        <w:t>B</w:t>
      </w:r>
      <w:r w:rsidR="009A0668" w:rsidRPr="00D45CDF">
        <w:rPr>
          <w:rFonts w:asciiTheme="minorHAnsi" w:hAnsiTheme="minorHAnsi"/>
          <w:sz w:val="24"/>
          <w:szCs w:val="24"/>
        </w:rPr>
        <w:t xml:space="preserve">ar </w:t>
      </w:r>
      <w:r w:rsidR="00F22251" w:rsidRPr="00D45CDF">
        <w:rPr>
          <w:rFonts w:asciiTheme="minorHAnsi" w:hAnsiTheme="minorHAnsi"/>
          <w:sz w:val="24"/>
          <w:szCs w:val="24"/>
        </w:rPr>
        <w:t>A</w:t>
      </w:r>
      <w:r w:rsidR="009A0668" w:rsidRPr="00D45CDF">
        <w:rPr>
          <w:rFonts w:asciiTheme="minorHAnsi" w:hAnsiTheme="minorHAnsi"/>
          <w:sz w:val="24"/>
          <w:szCs w:val="24"/>
        </w:rPr>
        <w:t xml:space="preserve">ssociations in some </w:t>
      </w:r>
      <w:r w:rsidR="001D6D90" w:rsidRPr="00D45CDF">
        <w:rPr>
          <w:rFonts w:asciiTheme="minorHAnsi" w:hAnsiTheme="minorHAnsi"/>
          <w:sz w:val="24"/>
          <w:szCs w:val="24"/>
        </w:rPr>
        <w:t>Partner States</w:t>
      </w:r>
      <w:r w:rsidR="009A0668" w:rsidRPr="00D45CDF">
        <w:rPr>
          <w:rFonts w:asciiTheme="minorHAnsi" w:hAnsiTheme="minorHAnsi"/>
          <w:sz w:val="24"/>
          <w:szCs w:val="24"/>
        </w:rPr>
        <w:t xml:space="preserve"> which </w:t>
      </w:r>
      <w:r w:rsidR="004A74AB" w:rsidRPr="00D45CDF">
        <w:rPr>
          <w:rFonts w:asciiTheme="minorHAnsi" w:hAnsiTheme="minorHAnsi"/>
          <w:sz w:val="24"/>
          <w:szCs w:val="24"/>
        </w:rPr>
        <w:t>could be</w:t>
      </w:r>
      <w:r w:rsidRPr="00D45CDF">
        <w:rPr>
          <w:rFonts w:asciiTheme="minorHAnsi" w:hAnsiTheme="minorHAnsi"/>
          <w:sz w:val="24"/>
          <w:szCs w:val="24"/>
        </w:rPr>
        <w:t xml:space="preserve"> responsible for</w:t>
      </w:r>
      <w:r w:rsidR="009A0668" w:rsidRPr="00D45CDF">
        <w:rPr>
          <w:rFonts w:asciiTheme="minorHAnsi" w:hAnsiTheme="minorHAnsi"/>
          <w:sz w:val="24"/>
          <w:szCs w:val="24"/>
        </w:rPr>
        <w:t xml:space="preserve"> delaying the implementation of the </w:t>
      </w:r>
      <w:r w:rsidRPr="00D45CDF">
        <w:rPr>
          <w:rFonts w:asciiTheme="minorHAnsi" w:hAnsiTheme="minorHAnsi"/>
          <w:sz w:val="24"/>
          <w:szCs w:val="24"/>
        </w:rPr>
        <w:t>C</w:t>
      </w:r>
      <w:r w:rsidR="009A0668" w:rsidRPr="00D45CDF">
        <w:rPr>
          <w:rFonts w:asciiTheme="minorHAnsi" w:hAnsiTheme="minorHAnsi"/>
          <w:sz w:val="24"/>
          <w:szCs w:val="24"/>
        </w:rPr>
        <w:t xml:space="preserve">ommon </w:t>
      </w:r>
      <w:r w:rsidRPr="00D45CDF">
        <w:rPr>
          <w:rFonts w:asciiTheme="minorHAnsi" w:hAnsiTheme="minorHAnsi"/>
          <w:sz w:val="24"/>
          <w:szCs w:val="24"/>
        </w:rPr>
        <w:t>M</w:t>
      </w:r>
      <w:r w:rsidR="009A0668" w:rsidRPr="00D45CDF">
        <w:rPr>
          <w:rFonts w:asciiTheme="minorHAnsi" w:hAnsiTheme="minorHAnsi"/>
          <w:sz w:val="24"/>
          <w:szCs w:val="24"/>
        </w:rPr>
        <w:t xml:space="preserve">arket </w:t>
      </w:r>
      <w:r w:rsidRPr="00D45CDF">
        <w:rPr>
          <w:rFonts w:asciiTheme="minorHAnsi" w:hAnsiTheme="minorHAnsi"/>
          <w:sz w:val="24"/>
          <w:szCs w:val="24"/>
        </w:rPr>
        <w:t>P</w:t>
      </w:r>
      <w:r w:rsidR="009A0668" w:rsidRPr="00D45CDF">
        <w:rPr>
          <w:rFonts w:asciiTheme="minorHAnsi" w:hAnsiTheme="minorHAnsi"/>
          <w:sz w:val="24"/>
          <w:szCs w:val="24"/>
        </w:rPr>
        <w:t>rotocol</w:t>
      </w:r>
      <w:r w:rsidR="0029241F" w:rsidRPr="00D45CDF">
        <w:rPr>
          <w:rFonts w:asciiTheme="minorHAnsi" w:hAnsiTheme="minorHAnsi"/>
          <w:sz w:val="24"/>
          <w:szCs w:val="24"/>
        </w:rPr>
        <w:t xml:space="preserve"> and introducing the </w:t>
      </w:r>
      <w:r w:rsidR="009A0668" w:rsidRPr="00D45CDF">
        <w:rPr>
          <w:rFonts w:asciiTheme="minorHAnsi" w:hAnsiTheme="minorHAnsi"/>
          <w:sz w:val="24"/>
          <w:szCs w:val="24"/>
        </w:rPr>
        <w:t xml:space="preserve">idea of the </w:t>
      </w:r>
      <w:r w:rsidR="00F22251" w:rsidRPr="00D45CDF">
        <w:rPr>
          <w:rFonts w:asciiTheme="minorHAnsi" w:hAnsiTheme="minorHAnsi"/>
          <w:sz w:val="24"/>
          <w:szCs w:val="24"/>
        </w:rPr>
        <w:t>MRA</w:t>
      </w:r>
      <w:r w:rsidR="009A0668" w:rsidRPr="00D45CDF">
        <w:rPr>
          <w:rFonts w:asciiTheme="minorHAnsi" w:hAnsiTheme="minorHAnsi"/>
          <w:sz w:val="24"/>
          <w:szCs w:val="24"/>
        </w:rPr>
        <w:t xml:space="preserve">. </w:t>
      </w:r>
    </w:p>
    <w:p w14:paraId="34AD2433" w14:textId="77777777" w:rsidR="009A0668" w:rsidRPr="00D45CDF" w:rsidRDefault="009A0668" w:rsidP="001C5BA7">
      <w:pPr>
        <w:spacing w:line="240" w:lineRule="auto"/>
        <w:jc w:val="both"/>
        <w:rPr>
          <w:rFonts w:asciiTheme="minorHAnsi" w:hAnsiTheme="minorHAnsi"/>
          <w:sz w:val="24"/>
          <w:szCs w:val="24"/>
        </w:rPr>
      </w:pPr>
      <w:r w:rsidRPr="00D45CDF">
        <w:rPr>
          <w:rFonts w:asciiTheme="minorHAnsi" w:hAnsiTheme="minorHAnsi"/>
          <w:sz w:val="24"/>
          <w:szCs w:val="24"/>
        </w:rPr>
        <w:t>A</w:t>
      </w:r>
      <w:r w:rsidR="0029241F" w:rsidRPr="00D45CDF">
        <w:rPr>
          <w:rFonts w:asciiTheme="minorHAnsi" w:hAnsiTheme="minorHAnsi"/>
          <w:sz w:val="24"/>
          <w:szCs w:val="24"/>
        </w:rPr>
        <w:t xml:space="preserve"> further issue </w:t>
      </w:r>
      <w:r w:rsidRPr="00D45CDF">
        <w:rPr>
          <w:rFonts w:asciiTheme="minorHAnsi" w:hAnsiTheme="minorHAnsi"/>
          <w:sz w:val="24"/>
          <w:szCs w:val="24"/>
        </w:rPr>
        <w:t xml:space="preserve">in the EAC </w:t>
      </w:r>
      <w:r w:rsidR="0029241F" w:rsidRPr="00D45CDF">
        <w:rPr>
          <w:rFonts w:asciiTheme="minorHAnsi" w:hAnsiTheme="minorHAnsi"/>
          <w:sz w:val="24"/>
          <w:szCs w:val="24"/>
        </w:rPr>
        <w:t>relates to l</w:t>
      </w:r>
      <w:r w:rsidRPr="00D45CDF">
        <w:rPr>
          <w:rFonts w:asciiTheme="minorHAnsi" w:hAnsiTheme="minorHAnsi"/>
          <w:sz w:val="24"/>
          <w:szCs w:val="24"/>
        </w:rPr>
        <w:t>anguage barriers. In Rwanda, court proceedings</w:t>
      </w:r>
      <w:r w:rsidR="00D55CA5" w:rsidRPr="00D45CDF">
        <w:rPr>
          <w:rFonts w:asciiTheme="minorHAnsi" w:hAnsiTheme="minorHAnsi"/>
          <w:sz w:val="24"/>
          <w:szCs w:val="24"/>
        </w:rPr>
        <w:t xml:space="preserve"> take place</w:t>
      </w:r>
      <w:r w:rsidRPr="00D45CDF">
        <w:rPr>
          <w:rFonts w:asciiTheme="minorHAnsi" w:hAnsiTheme="minorHAnsi"/>
          <w:sz w:val="24"/>
          <w:szCs w:val="24"/>
        </w:rPr>
        <w:t xml:space="preserve"> in Kinyarwanda</w:t>
      </w:r>
      <w:r w:rsidR="006B0E7A" w:rsidRPr="00D45CDF">
        <w:rPr>
          <w:rFonts w:asciiTheme="minorHAnsi" w:hAnsiTheme="minorHAnsi"/>
          <w:sz w:val="24"/>
          <w:szCs w:val="24"/>
        </w:rPr>
        <w:t>;</w:t>
      </w:r>
      <w:r w:rsidR="00254FE0" w:rsidRPr="00D45CDF">
        <w:rPr>
          <w:rStyle w:val="FootnoteReference"/>
          <w:rFonts w:asciiTheme="minorHAnsi" w:hAnsiTheme="minorHAnsi"/>
          <w:sz w:val="24"/>
          <w:szCs w:val="24"/>
        </w:rPr>
        <w:footnoteReference w:id="128"/>
      </w:r>
      <w:r w:rsidRPr="00D45CDF">
        <w:rPr>
          <w:rFonts w:asciiTheme="minorHAnsi" w:hAnsiTheme="minorHAnsi"/>
          <w:sz w:val="24"/>
          <w:szCs w:val="24"/>
        </w:rPr>
        <w:t xml:space="preserve"> in Tanzania, in Kiswahili</w:t>
      </w:r>
      <w:r w:rsidR="006B0E7A" w:rsidRPr="00D45CDF">
        <w:rPr>
          <w:rFonts w:asciiTheme="minorHAnsi" w:hAnsiTheme="minorHAnsi"/>
          <w:sz w:val="24"/>
          <w:szCs w:val="24"/>
        </w:rPr>
        <w:t>;</w:t>
      </w:r>
      <w:r w:rsidRPr="00D45CDF">
        <w:rPr>
          <w:rFonts w:asciiTheme="minorHAnsi" w:hAnsiTheme="minorHAnsi"/>
          <w:sz w:val="24"/>
          <w:szCs w:val="24"/>
        </w:rPr>
        <w:t xml:space="preserve"> in Kenya in English</w:t>
      </w:r>
      <w:r w:rsidR="00D55CA5" w:rsidRPr="00D45CDF">
        <w:rPr>
          <w:rFonts w:asciiTheme="minorHAnsi" w:hAnsiTheme="minorHAnsi"/>
          <w:sz w:val="24"/>
          <w:szCs w:val="24"/>
        </w:rPr>
        <w:t xml:space="preserve"> or Kiswahili</w:t>
      </w:r>
      <w:r w:rsidRPr="00D45CDF">
        <w:rPr>
          <w:rFonts w:asciiTheme="minorHAnsi" w:hAnsiTheme="minorHAnsi"/>
          <w:sz w:val="24"/>
          <w:szCs w:val="24"/>
        </w:rPr>
        <w:t xml:space="preserve">. Even </w:t>
      </w:r>
      <w:r w:rsidR="00A22FE9" w:rsidRPr="00D45CDF">
        <w:rPr>
          <w:rFonts w:asciiTheme="minorHAnsi" w:hAnsiTheme="minorHAnsi"/>
          <w:sz w:val="24"/>
          <w:szCs w:val="24"/>
        </w:rPr>
        <w:t>if</w:t>
      </w:r>
      <w:r w:rsidRPr="00D45CDF">
        <w:rPr>
          <w:rFonts w:asciiTheme="minorHAnsi" w:hAnsiTheme="minorHAnsi"/>
          <w:sz w:val="24"/>
          <w:szCs w:val="24"/>
        </w:rPr>
        <w:t xml:space="preserve"> the movement of legal services were realised </w:t>
      </w:r>
      <w:r w:rsidR="00A22FE9" w:rsidRPr="00D45CDF">
        <w:rPr>
          <w:rFonts w:asciiTheme="minorHAnsi" w:hAnsiTheme="minorHAnsi"/>
          <w:sz w:val="24"/>
          <w:szCs w:val="24"/>
        </w:rPr>
        <w:t xml:space="preserve">in law, there </w:t>
      </w:r>
      <w:r w:rsidR="00040230" w:rsidRPr="00D45CDF">
        <w:rPr>
          <w:rFonts w:asciiTheme="minorHAnsi" w:hAnsiTheme="minorHAnsi"/>
          <w:sz w:val="24"/>
          <w:szCs w:val="24"/>
        </w:rPr>
        <w:t>c</w:t>
      </w:r>
      <w:r w:rsidR="00A22FE9" w:rsidRPr="00D45CDF">
        <w:rPr>
          <w:rFonts w:asciiTheme="minorHAnsi" w:hAnsiTheme="minorHAnsi"/>
          <w:sz w:val="24"/>
          <w:szCs w:val="24"/>
        </w:rPr>
        <w:t xml:space="preserve">ould still </w:t>
      </w:r>
      <w:r w:rsidRPr="00D45CDF">
        <w:rPr>
          <w:rFonts w:asciiTheme="minorHAnsi" w:hAnsiTheme="minorHAnsi"/>
          <w:sz w:val="24"/>
          <w:szCs w:val="24"/>
        </w:rPr>
        <w:t xml:space="preserve">be </w:t>
      </w:r>
      <w:r w:rsidR="00A22FE9" w:rsidRPr="00D45CDF">
        <w:rPr>
          <w:rFonts w:asciiTheme="minorHAnsi" w:hAnsiTheme="minorHAnsi"/>
          <w:sz w:val="24"/>
          <w:szCs w:val="24"/>
        </w:rPr>
        <w:t xml:space="preserve">considerable challenges </w:t>
      </w:r>
      <w:r w:rsidRPr="00D45CDF">
        <w:rPr>
          <w:rFonts w:asciiTheme="minorHAnsi" w:hAnsiTheme="minorHAnsi"/>
          <w:sz w:val="24"/>
          <w:szCs w:val="24"/>
        </w:rPr>
        <w:t>for a Rwandan lawyer to present a case before a Kenyan court</w:t>
      </w:r>
      <w:r w:rsidR="00A22FE9" w:rsidRPr="00D45CDF">
        <w:rPr>
          <w:rFonts w:asciiTheme="minorHAnsi" w:hAnsiTheme="minorHAnsi"/>
          <w:sz w:val="24"/>
          <w:szCs w:val="24"/>
        </w:rPr>
        <w:t>, for example</w:t>
      </w:r>
      <w:r w:rsidRPr="00D45CDF">
        <w:rPr>
          <w:rFonts w:asciiTheme="minorHAnsi" w:hAnsiTheme="minorHAnsi"/>
          <w:sz w:val="24"/>
          <w:szCs w:val="24"/>
        </w:rPr>
        <w:t xml:space="preserve">. </w:t>
      </w:r>
      <w:r w:rsidR="00A22FE9" w:rsidRPr="00D45CDF">
        <w:rPr>
          <w:rFonts w:asciiTheme="minorHAnsi" w:hAnsiTheme="minorHAnsi"/>
          <w:sz w:val="24"/>
          <w:szCs w:val="24"/>
        </w:rPr>
        <w:t xml:space="preserve">However, </w:t>
      </w:r>
      <w:r w:rsidR="004A74AB" w:rsidRPr="00D45CDF">
        <w:rPr>
          <w:rFonts w:asciiTheme="minorHAnsi" w:hAnsiTheme="minorHAnsi"/>
          <w:sz w:val="24"/>
          <w:szCs w:val="24"/>
        </w:rPr>
        <w:t>it</w:t>
      </w:r>
      <w:r w:rsidR="00A22FE9" w:rsidRPr="00D45CDF">
        <w:rPr>
          <w:rFonts w:asciiTheme="minorHAnsi" w:hAnsiTheme="minorHAnsi"/>
          <w:sz w:val="24"/>
          <w:szCs w:val="24"/>
        </w:rPr>
        <w:t xml:space="preserve"> should not</w:t>
      </w:r>
      <w:r w:rsidR="004A74AB" w:rsidRPr="00D45CDF">
        <w:rPr>
          <w:rFonts w:asciiTheme="minorHAnsi" w:hAnsiTheme="minorHAnsi"/>
          <w:sz w:val="24"/>
          <w:szCs w:val="24"/>
        </w:rPr>
        <w:t xml:space="preserve"> be</w:t>
      </w:r>
      <w:r w:rsidR="00A22FE9" w:rsidRPr="00D45CDF">
        <w:rPr>
          <w:rFonts w:asciiTheme="minorHAnsi" w:hAnsiTheme="minorHAnsi"/>
          <w:sz w:val="24"/>
          <w:szCs w:val="24"/>
        </w:rPr>
        <w:t xml:space="preserve"> forg</w:t>
      </w:r>
      <w:r w:rsidR="004A74AB" w:rsidRPr="00D45CDF">
        <w:rPr>
          <w:rFonts w:asciiTheme="minorHAnsi" w:hAnsiTheme="minorHAnsi"/>
          <w:sz w:val="24"/>
          <w:szCs w:val="24"/>
        </w:rPr>
        <w:t>otten</w:t>
      </w:r>
      <w:r w:rsidR="00A22FE9" w:rsidRPr="00D45CDF">
        <w:rPr>
          <w:rFonts w:asciiTheme="minorHAnsi" w:hAnsiTheme="minorHAnsi"/>
          <w:sz w:val="24"/>
          <w:szCs w:val="24"/>
        </w:rPr>
        <w:t xml:space="preserve"> that</w:t>
      </w:r>
      <w:r w:rsidRPr="00D45CDF">
        <w:rPr>
          <w:rFonts w:asciiTheme="minorHAnsi" w:hAnsiTheme="minorHAnsi"/>
          <w:sz w:val="24"/>
          <w:szCs w:val="24"/>
        </w:rPr>
        <w:t xml:space="preserve"> legal services </w:t>
      </w:r>
      <w:r w:rsidR="00A22FE9" w:rsidRPr="00D45CDF">
        <w:rPr>
          <w:rFonts w:asciiTheme="minorHAnsi" w:hAnsiTheme="minorHAnsi"/>
          <w:sz w:val="24"/>
          <w:szCs w:val="24"/>
        </w:rPr>
        <w:t>are not limited to</w:t>
      </w:r>
      <w:r w:rsidRPr="00D45CDF">
        <w:rPr>
          <w:rFonts w:asciiTheme="minorHAnsi" w:hAnsiTheme="minorHAnsi"/>
          <w:sz w:val="24"/>
          <w:szCs w:val="24"/>
        </w:rPr>
        <w:t xml:space="preserve"> presenting case</w:t>
      </w:r>
      <w:r w:rsidR="00040230" w:rsidRPr="00D45CDF">
        <w:rPr>
          <w:rFonts w:asciiTheme="minorHAnsi" w:hAnsiTheme="minorHAnsi"/>
          <w:sz w:val="24"/>
          <w:szCs w:val="24"/>
        </w:rPr>
        <w:t>s</w:t>
      </w:r>
      <w:r w:rsidRPr="00D45CDF">
        <w:rPr>
          <w:rFonts w:asciiTheme="minorHAnsi" w:hAnsiTheme="minorHAnsi"/>
          <w:sz w:val="24"/>
          <w:szCs w:val="24"/>
        </w:rPr>
        <w:t xml:space="preserve"> before court. </w:t>
      </w:r>
      <w:r w:rsidR="00A22FE9" w:rsidRPr="00D45CDF">
        <w:rPr>
          <w:rFonts w:asciiTheme="minorHAnsi" w:hAnsiTheme="minorHAnsi"/>
          <w:sz w:val="24"/>
          <w:szCs w:val="24"/>
        </w:rPr>
        <w:t>They are in fact far more likely to involve giving</w:t>
      </w:r>
      <w:r w:rsidRPr="00D45CDF">
        <w:rPr>
          <w:rFonts w:asciiTheme="minorHAnsi" w:hAnsiTheme="minorHAnsi"/>
          <w:sz w:val="24"/>
          <w:szCs w:val="24"/>
        </w:rPr>
        <w:t xml:space="preserve"> legal advice to companies</w:t>
      </w:r>
      <w:r w:rsidR="00A22FE9" w:rsidRPr="00D45CDF">
        <w:rPr>
          <w:rFonts w:asciiTheme="minorHAnsi" w:hAnsiTheme="minorHAnsi"/>
          <w:sz w:val="24"/>
          <w:szCs w:val="24"/>
        </w:rPr>
        <w:t xml:space="preserve"> and individual clients</w:t>
      </w:r>
      <w:r w:rsidR="00040230" w:rsidRPr="00D45CDF">
        <w:rPr>
          <w:rFonts w:asciiTheme="minorHAnsi" w:hAnsiTheme="minorHAnsi"/>
          <w:sz w:val="24"/>
          <w:szCs w:val="24"/>
        </w:rPr>
        <w:t xml:space="preserve"> </w:t>
      </w:r>
      <w:r w:rsidR="009A4E22" w:rsidRPr="00D45CDF">
        <w:rPr>
          <w:rFonts w:asciiTheme="minorHAnsi" w:hAnsiTheme="minorHAnsi"/>
          <w:sz w:val="24"/>
          <w:szCs w:val="24"/>
        </w:rPr>
        <w:t>from</w:t>
      </w:r>
      <w:r w:rsidR="00040230" w:rsidRPr="00D45CDF">
        <w:rPr>
          <w:rFonts w:asciiTheme="minorHAnsi" w:hAnsiTheme="minorHAnsi"/>
          <w:sz w:val="24"/>
          <w:szCs w:val="24"/>
        </w:rPr>
        <w:t xml:space="preserve"> their </w:t>
      </w:r>
      <w:r w:rsidR="009A4E22" w:rsidRPr="00D45CDF">
        <w:rPr>
          <w:rFonts w:asciiTheme="minorHAnsi" w:hAnsiTheme="minorHAnsi"/>
          <w:sz w:val="24"/>
          <w:szCs w:val="24"/>
        </w:rPr>
        <w:t>practices</w:t>
      </w:r>
      <w:r w:rsidR="00A702AE" w:rsidRPr="00D45CDF">
        <w:rPr>
          <w:rFonts w:asciiTheme="minorHAnsi" w:hAnsiTheme="minorHAnsi"/>
          <w:sz w:val="24"/>
          <w:szCs w:val="24"/>
        </w:rPr>
        <w:t>.</w:t>
      </w:r>
      <w:r w:rsidRPr="00D45CDF">
        <w:rPr>
          <w:rFonts w:asciiTheme="minorHAnsi" w:hAnsiTheme="minorHAnsi"/>
          <w:sz w:val="24"/>
          <w:szCs w:val="24"/>
        </w:rPr>
        <w:t xml:space="preserve"> </w:t>
      </w:r>
      <w:r w:rsidR="00A702AE" w:rsidRPr="00D45CDF">
        <w:rPr>
          <w:rFonts w:asciiTheme="minorHAnsi" w:hAnsiTheme="minorHAnsi"/>
          <w:sz w:val="24"/>
          <w:szCs w:val="24"/>
        </w:rPr>
        <w:t>De</w:t>
      </w:r>
      <w:r w:rsidR="00A22FE9" w:rsidRPr="00D45CDF">
        <w:rPr>
          <w:rFonts w:asciiTheme="minorHAnsi" w:hAnsiTheme="minorHAnsi"/>
          <w:sz w:val="24"/>
          <w:szCs w:val="24"/>
        </w:rPr>
        <w:t>pending on the circumstances of each individual case,</w:t>
      </w:r>
      <w:r w:rsidRPr="00D45CDF">
        <w:rPr>
          <w:rFonts w:asciiTheme="minorHAnsi" w:hAnsiTheme="minorHAnsi"/>
          <w:sz w:val="24"/>
          <w:szCs w:val="24"/>
        </w:rPr>
        <w:t xml:space="preserve"> the</w:t>
      </w:r>
      <w:r w:rsidR="007069E8" w:rsidRPr="00D45CDF">
        <w:rPr>
          <w:rFonts w:asciiTheme="minorHAnsi" w:hAnsiTheme="minorHAnsi"/>
          <w:sz w:val="24"/>
          <w:szCs w:val="24"/>
        </w:rPr>
        <w:t>re may not necessarily be a</w:t>
      </w:r>
      <w:r w:rsidRPr="00D45CDF">
        <w:rPr>
          <w:rFonts w:asciiTheme="minorHAnsi" w:hAnsiTheme="minorHAnsi"/>
          <w:sz w:val="24"/>
          <w:szCs w:val="24"/>
        </w:rPr>
        <w:t xml:space="preserve"> language barrier</w:t>
      </w:r>
      <w:r w:rsidR="007069E8" w:rsidRPr="00D45CDF">
        <w:rPr>
          <w:rFonts w:asciiTheme="minorHAnsi" w:hAnsiTheme="minorHAnsi"/>
          <w:sz w:val="24"/>
          <w:szCs w:val="24"/>
        </w:rPr>
        <w:t>, or indeed</w:t>
      </w:r>
      <w:r w:rsidR="006C1AFB" w:rsidRPr="00D45CDF">
        <w:rPr>
          <w:rFonts w:asciiTheme="minorHAnsi" w:hAnsiTheme="minorHAnsi"/>
          <w:sz w:val="24"/>
          <w:szCs w:val="24"/>
        </w:rPr>
        <w:t>,</w:t>
      </w:r>
      <w:r w:rsidR="007069E8" w:rsidRPr="00D45CDF">
        <w:rPr>
          <w:rFonts w:asciiTheme="minorHAnsi" w:hAnsiTheme="minorHAnsi"/>
          <w:sz w:val="24"/>
          <w:szCs w:val="24"/>
        </w:rPr>
        <w:t xml:space="preserve"> the presence of a lawyer who masters other languages could be a commercial advantage</w:t>
      </w:r>
      <w:r w:rsidR="00A702AE" w:rsidRPr="00D45CDF">
        <w:rPr>
          <w:rFonts w:asciiTheme="minorHAnsi" w:hAnsiTheme="minorHAnsi"/>
          <w:sz w:val="24"/>
          <w:szCs w:val="24"/>
        </w:rPr>
        <w:t xml:space="preserve"> </w:t>
      </w:r>
      <w:r w:rsidR="00AD6E20" w:rsidRPr="00D45CDF">
        <w:rPr>
          <w:rFonts w:asciiTheme="minorHAnsi" w:hAnsiTheme="minorHAnsi"/>
          <w:sz w:val="24"/>
          <w:szCs w:val="24"/>
        </w:rPr>
        <w:t>which</w:t>
      </w:r>
      <w:r w:rsidR="007069E8" w:rsidRPr="00D45CDF">
        <w:rPr>
          <w:rFonts w:asciiTheme="minorHAnsi" w:hAnsiTheme="minorHAnsi"/>
          <w:sz w:val="24"/>
          <w:szCs w:val="24"/>
        </w:rPr>
        <w:t xml:space="preserve"> extend</w:t>
      </w:r>
      <w:r w:rsidR="00AD6E20" w:rsidRPr="00D45CDF">
        <w:rPr>
          <w:rFonts w:asciiTheme="minorHAnsi" w:hAnsiTheme="minorHAnsi"/>
          <w:sz w:val="24"/>
          <w:szCs w:val="24"/>
        </w:rPr>
        <w:t>s</w:t>
      </w:r>
      <w:r w:rsidR="007069E8" w:rsidRPr="00D45CDF">
        <w:rPr>
          <w:rFonts w:asciiTheme="minorHAnsi" w:hAnsiTheme="minorHAnsi"/>
          <w:sz w:val="24"/>
          <w:szCs w:val="24"/>
        </w:rPr>
        <w:t xml:space="preserve"> the pool of potential clients.</w:t>
      </w:r>
    </w:p>
    <w:p w14:paraId="715291EA" w14:textId="77777777" w:rsidR="009A0668" w:rsidRPr="00D45CDF" w:rsidRDefault="00955CC5" w:rsidP="001C5BA7">
      <w:pPr>
        <w:spacing w:line="240" w:lineRule="auto"/>
        <w:jc w:val="both"/>
        <w:rPr>
          <w:rFonts w:asciiTheme="minorHAnsi" w:hAnsiTheme="minorHAnsi"/>
          <w:sz w:val="24"/>
          <w:szCs w:val="24"/>
        </w:rPr>
      </w:pPr>
      <w:r w:rsidRPr="00D45CDF">
        <w:rPr>
          <w:rFonts w:asciiTheme="minorHAnsi" w:hAnsiTheme="minorHAnsi"/>
          <w:sz w:val="24"/>
          <w:szCs w:val="24"/>
        </w:rPr>
        <w:t>T</w:t>
      </w:r>
      <w:r w:rsidR="009A0668" w:rsidRPr="00D45CDF">
        <w:rPr>
          <w:rFonts w:asciiTheme="minorHAnsi" w:hAnsiTheme="minorHAnsi"/>
          <w:sz w:val="24"/>
          <w:szCs w:val="24"/>
        </w:rPr>
        <w:t xml:space="preserve">he slow </w:t>
      </w:r>
      <w:r w:rsidRPr="00D45CDF">
        <w:rPr>
          <w:rFonts w:asciiTheme="minorHAnsi" w:hAnsiTheme="minorHAnsi"/>
          <w:sz w:val="24"/>
          <w:szCs w:val="24"/>
        </w:rPr>
        <w:t xml:space="preserve">rate of </w:t>
      </w:r>
      <w:r w:rsidR="009A0668" w:rsidRPr="00D45CDF">
        <w:rPr>
          <w:rFonts w:asciiTheme="minorHAnsi" w:hAnsiTheme="minorHAnsi"/>
          <w:sz w:val="24"/>
          <w:szCs w:val="24"/>
        </w:rPr>
        <w:t>harmonisation</w:t>
      </w:r>
      <w:r w:rsidRPr="00D45CDF">
        <w:rPr>
          <w:rFonts w:asciiTheme="minorHAnsi" w:hAnsiTheme="minorHAnsi"/>
          <w:sz w:val="24"/>
          <w:szCs w:val="24"/>
        </w:rPr>
        <w:t xml:space="preserve"> also presents challenges</w:t>
      </w:r>
      <w:r w:rsidR="009A0668" w:rsidRPr="00D45CDF">
        <w:rPr>
          <w:rFonts w:asciiTheme="minorHAnsi" w:hAnsiTheme="minorHAnsi"/>
          <w:sz w:val="24"/>
          <w:szCs w:val="24"/>
        </w:rPr>
        <w:t xml:space="preserve">. </w:t>
      </w:r>
      <w:r w:rsidR="000114ED" w:rsidRPr="00D45CDF">
        <w:rPr>
          <w:rFonts w:asciiTheme="minorHAnsi" w:hAnsiTheme="minorHAnsi"/>
          <w:sz w:val="24"/>
          <w:szCs w:val="24"/>
        </w:rPr>
        <w:t xml:space="preserve">In the EAC, the average duration for delivering a law degree is four years, but this is not universal. </w:t>
      </w:r>
      <w:r w:rsidRPr="00D45CDF">
        <w:rPr>
          <w:rFonts w:asciiTheme="minorHAnsi" w:hAnsiTheme="minorHAnsi"/>
          <w:sz w:val="24"/>
          <w:szCs w:val="24"/>
        </w:rPr>
        <w:t>I</w:t>
      </w:r>
      <w:r w:rsidR="009A0668" w:rsidRPr="00D45CDF">
        <w:rPr>
          <w:rFonts w:asciiTheme="minorHAnsi" w:hAnsiTheme="minorHAnsi"/>
          <w:sz w:val="24"/>
          <w:szCs w:val="24"/>
        </w:rPr>
        <w:t xml:space="preserve">n some </w:t>
      </w:r>
      <w:r w:rsidRPr="00D45CDF">
        <w:rPr>
          <w:rFonts w:asciiTheme="minorHAnsi" w:hAnsiTheme="minorHAnsi"/>
          <w:sz w:val="24"/>
          <w:szCs w:val="24"/>
        </w:rPr>
        <w:t>E</w:t>
      </w:r>
      <w:r w:rsidR="009A0668" w:rsidRPr="00D45CDF">
        <w:rPr>
          <w:rFonts w:asciiTheme="minorHAnsi" w:hAnsiTheme="minorHAnsi"/>
          <w:sz w:val="24"/>
          <w:szCs w:val="24"/>
        </w:rPr>
        <w:t>ast African countries,</w:t>
      </w:r>
      <w:r w:rsidRPr="00D45CDF">
        <w:rPr>
          <w:rFonts w:asciiTheme="minorHAnsi" w:hAnsiTheme="minorHAnsi"/>
          <w:sz w:val="24"/>
          <w:szCs w:val="24"/>
        </w:rPr>
        <w:t xml:space="preserve"> there is no </w:t>
      </w:r>
      <w:r w:rsidR="000114ED" w:rsidRPr="00D45CDF">
        <w:rPr>
          <w:rFonts w:asciiTheme="minorHAnsi" w:hAnsiTheme="minorHAnsi"/>
          <w:sz w:val="24"/>
          <w:szCs w:val="24"/>
        </w:rPr>
        <w:t xml:space="preserve">internal </w:t>
      </w:r>
      <w:r w:rsidRPr="00D45CDF">
        <w:rPr>
          <w:rFonts w:asciiTheme="minorHAnsi" w:hAnsiTheme="minorHAnsi"/>
          <w:sz w:val="24"/>
          <w:szCs w:val="24"/>
        </w:rPr>
        <w:t>standardisation regarding the length of the law degree programme</w:t>
      </w:r>
      <w:r w:rsidR="00452DD1" w:rsidRPr="00D45CDF">
        <w:rPr>
          <w:rFonts w:asciiTheme="minorHAnsi" w:hAnsiTheme="minorHAnsi"/>
          <w:sz w:val="24"/>
          <w:szCs w:val="24"/>
        </w:rPr>
        <w:t>. L</w:t>
      </w:r>
      <w:r w:rsidR="009A0668" w:rsidRPr="00D45CDF">
        <w:rPr>
          <w:rFonts w:asciiTheme="minorHAnsi" w:hAnsiTheme="minorHAnsi"/>
          <w:sz w:val="24"/>
          <w:szCs w:val="24"/>
        </w:rPr>
        <w:t xml:space="preserve">aw schools </w:t>
      </w:r>
      <w:r w:rsidRPr="00D45CDF">
        <w:rPr>
          <w:rFonts w:asciiTheme="minorHAnsi" w:hAnsiTheme="minorHAnsi"/>
          <w:sz w:val="24"/>
          <w:szCs w:val="24"/>
        </w:rPr>
        <w:t xml:space="preserve">may </w:t>
      </w:r>
      <w:r w:rsidR="00452DD1" w:rsidRPr="00D45CDF">
        <w:rPr>
          <w:rFonts w:asciiTheme="minorHAnsi" w:hAnsiTheme="minorHAnsi"/>
          <w:sz w:val="24"/>
          <w:szCs w:val="24"/>
        </w:rPr>
        <w:t xml:space="preserve">offer three-or four-year </w:t>
      </w:r>
      <w:r w:rsidR="009A0668" w:rsidRPr="00D45CDF">
        <w:rPr>
          <w:rFonts w:asciiTheme="minorHAnsi" w:hAnsiTheme="minorHAnsi"/>
          <w:sz w:val="24"/>
          <w:szCs w:val="24"/>
        </w:rPr>
        <w:t xml:space="preserve">degree </w:t>
      </w:r>
      <w:r w:rsidRPr="00D45CDF">
        <w:rPr>
          <w:rFonts w:asciiTheme="minorHAnsi" w:hAnsiTheme="minorHAnsi"/>
          <w:sz w:val="24"/>
          <w:szCs w:val="24"/>
        </w:rPr>
        <w:t>programme</w:t>
      </w:r>
      <w:r w:rsidR="00452DD1" w:rsidRPr="00D45CDF">
        <w:rPr>
          <w:rFonts w:asciiTheme="minorHAnsi" w:hAnsiTheme="minorHAnsi"/>
          <w:sz w:val="24"/>
          <w:szCs w:val="24"/>
        </w:rPr>
        <w:t>s</w:t>
      </w:r>
      <w:r w:rsidRPr="00D45CDF">
        <w:rPr>
          <w:rFonts w:asciiTheme="minorHAnsi" w:hAnsiTheme="minorHAnsi"/>
          <w:sz w:val="24"/>
          <w:szCs w:val="24"/>
        </w:rPr>
        <w:t>.</w:t>
      </w:r>
      <w:r w:rsidR="00747432" w:rsidRPr="00D45CDF">
        <w:rPr>
          <w:rFonts w:asciiTheme="minorHAnsi" w:hAnsiTheme="minorHAnsi"/>
          <w:sz w:val="24"/>
          <w:szCs w:val="24"/>
        </w:rPr>
        <w:t xml:space="preserve"> In Rwanda, for instance some private universities deliver a bachelor’s degree in </w:t>
      </w:r>
      <w:r w:rsidR="00452DD1" w:rsidRPr="00D45CDF">
        <w:rPr>
          <w:rFonts w:asciiTheme="minorHAnsi" w:hAnsiTheme="minorHAnsi"/>
          <w:sz w:val="24"/>
          <w:szCs w:val="24"/>
        </w:rPr>
        <w:t>L</w:t>
      </w:r>
      <w:r w:rsidR="00747432" w:rsidRPr="00D45CDF">
        <w:rPr>
          <w:rFonts w:asciiTheme="minorHAnsi" w:hAnsiTheme="minorHAnsi"/>
          <w:sz w:val="24"/>
          <w:szCs w:val="24"/>
        </w:rPr>
        <w:t xml:space="preserve">aw after a three-year programme; while at the public university, the University of Rwanda, </w:t>
      </w:r>
      <w:r w:rsidR="006C1AFB" w:rsidRPr="00D45CDF">
        <w:rPr>
          <w:rFonts w:asciiTheme="minorHAnsi" w:hAnsiTheme="minorHAnsi"/>
          <w:sz w:val="24"/>
          <w:szCs w:val="24"/>
        </w:rPr>
        <w:t xml:space="preserve">it will take </w:t>
      </w:r>
      <w:r w:rsidR="00747432" w:rsidRPr="00D45CDF">
        <w:rPr>
          <w:rFonts w:asciiTheme="minorHAnsi" w:hAnsiTheme="minorHAnsi"/>
          <w:sz w:val="24"/>
          <w:szCs w:val="24"/>
        </w:rPr>
        <w:t xml:space="preserve">students four years </w:t>
      </w:r>
      <w:r w:rsidR="006C1AFB" w:rsidRPr="00D45CDF">
        <w:rPr>
          <w:rFonts w:asciiTheme="minorHAnsi" w:hAnsiTheme="minorHAnsi"/>
          <w:sz w:val="24"/>
          <w:szCs w:val="24"/>
        </w:rPr>
        <w:t xml:space="preserve">to </w:t>
      </w:r>
      <w:r w:rsidR="00747432" w:rsidRPr="00D45CDF">
        <w:rPr>
          <w:rFonts w:asciiTheme="minorHAnsi" w:hAnsiTheme="minorHAnsi"/>
          <w:sz w:val="24"/>
          <w:szCs w:val="24"/>
        </w:rPr>
        <w:t>obtain</w:t>
      </w:r>
      <w:r w:rsidR="006C1AFB" w:rsidRPr="00D45CDF">
        <w:rPr>
          <w:rFonts w:asciiTheme="minorHAnsi" w:hAnsiTheme="minorHAnsi"/>
          <w:sz w:val="24"/>
          <w:szCs w:val="24"/>
        </w:rPr>
        <w:t xml:space="preserve"> </w:t>
      </w:r>
      <w:r w:rsidR="00747432" w:rsidRPr="00D45CDF">
        <w:rPr>
          <w:rFonts w:asciiTheme="minorHAnsi" w:hAnsiTheme="minorHAnsi"/>
          <w:sz w:val="24"/>
          <w:szCs w:val="24"/>
        </w:rPr>
        <w:t xml:space="preserve">a law degree. </w:t>
      </w:r>
      <w:r w:rsidRPr="00D45CDF">
        <w:rPr>
          <w:rFonts w:asciiTheme="minorHAnsi" w:hAnsiTheme="minorHAnsi"/>
          <w:sz w:val="24"/>
          <w:szCs w:val="24"/>
        </w:rPr>
        <w:t xml:space="preserve">This suggests that </w:t>
      </w:r>
      <w:r w:rsidR="001D6D90" w:rsidRPr="00D45CDF">
        <w:rPr>
          <w:rFonts w:asciiTheme="minorHAnsi" w:hAnsiTheme="minorHAnsi"/>
          <w:sz w:val="24"/>
          <w:szCs w:val="24"/>
        </w:rPr>
        <w:t>Partner States</w:t>
      </w:r>
      <w:r w:rsidR="009A0668" w:rsidRPr="00D45CDF">
        <w:rPr>
          <w:rFonts w:asciiTheme="minorHAnsi" w:hAnsiTheme="minorHAnsi"/>
          <w:sz w:val="24"/>
          <w:szCs w:val="24"/>
        </w:rPr>
        <w:t xml:space="preserve"> </w:t>
      </w:r>
      <w:r w:rsidR="00DF7D7B" w:rsidRPr="00D45CDF">
        <w:rPr>
          <w:rFonts w:asciiTheme="minorHAnsi" w:hAnsiTheme="minorHAnsi"/>
          <w:sz w:val="24"/>
          <w:szCs w:val="24"/>
        </w:rPr>
        <w:t>may</w:t>
      </w:r>
      <w:r w:rsidR="009A0668" w:rsidRPr="00D45CDF">
        <w:rPr>
          <w:rFonts w:asciiTheme="minorHAnsi" w:hAnsiTheme="minorHAnsi"/>
          <w:sz w:val="24"/>
          <w:szCs w:val="24"/>
        </w:rPr>
        <w:t xml:space="preserve"> have to harmonise </w:t>
      </w:r>
      <w:r w:rsidRPr="00D45CDF">
        <w:rPr>
          <w:rFonts w:asciiTheme="minorHAnsi" w:hAnsiTheme="minorHAnsi"/>
          <w:sz w:val="24"/>
          <w:szCs w:val="24"/>
        </w:rPr>
        <w:t xml:space="preserve">their undergraduate programmes </w:t>
      </w:r>
      <w:r w:rsidR="009A0668" w:rsidRPr="00D45CDF">
        <w:rPr>
          <w:rFonts w:asciiTheme="minorHAnsi" w:hAnsiTheme="minorHAnsi"/>
          <w:sz w:val="24"/>
          <w:szCs w:val="24"/>
        </w:rPr>
        <w:t>internally</w:t>
      </w:r>
      <w:r w:rsidRPr="00D45CDF">
        <w:rPr>
          <w:rFonts w:asciiTheme="minorHAnsi" w:hAnsiTheme="minorHAnsi"/>
          <w:sz w:val="24"/>
          <w:szCs w:val="24"/>
        </w:rPr>
        <w:t xml:space="preserve"> before they</w:t>
      </w:r>
      <w:r w:rsidR="009A0668" w:rsidRPr="00D45CDF">
        <w:rPr>
          <w:rFonts w:asciiTheme="minorHAnsi" w:hAnsiTheme="minorHAnsi"/>
          <w:sz w:val="24"/>
          <w:szCs w:val="24"/>
        </w:rPr>
        <w:t xml:space="preserve"> harmonise </w:t>
      </w:r>
      <w:r w:rsidRPr="00D45CDF">
        <w:rPr>
          <w:rFonts w:asciiTheme="minorHAnsi" w:hAnsiTheme="minorHAnsi"/>
          <w:sz w:val="24"/>
          <w:szCs w:val="24"/>
        </w:rPr>
        <w:t xml:space="preserve">them </w:t>
      </w:r>
      <w:r w:rsidR="009A0668" w:rsidRPr="00D45CDF">
        <w:rPr>
          <w:rFonts w:asciiTheme="minorHAnsi" w:hAnsiTheme="minorHAnsi"/>
          <w:sz w:val="24"/>
          <w:szCs w:val="24"/>
        </w:rPr>
        <w:t xml:space="preserve">with other </w:t>
      </w:r>
      <w:r w:rsidR="001D6D90" w:rsidRPr="00D45CDF">
        <w:rPr>
          <w:rFonts w:asciiTheme="minorHAnsi" w:hAnsiTheme="minorHAnsi"/>
          <w:sz w:val="24"/>
          <w:szCs w:val="24"/>
        </w:rPr>
        <w:t>Partner States</w:t>
      </w:r>
      <w:r w:rsidR="00E53D7F" w:rsidRPr="00D45CDF">
        <w:rPr>
          <w:rFonts w:asciiTheme="minorHAnsi" w:hAnsiTheme="minorHAnsi"/>
          <w:sz w:val="24"/>
          <w:szCs w:val="24"/>
        </w:rPr>
        <w:t xml:space="preserve">, and then determine </w:t>
      </w:r>
      <w:r w:rsidR="00BB0A6E" w:rsidRPr="00D45CDF">
        <w:rPr>
          <w:rFonts w:asciiTheme="minorHAnsi" w:hAnsiTheme="minorHAnsi"/>
          <w:sz w:val="24"/>
          <w:szCs w:val="24"/>
        </w:rPr>
        <w:t xml:space="preserve">between </w:t>
      </w:r>
      <w:r w:rsidR="001D6D90" w:rsidRPr="00D45CDF">
        <w:rPr>
          <w:rFonts w:asciiTheme="minorHAnsi" w:hAnsiTheme="minorHAnsi"/>
          <w:sz w:val="24"/>
          <w:szCs w:val="24"/>
        </w:rPr>
        <w:t>Partner States</w:t>
      </w:r>
      <w:r w:rsidR="00BB0A6E" w:rsidRPr="00D45CDF">
        <w:rPr>
          <w:rFonts w:asciiTheme="minorHAnsi" w:hAnsiTheme="minorHAnsi"/>
          <w:sz w:val="24"/>
          <w:szCs w:val="24"/>
        </w:rPr>
        <w:t xml:space="preserve"> </w:t>
      </w:r>
      <w:r w:rsidR="00E53D7F" w:rsidRPr="00D45CDF">
        <w:rPr>
          <w:rFonts w:asciiTheme="minorHAnsi" w:hAnsiTheme="minorHAnsi"/>
          <w:sz w:val="24"/>
          <w:szCs w:val="24"/>
        </w:rPr>
        <w:t xml:space="preserve">whether a postgraduate professional qualification in legal practice is also a requirement. </w:t>
      </w:r>
    </w:p>
    <w:p w14:paraId="07B4B29A" w14:textId="77777777" w:rsidR="009A0668" w:rsidRPr="00D45CDF" w:rsidRDefault="00C12E57" w:rsidP="001C5BA7">
      <w:pPr>
        <w:spacing w:line="240" w:lineRule="auto"/>
        <w:jc w:val="both"/>
        <w:rPr>
          <w:rFonts w:asciiTheme="minorHAnsi" w:hAnsiTheme="minorHAnsi"/>
          <w:sz w:val="24"/>
          <w:szCs w:val="24"/>
        </w:rPr>
      </w:pPr>
      <w:r w:rsidRPr="00D45CDF">
        <w:rPr>
          <w:rFonts w:asciiTheme="minorHAnsi" w:hAnsiTheme="minorHAnsi"/>
          <w:sz w:val="24"/>
          <w:szCs w:val="24"/>
        </w:rPr>
        <w:t xml:space="preserve">Furthermore, the </w:t>
      </w:r>
      <w:r w:rsidR="001D6D90" w:rsidRPr="00D45CDF">
        <w:rPr>
          <w:rFonts w:asciiTheme="minorHAnsi" w:hAnsiTheme="minorHAnsi"/>
          <w:sz w:val="24"/>
          <w:szCs w:val="24"/>
        </w:rPr>
        <w:t>Partner States</w:t>
      </w:r>
      <w:r w:rsidRPr="00D45CDF">
        <w:rPr>
          <w:rFonts w:asciiTheme="minorHAnsi" w:hAnsiTheme="minorHAnsi"/>
          <w:sz w:val="24"/>
          <w:szCs w:val="24"/>
        </w:rPr>
        <w:t xml:space="preserve"> of the EAC do not all espouse the same legal system</w:t>
      </w:r>
      <w:r w:rsidR="006437A4" w:rsidRPr="00D45CDF">
        <w:rPr>
          <w:rFonts w:asciiTheme="minorHAnsi" w:hAnsiTheme="minorHAnsi"/>
          <w:sz w:val="24"/>
          <w:szCs w:val="24"/>
        </w:rPr>
        <w:t>s</w:t>
      </w:r>
      <w:r w:rsidRPr="00D45CDF">
        <w:rPr>
          <w:rFonts w:asciiTheme="minorHAnsi" w:hAnsiTheme="minorHAnsi"/>
          <w:sz w:val="24"/>
          <w:szCs w:val="24"/>
        </w:rPr>
        <w:t>. Uganda</w:t>
      </w:r>
      <w:r w:rsidR="00AD2D42" w:rsidRPr="00D45CDF">
        <w:rPr>
          <w:rFonts w:asciiTheme="minorHAnsi" w:hAnsiTheme="minorHAnsi"/>
          <w:sz w:val="24"/>
          <w:szCs w:val="24"/>
        </w:rPr>
        <w:t xml:space="preserve">, </w:t>
      </w:r>
      <w:r w:rsidRPr="00D45CDF">
        <w:rPr>
          <w:rFonts w:asciiTheme="minorHAnsi" w:hAnsiTheme="minorHAnsi"/>
          <w:sz w:val="24"/>
          <w:szCs w:val="24"/>
        </w:rPr>
        <w:t>Kenya</w:t>
      </w:r>
      <w:r w:rsidR="00AD2D42" w:rsidRPr="00D45CDF">
        <w:rPr>
          <w:rFonts w:asciiTheme="minorHAnsi" w:hAnsiTheme="minorHAnsi"/>
          <w:sz w:val="24"/>
          <w:szCs w:val="24"/>
        </w:rPr>
        <w:t xml:space="preserve"> and Tanzania</w:t>
      </w:r>
      <w:r w:rsidRPr="00D45CDF">
        <w:rPr>
          <w:rFonts w:asciiTheme="minorHAnsi" w:hAnsiTheme="minorHAnsi"/>
          <w:sz w:val="24"/>
          <w:szCs w:val="24"/>
        </w:rPr>
        <w:t xml:space="preserve"> are</w:t>
      </w:r>
      <w:r w:rsidR="00AD2D42" w:rsidRPr="00D45CDF">
        <w:rPr>
          <w:rFonts w:asciiTheme="minorHAnsi" w:hAnsiTheme="minorHAnsi"/>
          <w:sz w:val="24"/>
          <w:szCs w:val="24"/>
        </w:rPr>
        <w:t xml:space="preserve"> largely</w:t>
      </w:r>
      <w:r w:rsidRPr="00D45CDF">
        <w:rPr>
          <w:rFonts w:asciiTheme="minorHAnsi" w:hAnsiTheme="minorHAnsi"/>
          <w:sz w:val="24"/>
          <w:szCs w:val="24"/>
        </w:rPr>
        <w:t xml:space="preserve"> common law countries; Burundi is a civil law country; Rwanda </w:t>
      </w:r>
      <w:r w:rsidR="00AD2D42" w:rsidRPr="00D45CDF">
        <w:rPr>
          <w:rFonts w:asciiTheme="minorHAnsi" w:hAnsiTheme="minorHAnsi"/>
          <w:sz w:val="24"/>
          <w:szCs w:val="24"/>
        </w:rPr>
        <w:t>has a</w:t>
      </w:r>
      <w:r w:rsidRPr="00D45CDF">
        <w:rPr>
          <w:rFonts w:asciiTheme="minorHAnsi" w:hAnsiTheme="minorHAnsi"/>
          <w:sz w:val="24"/>
          <w:szCs w:val="24"/>
        </w:rPr>
        <w:t xml:space="preserve"> hybrid</w:t>
      </w:r>
      <w:r w:rsidR="00AD2D42" w:rsidRPr="00D45CDF">
        <w:rPr>
          <w:rFonts w:asciiTheme="minorHAnsi" w:hAnsiTheme="minorHAnsi"/>
          <w:sz w:val="24"/>
          <w:szCs w:val="24"/>
        </w:rPr>
        <w:t xml:space="preserve"> legal system; South Sudan has a</w:t>
      </w:r>
      <w:r w:rsidR="00AD2D42" w:rsidRPr="00D45CDF">
        <w:rPr>
          <w:rFonts w:asciiTheme="minorHAnsi" w:hAnsiTheme="minorHAnsi"/>
          <w:color w:val="000000"/>
          <w:sz w:val="24"/>
          <w:szCs w:val="24"/>
        </w:rPr>
        <w:t xml:space="preserve"> dual system consisting of statutory and customary law.</w:t>
      </w:r>
      <w:r w:rsidRPr="00D45CDF">
        <w:rPr>
          <w:rFonts w:asciiTheme="minorHAnsi" w:hAnsiTheme="minorHAnsi"/>
          <w:sz w:val="24"/>
          <w:szCs w:val="24"/>
        </w:rPr>
        <w:t xml:space="preserve"> </w:t>
      </w:r>
      <w:r w:rsidR="00AD2D42" w:rsidRPr="00D45CDF">
        <w:rPr>
          <w:rFonts w:asciiTheme="minorHAnsi" w:hAnsiTheme="minorHAnsi"/>
          <w:sz w:val="24"/>
          <w:szCs w:val="24"/>
        </w:rPr>
        <w:t xml:space="preserve">This has led to complications. </w:t>
      </w:r>
      <w:r w:rsidR="009A0668" w:rsidRPr="00D45CDF">
        <w:rPr>
          <w:rFonts w:asciiTheme="minorHAnsi" w:hAnsiTheme="minorHAnsi"/>
          <w:sz w:val="24"/>
          <w:szCs w:val="24"/>
        </w:rPr>
        <w:t>In Uganda</w:t>
      </w:r>
      <w:r w:rsidR="00AD2D42" w:rsidRPr="00D45CDF">
        <w:rPr>
          <w:rFonts w:asciiTheme="minorHAnsi" w:hAnsiTheme="minorHAnsi"/>
          <w:sz w:val="24"/>
          <w:szCs w:val="24"/>
        </w:rPr>
        <w:t>,</w:t>
      </w:r>
      <w:r w:rsidR="009A0668" w:rsidRPr="00D45CDF">
        <w:rPr>
          <w:rFonts w:asciiTheme="minorHAnsi" w:hAnsiTheme="minorHAnsi"/>
          <w:sz w:val="24"/>
          <w:szCs w:val="24"/>
        </w:rPr>
        <w:t xml:space="preserve"> for instance, </w:t>
      </w:r>
      <w:r w:rsidR="00AD2D42" w:rsidRPr="00D45CDF">
        <w:rPr>
          <w:rFonts w:asciiTheme="minorHAnsi" w:hAnsiTheme="minorHAnsi"/>
          <w:sz w:val="24"/>
          <w:szCs w:val="24"/>
        </w:rPr>
        <w:t>lawyers from non-common law countries were not recognised</w:t>
      </w:r>
      <w:r w:rsidR="00432A3B" w:rsidRPr="00D45CDF">
        <w:rPr>
          <w:rFonts w:asciiTheme="minorHAnsi" w:hAnsiTheme="minorHAnsi"/>
          <w:sz w:val="24"/>
          <w:szCs w:val="24"/>
        </w:rPr>
        <w:t xml:space="preserve">. Some progress has been made in this area, as is demonstrated </w:t>
      </w:r>
      <w:r w:rsidR="000A771B" w:rsidRPr="00D45CDF">
        <w:rPr>
          <w:rFonts w:asciiTheme="minorHAnsi" w:hAnsiTheme="minorHAnsi"/>
          <w:sz w:val="24"/>
          <w:szCs w:val="24"/>
        </w:rPr>
        <w:t xml:space="preserve">in </w:t>
      </w:r>
      <w:r w:rsidR="00432A3B" w:rsidRPr="00D45CDF">
        <w:rPr>
          <w:rFonts w:asciiTheme="minorHAnsi" w:hAnsiTheme="minorHAnsi"/>
          <w:sz w:val="24"/>
          <w:szCs w:val="24"/>
        </w:rPr>
        <w:t>the</w:t>
      </w:r>
      <w:r w:rsidR="000A771B" w:rsidRPr="00D45CDF">
        <w:rPr>
          <w:rFonts w:asciiTheme="minorHAnsi" w:hAnsiTheme="minorHAnsi"/>
          <w:sz w:val="24"/>
          <w:szCs w:val="24"/>
        </w:rPr>
        <w:t xml:space="preserve"> </w:t>
      </w:r>
      <w:r w:rsidR="0048098D" w:rsidRPr="00D45CDF">
        <w:rPr>
          <w:rFonts w:asciiTheme="minorHAnsi" w:hAnsiTheme="minorHAnsi"/>
          <w:sz w:val="24"/>
          <w:szCs w:val="24"/>
        </w:rPr>
        <w:t xml:space="preserve">recent </w:t>
      </w:r>
      <w:r w:rsidR="000A771B" w:rsidRPr="00D45CDF">
        <w:rPr>
          <w:rFonts w:asciiTheme="minorHAnsi" w:hAnsiTheme="minorHAnsi"/>
          <w:sz w:val="24"/>
          <w:szCs w:val="24"/>
        </w:rPr>
        <w:t>case of Tony</w:t>
      </w:r>
      <w:r w:rsidR="00432A3B" w:rsidRPr="00D45CDF">
        <w:rPr>
          <w:rFonts w:asciiTheme="minorHAnsi" w:hAnsiTheme="minorHAnsi"/>
          <w:sz w:val="24"/>
          <w:szCs w:val="24"/>
        </w:rPr>
        <w:t xml:space="preserve"> </w:t>
      </w:r>
      <w:proofErr w:type="spellStart"/>
      <w:r w:rsidR="00432A3B" w:rsidRPr="00D45CDF">
        <w:rPr>
          <w:rFonts w:asciiTheme="minorHAnsi" w:hAnsiTheme="minorHAnsi"/>
          <w:sz w:val="24"/>
          <w:szCs w:val="24"/>
        </w:rPr>
        <w:t>Katungi</w:t>
      </w:r>
      <w:proofErr w:type="spellEnd"/>
      <w:r w:rsidR="000A771B" w:rsidRPr="00D45CDF">
        <w:rPr>
          <w:rFonts w:asciiTheme="minorHAnsi" w:hAnsiTheme="minorHAnsi"/>
          <w:sz w:val="24"/>
          <w:szCs w:val="24"/>
        </w:rPr>
        <w:t>, where a Ugandan law graduate, who had passed his Bar training course in Kenya and been admitted to the Kenyan Bar</w:t>
      </w:r>
      <w:r w:rsidR="004F3C76" w:rsidRPr="00D45CDF">
        <w:rPr>
          <w:rFonts w:asciiTheme="minorHAnsi" w:hAnsiTheme="minorHAnsi"/>
          <w:sz w:val="24"/>
          <w:szCs w:val="24"/>
        </w:rPr>
        <w:t>,</w:t>
      </w:r>
      <w:r w:rsidR="000A771B" w:rsidRPr="00D45CDF">
        <w:rPr>
          <w:rFonts w:asciiTheme="minorHAnsi" w:hAnsiTheme="minorHAnsi"/>
          <w:sz w:val="24"/>
          <w:szCs w:val="24"/>
        </w:rPr>
        <w:t xml:space="preserve"> was refused admission to the Ugandan Bar without supervised training</w:t>
      </w:r>
      <w:r w:rsidR="00D473E6" w:rsidRPr="00D45CDF">
        <w:rPr>
          <w:rFonts w:asciiTheme="minorHAnsi" w:hAnsiTheme="minorHAnsi"/>
          <w:sz w:val="24"/>
          <w:szCs w:val="24"/>
        </w:rPr>
        <w:t>.</w:t>
      </w:r>
      <w:r w:rsidR="000A771B" w:rsidRPr="00D45CDF">
        <w:rPr>
          <w:rFonts w:asciiTheme="minorHAnsi" w:hAnsiTheme="minorHAnsi"/>
          <w:sz w:val="24"/>
          <w:szCs w:val="24"/>
        </w:rPr>
        <w:t xml:space="preserve"> </w:t>
      </w:r>
      <w:r w:rsidR="004F3C76" w:rsidRPr="00D45CDF">
        <w:rPr>
          <w:rFonts w:asciiTheme="minorHAnsi" w:hAnsiTheme="minorHAnsi"/>
          <w:sz w:val="24"/>
          <w:szCs w:val="24"/>
        </w:rPr>
        <w:t xml:space="preserve">Subsequently, the Ugandan High </w:t>
      </w:r>
      <w:r w:rsidR="000A771B" w:rsidRPr="00D45CDF">
        <w:rPr>
          <w:rFonts w:asciiTheme="minorHAnsi" w:hAnsiTheme="minorHAnsi"/>
          <w:sz w:val="24"/>
          <w:szCs w:val="24"/>
        </w:rPr>
        <w:t xml:space="preserve">Court </w:t>
      </w:r>
      <w:r w:rsidR="004F3C76" w:rsidRPr="00D45CDF">
        <w:rPr>
          <w:rFonts w:asciiTheme="minorHAnsi" w:hAnsiTheme="minorHAnsi"/>
          <w:sz w:val="24"/>
          <w:szCs w:val="24"/>
        </w:rPr>
        <w:t>held that he had</w:t>
      </w:r>
      <w:r w:rsidR="000A771B" w:rsidRPr="00D45CDF">
        <w:rPr>
          <w:rFonts w:asciiTheme="minorHAnsi" w:eastAsiaTheme="minorHAnsi" w:hAnsiTheme="minorHAnsi"/>
          <w:color w:val="000000"/>
          <w:sz w:val="24"/>
          <w:szCs w:val="24"/>
          <w:lang w:eastAsia="en-US"/>
        </w:rPr>
        <w:t xml:space="preserve"> </w:t>
      </w:r>
      <w:r w:rsidR="004F3C76" w:rsidRPr="00D45CDF">
        <w:rPr>
          <w:rFonts w:asciiTheme="minorHAnsi" w:eastAsiaTheme="minorHAnsi" w:hAnsiTheme="minorHAnsi"/>
          <w:color w:val="000000"/>
          <w:sz w:val="24"/>
          <w:szCs w:val="24"/>
          <w:lang w:eastAsia="en-US"/>
        </w:rPr>
        <w:t xml:space="preserve">in fact </w:t>
      </w:r>
      <w:r w:rsidR="000A771B" w:rsidRPr="00D45CDF">
        <w:rPr>
          <w:rFonts w:asciiTheme="minorHAnsi" w:eastAsiaTheme="minorHAnsi" w:hAnsiTheme="minorHAnsi"/>
          <w:color w:val="000000"/>
          <w:sz w:val="24"/>
          <w:szCs w:val="24"/>
          <w:lang w:eastAsia="en-US"/>
        </w:rPr>
        <w:t>satisfied all the statutory requirements to enable him enrol as an Advocate of the High Court of Uganda.</w:t>
      </w:r>
      <w:r w:rsidR="000A771B" w:rsidRPr="00D45CDF">
        <w:rPr>
          <w:rStyle w:val="FootnoteReference"/>
          <w:rFonts w:asciiTheme="minorHAnsi" w:hAnsiTheme="minorHAnsi"/>
          <w:sz w:val="24"/>
          <w:szCs w:val="24"/>
        </w:rPr>
        <w:t xml:space="preserve"> </w:t>
      </w:r>
      <w:r w:rsidR="00D473E6" w:rsidRPr="00D45CDF">
        <w:rPr>
          <w:rFonts w:asciiTheme="minorHAnsi" w:hAnsiTheme="minorHAnsi"/>
          <w:sz w:val="24"/>
          <w:szCs w:val="24"/>
        </w:rPr>
        <w:t xml:space="preserve">Both Uganda and </w:t>
      </w:r>
      <w:r w:rsidR="00177271" w:rsidRPr="00D45CDF">
        <w:rPr>
          <w:rFonts w:asciiTheme="minorHAnsi" w:hAnsiTheme="minorHAnsi"/>
          <w:sz w:val="24"/>
          <w:szCs w:val="24"/>
        </w:rPr>
        <w:t>Kenya</w:t>
      </w:r>
      <w:r w:rsidR="00D473E6" w:rsidRPr="00D45CDF">
        <w:rPr>
          <w:rFonts w:asciiTheme="minorHAnsi" w:hAnsiTheme="minorHAnsi"/>
          <w:sz w:val="24"/>
          <w:szCs w:val="24"/>
        </w:rPr>
        <w:t xml:space="preserve"> are common law jurisdictions, however, in the judgment, t</w:t>
      </w:r>
      <w:r w:rsidR="00C81D7A" w:rsidRPr="00D45CDF">
        <w:rPr>
          <w:rFonts w:asciiTheme="minorHAnsi" w:hAnsiTheme="minorHAnsi"/>
          <w:sz w:val="24"/>
          <w:szCs w:val="24"/>
        </w:rPr>
        <w:t>he Court specifically referred to the harmonisation of national laws within the EAC regarding the legal professions:</w:t>
      </w:r>
    </w:p>
    <w:p w14:paraId="3A346356" w14:textId="77777777" w:rsidR="00C81D7A" w:rsidRPr="00D45CDF" w:rsidRDefault="00C81D7A" w:rsidP="001C5BA7">
      <w:pPr>
        <w:spacing w:line="240" w:lineRule="auto"/>
        <w:ind w:left="720"/>
        <w:jc w:val="both"/>
        <w:rPr>
          <w:rFonts w:asciiTheme="minorHAnsi" w:hAnsiTheme="minorHAnsi"/>
          <w:sz w:val="24"/>
          <w:szCs w:val="24"/>
        </w:rPr>
      </w:pPr>
      <w:r w:rsidRPr="00D45CDF">
        <w:rPr>
          <w:rFonts w:asciiTheme="minorHAnsi" w:hAnsiTheme="minorHAnsi"/>
          <w:sz w:val="24"/>
          <w:szCs w:val="24"/>
        </w:rPr>
        <w:t xml:space="preserve">Uganda as a Partner State is enjoined to harmonize the national laws in respect of the legal profession. Uganda as a member country signed the East African Community </w:t>
      </w:r>
      <w:r w:rsidRPr="00D45CDF">
        <w:rPr>
          <w:rFonts w:asciiTheme="minorHAnsi" w:hAnsiTheme="minorHAnsi"/>
          <w:sz w:val="24"/>
          <w:szCs w:val="24"/>
        </w:rPr>
        <w:lastRenderedPageBreak/>
        <w:t>Common Market Protocol (EAC CMP) and undertook to provide free legal practice by 2015. Although we may have some varied academic routes and professional qualification requirements and owing to quality assurance or protectionist reasons, access to a number of professions including law is regulated. Uganda is bound to open up the space for workers through the East African Integration or devise a better approach to allow Free Movement of Workers in order to be compliant with the EAC Common Market Protocol.</w:t>
      </w:r>
      <w:r w:rsidRPr="00D45CDF">
        <w:rPr>
          <w:rStyle w:val="FootnoteReference"/>
          <w:rFonts w:asciiTheme="minorHAnsi" w:hAnsiTheme="minorHAnsi"/>
          <w:sz w:val="24"/>
          <w:szCs w:val="24"/>
        </w:rPr>
        <w:t xml:space="preserve"> </w:t>
      </w:r>
      <w:r w:rsidRPr="00D45CDF">
        <w:rPr>
          <w:rStyle w:val="FootnoteReference"/>
          <w:rFonts w:asciiTheme="minorHAnsi" w:hAnsiTheme="minorHAnsi"/>
          <w:sz w:val="24"/>
          <w:szCs w:val="24"/>
        </w:rPr>
        <w:footnoteReference w:id="129"/>
      </w:r>
    </w:p>
    <w:p w14:paraId="06D3A639" w14:textId="77777777" w:rsidR="00766D95" w:rsidRDefault="00A42298" w:rsidP="001C5BA7">
      <w:pPr>
        <w:spacing w:line="240" w:lineRule="auto"/>
        <w:jc w:val="both"/>
        <w:rPr>
          <w:rFonts w:asciiTheme="minorHAnsi" w:hAnsiTheme="minorHAnsi"/>
          <w:sz w:val="24"/>
          <w:szCs w:val="24"/>
        </w:rPr>
      </w:pPr>
      <w:r w:rsidRPr="00D45CDF">
        <w:rPr>
          <w:rFonts w:asciiTheme="minorHAnsi" w:hAnsiTheme="minorHAnsi"/>
          <w:sz w:val="24"/>
          <w:szCs w:val="24"/>
        </w:rPr>
        <w:t xml:space="preserve">This progress is echoed in the case of Kenyan Francis </w:t>
      </w:r>
      <w:proofErr w:type="spellStart"/>
      <w:r w:rsidRPr="00D45CDF">
        <w:rPr>
          <w:rFonts w:asciiTheme="minorHAnsi" w:hAnsiTheme="minorHAnsi"/>
          <w:sz w:val="24"/>
          <w:szCs w:val="24"/>
        </w:rPr>
        <w:t>Muiruri</w:t>
      </w:r>
      <w:proofErr w:type="spellEnd"/>
      <w:r w:rsidRPr="00D45CDF">
        <w:rPr>
          <w:rFonts w:asciiTheme="minorHAnsi" w:hAnsiTheme="minorHAnsi"/>
          <w:sz w:val="24"/>
          <w:szCs w:val="24"/>
        </w:rPr>
        <w:t xml:space="preserve"> </w:t>
      </w:r>
      <w:proofErr w:type="spellStart"/>
      <w:r w:rsidRPr="00D45CDF">
        <w:rPr>
          <w:rFonts w:asciiTheme="minorHAnsi" w:hAnsiTheme="minorHAnsi"/>
          <w:sz w:val="24"/>
          <w:szCs w:val="24"/>
        </w:rPr>
        <w:t>Kimangi</w:t>
      </w:r>
      <w:proofErr w:type="spellEnd"/>
      <w:r w:rsidRPr="00D45CDF">
        <w:rPr>
          <w:rFonts w:asciiTheme="minorHAnsi" w:hAnsiTheme="minorHAnsi"/>
          <w:sz w:val="24"/>
          <w:szCs w:val="24"/>
        </w:rPr>
        <w:t xml:space="preserve">, who studied law in Uganda and was admitted to practise in Rwanda, yet had been denied enrolment with the Kenyan Bar. </w:t>
      </w:r>
      <w:r w:rsidR="00194716" w:rsidRPr="00D45CDF">
        <w:rPr>
          <w:rFonts w:asciiTheme="minorHAnsi" w:hAnsiTheme="minorHAnsi"/>
          <w:sz w:val="24"/>
          <w:szCs w:val="24"/>
        </w:rPr>
        <w:t xml:space="preserve">Kenyan </w:t>
      </w:r>
      <w:r w:rsidRPr="00D45CDF">
        <w:rPr>
          <w:rFonts w:asciiTheme="minorHAnsi" w:hAnsiTheme="minorHAnsi"/>
          <w:sz w:val="24"/>
          <w:szCs w:val="24"/>
        </w:rPr>
        <w:t xml:space="preserve">Justice Weldon </w:t>
      </w:r>
      <w:proofErr w:type="spellStart"/>
      <w:r w:rsidRPr="00D45CDF">
        <w:rPr>
          <w:rFonts w:asciiTheme="minorHAnsi" w:hAnsiTheme="minorHAnsi"/>
          <w:sz w:val="24"/>
          <w:szCs w:val="24"/>
        </w:rPr>
        <w:t>Korir</w:t>
      </w:r>
      <w:proofErr w:type="spellEnd"/>
      <w:r w:rsidRPr="00D45CDF">
        <w:rPr>
          <w:rFonts w:asciiTheme="minorHAnsi" w:hAnsiTheme="minorHAnsi"/>
          <w:sz w:val="24"/>
          <w:szCs w:val="24"/>
        </w:rPr>
        <w:t xml:space="preserve"> determined that the </w:t>
      </w:r>
      <w:r w:rsidR="00194716" w:rsidRPr="00D45CDF">
        <w:rPr>
          <w:rFonts w:asciiTheme="minorHAnsi" w:hAnsiTheme="minorHAnsi"/>
          <w:sz w:val="24"/>
          <w:szCs w:val="24"/>
        </w:rPr>
        <w:t xml:space="preserve">Kenyan </w:t>
      </w:r>
      <w:r w:rsidRPr="00D45CDF">
        <w:rPr>
          <w:rFonts w:asciiTheme="minorHAnsi" w:hAnsiTheme="minorHAnsi"/>
          <w:sz w:val="24"/>
          <w:szCs w:val="24"/>
        </w:rPr>
        <w:t>Advocates Act</w:t>
      </w:r>
      <w:r w:rsidR="00772216" w:rsidRPr="00D45CDF">
        <w:rPr>
          <w:rFonts w:asciiTheme="minorHAnsi" w:hAnsiTheme="minorHAnsi"/>
          <w:sz w:val="24"/>
          <w:szCs w:val="24"/>
        </w:rPr>
        <w:t xml:space="preserve"> 2012</w:t>
      </w:r>
      <w:r w:rsidRPr="00D45CDF">
        <w:rPr>
          <w:rStyle w:val="FootnoteReference"/>
          <w:rFonts w:asciiTheme="minorHAnsi" w:hAnsiTheme="minorHAnsi"/>
          <w:sz w:val="24"/>
          <w:szCs w:val="24"/>
        </w:rPr>
        <w:footnoteReference w:id="130"/>
      </w:r>
      <w:r w:rsidRPr="00D45CDF">
        <w:rPr>
          <w:rFonts w:asciiTheme="minorHAnsi" w:hAnsiTheme="minorHAnsi"/>
          <w:sz w:val="24"/>
          <w:szCs w:val="24"/>
        </w:rPr>
        <w:t xml:space="preserve"> create</w:t>
      </w:r>
      <w:r w:rsidR="00772216" w:rsidRPr="00D45CDF">
        <w:rPr>
          <w:rFonts w:asciiTheme="minorHAnsi" w:hAnsiTheme="minorHAnsi"/>
          <w:sz w:val="24"/>
          <w:szCs w:val="24"/>
        </w:rPr>
        <w:t>d</w:t>
      </w:r>
      <w:r w:rsidRPr="00D45CDF">
        <w:rPr>
          <w:rFonts w:asciiTheme="minorHAnsi" w:hAnsiTheme="minorHAnsi"/>
          <w:sz w:val="24"/>
          <w:szCs w:val="24"/>
        </w:rPr>
        <w:t xml:space="preserve"> a special category of persons eligible for admission to the Roll of Advocates: </w:t>
      </w:r>
      <w:r w:rsidR="006036B4" w:rsidRPr="00D45CDF">
        <w:rPr>
          <w:rFonts w:asciiTheme="minorHAnsi" w:hAnsiTheme="minorHAnsi"/>
          <w:sz w:val="24"/>
          <w:szCs w:val="24"/>
        </w:rPr>
        <w:t>a</w:t>
      </w:r>
      <w:r w:rsidRPr="00D45CDF">
        <w:rPr>
          <w:rFonts w:asciiTheme="minorHAnsi" w:hAnsiTheme="minorHAnsi"/>
          <w:sz w:val="24"/>
          <w:szCs w:val="24"/>
        </w:rPr>
        <w:t>ny person who is an advocate of the High Courts of Uganda, Rwanda, Burundi and Tanzani</w:t>
      </w:r>
      <w:r w:rsidR="00772216" w:rsidRPr="00D45CDF">
        <w:rPr>
          <w:rFonts w:asciiTheme="minorHAnsi" w:hAnsiTheme="minorHAnsi"/>
          <w:sz w:val="24"/>
          <w:szCs w:val="24"/>
        </w:rPr>
        <w:t>a</w:t>
      </w:r>
      <w:r w:rsidR="006036B4" w:rsidRPr="00D45CDF">
        <w:rPr>
          <w:rFonts w:asciiTheme="minorHAnsi" w:hAnsiTheme="minorHAnsi"/>
          <w:sz w:val="24"/>
          <w:szCs w:val="24"/>
        </w:rPr>
        <w:t>,</w:t>
      </w:r>
      <w:r w:rsidR="00772216" w:rsidRPr="00D45CDF">
        <w:rPr>
          <w:rFonts w:asciiTheme="minorHAnsi" w:hAnsiTheme="minorHAnsi"/>
          <w:sz w:val="24"/>
          <w:szCs w:val="24"/>
        </w:rPr>
        <w:t xml:space="preserve"> and that to refuse enrolment contradicted the vision of the EAC.</w:t>
      </w:r>
      <w:r w:rsidR="0086267D" w:rsidRPr="00D45CDF">
        <w:rPr>
          <w:rStyle w:val="FootnoteReference"/>
          <w:rFonts w:asciiTheme="minorHAnsi" w:hAnsiTheme="minorHAnsi"/>
          <w:sz w:val="24"/>
          <w:szCs w:val="24"/>
        </w:rPr>
        <w:footnoteReference w:id="131"/>
      </w:r>
      <w:r w:rsidR="004A74AB" w:rsidRPr="00D45CDF">
        <w:rPr>
          <w:rFonts w:asciiTheme="minorHAnsi" w:hAnsiTheme="minorHAnsi"/>
          <w:sz w:val="24"/>
          <w:szCs w:val="24"/>
        </w:rPr>
        <w:t xml:space="preserve"> </w:t>
      </w:r>
      <w:r w:rsidR="00132E69" w:rsidRPr="00D45CDF">
        <w:rPr>
          <w:rFonts w:asciiTheme="minorHAnsi" w:hAnsiTheme="minorHAnsi"/>
          <w:sz w:val="24"/>
          <w:szCs w:val="24"/>
        </w:rPr>
        <w:t>However,</w:t>
      </w:r>
      <w:r w:rsidR="004A74AB" w:rsidRPr="00D45CDF">
        <w:rPr>
          <w:rFonts w:asciiTheme="minorHAnsi" w:hAnsiTheme="minorHAnsi"/>
          <w:sz w:val="24"/>
          <w:szCs w:val="24"/>
        </w:rPr>
        <w:t xml:space="preserve"> this </w:t>
      </w:r>
      <w:r w:rsidR="00C5392B" w:rsidRPr="00D45CDF">
        <w:rPr>
          <w:rFonts w:asciiTheme="minorHAnsi" w:hAnsiTheme="minorHAnsi"/>
          <w:sz w:val="24"/>
          <w:szCs w:val="24"/>
        </w:rPr>
        <w:t xml:space="preserve">apparent </w:t>
      </w:r>
      <w:r w:rsidR="00095C42" w:rsidRPr="00D45CDF">
        <w:rPr>
          <w:rFonts w:asciiTheme="minorHAnsi" w:hAnsiTheme="minorHAnsi"/>
          <w:sz w:val="24"/>
          <w:szCs w:val="24"/>
        </w:rPr>
        <w:t>development</w:t>
      </w:r>
      <w:r w:rsidR="00C5392B" w:rsidRPr="00D45CDF">
        <w:rPr>
          <w:rFonts w:asciiTheme="minorHAnsi" w:hAnsiTheme="minorHAnsi"/>
          <w:sz w:val="24"/>
          <w:szCs w:val="24"/>
        </w:rPr>
        <w:t xml:space="preserve"> in </w:t>
      </w:r>
      <w:r w:rsidR="00132E69" w:rsidRPr="00D45CDF">
        <w:rPr>
          <w:rFonts w:asciiTheme="minorHAnsi" w:hAnsiTheme="minorHAnsi"/>
          <w:sz w:val="24"/>
          <w:szCs w:val="24"/>
        </w:rPr>
        <w:t xml:space="preserve">the </w:t>
      </w:r>
      <w:r w:rsidR="002211A6" w:rsidRPr="00D45CDF">
        <w:rPr>
          <w:rFonts w:asciiTheme="minorHAnsi" w:hAnsiTheme="minorHAnsi"/>
          <w:sz w:val="24"/>
          <w:szCs w:val="24"/>
        </w:rPr>
        <w:t xml:space="preserve">Tony </w:t>
      </w:r>
      <w:proofErr w:type="spellStart"/>
      <w:r w:rsidR="00C5392B" w:rsidRPr="00D45CDF">
        <w:rPr>
          <w:rFonts w:asciiTheme="minorHAnsi" w:hAnsiTheme="minorHAnsi"/>
          <w:sz w:val="24"/>
          <w:szCs w:val="24"/>
        </w:rPr>
        <w:t>Katungi</w:t>
      </w:r>
      <w:proofErr w:type="spellEnd"/>
      <w:r w:rsidR="00C5392B" w:rsidRPr="00D45CDF">
        <w:rPr>
          <w:rFonts w:asciiTheme="minorHAnsi" w:hAnsiTheme="minorHAnsi"/>
          <w:sz w:val="24"/>
          <w:szCs w:val="24"/>
        </w:rPr>
        <w:t xml:space="preserve"> and </w:t>
      </w:r>
      <w:r w:rsidR="002211A6" w:rsidRPr="00D45CDF">
        <w:rPr>
          <w:rFonts w:asciiTheme="minorHAnsi" w:hAnsiTheme="minorHAnsi"/>
          <w:sz w:val="24"/>
          <w:szCs w:val="24"/>
        </w:rPr>
        <w:t xml:space="preserve">Francis </w:t>
      </w:r>
      <w:proofErr w:type="spellStart"/>
      <w:r w:rsidR="00C5392B" w:rsidRPr="00D45CDF">
        <w:rPr>
          <w:rFonts w:asciiTheme="minorHAnsi" w:hAnsiTheme="minorHAnsi"/>
          <w:sz w:val="24"/>
          <w:szCs w:val="24"/>
        </w:rPr>
        <w:t>Muiruri</w:t>
      </w:r>
      <w:proofErr w:type="spellEnd"/>
      <w:r w:rsidR="002211A6" w:rsidRPr="00D45CDF">
        <w:rPr>
          <w:rFonts w:asciiTheme="minorHAnsi" w:hAnsiTheme="minorHAnsi"/>
          <w:sz w:val="24"/>
          <w:szCs w:val="24"/>
        </w:rPr>
        <w:t xml:space="preserve"> </w:t>
      </w:r>
      <w:proofErr w:type="spellStart"/>
      <w:r w:rsidR="002211A6" w:rsidRPr="00D45CDF">
        <w:rPr>
          <w:rFonts w:asciiTheme="minorHAnsi" w:hAnsiTheme="minorHAnsi"/>
          <w:sz w:val="24"/>
          <w:szCs w:val="24"/>
        </w:rPr>
        <w:t>Kimangi</w:t>
      </w:r>
      <w:proofErr w:type="spellEnd"/>
      <w:r w:rsidR="00C5392B" w:rsidRPr="00D45CDF">
        <w:rPr>
          <w:rFonts w:asciiTheme="minorHAnsi" w:hAnsiTheme="minorHAnsi"/>
          <w:sz w:val="24"/>
          <w:szCs w:val="24"/>
        </w:rPr>
        <w:t xml:space="preserve"> cases </w:t>
      </w:r>
      <w:r w:rsidR="00132E69" w:rsidRPr="00D45CDF">
        <w:rPr>
          <w:rFonts w:asciiTheme="minorHAnsi" w:hAnsiTheme="minorHAnsi"/>
          <w:sz w:val="24"/>
          <w:szCs w:val="24"/>
        </w:rPr>
        <w:t>is</w:t>
      </w:r>
      <w:r w:rsidR="00C5392B" w:rsidRPr="00D45CDF">
        <w:rPr>
          <w:rFonts w:asciiTheme="minorHAnsi" w:hAnsiTheme="minorHAnsi"/>
          <w:sz w:val="24"/>
          <w:szCs w:val="24"/>
        </w:rPr>
        <w:t xml:space="preserve"> sporadic and must be</w:t>
      </w:r>
      <w:r w:rsidR="004A74AB" w:rsidRPr="00D45CDF">
        <w:rPr>
          <w:rFonts w:asciiTheme="minorHAnsi" w:hAnsiTheme="minorHAnsi"/>
          <w:sz w:val="24"/>
          <w:szCs w:val="24"/>
        </w:rPr>
        <w:t xml:space="preserve"> contrasted by the recent decision by the Uganda</w:t>
      </w:r>
      <w:r w:rsidR="00132E69" w:rsidRPr="00D45CDF">
        <w:rPr>
          <w:rFonts w:asciiTheme="minorHAnsi" w:hAnsiTheme="minorHAnsi"/>
          <w:sz w:val="24"/>
          <w:szCs w:val="24"/>
        </w:rPr>
        <w:t>n</w:t>
      </w:r>
      <w:r w:rsidR="004A74AB" w:rsidRPr="00D45CDF">
        <w:rPr>
          <w:rFonts w:asciiTheme="minorHAnsi" w:hAnsiTheme="minorHAnsi"/>
          <w:sz w:val="24"/>
          <w:szCs w:val="24"/>
        </w:rPr>
        <w:t xml:space="preserve"> High Court </w:t>
      </w:r>
      <w:r w:rsidR="00132E69" w:rsidRPr="00D45CDF">
        <w:rPr>
          <w:rFonts w:asciiTheme="minorHAnsi" w:hAnsiTheme="minorHAnsi"/>
          <w:sz w:val="24"/>
          <w:szCs w:val="24"/>
        </w:rPr>
        <w:t>preventing</w:t>
      </w:r>
      <w:r w:rsidR="0081137E" w:rsidRPr="00D45CDF">
        <w:rPr>
          <w:rFonts w:asciiTheme="minorHAnsi" w:hAnsiTheme="minorHAnsi"/>
          <w:sz w:val="24"/>
          <w:szCs w:val="24"/>
        </w:rPr>
        <w:t xml:space="preserve"> Andrew </w:t>
      </w:r>
      <w:proofErr w:type="spellStart"/>
      <w:r w:rsidR="0081137E" w:rsidRPr="00D45CDF">
        <w:rPr>
          <w:rFonts w:asciiTheme="minorHAnsi" w:hAnsiTheme="minorHAnsi"/>
          <w:sz w:val="24"/>
          <w:szCs w:val="24"/>
        </w:rPr>
        <w:t>Bataamwe</w:t>
      </w:r>
      <w:proofErr w:type="spellEnd"/>
      <w:r w:rsidR="0081137E" w:rsidRPr="00D45CDF">
        <w:rPr>
          <w:rFonts w:asciiTheme="minorHAnsi" w:hAnsiTheme="minorHAnsi"/>
          <w:sz w:val="24"/>
          <w:szCs w:val="24"/>
        </w:rPr>
        <w:t xml:space="preserve"> from enrolling as an </w:t>
      </w:r>
      <w:r w:rsidR="00132E69" w:rsidRPr="00D45CDF">
        <w:rPr>
          <w:rFonts w:asciiTheme="minorHAnsi" w:hAnsiTheme="minorHAnsi"/>
          <w:sz w:val="24"/>
          <w:szCs w:val="24"/>
        </w:rPr>
        <w:t>A</w:t>
      </w:r>
      <w:r w:rsidR="0081137E" w:rsidRPr="00D45CDF">
        <w:rPr>
          <w:rFonts w:asciiTheme="minorHAnsi" w:hAnsiTheme="minorHAnsi"/>
          <w:sz w:val="24"/>
          <w:szCs w:val="24"/>
        </w:rPr>
        <w:t xml:space="preserve">dvocate of the High Court of Uganda on the ground that </w:t>
      </w:r>
      <w:r w:rsidR="0011663E" w:rsidRPr="00D45CDF">
        <w:rPr>
          <w:rFonts w:asciiTheme="minorHAnsi" w:hAnsiTheme="minorHAnsi"/>
          <w:sz w:val="24"/>
          <w:szCs w:val="24"/>
        </w:rPr>
        <w:t xml:space="preserve">he </w:t>
      </w:r>
      <w:r w:rsidR="004F3C76" w:rsidRPr="00D45CDF">
        <w:rPr>
          <w:rFonts w:asciiTheme="minorHAnsi" w:hAnsiTheme="minorHAnsi"/>
          <w:sz w:val="24"/>
          <w:szCs w:val="24"/>
        </w:rPr>
        <w:t>‘</w:t>
      </w:r>
      <w:r w:rsidR="0011663E" w:rsidRPr="00D45CDF">
        <w:rPr>
          <w:rFonts w:asciiTheme="minorHAnsi" w:hAnsiTheme="minorHAnsi"/>
          <w:sz w:val="24"/>
          <w:szCs w:val="24"/>
        </w:rPr>
        <w:t>undertook his Post Graduate Bar Course in Rwanda, which is not a common law jurisdiction.</w:t>
      </w:r>
      <w:r w:rsidR="004F3C76" w:rsidRPr="00D45CDF">
        <w:rPr>
          <w:rFonts w:asciiTheme="minorHAnsi" w:hAnsiTheme="minorHAnsi"/>
          <w:sz w:val="24"/>
          <w:szCs w:val="24"/>
        </w:rPr>
        <w:t>’</w:t>
      </w:r>
      <w:r w:rsidR="0011663E" w:rsidRPr="00D45CDF">
        <w:rPr>
          <w:rStyle w:val="FootnoteReference"/>
          <w:rFonts w:asciiTheme="minorHAnsi" w:hAnsiTheme="minorHAnsi"/>
          <w:sz w:val="24"/>
          <w:szCs w:val="24"/>
        </w:rPr>
        <w:footnoteReference w:id="132"/>
      </w:r>
      <w:r w:rsidR="0011663E" w:rsidRPr="00D45CDF">
        <w:rPr>
          <w:rFonts w:asciiTheme="minorHAnsi" w:hAnsiTheme="minorHAnsi"/>
          <w:sz w:val="24"/>
          <w:szCs w:val="24"/>
        </w:rPr>
        <w:t xml:space="preserve"> This </w:t>
      </w:r>
      <w:r w:rsidR="003E3BAF" w:rsidRPr="00D45CDF">
        <w:rPr>
          <w:rFonts w:asciiTheme="minorHAnsi" w:hAnsiTheme="minorHAnsi"/>
          <w:sz w:val="24"/>
          <w:szCs w:val="24"/>
        </w:rPr>
        <w:t xml:space="preserve">decision </w:t>
      </w:r>
      <w:r w:rsidR="008B57E6" w:rsidRPr="00D45CDF">
        <w:rPr>
          <w:rFonts w:asciiTheme="minorHAnsi" w:hAnsiTheme="minorHAnsi"/>
          <w:sz w:val="24"/>
          <w:szCs w:val="24"/>
        </w:rPr>
        <w:t xml:space="preserve">a couple of months </w:t>
      </w:r>
      <w:r w:rsidR="00890ACE" w:rsidRPr="00D45CDF">
        <w:rPr>
          <w:rFonts w:asciiTheme="minorHAnsi" w:hAnsiTheme="minorHAnsi"/>
          <w:sz w:val="24"/>
          <w:szCs w:val="24"/>
        </w:rPr>
        <w:t xml:space="preserve">after </w:t>
      </w:r>
      <w:r w:rsidR="001D6D90" w:rsidRPr="00D45CDF">
        <w:rPr>
          <w:rFonts w:asciiTheme="minorHAnsi" w:hAnsiTheme="minorHAnsi"/>
          <w:sz w:val="24"/>
          <w:szCs w:val="24"/>
        </w:rPr>
        <w:t xml:space="preserve">the </w:t>
      </w:r>
      <w:proofErr w:type="spellStart"/>
      <w:r w:rsidR="00890ACE" w:rsidRPr="00D45CDF">
        <w:rPr>
          <w:rFonts w:asciiTheme="minorHAnsi" w:hAnsiTheme="minorHAnsi"/>
          <w:sz w:val="24"/>
          <w:szCs w:val="24"/>
        </w:rPr>
        <w:t>Katungi</w:t>
      </w:r>
      <w:proofErr w:type="spellEnd"/>
      <w:r w:rsidR="00890ACE" w:rsidRPr="00D45CDF">
        <w:rPr>
          <w:rFonts w:asciiTheme="minorHAnsi" w:hAnsiTheme="minorHAnsi"/>
          <w:sz w:val="24"/>
          <w:szCs w:val="24"/>
        </w:rPr>
        <w:t xml:space="preserve"> case </w:t>
      </w:r>
      <w:r w:rsidR="001D6D90" w:rsidRPr="00D45CDF">
        <w:rPr>
          <w:rFonts w:asciiTheme="minorHAnsi" w:hAnsiTheme="minorHAnsi"/>
          <w:sz w:val="24"/>
          <w:szCs w:val="24"/>
        </w:rPr>
        <w:t xml:space="preserve">and </w:t>
      </w:r>
      <w:r w:rsidR="00890ACE" w:rsidRPr="00D45CDF">
        <w:rPr>
          <w:rFonts w:asciiTheme="minorHAnsi" w:hAnsiTheme="minorHAnsi"/>
          <w:sz w:val="24"/>
          <w:szCs w:val="24"/>
        </w:rPr>
        <w:t>by the same court</w:t>
      </w:r>
      <w:r w:rsidR="008B57E6" w:rsidRPr="00D45CDF">
        <w:rPr>
          <w:rFonts w:asciiTheme="minorHAnsi" w:hAnsiTheme="minorHAnsi"/>
          <w:sz w:val="24"/>
          <w:szCs w:val="24"/>
        </w:rPr>
        <w:t xml:space="preserve"> </w:t>
      </w:r>
      <w:r w:rsidR="00C5392B" w:rsidRPr="00D45CDF">
        <w:rPr>
          <w:rFonts w:asciiTheme="minorHAnsi" w:hAnsiTheme="minorHAnsi"/>
          <w:sz w:val="24"/>
          <w:szCs w:val="24"/>
        </w:rPr>
        <w:t>div</w:t>
      </w:r>
      <w:r w:rsidR="001D6D90" w:rsidRPr="00D45CDF">
        <w:rPr>
          <w:rFonts w:asciiTheme="minorHAnsi" w:hAnsiTheme="minorHAnsi"/>
          <w:sz w:val="24"/>
          <w:szCs w:val="24"/>
        </w:rPr>
        <w:t>id</w:t>
      </w:r>
      <w:r w:rsidR="00C5392B" w:rsidRPr="00D45CDF">
        <w:rPr>
          <w:rFonts w:asciiTheme="minorHAnsi" w:hAnsiTheme="minorHAnsi"/>
          <w:sz w:val="24"/>
          <w:szCs w:val="24"/>
        </w:rPr>
        <w:t>es</w:t>
      </w:r>
      <w:r w:rsidR="008B57E6" w:rsidRPr="00D45CDF">
        <w:rPr>
          <w:rFonts w:asciiTheme="minorHAnsi" w:hAnsiTheme="minorHAnsi"/>
          <w:sz w:val="24"/>
          <w:szCs w:val="24"/>
        </w:rPr>
        <w:t xml:space="preserve"> the community</w:t>
      </w:r>
      <w:r w:rsidR="00C5392B" w:rsidRPr="00D45CDF">
        <w:rPr>
          <w:rFonts w:asciiTheme="minorHAnsi" w:hAnsiTheme="minorHAnsi"/>
          <w:sz w:val="24"/>
          <w:szCs w:val="24"/>
        </w:rPr>
        <w:t xml:space="preserve"> into common law and civil law </w:t>
      </w:r>
      <w:r w:rsidR="00BA33D9" w:rsidRPr="00D45CDF">
        <w:rPr>
          <w:rFonts w:asciiTheme="minorHAnsi" w:hAnsiTheme="minorHAnsi"/>
          <w:sz w:val="24"/>
          <w:szCs w:val="24"/>
        </w:rPr>
        <w:t>states</w:t>
      </w:r>
      <w:r w:rsidR="008B57E6" w:rsidRPr="00D45CDF">
        <w:rPr>
          <w:rFonts w:asciiTheme="minorHAnsi" w:hAnsiTheme="minorHAnsi"/>
          <w:sz w:val="24"/>
          <w:szCs w:val="24"/>
        </w:rPr>
        <w:t xml:space="preserve"> and confirms </w:t>
      </w:r>
      <w:r w:rsidR="001D6D90" w:rsidRPr="00D45CDF">
        <w:rPr>
          <w:rFonts w:asciiTheme="minorHAnsi" w:hAnsiTheme="minorHAnsi"/>
          <w:sz w:val="24"/>
          <w:szCs w:val="24"/>
        </w:rPr>
        <w:t>Partner States</w:t>
      </w:r>
      <w:r w:rsidR="008B57E6" w:rsidRPr="00D45CDF">
        <w:rPr>
          <w:rFonts w:asciiTheme="minorHAnsi" w:hAnsiTheme="minorHAnsi"/>
          <w:sz w:val="24"/>
          <w:szCs w:val="24"/>
        </w:rPr>
        <w:t xml:space="preserve">’ reluctance to implement the </w:t>
      </w:r>
      <w:r w:rsidR="00BA33D9" w:rsidRPr="00D45CDF">
        <w:rPr>
          <w:rFonts w:asciiTheme="minorHAnsi" w:hAnsiTheme="minorHAnsi"/>
          <w:sz w:val="24"/>
          <w:szCs w:val="24"/>
        </w:rPr>
        <w:t>C</w:t>
      </w:r>
      <w:r w:rsidR="008B57E6" w:rsidRPr="00D45CDF">
        <w:rPr>
          <w:rFonts w:asciiTheme="minorHAnsi" w:hAnsiTheme="minorHAnsi"/>
          <w:sz w:val="24"/>
          <w:szCs w:val="24"/>
        </w:rPr>
        <w:t xml:space="preserve">ommon </w:t>
      </w:r>
      <w:r w:rsidR="00BA33D9" w:rsidRPr="00D45CDF">
        <w:rPr>
          <w:rFonts w:asciiTheme="minorHAnsi" w:hAnsiTheme="minorHAnsi"/>
          <w:sz w:val="24"/>
          <w:szCs w:val="24"/>
        </w:rPr>
        <w:t>M</w:t>
      </w:r>
      <w:r w:rsidR="008B57E6" w:rsidRPr="00D45CDF">
        <w:rPr>
          <w:rFonts w:asciiTheme="minorHAnsi" w:hAnsiTheme="minorHAnsi"/>
          <w:sz w:val="24"/>
          <w:szCs w:val="24"/>
        </w:rPr>
        <w:t xml:space="preserve">arket </w:t>
      </w:r>
      <w:r w:rsidR="00BA33D9" w:rsidRPr="00D45CDF">
        <w:rPr>
          <w:rFonts w:asciiTheme="minorHAnsi" w:hAnsiTheme="minorHAnsi"/>
          <w:sz w:val="24"/>
          <w:szCs w:val="24"/>
        </w:rPr>
        <w:t>P</w:t>
      </w:r>
      <w:r w:rsidR="008B57E6" w:rsidRPr="00D45CDF">
        <w:rPr>
          <w:rFonts w:asciiTheme="minorHAnsi" w:hAnsiTheme="minorHAnsi"/>
          <w:sz w:val="24"/>
          <w:szCs w:val="24"/>
        </w:rPr>
        <w:t>rotocol provisions related to the liberali</w:t>
      </w:r>
      <w:r w:rsidR="00BA33D9" w:rsidRPr="00D45CDF">
        <w:rPr>
          <w:rFonts w:asciiTheme="minorHAnsi" w:hAnsiTheme="minorHAnsi"/>
          <w:sz w:val="24"/>
          <w:szCs w:val="24"/>
        </w:rPr>
        <w:t>s</w:t>
      </w:r>
      <w:r w:rsidR="008B57E6" w:rsidRPr="00D45CDF">
        <w:rPr>
          <w:rFonts w:asciiTheme="minorHAnsi" w:hAnsiTheme="minorHAnsi"/>
          <w:sz w:val="24"/>
          <w:szCs w:val="24"/>
        </w:rPr>
        <w:t xml:space="preserve">ation of legal services within the </w:t>
      </w:r>
      <w:r w:rsidR="00BA33D9" w:rsidRPr="00D45CDF">
        <w:rPr>
          <w:rFonts w:asciiTheme="minorHAnsi" w:hAnsiTheme="minorHAnsi"/>
          <w:sz w:val="24"/>
          <w:szCs w:val="24"/>
        </w:rPr>
        <w:t>EAC</w:t>
      </w:r>
      <w:r w:rsidR="008B57E6" w:rsidRPr="00D45CDF">
        <w:rPr>
          <w:rFonts w:asciiTheme="minorHAnsi" w:hAnsiTheme="minorHAnsi"/>
          <w:sz w:val="24"/>
          <w:szCs w:val="24"/>
        </w:rPr>
        <w:t>.</w:t>
      </w:r>
      <w:r w:rsidR="00095C42" w:rsidRPr="00D45CDF">
        <w:rPr>
          <w:rFonts w:asciiTheme="minorHAnsi" w:hAnsiTheme="minorHAnsi"/>
          <w:sz w:val="24"/>
          <w:szCs w:val="24"/>
        </w:rPr>
        <w:t xml:space="preserve"> This </w:t>
      </w:r>
      <w:r w:rsidR="00C6134C" w:rsidRPr="00D45CDF">
        <w:rPr>
          <w:rFonts w:asciiTheme="minorHAnsi" w:hAnsiTheme="minorHAnsi"/>
          <w:sz w:val="24"/>
          <w:szCs w:val="24"/>
        </w:rPr>
        <w:t xml:space="preserve">apparent </w:t>
      </w:r>
      <w:r w:rsidR="00095C42" w:rsidRPr="00D45CDF">
        <w:rPr>
          <w:rFonts w:asciiTheme="minorHAnsi" w:hAnsiTheme="minorHAnsi"/>
          <w:sz w:val="24"/>
          <w:szCs w:val="24"/>
        </w:rPr>
        <w:t>groping</w:t>
      </w:r>
      <w:r w:rsidR="00890ACE" w:rsidRPr="00D45CDF">
        <w:rPr>
          <w:rFonts w:asciiTheme="minorHAnsi" w:hAnsiTheme="minorHAnsi"/>
          <w:sz w:val="24"/>
          <w:szCs w:val="24"/>
        </w:rPr>
        <w:t xml:space="preserve"> in the darkness</w:t>
      </w:r>
      <w:r w:rsidR="00095C42" w:rsidRPr="00D45CDF">
        <w:rPr>
          <w:rFonts w:asciiTheme="minorHAnsi" w:hAnsiTheme="minorHAnsi"/>
          <w:sz w:val="24"/>
          <w:szCs w:val="24"/>
        </w:rPr>
        <w:t xml:space="preserve"> reveals the need for guideline</w:t>
      </w:r>
      <w:r w:rsidR="00C6134C" w:rsidRPr="00D45CDF">
        <w:rPr>
          <w:rFonts w:asciiTheme="minorHAnsi" w:hAnsiTheme="minorHAnsi"/>
          <w:sz w:val="24"/>
          <w:szCs w:val="24"/>
        </w:rPr>
        <w:t>s</w:t>
      </w:r>
      <w:r w:rsidR="00095C42" w:rsidRPr="00D45CDF">
        <w:rPr>
          <w:rFonts w:asciiTheme="minorHAnsi" w:hAnsiTheme="minorHAnsi"/>
          <w:sz w:val="24"/>
          <w:szCs w:val="24"/>
        </w:rPr>
        <w:t xml:space="preserve"> – most probably </w:t>
      </w:r>
      <w:r w:rsidR="00BA33D9" w:rsidRPr="00D45CDF">
        <w:rPr>
          <w:rFonts w:asciiTheme="minorHAnsi" w:hAnsiTheme="minorHAnsi"/>
          <w:sz w:val="24"/>
          <w:szCs w:val="24"/>
        </w:rPr>
        <w:t xml:space="preserve">via decisions </w:t>
      </w:r>
      <w:r w:rsidR="00095C42" w:rsidRPr="00D45CDF">
        <w:rPr>
          <w:rFonts w:asciiTheme="minorHAnsi" w:hAnsiTheme="minorHAnsi"/>
          <w:sz w:val="24"/>
          <w:szCs w:val="24"/>
        </w:rPr>
        <w:t xml:space="preserve">from the East African Court of Justice – to foster uniform implementation of </w:t>
      </w:r>
      <w:r w:rsidR="00BA33D9" w:rsidRPr="00D45CDF">
        <w:rPr>
          <w:rFonts w:asciiTheme="minorHAnsi" w:hAnsiTheme="minorHAnsi"/>
          <w:sz w:val="24"/>
          <w:szCs w:val="24"/>
        </w:rPr>
        <w:t>EAC</w:t>
      </w:r>
      <w:r w:rsidR="00095C42" w:rsidRPr="00D45CDF">
        <w:rPr>
          <w:rFonts w:asciiTheme="minorHAnsi" w:hAnsiTheme="minorHAnsi"/>
          <w:sz w:val="24"/>
          <w:szCs w:val="24"/>
        </w:rPr>
        <w:t xml:space="preserve"> law with regard to the </w:t>
      </w:r>
      <w:r w:rsidR="00BA33D9" w:rsidRPr="00D45CDF">
        <w:rPr>
          <w:rFonts w:asciiTheme="minorHAnsi" w:hAnsiTheme="minorHAnsi"/>
          <w:sz w:val="24"/>
          <w:szCs w:val="24"/>
        </w:rPr>
        <w:t>free movement o</w:t>
      </w:r>
      <w:r w:rsidR="00095C42" w:rsidRPr="00D45CDF">
        <w:rPr>
          <w:rFonts w:asciiTheme="minorHAnsi" w:hAnsiTheme="minorHAnsi"/>
          <w:sz w:val="24"/>
          <w:szCs w:val="24"/>
        </w:rPr>
        <w:t xml:space="preserve">f legal services in </w:t>
      </w:r>
      <w:r w:rsidR="00BA33D9" w:rsidRPr="00D45CDF">
        <w:rPr>
          <w:rFonts w:asciiTheme="minorHAnsi" w:hAnsiTheme="minorHAnsi"/>
          <w:sz w:val="24"/>
          <w:szCs w:val="24"/>
        </w:rPr>
        <w:t xml:space="preserve">the </w:t>
      </w:r>
      <w:r w:rsidR="00095C42" w:rsidRPr="00D45CDF">
        <w:rPr>
          <w:rFonts w:asciiTheme="minorHAnsi" w:hAnsiTheme="minorHAnsi"/>
          <w:sz w:val="24"/>
          <w:szCs w:val="24"/>
        </w:rPr>
        <w:t>EAC.</w:t>
      </w:r>
    </w:p>
    <w:p w14:paraId="009C933B" w14:textId="77777777" w:rsidR="00766D95" w:rsidRDefault="00766D95">
      <w:pPr>
        <w:rPr>
          <w:rFonts w:asciiTheme="minorHAnsi" w:hAnsiTheme="minorHAnsi"/>
          <w:sz w:val="24"/>
          <w:szCs w:val="24"/>
        </w:rPr>
      </w:pPr>
      <w:r>
        <w:rPr>
          <w:rFonts w:asciiTheme="minorHAnsi" w:hAnsiTheme="minorHAnsi"/>
          <w:sz w:val="24"/>
          <w:szCs w:val="24"/>
        </w:rPr>
        <w:br w:type="page"/>
      </w:r>
    </w:p>
    <w:p w14:paraId="11C8EC98" w14:textId="77777777" w:rsidR="00B66D64" w:rsidRPr="00766D95" w:rsidRDefault="009A0668" w:rsidP="00766D95">
      <w:pPr>
        <w:shd w:val="clear" w:color="auto" w:fill="FFFFFF"/>
        <w:spacing w:line="240" w:lineRule="auto"/>
        <w:jc w:val="both"/>
        <w:rPr>
          <w:rFonts w:asciiTheme="minorHAnsi" w:hAnsiTheme="minorHAnsi"/>
          <w:b/>
          <w:bCs/>
          <w:sz w:val="24"/>
          <w:szCs w:val="24"/>
        </w:rPr>
      </w:pPr>
      <w:r w:rsidRPr="00766D95">
        <w:rPr>
          <w:rFonts w:asciiTheme="minorHAnsi" w:hAnsiTheme="minorHAnsi"/>
          <w:b/>
          <w:bCs/>
          <w:sz w:val="24"/>
          <w:szCs w:val="24"/>
        </w:rPr>
        <w:lastRenderedPageBreak/>
        <w:t>Conclusion</w:t>
      </w:r>
    </w:p>
    <w:p w14:paraId="6429327F" w14:textId="77777777" w:rsidR="00302E7D" w:rsidRPr="00D45CDF" w:rsidRDefault="006B07A6" w:rsidP="001C5BA7">
      <w:pPr>
        <w:spacing w:line="240" w:lineRule="auto"/>
        <w:jc w:val="both"/>
        <w:rPr>
          <w:rFonts w:asciiTheme="minorHAnsi" w:hAnsiTheme="minorHAnsi"/>
          <w:sz w:val="24"/>
          <w:szCs w:val="24"/>
        </w:rPr>
      </w:pPr>
      <w:r w:rsidRPr="00D45CDF">
        <w:rPr>
          <w:rFonts w:asciiTheme="minorHAnsi" w:hAnsiTheme="minorHAnsi"/>
          <w:sz w:val="24"/>
          <w:szCs w:val="24"/>
        </w:rPr>
        <w:t>These concerns are, of course, not peculiar to the EAC</w:t>
      </w:r>
      <w:r w:rsidR="00CC25BA" w:rsidRPr="00D45CDF">
        <w:rPr>
          <w:rFonts w:asciiTheme="minorHAnsi" w:hAnsiTheme="minorHAnsi"/>
          <w:sz w:val="24"/>
          <w:szCs w:val="24"/>
        </w:rPr>
        <w:t>, and each REC, due to its different contexts, must approach the challenges in its own peculiar manner</w:t>
      </w:r>
      <w:r w:rsidRPr="00D45CDF">
        <w:rPr>
          <w:rFonts w:asciiTheme="minorHAnsi" w:hAnsiTheme="minorHAnsi"/>
          <w:sz w:val="24"/>
          <w:szCs w:val="24"/>
        </w:rPr>
        <w:t xml:space="preserve">. </w:t>
      </w:r>
      <w:r w:rsidR="00E11B70" w:rsidRPr="00D45CDF">
        <w:rPr>
          <w:rFonts w:asciiTheme="minorHAnsi" w:hAnsiTheme="minorHAnsi"/>
          <w:sz w:val="24"/>
          <w:szCs w:val="24"/>
        </w:rPr>
        <w:t>The EU</w:t>
      </w:r>
      <w:r w:rsidRPr="00D45CDF">
        <w:rPr>
          <w:rFonts w:asciiTheme="minorHAnsi" w:hAnsiTheme="minorHAnsi"/>
          <w:sz w:val="24"/>
          <w:szCs w:val="24"/>
        </w:rPr>
        <w:t xml:space="preserve"> has also had to confront the issues of different legal systems across its territory</w:t>
      </w:r>
      <w:r w:rsidR="00EB20F8" w:rsidRPr="00D45CDF">
        <w:rPr>
          <w:rFonts w:asciiTheme="minorHAnsi" w:hAnsiTheme="minorHAnsi"/>
          <w:sz w:val="24"/>
          <w:szCs w:val="24"/>
        </w:rPr>
        <w:t>,</w:t>
      </w:r>
      <w:r w:rsidR="00EB20F8" w:rsidRPr="00D45CDF">
        <w:rPr>
          <w:rStyle w:val="FootnoteReference"/>
          <w:rFonts w:asciiTheme="minorHAnsi" w:hAnsiTheme="minorHAnsi"/>
          <w:sz w:val="24"/>
          <w:szCs w:val="24"/>
        </w:rPr>
        <w:footnoteReference w:id="133"/>
      </w:r>
      <w:r w:rsidRPr="00D45CDF">
        <w:rPr>
          <w:rFonts w:asciiTheme="minorHAnsi" w:hAnsiTheme="minorHAnsi"/>
          <w:sz w:val="24"/>
          <w:szCs w:val="24"/>
        </w:rPr>
        <w:t xml:space="preserve"> a large number of different languages, and different routes to qualification in slightly differing legal professions.</w:t>
      </w:r>
      <w:r w:rsidR="00E11B70" w:rsidRPr="00D45CDF">
        <w:rPr>
          <w:rFonts w:asciiTheme="minorHAnsi" w:hAnsiTheme="minorHAnsi"/>
          <w:sz w:val="24"/>
          <w:szCs w:val="24"/>
        </w:rPr>
        <w:t xml:space="preserve"> These issues have been dealt with by requiring lawyers to register with the professional bodies in the home and host states as appropriate, and be</w:t>
      </w:r>
      <w:r w:rsidR="00990783" w:rsidRPr="00D45CDF">
        <w:rPr>
          <w:rFonts w:asciiTheme="minorHAnsi" w:hAnsiTheme="minorHAnsi"/>
          <w:sz w:val="24"/>
          <w:szCs w:val="24"/>
        </w:rPr>
        <w:t>ing</w:t>
      </w:r>
      <w:r w:rsidR="00E11B70" w:rsidRPr="00D45CDF">
        <w:rPr>
          <w:rFonts w:asciiTheme="minorHAnsi" w:hAnsiTheme="minorHAnsi"/>
          <w:sz w:val="24"/>
          <w:szCs w:val="24"/>
        </w:rPr>
        <w:t xml:space="preserve"> subject to the Codes of Conduct and potential disciplinary proceedings if they </w:t>
      </w:r>
      <w:r w:rsidR="00CF5E39" w:rsidRPr="00D45CDF">
        <w:rPr>
          <w:rFonts w:asciiTheme="minorHAnsi" w:hAnsiTheme="minorHAnsi"/>
          <w:sz w:val="24"/>
          <w:szCs w:val="24"/>
        </w:rPr>
        <w:t>exceed</w:t>
      </w:r>
      <w:r w:rsidR="00E11B70" w:rsidRPr="00D45CDF">
        <w:rPr>
          <w:rFonts w:asciiTheme="minorHAnsi" w:hAnsiTheme="minorHAnsi"/>
          <w:sz w:val="24"/>
          <w:szCs w:val="24"/>
        </w:rPr>
        <w:t xml:space="preserve"> their levels of competence. However, the EAC has adopted a different approach to that of the EU regarding the recognition of academic and professional qualifications and proposes going further by harmonising legal education across </w:t>
      </w:r>
      <w:r w:rsidR="001D6D90" w:rsidRPr="00D45CDF">
        <w:rPr>
          <w:rFonts w:asciiTheme="minorHAnsi" w:hAnsiTheme="minorHAnsi"/>
          <w:sz w:val="24"/>
          <w:szCs w:val="24"/>
        </w:rPr>
        <w:t>Member States</w:t>
      </w:r>
      <w:r w:rsidR="00E11B70" w:rsidRPr="00D45CDF">
        <w:rPr>
          <w:rFonts w:asciiTheme="minorHAnsi" w:hAnsiTheme="minorHAnsi"/>
          <w:sz w:val="24"/>
          <w:szCs w:val="24"/>
        </w:rPr>
        <w:t>.</w:t>
      </w:r>
      <w:r w:rsidR="00660E5C" w:rsidRPr="00D45CDF">
        <w:rPr>
          <w:rStyle w:val="FootnoteReference"/>
          <w:rFonts w:asciiTheme="minorHAnsi" w:hAnsiTheme="minorHAnsi"/>
          <w:sz w:val="24"/>
          <w:szCs w:val="24"/>
        </w:rPr>
        <w:footnoteReference w:id="134"/>
      </w:r>
      <w:r w:rsidR="003B032B" w:rsidRPr="00D45CDF">
        <w:rPr>
          <w:rFonts w:asciiTheme="minorHAnsi" w:hAnsiTheme="minorHAnsi"/>
          <w:sz w:val="24"/>
          <w:szCs w:val="24"/>
        </w:rPr>
        <w:t xml:space="preserve"> Advocates eligible to practise in one member state would then automatically be eligible to practice in all. This has raised practical considerations</w:t>
      </w:r>
      <w:r w:rsidR="0054271F" w:rsidRPr="00D45CDF">
        <w:rPr>
          <w:rFonts w:asciiTheme="minorHAnsi" w:hAnsiTheme="minorHAnsi"/>
          <w:sz w:val="24"/>
          <w:szCs w:val="24"/>
        </w:rPr>
        <w:t xml:space="preserve"> and concerns about oversight of competence</w:t>
      </w:r>
      <w:r w:rsidR="003B032B" w:rsidRPr="00D45CDF">
        <w:rPr>
          <w:rFonts w:asciiTheme="minorHAnsi" w:hAnsiTheme="minorHAnsi"/>
          <w:sz w:val="24"/>
          <w:szCs w:val="24"/>
        </w:rPr>
        <w:t>, which have yet to be overcome.</w:t>
      </w:r>
      <w:r w:rsidR="009E591D" w:rsidRPr="00D45CDF">
        <w:rPr>
          <w:rStyle w:val="FootnoteReference"/>
          <w:rFonts w:asciiTheme="minorHAnsi" w:hAnsiTheme="minorHAnsi"/>
          <w:sz w:val="24"/>
          <w:szCs w:val="24"/>
        </w:rPr>
        <w:footnoteReference w:id="135"/>
      </w:r>
      <w:r w:rsidR="00302E7D" w:rsidRPr="00D45CDF">
        <w:rPr>
          <w:rFonts w:asciiTheme="minorHAnsi" w:hAnsiTheme="minorHAnsi"/>
          <w:sz w:val="24"/>
          <w:szCs w:val="24"/>
        </w:rPr>
        <w:t xml:space="preserve"> </w:t>
      </w:r>
    </w:p>
    <w:p w14:paraId="1B832F15" w14:textId="77777777" w:rsidR="00D326F0" w:rsidRPr="00D45CDF" w:rsidRDefault="000823D8" w:rsidP="001C5BA7">
      <w:pPr>
        <w:shd w:val="clear" w:color="auto" w:fill="FFFFFF"/>
        <w:spacing w:line="240" w:lineRule="auto"/>
        <w:jc w:val="both"/>
        <w:rPr>
          <w:rFonts w:asciiTheme="minorHAnsi" w:hAnsiTheme="minorHAnsi"/>
          <w:sz w:val="24"/>
          <w:szCs w:val="24"/>
        </w:rPr>
      </w:pPr>
      <w:r w:rsidRPr="00D45CDF">
        <w:rPr>
          <w:rFonts w:asciiTheme="minorHAnsi" w:hAnsiTheme="minorHAnsi"/>
          <w:sz w:val="24"/>
          <w:szCs w:val="24"/>
        </w:rPr>
        <w:t xml:space="preserve">Other apprehensions exist, such as the potential </w:t>
      </w:r>
      <w:r w:rsidR="00E11B70" w:rsidRPr="00D45CDF">
        <w:rPr>
          <w:rFonts w:asciiTheme="minorHAnsi" w:hAnsiTheme="minorHAnsi"/>
          <w:sz w:val="24"/>
          <w:szCs w:val="24"/>
        </w:rPr>
        <w:t xml:space="preserve">flooding of </w:t>
      </w:r>
      <w:r w:rsidRPr="00D45CDF">
        <w:rPr>
          <w:rFonts w:asciiTheme="minorHAnsi" w:hAnsiTheme="minorHAnsi"/>
          <w:sz w:val="24"/>
          <w:szCs w:val="24"/>
        </w:rPr>
        <w:t>a</w:t>
      </w:r>
      <w:r w:rsidR="00E11B70" w:rsidRPr="00D45CDF">
        <w:rPr>
          <w:rFonts w:asciiTheme="minorHAnsi" w:hAnsiTheme="minorHAnsi"/>
          <w:sz w:val="24"/>
          <w:szCs w:val="24"/>
        </w:rPr>
        <w:t xml:space="preserve"> market with lawyers from </w:t>
      </w:r>
      <w:r w:rsidR="001D6D90" w:rsidRPr="00D45CDF">
        <w:rPr>
          <w:rFonts w:asciiTheme="minorHAnsi" w:hAnsiTheme="minorHAnsi"/>
          <w:sz w:val="24"/>
          <w:szCs w:val="24"/>
        </w:rPr>
        <w:t>Partner States</w:t>
      </w:r>
      <w:r w:rsidR="001C3F0F" w:rsidRPr="00D45CDF">
        <w:rPr>
          <w:rFonts w:asciiTheme="minorHAnsi" w:hAnsiTheme="minorHAnsi"/>
          <w:sz w:val="24"/>
          <w:szCs w:val="24"/>
        </w:rPr>
        <w:t xml:space="preserve"> and a need to ‘share the cake’ between more competitors</w:t>
      </w:r>
      <w:r w:rsidR="00E11B70" w:rsidRPr="00D45CDF">
        <w:rPr>
          <w:rFonts w:asciiTheme="minorHAnsi" w:hAnsiTheme="minorHAnsi"/>
          <w:sz w:val="24"/>
          <w:szCs w:val="24"/>
        </w:rPr>
        <w:t xml:space="preserve">. </w:t>
      </w:r>
      <w:r w:rsidRPr="00D45CDF">
        <w:rPr>
          <w:rFonts w:asciiTheme="minorHAnsi" w:hAnsiTheme="minorHAnsi"/>
          <w:sz w:val="24"/>
          <w:szCs w:val="24"/>
        </w:rPr>
        <w:t>However, the EU model tends to demonstrate that liberalising the legal services market leads to an increased offer with new markets opening up and greater possibilities for lawyers and law firms to expand their work</w:t>
      </w:r>
      <w:r w:rsidR="001C3F0F" w:rsidRPr="00D45CDF">
        <w:rPr>
          <w:rFonts w:asciiTheme="minorHAnsi" w:hAnsiTheme="minorHAnsi"/>
          <w:sz w:val="24"/>
          <w:szCs w:val="24"/>
        </w:rPr>
        <w:t>: an ever-growing cake</w:t>
      </w:r>
      <w:r w:rsidR="00275A99" w:rsidRPr="00D45CDF">
        <w:rPr>
          <w:rFonts w:asciiTheme="minorHAnsi" w:hAnsiTheme="minorHAnsi"/>
          <w:sz w:val="24"/>
          <w:szCs w:val="24"/>
        </w:rPr>
        <w:t xml:space="preserve">, like </w:t>
      </w:r>
      <w:r w:rsidR="00FE22DC" w:rsidRPr="00D45CDF">
        <w:rPr>
          <w:rFonts w:asciiTheme="minorHAnsi" w:hAnsiTheme="minorHAnsi"/>
          <w:sz w:val="24"/>
          <w:szCs w:val="24"/>
        </w:rPr>
        <w:t xml:space="preserve">a </w:t>
      </w:r>
      <w:r w:rsidR="00275A99" w:rsidRPr="00D45CDF">
        <w:rPr>
          <w:rFonts w:asciiTheme="minorHAnsi" w:hAnsiTheme="minorHAnsi"/>
          <w:sz w:val="24"/>
          <w:szCs w:val="24"/>
        </w:rPr>
        <w:t>cornucopia,</w:t>
      </w:r>
      <w:r w:rsidR="001C3F0F" w:rsidRPr="00D45CDF">
        <w:rPr>
          <w:rFonts w:asciiTheme="minorHAnsi" w:hAnsiTheme="minorHAnsi"/>
          <w:sz w:val="24"/>
          <w:szCs w:val="24"/>
        </w:rPr>
        <w:t xml:space="preserve"> to share</w:t>
      </w:r>
      <w:r w:rsidRPr="00D45CDF">
        <w:rPr>
          <w:rFonts w:asciiTheme="minorHAnsi" w:hAnsiTheme="minorHAnsi"/>
          <w:sz w:val="24"/>
          <w:szCs w:val="24"/>
        </w:rPr>
        <w:t xml:space="preserve">. </w:t>
      </w:r>
      <w:r w:rsidR="00E11B70" w:rsidRPr="00D45CDF">
        <w:rPr>
          <w:rFonts w:asciiTheme="minorHAnsi" w:hAnsiTheme="minorHAnsi"/>
          <w:sz w:val="24"/>
          <w:szCs w:val="24"/>
        </w:rPr>
        <w:t>Rwanda</w:t>
      </w:r>
      <w:r w:rsidR="00EB20F8" w:rsidRPr="00D45CDF">
        <w:rPr>
          <w:rFonts w:asciiTheme="minorHAnsi" w:hAnsiTheme="minorHAnsi"/>
          <w:sz w:val="24"/>
          <w:szCs w:val="24"/>
        </w:rPr>
        <w:t xml:space="preserve"> and</w:t>
      </w:r>
      <w:r w:rsidRPr="00D45CDF">
        <w:rPr>
          <w:rFonts w:asciiTheme="minorHAnsi" w:hAnsiTheme="minorHAnsi"/>
          <w:sz w:val="24"/>
          <w:szCs w:val="24"/>
        </w:rPr>
        <w:t xml:space="preserve"> Kenya </w:t>
      </w:r>
      <w:r w:rsidR="00E11B70" w:rsidRPr="00D45CDF">
        <w:rPr>
          <w:rFonts w:asciiTheme="minorHAnsi" w:hAnsiTheme="minorHAnsi"/>
          <w:sz w:val="24"/>
          <w:szCs w:val="24"/>
        </w:rPr>
        <w:t>ha</w:t>
      </w:r>
      <w:r w:rsidRPr="00D45CDF">
        <w:rPr>
          <w:rFonts w:asciiTheme="minorHAnsi" w:hAnsiTheme="minorHAnsi"/>
          <w:sz w:val="24"/>
          <w:szCs w:val="24"/>
        </w:rPr>
        <w:t>ve</w:t>
      </w:r>
      <w:r w:rsidR="00E11B70" w:rsidRPr="00D45CDF">
        <w:rPr>
          <w:rFonts w:asciiTheme="minorHAnsi" w:hAnsiTheme="minorHAnsi"/>
          <w:sz w:val="24"/>
          <w:szCs w:val="24"/>
        </w:rPr>
        <w:t xml:space="preserve"> already opened up </w:t>
      </w:r>
      <w:r w:rsidRPr="00D45CDF">
        <w:rPr>
          <w:rFonts w:asciiTheme="minorHAnsi" w:hAnsiTheme="minorHAnsi"/>
          <w:sz w:val="24"/>
          <w:szCs w:val="24"/>
        </w:rPr>
        <w:t>their</w:t>
      </w:r>
      <w:r w:rsidR="00E11B70" w:rsidRPr="00D45CDF">
        <w:rPr>
          <w:rFonts w:asciiTheme="minorHAnsi" w:hAnsiTheme="minorHAnsi"/>
          <w:sz w:val="24"/>
          <w:szCs w:val="24"/>
        </w:rPr>
        <w:t xml:space="preserve"> legal services market to some extent</w:t>
      </w:r>
      <w:r w:rsidR="00C9348C" w:rsidRPr="00D45CDF">
        <w:rPr>
          <w:rFonts w:asciiTheme="minorHAnsi" w:hAnsiTheme="minorHAnsi"/>
          <w:sz w:val="24"/>
          <w:szCs w:val="24"/>
        </w:rPr>
        <w:t xml:space="preserve"> and </w:t>
      </w:r>
      <w:r w:rsidR="00EB20F8" w:rsidRPr="00D45CDF">
        <w:rPr>
          <w:rFonts w:asciiTheme="minorHAnsi" w:hAnsiTheme="minorHAnsi"/>
          <w:sz w:val="24"/>
          <w:szCs w:val="24"/>
        </w:rPr>
        <w:t>could be</w:t>
      </w:r>
      <w:r w:rsidR="00C9348C" w:rsidRPr="00D45CDF">
        <w:rPr>
          <w:rFonts w:asciiTheme="minorHAnsi" w:hAnsiTheme="minorHAnsi"/>
          <w:sz w:val="24"/>
          <w:szCs w:val="24"/>
        </w:rPr>
        <w:t xml:space="preserve"> benefitting from this</w:t>
      </w:r>
      <w:r w:rsidR="00E11B70" w:rsidRPr="00D45CDF">
        <w:rPr>
          <w:rFonts w:asciiTheme="minorHAnsi" w:hAnsiTheme="minorHAnsi"/>
          <w:sz w:val="24"/>
          <w:szCs w:val="24"/>
        </w:rPr>
        <w:t>.</w:t>
      </w:r>
      <w:r w:rsidR="00747432" w:rsidRPr="00D45CDF">
        <w:rPr>
          <w:rFonts w:asciiTheme="minorHAnsi" w:hAnsiTheme="minorHAnsi"/>
          <w:sz w:val="24"/>
          <w:szCs w:val="24"/>
        </w:rPr>
        <w:t xml:space="preserve"> </w:t>
      </w:r>
      <w:r w:rsidR="002B4BD0" w:rsidRPr="00D45CDF">
        <w:rPr>
          <w:rFonts w:asciiTheme="minorHAnsi" w:hAnsiTheme="minorHAnsi"/>
          <w:sz w:val="24"/>
          <w:szCs w:val="24"/>
        </w:rPr>
        <w:t xml:space="preserve">As of </w:t>
      </w:r>
      <w:r w:rsidR="006B1C42" w:rsidRPr="00D45CDF">
        <w:rPr>
          <w:rFonts w:asciiTheme="minorHAnsi" w:hAnsiTheme="minorHAnsi"/>
          <w:sz w:val="24"/>
          <w:szCs w:val="24"/>
        </w:rPr>
        <w:t>November</w:t>
      </w:r>
      <w:r w:rsidR="00747432" w:rsidRPr="00D45CDF">
        <w:rPr>
          <w:rFonts w:asciiTheme="minorHAnsi" w:hAnsiTheme="minorHAnsi"/>
          <w:sz w:val="24"/>
          <w:szCs w:val="24"/>
        </w:rPr>
        <w:t xml:space="preserve"> 2019, ninety-two foreign lawyers are registered as practicing in Rwanda</w:t>
      </w:r>
      <w:r w:rsidR="002B4BD0" w:rsidRPr="00D45CDF">
        <w:rPr>
          <w:rFonts w:asciiTheme="minorHAnsi" w:hAnsiTheme="minorHAnsi"/>
          <w:sz w:val="24"/>
          <w:szCs w:val="24"/>
        </w:rPr>
        <w:t xml:space="preserve">, forty-three per cent being from EAC </w:t>
      </w:r>
      <w:r w:rsidR="001D6D90" w:rsidRPr="00D45CDF">
        <w:rPr>
          <w:rFonts w:asciiTheme="minorHAnsi" w:hAnsiTheme="minorHAnsi"/>
          <w:sz w:val="24"/>
          <w:szCs w:val="24"/>
        </w:rPr>
        <w:t>Partner States</w:t>
      </w:r>
      <w:r w:rsidR="002B4BD0" w:rsidRPr="00D45CDF">
        <w:rPr>
          <w:rFonts w:asciiTheme="minorHAnsi" w:hAnsiTheme="minorHAnsi"/>
          <w:sz w:val="24"/>
          <w:szCs w:val="24"/>
        </w:rPr>
        <w:t>.</w:t>
      </w:r>
      <w:r w:rsidR="002B4BD0" w:rsidRPr="00D45CDF">
        <w:rPr>
          <w:rStyle w:val="FootnoteReference"/>
          <w:rFonts w:asciiTheme="minorHAnsi" w:hAnsiTheme="minorHAnsi"/>
          <w:sz w:val="24"/>
          <w:szCs w:val="24"/>
        </w:rPr>
        <w:footnoteReference w:id="136"/>
      </w:r>
      <w:r w:rsidR="00E11B70" w:rsidRPr="00D45CDF">
        <w:rPr>
          <w:rFonts w:asciiTheme="minorHAnsi" w:hAnsiTheme="minorHAnsi"/>
          <w:sz w:val="24"/>
          <w:szCs w:val="24"/>
        </w:rPr>
        <w:t xml:space="preserve"> </w:t>
      </w:r>
      <w:r w:rsidR="00014799" w:rsidRPr="00D45CDF">
        <w:rPr>
          <w:rFonts w:asciiTheme="minorHAnsi" w:hAnsiTheme="minorHAnsi"/>
          <w:sz w:val="24"/>
          <w:szCs w:val="24"/>
        </w:rPr>
        <w:t>This is progress</w:t>
      </w:r>
      <w:r w:rsidR="00BD43C8" w:rsidRPr="00D45CDF">
        <w:rPr>
          <w:rFonts w:asciiTheme="minorHAnsi" w:hAnsiTheme="minorHAnsi"/>
          <w:sz w:val="24"/>
          <w:szCs w:val="24"/>
        </w:rPr>
        <w:t>,</w:t>
      </w:r>
      <w:r w:rsidR="00014799" w:rsidRPr="00D45CDF">
        <w:rPr>
          <w:rFonts w:asciiTheme="minorHAnsi" w:hAnsiTheme="minorHAnsi"/>
          <w:sz w:val="24"/>
          <w:szCs w:val="24"/>
        </w:rPr>
        <w:t xml:space="preserve"> since i</w:t>
      </w:r>
      <w:r w:rsidR="00044278" w:rsidRPr="00D45CDF">
        <w:rPr>
          <w:rFonts w:asciiTheme="minorHAnsi" w:hAnsiTheme="minorHAnsi"/>
          <w:sz w:val="24"/>
          <w:szCs w:val="24"/>
        </w:rPr>
        <w:t>n 2010, there were virtually no foreign professionals practi</w:t>
      </w:r>
      <w:r w:rsidR="001D1D61" w:rsidRPr="00D45CDF">
        <w:rPr>
          <w:rFonts w:asciiTheme="minorHAnsi" w:hAnsiTheme="minorHAnsi"/>
          <w:sz w:val="24"/>
          <w:szCs w:val="24"/>
        </w:rPr>
        <w:t>s</w:t>
      </w:r>
      <w:r w:rsidR="00044278" w:rsidRPr="00D45CDF">
        <w:rPr>
          <w:rFonts w:asciiTheme="minorHAnsi" w:hAnsiTheme="minorHAnsi"/>
          <w:sz w:val="24"/>
          <w:szCs w:val="24"/>
        </w:rPr>
        <w:t xml:space="preserve">ing in any of the </w:t>
      </w:r>
      <w:r w:rsidR="001D1D61" w:rsidRPr="00D45CDF">
        <w:rPr>
          <w:rFonts w:asciiTheme="minorHAnsi" w:hAnsiTheme="minorHAnsi"/>
          <w:sz w:val="24"/>
          <w:szCs w:val="24"/>
        </w:rPr>
        <w:t>states</w:t>
      </w:r>
      <w:r w:rsidR="00845EEB" w:rsidRPr="00D45CDF">
        <w:rPr>
          <w:rFonts w:asciiTheme="minorHAnsi" w:hAnsiTheme="minorHAnsi"/>
          <w:sz w:val="24"/>
          <w:szCs w:val="24"/>
        </w:rPr>
        <w:t>,</w:t>
      </w:r>
      <w:r w:rsidR="006B1C42" w:rsidRPr="00D45CDF">
        <w:rPr>
          <w:rStyle w:val="FootnoteReference"/>
          <w:rFonts w:asciiTheme="minorHAnsi" w:hAnsiTheme="minorHAnsi"/>
          <w:sz w:val="24"/>
          <w:szCs w:val="24"/>
        </w:rPr>
        <w:footnoteReference w:id="137"/>
      </w:r>
      <w:r w:rsidR="00845EEB" w:rsidRPr="00D45CDF">
        <w:rPr>
          <w:rFonts w:asciiTheme="minorHAnsi" w:hAnsiTheme="minorHAnsi"/>
          <w:sz w:val="24"/>
          <w:szCs w:val="24"/>
        </w:rPr>
        <w:t xml:space="preserve"> and only Rwanda and Kenya allowed legal practitioners from </w:t>
      </w:r>
      <w:r w:rsidR="001D6D90" w:rsidRPr="00D45CDF">
        <w:rPr>
          <w:rFonts w:asciiTheme="minorHAnsi" w:hAnsiTheme="minorHAnsi"/>
          <w:sz w:val="24"/>
          <w:szCs w:val="24"/>
        </w:rPr>
        <w:t>Partner States</w:t>
      </w:r>
      <w:r w:rsidR="00845EEB" w:rsidRPr="00D45CDF">
        <w:rPr>
          <w:rFonts w:asciiTheme="minorHAnsi" w:hAnsiTheme="minorHAnsi"/>
          <w:sz w:val="24"/>
          <w:szCs w:val="24"/>
        </w:rPr>
        <w:t xml:space="preserve"> to practice </w:t>
      </w:r>
      <w:r w:rsidR="001D1D61" w:rsidRPr="00D45CDF">
        <w:rPr>
          <w:rFonts w:asciiTheme="minorHAnsi" w:hAnsiTheme="minorHAnsi"/>
          <w:sz w:val="24"/>
          <w:szCs w:val="24"/>
        </w:rPr>
        <w:t>with</w:t>
      </w:r>
      <w:r w:rsidR="00845EEB" w:rsidRPr="00D45CDF">
        <w:rPr>
          <w:rFonts w:asciiTheme="minorHAnsi" w:hAnsiTheme="minorHAnsi"/>
          <w:sz w:val="24"/>
          <w:szCs w:val="24"/>
        </w:rPr>
        <w:t xml:space="preserve">in their </w:t>
      </w:r>
      <w:r w:rsidR="001D1D61" w:rsidRPr="00D45CDF">
        <w:rPr>
          <w:rFonts w:asciiTheme="minorHAnsi" w:hAnsiTheme="minorHAnsi"/>
          <w:sz w:val="24"/>
          <w:szCs w:val="24"/>
        </w:rPr>
        <w:t>borders</w:t>
      </w:r>
      <w:r w:rsidR="00044278" w:rsidRPr="00D45CDF">
        <w:rPr>
          <w:rFonts w:asciiTheme="minorHAnsi" w:hAnsiTheme="minorHAnsi"/>
          <w:sz w:val="24"/>
          <w:szCs w:val="24"/>
        </w:rPr>
        <w:t>.</w:t>
      </w:r>
      <w:r w:rsidR="00683929" w:rsidRPr="00D45CDF">
        <w:rPr>
          <w:rStyle w:val="FootnoteReference"/>
          <w:rFonts w:asciiTheme="minorHAnsi" w:hAnsiTheme="minorHAnsi"/>
          <w:sz w:val="24"/>
          <w:szCs w:val="24"/>
        </w:rPr>
        <w:footnoteReference w:id="138"/>
      </w:r>
      <w:r w:rsidR="00044278" w:rsidRPr="00D45CDF">
        <w:rPr>
          <w:rFonts w:asciiTheme="minorHAnsi" w:hAnsiTheme="minorHAnsi"/>
          <w:sz w:val="24"/>
          <w:szCs w:val="24"/>
        </w:rPr>
        <w:t xml:space="preserve"> </w:t>
      </w:r>
      <w:r w:rsidR="00C9348C" w:rsidRPr="00D45CDF">
        <w:rPr>
          <w:rFonts w:asciiTheme="minorHAnsi" w:hAnsiTheme="minorHAnsi"/>
          <w:sz w:val="24"/>
          <w:szCs w:val="24"/>
        </w:rPr>
        <w:t xml:space="preserve">Certainly, it would seem that an expansion in legal services providers in the EAC could be </w:t>
      </w:r>
      <w:r w:rsidR="00F918C6" w:rsidRPr="00D45CDF">
        <w:rPr>
          <w:rFonts w:asciiTheme="minorHAnsi" w:hAnsiTheme="minorHAnsi"/>
          <w:sz w:val="24"/>
          <w:szCs w:val="24"/>
        </w:rPr>
        <w:t>accommodated if not welcomed</w:t>
      </w:r>
      <w:r w:rsidR="00C9348C" w:rsidRPr="00D45CDF">
        <w:rPr>
          <w:rFonts w:asciiTheme="minorHAnsi" w:hAnsiTheme="minorHAnsi"/>
          <w:sz w:val="24"/>
          <w:szCs w:val="24"/>
        </w:rPr>
        <w:t>. In 2011, there w</w:t>
      </w:r>
      <w:r w:rsidR="00E85C67" w:rsidRPr="00D45CDF">
        <w:rPr>
          <w:rFonts w:asciiTheme="minorHAnsi" w:hAnsiTheme="minorHAnsi"/>
          <w:sz w:val="24"/>
          <w:szCs w:val="24"/>
        </w:rPr>
        <w:t>ere</w:t>
      </w:r>
      <w:r w:rsidR="00C9348C" w:rsidRPr="00D45CDF">
        <w:rPr>
          <w:rFonts w:asciiTheme="minorHAnsi" w:hAnsiTheme="minorHAnsi"/>
          <w:bCs/>
          <w:sz w:val="24"/>
          <w:szCs w:val="24"/>
        </w:rPr>
        <w:t xml:space="preserve"> </w:t>
      </w:r>
      <w:r w:rsidR="009901B8" w:rsidRPr="00D45CDF">
        <w:rPr>
          <w:rFonts w:asciiTheme="minorHAnsi" w:hAnsiTheme="minorHAnsi"/>
          <w:bCs/>
          <w:sz w:val="24"/>
          <w:szCs w:val="24"/>
        </w:rPr>
        <w:t>approximately 2</w:t>
      </w:r>
      <w:r w:rsidR="00E85C67" w:rsidRPr="00D45CDF">
        <w:rPr>
          <w:rFonts w:asciiTheme="minorHAnsi" w:hAnsiTheme="minorHAnsi"/>
          <w:bCs/>
          <w:sz w:val="24"/>
          <w:szCs w:val="24"/>
        </w:rPr>
        <w:t>8</w:t>
      </w:r>
      <w:r w:rsidR="00C12A4D" w:rsidRPr="00D45CDF">
        <w:rPr>
          <w:rFonts w:asciiTheme="minorHAnsi" w:hAnsiTheme="minorHAnsi"/>
          <w:bCs/>
          <w:sz w:val="24"/>
          <w:szCs w:val="24"/>
        </w:rPr>
        <w:t>0</w:t>
      </w:r>
      <w:r w:rsidR="009901B8" w:rsidRPr="00D45CDF">
        <w:rPr>
          <w:rFonts w:asciiTheme="minorHAnsi" w:hAnsiTheme="minorHAnsi"/>
          <w:bCs/>
          <w:sz w:val="24"/>
          <w:szCs w:val="24"/>
        </w:rPr>
        <w:t xml:space="preserve"> solicitors per 100,000 people</w:t>
      </w:r>
      <w:r w:rsidR="00E85C67" w:rsidRPr="00D45CDF">
        <w:rPr>
          <w:rFonts w:asciiTheme="minorHAnsi" w:hAnsiTheme="minorHAnsi"/>
          <w:bCs/>
          <w:sz w:val="24"/>
          <w:szCs w:val="24"/>
        </w:rPr>
        <w:t xml:space="preserve"> in England and Wales</w:t>
      </w:r>
      <w:r w:rsidR="00D156CA" w:rsidRPr="00D45CDF">
        <w:rPr>
          <w:rStyle w:val="FootnoteReference"/>
          <w:rFonts w:asciiTheme="minorHAnsi" w:hAnsiTheme="minorHAnsi"/>
          <w:bCs/>
          <w:sz w:val="24"/>
          <w:szCs w:val="24"/>
        </w:rPr>
        <w:footnoteReference w:id="139"/>
      </w:r>
      <w:r w:rsidR="009901B8" w:rsidRPr="00D45CDF">
        <w:rPr>
          <w:rFonts w:asciiTheme="minorHAnsi" w:hAnsiTheme="minorHAnsi"/>
          <w:bCs/>
          <w:sz w:val="24"/>
          <w:szCs w:val="24"/>
        </w:rPr>
        <w:t xml:space="preserve"> </w:t>
      </w:r>
      <w:r w:rsidR="00C9348C" w:rsidRPr="00D45CDF">
        <w:rPr>
          <w:rFonts w:asciiTheme="minorHAnsi" w:hAnsiTheme="minorHAnsi"/>
          <w:bCs/>
          <w:sz w:val="24"/>
          <w:szCs w:val="24"/>
        </w:rPr>
        <w:t xml:space="preserve">as compared to </w:t>
      </w:r>
      <w:r w:rsidR="00CF6BBB" w:rsidRPr="00D45CDF">
        <w:rPr>
          <w:rFonts w:asciiTheme="minorHAnsi" w:hAnsiTheme="minorHAnsi"/>
          <w:bCs/>
          <w:sz w:val="24"/>
          <w:szCs w:val="24"/>
        </w:rPr>
        <w:t xml:space="preserve">approximately </w:t>
      </w:r>
      <w:r w:rsidR="00D156CA" w:rsidRPr="00D45CDF">
        <w:rPr>
          <w:rFonts w:asciiTheme="minorHAnsi" w:hAnsiTheme="minorHAnsi"/>
          <w:bCs/>
          <w:sz w:val="24"/>
          <w:szCs w:val="24"/>
        </w:rPr>
        <w:t>five</w:t>
      </w:r>
      <w:r w:rsidR="00C9348C" w:rsidRPr="00D45CDF">
        <w:rPr>
          <w:rFonts w:asciiTheme="minorHAnsi" w:hAnsiTheme="minorHAnsi"/>
          <w:bCs/>
          <w:sz w:val="24"/>
          <w:szCs w:val="24"/>
        </w:rPr>
        <w:t xml:space="preserve"> per 100,000 in Rwanda an</w:t>
      </w:r>
      <w:r w:rsidR="00CF6BBB" w:rsidRPr="00D45CDF">
        <w:rPr>
          <w:rFonts w:asciiTheme="minorHAnsi" w:hAnsiTheme="minorHAnsi"/>
          <w:bCs/>
          <w:sz w:val="24"/>
          <w:szCs w:val="24"/>
        </w:rPr>
        <w:t>d</w:t>
      </w:r>
      <w:r w:rsidR="00C9348C" w:rsidRPr="00D45CDF">
        <w:rPr>
          <w:rFonts w:asciiTheme="minorHAnsi" w:hAnsiTheme="minorHAnsi"/>
          <w:bCs/>
          <w:sz w:val="24"/>
          <w:szCs w:val="24"/>
        </w:rPr>
        <w:t xml:space="preserve"> Uganda, </w:t>
      </w:r>
      <w:r w:rsidR="00D156CA" w:rsidRPr="00D45CDF">
        <w:rPr>
          <w:rFonts w:asciiTheme="minorHAnsi" w:hAnsiTheme="minorHAnsi"/>
          <w:bCs/>
          <w:sz w:val="24"/>
          <w:szCs w:val="24"/>
        </w:rPr>
        <w:t xml:space="preserve">nineteen </w:t>
      </w:r>
      <w:r w:rsidR="00C9348C" w:rsidRPr="00D45CDF">
        <w:rPr>
          <w:rFonts w:asciiTheme="minorHAnsi" w:hAnsiTheme="minorHAnsi"/>
          <w:bCs/>
          <w:sz w:val="24"/>
          <w:szCs w:val="24"/>
        </w:rPr>
        <w:t xml:space="preserve">per 100,000 in Kenya and </w:t>
      </w:r>
      <w:r w:rsidR="00D156CA" w:rsidRPr="00D45CDF">
        <w:rPr>
          <w:rFonts w:asciiTheme="minorHAnsi" w:hAnsiTheme="minorHAnsi"/>
          <w:bCs/>
          <w:sz w:val="24"/>
          <w:szCs w:val="24"/>
        </w:rPr>
        <w:t xml:space="preserve">two </w:t>
      </w:r>
      <w:r w:rsidR="003A1C24" w:rsidRPr="00D45CDF">
        <w:rPr>
          <w:rFonts w:asciiTheme="minorHAnsi" w:hAnsiTheme="minorHAnsi"/>
          <w:bCs/>
          <w:sz w:val="24"/>
          <w:szCs w:val="24"/>
        </w:rPr>
        <w:t xml:space="preserve">per 100,000 </w:t>
      </w:r>
      <w:r w:rsidR="00C9348C" w:rsidRPr="00D45CDF">
        <w:rPr>
          <w:rFonts w:asciiTheme="minorHAnsi" w:hAnsiTheme="minorHAnsi"/>
          <w:bCs/>
          <w:sz w:val="24"/>
          <w:szCs w:val="24"/>
        </w:rPr>
        <w:t>in Tanzania</w:t>
      </w:r>
      <w:r w:rsidR="000F6CC7" w:rsidRPr="00D45CDF">
        <w:rPr>
          <w:rFonts w:asciiTheme="minorHAnsi" w:hAnsiTheme="minorHAnsi"/>
          <w:bCs/>
          <w:sz w:val="24"/>
          <w:szCs w:val="24"/>
        </w:rPr>
        <w:t xml:space="preserve"> in </w:t>
      </w:r>
      <w:r w:rsidR="000F6CC7" w:rsidRPr="00D45CDF">
        <w:rPr>
          <w:rFonts w:asciiTheme="minorHAnsi" w:hAnsiTheme="minorHAnsi"/>
          <w:bCs/>
          <w:sz w:val="24"/>
          <w:szCs w:val="24"/>
        </w:rPr>
        <w:lastRenderedPageBreak/>
        <w:t>2009</w:t>
      </w:r>
      <w:r w:rsidR="00B44D0C" w:rsidRPr="00D45CDF">
        <w:rPr>
          <w:rFonts w:asciiTheme="minorHAnsi" w:hAnsiTheme="minorHAnsi"/>
          <w:bCs/>
          <w:sz w:val="24"/>
          <w:szCs w:val="24"/>
        </w:rPr>
        <w:t>.</w:t>
      </w:r>
      <w:r w:rsidR="00D156CA" w:rsidRPr="00D45CDF">
        <w:rPr>
          <w:rStyle w:val="FootnoteReference"/>
          <w:rFonts w:asciiTheme="minorHAnsi" w:hAnsiTheme="minorHAnsi"/>
          <w:bCs/>
          <w:sz w:val="24"/>
          <w:szCs w:val="24"/>
        </w:rPr>
        <w:footnoteReference w:id="140"/>
      </w:r>
      <w:r w:rsidR="00862B37" w:rsidRPr="00D45CDF">
        <w:rPr>
          <w:rFonts w:asciiTheme="minorHAnsi" w:hAnsiTheme="minorHAnsi"/>
          <w:bCs/>
          <w:sz w:val="24"/>
          <w:szCs w:val="24"/>
        </w:rPr>
        <w:t xml:space="preserve"> </w:t>
      </w:r>
      <w:r w:rsidR="00862B37" w:rsidRPr="00D45CDF">
        <w:rPr>
          <w:rFonts w:asciiTheme="minorHAnsi" w:hAnsiTheme="minorHAnsi"/>
          <w:sz w:val="24"/>
          <w:szCs w:val="24"/>
        </w:rPr>
        <w:t xml:space="preserve">According to a report compiled </w:t>
      </w:r>
      <w:r w:rsidR="00BD789B" w:rsidRPr="00D45CDF">
        <w:rPr>
          <w:rFonts w:asciiTheme="minorHAnsi" w:hAnsiTheme="minorHAnsi"/>
          <w:sz w:val="24"/>
          <w:szCs w:val="24"/>
        </w:rPr>
        <w:t>for</w:t>
      </w:r>
      <w:r w:rsidR="00862B37" w:rsidRPr="00D45CDF">
        <w:rPr>
          <w:rFonts w:asciiTheme="minorHAnsi" w:hAnsiTheme="minorHAnsi"/>
          <w:sz w:val="24"/>
          <w:szCs w:val="24"/>
        </w:rPr>
        <w:t xml:space="preserve"> the World Bank in 2010, the</w:t>
      </w:r>
      <w:r w:rsidR="00BD6473" w:rsidRPr="00D45CDF">
        <w:rPr>
          <w:rFonts w:asciiTheme="minorHAnsi" w:hAnsiTheme="minorHAnsi"/>
          <w:sz w:val="24"/>
          <w:szCs w:val="24"/>
        </w:rPr>
        <w:t xml:space="preserve"> legal sector </w:t>
      </w:r>
      <w:r w:rsidR="00862B37" w:rsidRPr="00D45CDF">
        <w:rPr>
          <w:rFonts w:asciiTheme="minorHAnsi" w:hAnsiTheme="minorHAnsi"/>
          <w:sz w:val="24"/>
          <w:szCs w:val="24"/>
        </w:rPr>
        <w:t>i</w:t>
      </w:r>
      <w:r w:rsidR="00BD789B" w:rsidRPr="00D45CDF">
        <w:rPr>
          <w:rFonts w:asciiTheme="minorHAnsi" w:hAnsiTheme="minorHAnsi"/>
          <w:sz w:val="24"/>
          <w:szCs w:val="24"/>
        </w:rPr>
        <w:t>n</w:t>
      </w:r>
      <w:r w:rsidR="00862B37" w:rsidRPr="00D45CDF">
        <w:rPr>
          <w:rFonts w:asciiTheme="minorHAnsi" w:hAnsiTheme="minorHAnsi"/>
          <w:sz w:val="24"/>
          <w:szCs w:val="24"/>
        </w:rPr>
        <w:t xml:space="preserve"> East African states is </w:t>
      </w:r>
      <w:r w:rsidR="00BD6473" w:rsidRPr="00D45CDF">
        <w:rPr>
          <w:rFonts w:asciiTheme="minorHAnsi" w:hAnsiTheme="minorHAnsi"/>
          <w:sz w:val="24"/>
          <w:szCs w:val="24"/>
        </w:rPr>
        <w:t>dominated by small firms</w:t>
      </w:r>
      <w:r w:rsidR="00862B37" w:rsidRPr="00D45CDF">
        <w:rPr>
          <w:rFonts w:asciiTheme="minorHAnsi" w:hAnsiTheme="minorHAnsi"/>
          <w:sz w:val="24"/>
          <w:szCs w:val="24"/>
        </w:rPr>
        <w:t>, which cannot</w:t>
      </w:r>
      <w:r w:rsidR="00BD6473" w:rsidRPr="00D45CDF">
        <w:rPr>
          <w:rFonts w:asciiTheme="minorHAnsi" w:hAnsiTheme="minorHAnsi"/>
          <w:sz w:val="24"/>
          <w:szCs w:val="24"/>
        </w:rPr>
        <w:t xml:space="preserve"> meet </w:t>
      </w:r>
      <w:r w:rsidR="009834E1" w:rsidRPr="00D45CDF">
        <w:rPr>
          <w:rFonts w:asciiTheme="minorHAnsi" w:hAnsiTheme="minorHAnsi"/>
          <w:sz w:val="24"/>
          <w:szCs w:val="24"/>
        </w:rPr>
        <w:t xml:space="preserve">the </w:t>
      </w:r>
      <w:r w:rsidR="00BD6473" w:rsidRPr="00D45CDF">
        <w:rPr>
          <w:rFonts w:asciiTheme="minorHAnsi" w:hAnsiTheme="minorHAnsi"/>
          <w:sz w:val="24"/>
          <w:szCs w:val="24"/>
        </w:rPr>
        <w:t xml:space="preserve">demand for </w:t>
      </w:r>
      <w:r w:rsidR="00862B37" w:rsidRPr="00D45CDF">
        <w:rPr>
          <w:rFonts w:asciiTheme="minorHAnsi" w:hAnsiTheme="minorHAnsi"/>
          <w:sz w:val="24"/>
          <w:szCs w:val="24"/>
        </w:rPr>
        <w:t>large and complex</w:t>
      </w:r>
      <w:r w:rsidR="00BD6473" w:rsidRPr="00D45CDF">
        <w:rPr>
          <w:rFonts w:asciiTheme="minorHAnsi" w:hAnsiTheme="minorHAnsi"/>
          <w:sz w:val="24"/>
          <w:szCs w:val="24"/>
        </w:rPr>
        <w:t xml:space="preserve"> projects</w:t>
      </w:r>
      <w:r w:rsidR="009834E1" w:rsidRPr="00D45CDF">
        <w:rPr>
          <w:rFonts w:asciiTheme="minorHAnsi" w:hAnsiTheme="minorHAnsi"/>
          <w:sz w:val="24"/>
          <w:szCs w:val="24"/>
        </w:rPr>
        <w:t>, a fact which p</w:t>
      </w:r>
      <w:r w:rsidR="00BD6473" w:rsidRPr="00D45CDF">
        <w:rPr>
          <w:rFonts w:asciiTheme="minorHAnsi" w:hAnsiTheme="minorHAnsi"/>
          <w:sz w:val="24"/>
          <w:szCs w:val="24"/>
        </w:rPr>
        <w:t xml:space="preserve">olicy makers </w:t>
      </w:r>
      <w:r w:rsidR="009834E1" w:rsidRPr="00D45CDF">
        <w:rPr>
          <w:rFonts w:asciiTheme="minorHAnsi" w:hAnsiTheme="minorHAnsi"/>
          <w:sz w:val="24"/>
          <w:szCs w:val="24"/>
        </w:rPr>
        <w:t xml:space="preserve">have </w:t>
      </w:r>
      <w:r w:rsidR="00BD6473" w:rsidRPr="00D45CDF">
        <w:rPr>
          <w:rFonts w:asciiTheme="minorHAnsi" w:hAnsiTheme="minorHAnsi"/>
          <w:sz w:val="24"/>
          <w:szCs w:val="24"/>
        </w:rPr>
        <w:t>recogni</w:t>
      </w:r>
      <w:r w:rsidR="002C7384" w:rsidRPr="00D45CDF">
        <w:rPr>
          <w:rFonts w:asciiTheme="minorHAnsi" w:hAnsiTheme="minorHAnsi"/>
          <w:sz w:val="24"/>
          <w:szCs w:val="24"/>
        </w:rPr>
        <w:t>s</w:t>
      </w:r>
      <w:r w:rsidR="00BD6473" w:rsidRPr="00D45CDF">
        <w:rPr>
          <w:rFonts w:asciiTheme="minorHAnsi" w:hAnsiTheme="minorHAnsi"/>
          <w:sz w:val="24"/>
          <w:szCs w:val="24"/>
        </w:rPr>
        <w:t>ed</w:t>
      </w:r>
      <w:r w:rsidR="009834E1" w:rsidRPr="00D45CDF">
        <w:rPr>
          <w:rFonts w:asciiTheme="minorHAnsi" w:hAnsiTheme="minorHAnsi"/>
          <w:sz w:val="24"/>
          <w:szCs w:val="24"/>
        </w:rPr>
        <w:t xml:space="preserve">, acknowledging the need to </w:t>
      </w:r>
      <w:r w:rsidR="00BD6473" w:rsidRPr="00D45CDF">
        <w:rPr>
          <w:rFonts w:asciiTheme="minorHAnsi" w:hAnsiTheme="minorHAnsi"/>
          <w:sz w:val="24"/>
          <w:szCs w:val="24"/>
        </w:rPr>
        <w:t>develop</w:t>
      </w:r>
      <w:r w:rsidR="009834E1" w:rsidRPr="00D45CDF">
        <w:rPr>
          <w:rFonts w:asciiTheme="minorHAnsi" w:hAnsiTheme="minorHAnsi"/>
          <w:sz w:val="24"/>
          <w:szCs w:val="24"/>
        </w:rPr>
        <w:t xml:space="preserve"> legal</w:t>
      </w:r>
      <w:r w:rsidR="00BD6473" w:rsidRPr="00D45CDF">
        <w:rPr>
          <w:rFonts w:asciiTheme="minorHAnsi" w:hAnsiTheme="minorHAnsi"/>
          <w:sz w:val="24"/>
          <w:szCs w:val="24"/>
        </w:rPr>
        <w:t xml:space="preserve"> services</w:t>
      </w:r>
      <w:r w:rsidR="00244B39" w:rsidRPr="00D45CDF">
        <w:rPr>
          <w:rFonts w:asciiTheme="minorHAnsi" w:hAnsiTheme="minorHAnsi"/>
          <w:sz w:val="24"/>
          <w:szCs w:val="24"/>
        </w:rPr>
        <w:t>,</w:t>
      </w:r>
      <w:r w:rsidR="0078421B" w:rsidRPr="00D45CDF">
        <w:rPr>
          <w:rStyle w:val="FootnoteReference"/>
          <w:rFonts w:asciiTheme="minorHAnsi" w:hAnsiTheme="minorHAnsi"/>
          <w:sz w:val="24"/>
          <w:szCs w:val="24"/>
        </w:rPr>
        <w:footnoteReference w:id="141"/>
      </w:r>
      <w:r w:rsidR="00244B39" w:rsidRPr="00D45CDF">
        <w:rPr>
          <w:rFonts w:asciiTheme="minorHAnsi" w:hAnsiTheme="minorHAnsi"/>
          <w:sz w:val="24"/>
          <w:szCs w:val="24"/>
        </w:rPr>
        <w:t xml:space="preserve"> and this </w:t>
      </w:r>
      <w:r w:rsidR="007D6760" w:rsidRPr="00D45CDF">
        <w:rPr>
          <w:rFonts w:asciiTheme="minorHAnsi" w:hAnsiTheme="minorHAnsi"/>
          <w:sz w:val="24"/>
          <w:szCs w:val="24"/>
        </w:rPr>
        <w:t>is relevant</w:t>
      </w:r>
      <w:r w:rsidR="00244B39" w:rsidRPr="00D45CDF">
        <w:rPr>
          <w:rFonts w:asciiTheme="minorHAnsi" w:hAnsiTheme="minorHAnsi"/>
          <w:sz w:val="24"/>
          <w:szCs w:val="24"/>
        </w:rPr>
        <w:t xml:space="preserve"> to </w:t>
      </w:r>
      <w:r w:rsidR="007F3B19" w:rsidRPr="00D45CDF">
        <w:rPr>
          <w:rFonts w:asciiTheme="minorHAnsi" w:hAnsiTheme="minorHAnsi"/>
          <w:sz w:val="24"/>
          <w:szCs w:val="24"/>
        </w:rPr>
        <w:t xml:space="preserve">the successful evolution of </w:t>
      </w:r>
      <w:r w:rsidR="00244B39" w:rsidRPr="00D45CDF">
        <w:rPr>
          <w:rFonts w:asciiTheme="minorHAnsi" w:hAnsiTheme="minorHAnsi"/>
          <w:sz w:val="24"/>
          <w:szCs w:val="24"/>
        </w:rPr>
        <w:t>cross</w:t>
      </w:r>
      <w:r w:rsidR="002C7384" w:rsidRPr="00D45CDF">
        <w:rPr>
          <w:rFonts w:asciiTheme="minorHAnsi" w:hAnsiTheme="minorHAnsi"/>
          <w:sz w:val="24"/>
          <w:szCs w:val="24"/>
        </w:rPr>
        <w:t>-</w:t>
      </w:r>
      <w:r w:rsidR="00244B39" w:rsidRPr="00D45CDF">
        <w:rPr>
          <w:rFonts w:asciiTheme="minorHAnsi" w:hAnsiTheme="minorHAnsi"/>
          <w:sz w:val="24"/>
          <w:szCs w:val="24"/>
        </w:rPr>
        <w:t>border trade</w:t>
      </w:r>
      <w:r w:rsidR="000B1D1E" w:rsidRPr="00D45CDF">
        <w:rPr>
          <w:rFonts w:asciiTheme="minorHAnsi" w:hAnsiTheme="minorHAnsi"/>
          <w:sz w:val="24"/>
          <w:szCs w:val="24"/>
        </w:rPr>
        <w:t>.</w:t>
      </w:r>
      <w:r w:rsidR="00BD6473" w:rsidRPr="00D45CDF">
        <w:rPr>
          <w:rFonts w:asciiTheme="minorHAnsi" w:hAnsiTheme="minorHAnsi"/>
          <w:sz w:val="24"/>
          <w:szCs w:val="24"/>
        </w:rPr>
        <w:t xml:space="preserve"> </w:t>
      </w:r>
      <w:r w:rsidR="00244B39" w:rsidRPr="00D45CDF">
        <w:rPr>
          <w:rFonts w:asciiTheme="minorHAnsi" w:hAnsiTheme="minorHAnsi"/>
          <w:sz w:val="24"/>
          <w:szCs w:val="24"/>
        </w:rPr>
        <w:t>For example, an East African business seeking to establish itself in a different partner state</w:t>
      </w:r>
      <w:r w:rsidR="006A4A32" w:rsidRPr="00D45CDF">
        <w:rPr>
          <w:rFonts w:asciiTheme="minorHAnsi" w:hAnsiTheme="minorHAnsi"/>
          <w:sz w:val="24"/>
          <w:szCs w:val="24"/>
        </w:rPr>
        <w:t>, or a multinational East African firm expanding further</w:t>
      </w:r>
      <w:r w:rsidR="00244B39" w:rsidRPr="00D45CDF">
        <w:rPr>
          <w:rFonts w:asciiTheme="minorHAnsi" w:hAnsiTheme="minorHAnsi"/>
          <w:sz w:val="24"/>
          <w:szCs w:val="24"/>
        </w:rPr>
        <w:t xml:space="preserve"> </w:t>
      </w:r>
      <w:r w:rsidR="007F3B19" w:rsidRPr="00D45CDF">
        <w:rPr>
          <w:rFonts w:asciiTheme="minorHAnsi" w:hAnsiTheme="minorHAnsi"/>
          <w:sz w:val="24"/>
          <w:szCs w:val="24"/>
        </w:rPr>
        <w:t>will n</w:t>
      </w:r>
      <w:r w:rsidR="00244B39" w:rsidRPr="00D45CDF">
        <w:rPr>
          <w:rFonts w:asciiTheme="minorHAnsi" w:hAnsiTheme="minorHAnsi"/>
          <w:sz w:val="24"/>
          <w:szCs w:val="24"/>
        </w:rPr>
        <w:t xml:space="preserve">ot </w:t>
      </w:r>
      <w:r w:rsidR="00B900B7" w:rsidRPr="00D45CDF">
        <w:rPr>
          <w:rFonts w:asciiTheme="minorHAnsi" w:hAnsiTheme="minorHAnsi"/>
          <w:sz w:val="24"/>
          <w:szCs w:val="24"/>
        </w:rPr>
        <w:t>necessarily</w:t>
      </w:r>
      <w:r w:rsidR="00244B39" w:rsidRPr="00D45CDF">
        <w:rPr>
          <w:rFonts w:asciiTheme="minorHAnsi" w:hAnsiTheme="minorHAnsi"/>
          <w:sz w:val="24"/>
          <w:szCs w:val="24"/>
        </w:rPr>
        <w:t xml:space="preserve"> </w:t>
      </w:r>
      <w:r w:rsidR="007F3B19" w:rsidRPr="00D45CDF">
        <w:rPr>
          <w:rFonts w:asciiTheme="minorHAnsi" w:hAnsiTheme="minorHAnsi"/>
          <w:sz w:val="24"/>
          <w:szCs w:val="24"/>
        </w:rPr>
        <w:t xml:space="preserve">be able to </w:t>
      </w:r>
      <w:r w:rsidR="00244B39" w:rsidRPr="00D45CDF">
        <w:rPr>
          <w:rFonts w:asciiTheme="minorHAnsi" w:hAnsiTheme="minorHAnsi"/>
          <w:sz w:val="24"/>
          <w:szCs w:val="24"/>
        </w:rPr>
        <w:t xml:space="preserve">use the services of its own </w:t>
      </w:r>
      <w:r w:rsidR="00B900B7" w:rsidRPr="00D45CDF">
        <w:rPr>
          <w:rFonts w:asciiTheme="minorHAnsi" w:hAnsiTheme="minorHAnsi"/>
          <w:sz w:val="24"/>
          <w:szCs w:val="24"/>
        </w:rPr>
        <w:t xml:space="preserve">in-house </w:t>
      </w:r>
      <w:r w:rsidR="00244B39" w:rsidRPr="00D45CDF">
        <w:rPr>
          <w:rFonts w:asciiTheme="minorHAnsi" w:hAnsiTheme="minorHAnsi"/>
          <w:sz w:val="24"/>
          <w:szCs w:val="24"/>
        </w:rPr>
        <w:t>legal team</w:t>
      </w:r>
      <w:r w:rsidR="001C3F73" w:rsidRPr="00D45CDF">
        <w:rPr>
          <w:rFonts w:asciiTheme="minorHAnsi" w:hAnsiTheme="minorHAnsi"/>
          <w:sz w:val="24"/>
          <w:szCs w:val="24"/>
        </w:rPr>
        <w:t xml:space="preserve"> </w:t>
      </w:r>
      <w:r w:rsidR="00B900B7" w:rsidRPr="00D45CDF">
        <w:rPr>
          <w:rFonts w:asciiTheme="minorHAnsi" w:hAnsiTheme="minorHAnsi"/>
          <w:sz w:val="24"/>
          <w:szCs w:val="24"/>
        </w:rPr>
        <w:t xml:space="preserve">nor local legal advisers </w:t>
      </w:r>
      <w:r w:rsidR="001C3F73" w:rsidRPr="00D45CDF">
        <w:rPr>
          <w:rFonts w:asciiTheme="minorHAnsi" w:hAnsiTheme="minorHAnsi"/>
          <w:sz w:val="24"/>
          <w:szCs w:val="24"/>
        </w:rPr>
        <w:t xml:space="preserve">if that particular partner state has not implemented the freedom of movement provisions of the Common Market Protocol. </w:t>
      </w:r>
      <w:r w:rsidR="00BB7D38" w:rsidRPr="00D45CDF">
        <w:rPr>
          <w:rFonts w:asciiTheme="minorHAnsi" w:hAnsiTheme="minorHAnsi"/>
          <w:sz w:val="24"/>
          <w:szCs w:val="24"/>
        </w:rPr>
        <w:t xml:space="preserve">This is a crucial </w:t>
      </w:r>
      <w:r w:rsidR="00D33495" w:rsidRPr="00D45CDF">
        <w:rPr>
          <w:rFonts w:asciiTheme="minorHAnsi" w:hAnsiTheme="minorHAnsi"/>
          <w:sz w:val="24"/>
          <w:szCs w:val="24"/>
        </w:rPr>
        <w:t>restriction</w:t>
      </w:r>
      <w:r w:rsidR="00BB7D38" w:rsidRPr="00D45CDF">
        <w:rPr>
          <w:rFonts w:asciiTheme="minorHAnsi" w:hAnsiTheme="minorHAnsi"/>
          <w:sz w:val="24"/>
          <w:szCs w:val="24"/>
        </w:rPr>
        <w:t xml:space="preserve"> at a time when</w:t>
      </w:r>
      <w:r w:rsidR="00492526" w:rsidRPr="00D45CDF">
        <w:rPr>
          <w:rFonts w:asciiTheme="minorHAnsi" w:hAnsiTheme="minorHAnsi"/>
          <w:sz w:val="24"/>
          <w:szCs w:val="24"/>
        </w:rPr>
        <w:t>, according to the United Nations Economic Commission for Africa’s (UNECA) Economic Report on Africa for 2019,</w:t>
      </w:r>
      <w:r w:rsidR="00BB7D38" w:rsidRPr="00D45CDF">
        <w:rPr>
          <w:rFonts w:asciiTheme="minorHAnsi" w:hAnsiTheme="minorHAnsi"/>
          <w:sz w:val="24"/>
          <w:szCs w:val="24"/>
        </w:rPr>
        <w:t xml:space="preserve"> </w:t>
      </w:r>
      <w:r w:rsidR="00C47B7A" w:rsidRPr="00D45CDF">
        <w:rPr>
          <w:rFonts w:asciiTheme="minorHAnsi" w:hAnsiTheme="minorHAnsi"/>
          <w:sz w:val="24"/>
          <w:szCs w:val="24"/>
        </w:rPr>
        <w:t>regional integration is an imperative for Africa</w:t>
      </w:r>
      <w:r w:rsidR="00A70E92" w:rsidRPr="00D45CDF">
        <w:rPr>
          <w:rFonts w:asciiTheme="minorHAnsi" w:hAnsiTheme="minorHAnsi"/>
          <w:sz w:val="24"/>
          <w:szCs w:val="24"/>
        </w:rPr>
        <w:t xml:space="preserve"> in the fight against poverty</w:t>
      </w:r>
      <w:r w:rsidR="00C47B7A" w:rsidRPr="00D45CDF">
        <w:rPr>
          <w:rFonts w:asciiTheme="minorHAnsi" w:hAnsiTheme="minorHAnsi"/>
          <w:sz w:val="24"/>
          <w:szCs w:val="24"/>
        </w:rPr>
        <w:t xml:space="preserve">. </w:t>
      </w:r>
      <w:r w:rsidR="00B900B7" w:rsidRPr="00D45CDF">
        <w:rPr>
          <w:rFonts w:asciiTheme="minorHAnsi" w:hAnsiTheme="minorHAnsi"/>
          <w:sz w:val="24"/>
          <w:szCs w:val="24"/>
        </w:rPr>
        <w:t>East Africa</w:t>
      </w:r>
      <w:r w:rsidR="00D33495" w:rsidRPr="00D45CDF">
        <w:rPr>
          <w:rFonts w:asciiTheme="minorHAnsi" w:hAnsiTheme="minorHAnsi"/>
          <w:sz w:val="24"/>
          <w:szCs w:val="24"/>
        </w:rPr>
        <w:t xml:space="preserve"> is</w:t>
      </w:r>
      <w:r w:rsidR="00B900B7" w:rsidRPr="00D45CDF">
        <w:rPr>
          <w:rFonts w:asciiTheme="minorHAnsi" w:hAnsiTheme="minorHAnsi"/>
          <w:sz w:val="24"/>
          <w:szCs w:val="24"/>
        </w:rPr>
        <w:t xml:space="preserve"> the fastest growing </w:t>
      </w:r>
      <w:r w:rsidR="00BB7D38" w:rsidRPr="00D45CDF">
        <w:rPr>
          <w:rFonts w:asciiTheme="minorHAnsi" w:hAnsiTheme="minorHAnsi"/>
          <w:sz w:val="24"/>
          <w:szCs w:val="24"/>
        </w:rPr>
        <w:t>REC</w:t>
      </w:r>
      <w:r w:rsidR="00B900B7" w:rsidRPr="00D45CDF">
        <w:rPr>
          <w:rFonts w:asciiTheme="minorHAnsi" w:hAnsiTheme="minorHAnsi"/>
          <w:sz w:val="24"/>
          <w:szCs w:val="24"/>
        </w:rPr>
        <w:t xml:space="preserve"> in Africa, with growth rising from 6.1 per cent in</w:t>
      </w:r>
      <w:r w:rsidR="00BB7D38" w:rsidRPr="00D45CDF">
        <w:rPr>
          <w:rFonts w:asciiTheme="minorHAnsi" w:hAnsiTheme="minorHAnsi"/>
          <w:sz w:val="24"/>
          <w:szCs w:val="24"/>
        </w:rPr>
        <w:t xml:space="preserve"> </w:t>
      </w:r>
      <w:r w:rsidR="00B900B7" w:rsidRPr="00D45CDF">
        <w:rPr>
          <w:rFonts w:asciiTheme="minorHAnsi" w:hAnsiTheme="minorHAnsi"/>
          <w:sz w:val="24"/>
          <w:szCs w:val="24"/>
        </w:rPr>
        <w:t>2017 to 6.2 per cent in 2018</w:t>
      </w:r>
      <w:r w:rsidR="00C47B7A" w:rsidRPr="00D45CDF">
        <w:rPr>
          <w:rFonts w:asciiTheme="minorHAnsi" w:hAnsiTheme="minorHAnsi"/>
          <w:sz w:val="24"/>
          <w:szCs w:val="24"/>
        </w:rPr>
        <w:t>,</w:t>
      </w:r>
      <w:r w:rsidR="00D33495" w:rsidRPr="00D45CDF">
        <w:rPr>
          <w:rFonts w:asciiTheme="minorHAnsi" w:hAnsiTheme="minorHAnsi"/>
          <w:sz w:val="24"/>
          <w:szCs w:val="24"/>
        </w:rPr>
        <w:t xml:space="preserve"> and enhanced regional integration through the </w:t>
      </w:r>
      <w:r w:rsidR="00C47B7A" w:rsidRPr="00D45CDF">
        <w:rPr>
          <w:rFonts w:asciiTheme="minorHAnsi" w:hAnsiTheme="minorHAnsi"/>
          <w:sz w:val="24"/>
          <w:szCs w:val="24"/>
        </w:rPr>
        <w:t>RECs</w:t>
      </w:r>
      <w:r w:rsidR="00D33495" w:rsidRPr="00D45CDF">
        <w:rPr>
          <w:rFonts w:asciiTheme="minorHAnsi" w:hAnsiTheme="minorHAnsi"/>
          <w:sz w:val="24"/>
          <w:szCs w:val="24"/>
        </w:rPr>
        <w:t xml:space="preserve"> a</w:t>
      </w:r>
      <w:r w:rsidR="00C47B7A" w:rsidRPr="00D45CDF">
        <w:rPr>
          <w:rFonts w:asciiTheme="minorHAnsi" w:hAnsiTheme="minorHAnsi"/>
          <w:sz w:val="24"/>
          <w:szCs w:val="24"/>
        </w:rPr>
        <w:t>s well as</w:t>
      </w:r>
      <w:r w:rsidR="00D33495" w:rsidRPr="00D45CDF">
        <w:rPr>
          <w:rFonts w:asciiTheme="minorHAnsi" w:hAnsiTheme="minorHAnsi"/>
          <w:sz w:val="24"/>
          <w:szCs w:val="24"/>
        </w:rPr>
        <w:t xml:space="preserve"> the African Continental Free Trade Area offer</w:t>
      </w:r>
      <w:r w:rsidR="00C47B7A" w:rsidRPr="00D45CDF">
        <w:rPr>
          <w:rFonts w:asciiTheme="minorHAnsi" w:hAnsiTheme="minorHAnsi"/>
          <w:sz w:val="24"/>
          <w:szCs w:val="24"/>
        </w:rPr>
        <w:t>s the possibility of considerable economic</w:t>
      </w:r>
      <w:r w:rsidR="00D33495" w:rsidRPr="00D45CDF">
        <w:rPr>
          <w:rFonts w:asciiTheme="minorHAnsi" w:hAnsiTheme="minorHAnsi"/>
          <w:sz w:val="24"/>
          <w:szCs w:val="24"/>
        </w:rPr>
        <w:t xml:space="preserve"> growth across East Africa.</w:t>
      </w:r>
      <w:r w:rsidR="00E03B57" w:rsidRPr="00D45CDF">
        <w:rPr>
          <w:rStyle w:val="FootnoteReference"/>
          <w:rFonts w:asciiTheme="minorHAnsi" w:hAnsiTheme="minorHAnsi"/>
          <w:sz w:val="24"/>
          <w:szCs w:val="24"/>
        </w:rPr>
        <w:footnoteReference w:id="142"/>
      </w:r>
      <w:r w:rsidR="00C47B7A" w:rsidRPr="00D45CDF">
        <w:rPr>
          <w:rFonts w:asciiTheme="minorHAnsi" w:hAnsiTheme="minorHAnsi"/>
          <w:sz w:val="24"/>
          <w:szCs w:val="24"/>
        </w:rPr>
        <w:t xml:space="preserve"> </w:t>
      </w:r>
      <w:r w:rsidR="00777922" w:rsidRPr="00D45CDF">
        <w:rPr>
          <w:rFonts w:asciiTheme="minorHAnsi" w:hAnsiTheme="minorHAnsi"/>
          <w:sz w:val="24"/>
          <w:szCs w:val="24"/>
        </w:rPr>
        <w:t xml:space="preserve">A case study into trade in Kenya carried out by </w:t>
      </w:r>
      <w:proofErr w:type="spellStart"/>
      <w:r w:rsidR="00777922" w:rsidRPr="00D45CDF">
        <w:rPr>
          <w:rFonts w:asciiTheme="minorHAnsi" w:hAnsiTheme="minorHAnsi"/>
          <w:sz w:val="24"/>
          <w:szCs w:val="24"/>
        </w:rPr>
        <w:t>Dihel</w:t>
      </w:r>
      <w:proofErr w:type="spellEnd"/>
      <w:r w:rsidR="00777922" w:rsidRPr="00D45CDF">
        <w:rPr>
          <w:rFonts w:asciiTheme="minorHAnsi" w:hAnsiTheme="minorHAnsi"/>
          <w:sz w:val="24"/>
          <w:szCs w:val="24"/>
        </w:rPr>
        <w:t xml:space="preserve"> et al found that ‘more than half of Kenyan service exporters have clients in Tanzania and/or in Uganda and one third have clients in Rwanda’ and concluded that </w:t>
      </w:r>
      <w:r w:rsidR="000875D9" w:rsidRPr="00D45CDF">
        <w:rPr>
          <w:rFonts w:asciiTheme="minorHAnsi" w:hAnsiTheme="minorHAnsi"/>
          <w:sz w:val="24"/>
          <w:szCs w:val="24"/>
        </w:rPr>
        <w:t>‘</w:t>
      </w:r>
      <w:r w:rsidR="00777922" w:rsidRPr="00D45CDF">
        <w:rPr>
          <w:rFonts w:asciiTheme="minorHAnsi" w:hAnsiTheme="minorHAnsi"/>
          <w:sz w:val="24"/>
          <w:szCs w:val="24"/>
        </w:rPr>
        <w:t>regional markets are important for exports of accounting, architecture, engineering, insurance, and legal services’.</w:t>
      </w:r>
      <w:r w:rsidR="000875D9" w:rsidRPr="00D45CDF">
        <w:rPr>
          <w:rStyle w:val="FootnoteReference"/>
          <w:rFonts w:asciiTheme="minorHAnsi" w:hAnsiTheme="minorHAnsi"/>
          <w:sz w:val="24"/>
          <w:szCs w:val="24"/>
        </w:rPr>
        <w:t xml:space="preserve"> </w:t>
      </w:r>
      <w:r w:rsidR="000875D9" w:rsidRPr="00D45CDF">
        <w:rPr>
          <w:rStyle w:val="FootnoteReference"/>
          <w:rFonts w:asciiTheme="minorHAnsi" w:hAnsiTheme="minorHAnsi"/>
          <w:sz w:val="24"/>
          <w:szCs w:val="24"/>
        </w:rPr>
        <w:footnoteReference w:id="143"/>
      </w:r>
      <w:r w:rsidR="00777922" w:rsidRPr="00D45CDF">
        <w:rPr>
          <w:rFonts w:asciiTheme="minorHAnsi" w:hAnsiTheme="minorHAnsi"/>
          <w:sz w:val="24"/>
          <w:szCs w:val="24"/>
        </w:rPr>
        <w:t xml:space="preserve"> Further case studies </w:t>
      </w:r>
      <w:r w:rsidR="0097783A" w:rsidRPr="00D45CDF">
        <w:rPr>
          <w:rFonts w:asciiTheme="minorHAnsi" w:hAnsiTheme="minorHAnsi"/>
          <w:sz w:val="24"/>
          <w:szCs w:val="24"/>
        </w:rPr>
        <w:t>by</w:t>
      </w:r>
      <w:r w:rsidR="00777922" w:rsidRPr="00D45CDF">
        <w:rPr>
          <w:rFonts w:asciiTheme="minorHAnsi" w:hAnsiTheme="minorHAnsi"/>
          <w:sz w:val="24"/>
          <w:szCs w:val="24"/>
        </w:rPr>
        <w:t xml:space="preserve"> </w:t>
      </w:r>
      <w:proofErr w:type="spellStart"/>
      <w:r w:rsidR="00777922" w:rsidRPr="00D45CDF">
        <w:rPr>
          <w:rFonts w:asciiTheme="minorHAnsi" w:hAnsiTheme="minorHAnsi"/>
          <w:sz w:val="24"/>
          <w:szCs w:val="24"/>
        </w:rPr>
        <w:t>Dihel</w:t>
      </w:r>
      <w:proofErr w:type="spellEnd"/>
      <w:r w:rsidR="00777922" w:rsidRPr="00D45CDF">
        <w:rPr>
          <w:rFonts w:asciiTheme="minorHAnsi" w:hAnsiTheme="minorHAnsi"/>
          <w:sz w:val="24"/>
          <w:szCs w:val="24"/>
        </w:rPr>
        <w:t xml:space="preserve"> and Goswami</w:t>
      </w:r>
      <w:r w:rsidR="0097783A" w:rsidRPr="00D45CDF">
        <w:rPr>
          <w:rStyle w:val="FootnoteReference"/>
          <w:rFonts w:asciiTheme="minorHAnsi" w:hAnsiTheme="minorHAnsi"/>
          <w:sz w:val="24"/>
          <w:szCs w:val="24"/>
        </w:rPr>
        <w:footnoteReference w:id="144"/>
      </w:r>
      <w:r w:rsidR="00777922" w:rsidRPr="00D45CDF">
        <w:rPr>
          <w:rFonts w:asciiTheme="minorHAnsi" w:hAnsiTheme="minorHAnsi"/>
          <w:sz w:val="24"/>
          <w:szCs w:val="24"/>
        </w:rPr>
        <w:t xml:space="preserve"> ‘demonstrate that entrepreneurs are able to circumvent formal barriers to cross-border trade in services and that there is substantial demand for services imports, suggesting that liberalization and services trade facilitation – to remove the need for bribes and more generally lower transactions costs and the ability of incumbent services industries (e.g. professional associations) to restrict foreign entry – has great potential to both expand trade further and increase welfare (the gains from trade).’</w:t>
      </w:r>
      <w:r w:rsidR="0097783A" w:rsidRPr="00D45CDF">
        <w:rPr>
          <w:rStyle w:val="FootnoteReference"/>
          <w:rFonts w:asciiTheme="minorHAnsi" w:hAnsiTheme="minorHAnsi"/>
          <w:sz w:val="24"/>
          <w:szCs w:val="24"/>
        </w:rPr>
        <w:footnoteReference w:id="145"/>
      </w:r>
      <w:r w:rsidR="001814D9" w:rsidRPr="00D45CDF">
        <w:rPr>
          <w:rFonts w:asciiTheme="minorHAnsi" w:hAnsiTheme="minorHAnsi"/>
          <w:sz w:val="24"/>
          <w:szCs w:val="24"/>
        </w:rPr>
        <w:t xml:space="preserve"> </w:t>
      </w:r>
      <w:r w:rsidR="00AF2359" w:rsidRPr="00D45CDF">
        <w:rPr>
          <w:rFonts w:asciiTheme="minorHAnsi" w:hAnsiTheme="minorHAnsi"/>
          <w:sz w:val="24"/>
          <w:szCs w:val="24"/>
        </w:rPr>
        <w:t xml:space="preserve">Fears of aggressive competition which will lead to less legal work are likely to be unfounded. </w:t>
      </w:r>
    </w:p>
    <w:p w14:paraId="12B1FADE" w14:textId="77777777" w:rsidR="00D33495" w:rsidRPr="00D45CDF" w:rsidRDefault="00AF2359" w:rsidP="001C5BA7">
      <w:pPr>
        <w:shd w:val="clear" w:color="auto" w:fill="FFFFFF"/>
        <w:spacing w:line="240" w:lineRule="auto"/>
        <w:jc w:val="both"/>
        <w:rPr>
          <w:rFonts w:asciiTheme="minorHAnsi" w:hAnsiTheme="minorHAnsi"/>
          <w:color w:val="4C4845"/>
          <w:sz w:val="24"/>
          <w:szCs w:val="24"/>
        </w:rPr>
      </w:pPr>
      <w:r w:rsidRPr="00D45CDF">
        <w:rPr>
          <w:rFonts w:asciiTheme="minorHAnsi" w:hAnsiTheme="minorHAnsi"/>
          <w:sz w:val="24"/>
          <w:szCs w:val="24"/>
        </w:rPr>
        <w:t>Large sectors of Law will remain domestic, and knowledge of local practices and language and nuance will play a paramount role in the choice of lawyer, particularly for private clients or for small local businesses. Furthermore, e</w:t>
      </w:r>
      <w:r w:rsidR="006137E6" w:rsidRPr="00D45CDF">
        <w:rPr>
          <w:rFonts w:asciiTheme="minorHAnsi" w:hAnsiTheme="minorHAnsi"/>
          <w:sz w:val="24"/>
          <w:szCs w:val="24"/>
        </w:rPr>
        <w:t xml:space="preserve">nhanced economic growth is also vital in enabling </w:t>
      </w:r>
      <w:r w:rsidR="006137E6" w:rsidRPr="00D45CDF">
        <w:rPr>
          <w:rFonts w:asciiTheme="minorHAnsi" w:hAnsiTheme="minorHAnsi"/>
          <w:sz w:val="24"/>
          <w:szCs w:val="24"/>
        </w:rPr>
        <w:lastRenderedPageBreak/>
        <w:t xml:space="preserve">African states to meet the UN’s sustainable development goals, which aim </w:t>
      </w:r>
      <w:r w:rsidR="005723D5" w:rsidRPr="00D45CDF">
        <w:rPr>
          <w:rFonts w:asciiTheme="minorHAnsi" w:hAnsiTheme="minorHAnsi"/>
          <w:sz w:val="24"/>
          <w:szCs w:val="24"/>
        </w:rPr>
        <w:t>‘</w:t>
      </w:r>
      <w:r w:rsidR="006137E6" w:rsidRPr="00D45CDF">
        <w:rPr>
          <w:rFonts w:asciiTheme="minorHAnsi" w:hAnsiTheme="minorHAnsi"/>
          <w:sz w:val="24"/>
          <w:szCs w:val="24"/>
        </w:rPr>
        <w:t>to leave no one behind</w:t>
      </w:r>
      <w:r w:rsidR="005723D5" w:rsidRPr="00D45CDF">
        <w:rPr>
          <w:rFonts w:asciiTheme="minorHAnsi" w:hAnsiTheme="minorHAnsi"/>
          <w:sz w:val="24"/>
          <w:szCs w:val="24"/>
        </w:rPr>
        <w:t>’</w:t>
      </w:r>
      <w:r w:rsidR="006137E6" w:rsidRPr="00D45CDF">
        <w:rPr>
          <w:rFonts w:asciiTheme="minorHAnsi" w:hAnsiTheme="minorHAnsi"/>
          <w:sz w:val="24"/>
          <w:szCs w:val="24"/>
        </w:rPr>
        <w:t xml:space="preserve"> as countries develop.</w:t>
      </w:r>
      <w:r w:rsidR="003F5183" w:rsidRPr="00D45CDF">
        <w:rPr>
          <w:rStyle w:val="FootnoteReference"/>
          <w:rFonts w:asciiTheme="minorHAnsi" w:hAnsiTheme="minorHAnsi"/>
          <w:sz w:val="24"/>
          <w:szCs w:val="24"/>
        </w:rPr>
        <w:footnoteReference w:id="146"/>
      </w:r>
      <w:r w:rsidR="006137E6" w:rsidRPr="00D45CDF">
        <w:rPr>
          <w:rFonts w:asciiTheme="minorHAnsi" w:hAnsiTheme="minorHAnsi"/>
          <w:color w:val="4C4845"/>
          <w:sz w:val="24"/>
          <w:szCs w:val="24"/>
        </w:rPr>
        <w:t xml:space="preserve"> </w:t>
      </w:r>
    </w:p>
    <w:p w14:paraId="50F1E001" w14:textId="77777777" w:rsidR="002B52A3" w:rsidRPr="00D45CDF" w:rsidRDefault="002B52A3" w:rsidP="001C5BA7">
      <w:pPr>
        <w:spacing w:line="240" w:lineRule="auto"/>
        <w:jc w:val="both"/>
        <w:rPr>
          <w:rFonts w:asciiTheme="minorHAnsi" w:hAnsiTheme="minorHAnsi"/>
          <w:sz w:val="24"/>
          <w:szCs w:val="24"/>
        </w:rPr>
      </w:pPr>
      <w:r w:rsidRPr="00D45CDF">
        <w:rPr>
          <w:rFonts w:asciiTheme="minorHAnsi" w:hAnsiTheme="minorHAnsi"/>
          <w:sz w:val="24"/>
          <w:szCs w:val="24"/>
        </w:rPr>
        <w:t xml:space="preserve">For the UK, much still remains to be determined with regard to the free movement of legal services in the future. </w:t>
      </w:r>
      <w:r w:rsidR="00F57E70" w:rsidRPr="00D45CDF">
        <w:rPr>
          <w:rFonts w:asciiTheme="minorHAnsi" w:hAnsiTheme="minorHAnsi"/>
          <w:sz w:val="24"/>
          <w:szCs w:val="24"/>
        </w:rPr>
        <w:t xml:space="preserve">UK lawyers working in the EU under UK qualifications will fall under regulations for non-EU lawyers and will no longer benefit from the automatic recognition of their qualifications. The Law Society of England and Wales predicted that </w:t>
      </w:r>
      <w:r w:rsidR="00464BCB" w:rsidRPr="00D45CDF">
        <w:rPr>
          <w:rFonts w:asciiTheme="minorHAnsi" w:hAnsiTheme="minorHAnsi"/>
          <w:sz w:val="24"/>
          <w:szCs w:val="24"/>
        </w:rPr>
        <w:t xml:space="preserve">leaving the EU with no deal </w:t>
      </w:r>
      <w:r w:rsidR="00F57E70" w:rsidRPr="00D45CDF">
        <w:rPr>
          <w:rFonts w:asciiTheme="minorHAnsi" w:hAnsiTheme="minorHAnsi"/>
          <w:sz w:val="24"/>
          <w:szCs w:val="24"/>
        </w:rPr>
        <w:t xml:space="preserve">would likely lead to a loss of legal services turnover of £3.5 billion (nearly 10%) and </w:t>
      </w:r>
      <w:r w:rsidR="00351591" w:rsidRPr="00D45CDF">
        <w:rPr>
          <w:rFonts w:asciiTheme="minorHAnsi" w:hAnsiTheme="minorHAnsi"/>
          <w:sz w:val="24"/>
          <w:szCs w:val="24"/>
        </w:rPr>
        <w:t xml:space="preserve">of </w:t>
      </w:r>
      <w:r w:rsidR="00F57E70" w:rsidRPr="00D45CDF">
        <w:rPr>
          <w:rFonts w:asciiTheme="minorHAnsi" w:hAnsiTheme="minorHAnsi"/>
          <w:sz w:val="24"/>
          <w:szCs w:val="24"/>
        </w:rPr>
        <w:t>10,000 jobs</w:t>
      </w:r>
      <w:r w:rsidR="002F4AF0" w:rsidRPr="00D45CDF">
        <w:rPr>
          <w:rFonts w:asciiTheme="minorHAnsi" w:hAnsiTheme="minorHAnsi"/>
          <w:sz w:val="24"/>
          <w:szCs w:val="24"/>
        </w:rPr>
        <w:t xml:space="preserve">. </w:t>
      </w:r>
      <w:r w:rsidR="00464BCB" w:rsidRPr="00D45CDF">
        <w:rPr>
          <w:rFonts w:asciiTheme="minorHAnsi" w:hAnsiTheme="minorHAnsi"/>
          <w:sz w:val="24"/>
          <w:szCs w:val="24"/>
        </w:rPr>
        <w:t xml:space="preserve">The </w:t>
      </w:r>
      <w:r w:rsidR="002F4AF0" w:rsidRPr="00D45CDF">
        <w:rPr>
          <w:rFonts w:asciiTheme="minorHAnsi" w:hAnsiTheme="minorHAnsi"/>
          <w:sz w:val="24"/>
          <w:szCs w:val="24"/>
        </w:rPr>
        <w:t>Law Society points out</w:t>
      </w:r>
      <w:r w:rsidR="00464BCB" w:rsidRPr="00D45CDF">
        <w:rPr>
          <w:rFonts w:asciiTheme="minorHAnsi" w:hAnsiTheme="minorHAnsi"/>
          <w:sz w:val="24"/>
          <w:szCs w:val="24"/>
        </w:rPr>
        <w:t xml:space="preserve"> that the UK</w:t>
      </w:r>
      <w:r w:rsidR="002F4AF0" w:rsidRPr="00D45CDF">
        <w:rPr>
          <w:rFonts w:asciiTheme="minorHAnsi" w:hAnsiTheme="minorHAnsi"/>
          <w:sz w:val="24"/>
          <w:szCs w:val="24"/>
        </w:rPr>
        <w:t xml:space="preserve"> will be negotiating legal market access with 31 different regulatory regimes (EU, EFTA, EEA), with different levels of restrictions placed on third country lawyers</w:t>
      </w:r>
      <w:r w:rsidR="00F57E70" w:rsidRPr="00D45CDF">
        <w:rPr>
          <w:rFonts w:asciiTheme="minorHAnsi" w:hAnsiTheme="minorHAnsi"/>
          <w:sz w:val="24"/>
          <w:szCs w:val="24"/>
        </w:rPr>
        <w:t>.</w:t>
      </w:r>
      <w:r w:rsidR="00287D3E" w:rsidRPr="00D45CDF">
        <w:rPr>
          <w:rStyle w:val="FootnoteReference"/>
          <w:rFonts w:asciiTheme="minorHAnsi" w:hAnsiTheme="minorHAnsi"/>
          <w:sz w:val="24"/>
          <w:szCs w:val="24"/>
        </w:rPr>
        <w:footnoteReference w:id="147"/>
      </w:r>
      <w:r w:rsidR="00EC4B3D" w:rsidRPr="00D45CDF">
        <w:rPr>
          <w:rFonts w:asciiTheme="minorHAnsi" w:hAnsiTheme="minorHAnsi"/>
          <w:sz w:val="24"/>
          <w:szCs w:val="24"/>
        </w:rPr>
        <w:t xml:space="preserve"> EU lawyers wish</w:t>
      </w:r>
      <w:r w:rsidR="00744895">
        <w:rPr>
          <w:rFonts w:asciiTheme="minorHAnsi" w:hAnsiTheme="minorHAnsi"/>
          <w:sz w:val="24"/>
          <w:szCs w:val="24"/>
        </w:rPr>
        <w:t>ing to practice in the UK will have to</w:t>
      </w:r>
      <w:r w:rsidR="00EC4B3D" w:rsidRPr="00D45CDF">
        <w:rPr>
          <w:rFonts w:asciiTheme="minorHAnsi" w:hAnsiTheme="minorHAnsi"/>
          <w:sz w:val="24"/>
          <w:szCs w:val="24"/>
        </w:rPr>
        <w:t xml:space="preserve"> apply through the RFL route</w:t>
      </w:r>
      <w:r w:rsidR="00351591" w:rsidRPr="00D45CDF">
        <w:rPr>
          <w:rFonts w:asciiTheme="minorHAnsi" w:hAnsiTheme="minorHAnsi"/>
          <w:sz w:val="24"/>
          <w:szCs w:val="24"/>
        </w:rPr>
        <w:t xml:space="preserve">, but may see </w:t>
      </w:r>
      <w:r w:rsidR="00464BCB" w:rsidRPr="00D45CDF">
        <w:rPr>
          <w:rFonts w:asciiTheme="minorHAnsi" w:hAnsiTheme="minorHAnsi"/>
          <w:sz w:val="24"/>
          <w:szCs w:val="24"/>
        </w:rPr>
        <w:t xml:space="preserve">their </w:t>
      </w:r>
      <w:r w:rsidR="00351591" w:rsidRPr="00D45CDF">
        <w:rPr>
          <w:rFonts w:asciiTheme="minorHAnsi" w:hAnsiTheme="minorHAnsi"/>
          <w:sz w:val="24"/>
          <w:szCs w:val="24"/>
        </w:rPr>
        <w:t>practice areas restricted</w:t>
      </w:r>
      <w:r w:rsidR="00EC4B3D" w:rsidRPr="00D45CDF">
        <w:rPr>
          <w:rFonts w:asciiTheme="minorHAnsi" w:hAnsiTheme="minorHAnsi"/>
          <w:sz w:val="24"/>
          <w:szCs w:val="24"/>
        </w:rPr>
        <w:t xml:space="preserve">. </w:t>
      </w:r>
    </w:p>
    <w:p w14:paraId="6A2B5988" w14:textId="77777777" w:rsidR="00C92A72" w:rsidRPr="00D45CDF" w:rsidRDefault="00C92A72" w:rsidP="001C5BA7">
      <w:pPr>
        <w:spacing w:line="240" w:lineRule="auto"/>
        <w:jc w:val="both"/>
        <w:rPr>
          <w:rFonts w:asciiTheme="minorHAnsi" w:hAnsiTheme="minorHAnsi"/>
          <w:sz w:val="24"/>
          <w:szCs w:val="24"/>
        </w:rPr>
      </w:pPr>
      <w:r w:rsidRPr="00D45CDF">
        <w:rPr>
          <w:rFonts w:asciiTheme="minorHAnsi" w:hAnsiTheme="minorHAnsi"/>
          <w:sz w:val="24"/>
          <w:szCs w:val="24"/>
        </w:rPr>
        <w:t xml:space="preserve">As English and Welsh lawyers face </w:t>
      </w:r>
      <w:r w:rsidR="00464BCB" w:rsidRPr="00D45CDF">
        <w:rPr>
          <w:rFonts w:asciiTheme="minorHAnsi" w:hAnsiTheme="minorHAnsi"/>
          <w:sz w:val="24"/>
          <w:szCs w:val="24"/>
        </w:rPr>
        <w:t xml:space="preserve">their post Brexit future, </w:t>
      </w:r>
      <w:r w:rsidRPr="00D45CDF">
        <w:rPr>
          <w:rFonts w:asciiTheme="minorHAnsi" w:hAnsiTheme="minorHAnsi"/>
          <w:sz w:val="24"/>
          <w:szCs w:val="24"/>
        </w:rPr>
        <w:t>they may well be looking on with some envy at their East African counterparts</w:t>
      </w:r>
      <w:r w:rsidR="00351591" w:rsidRPr="00D45CDF">
        <w:rPr>
          <w:rFonts w:asciiTheme="minorHAnsi" w:hAnsiTheme="minorHAnsi"/>
          <w:sz w:val="24"/>
          <w:szCs w:val="24"/>
        </w:rPr>
        <w:t xml:space="preserve">, for whom the </w:t>
      </w:r>
      <w:r w:rsidR="00464BCB" w:rsidRPr="00D45CDF">
        <w:rPr>
          <w:rFonts w:asciiTheme="minorHAnsi" w:hAnsiTheme="minorHAnsi"/>
          <w:sz w:val="24"/>
          <w:szCs w:val="24"/>
        </w:rPr>
        <w:t xml:space="preserve">free movement </w:t>
      </w:r>
      <w:r w:rsidR="00351591" w:rsidRPr="00D45CDF">
        <w:rPr>
          <w:rFonts w:asciiTheme="minorHAnsi" w:hAnsiTheme="minorHAnsi"/>
          <w:sz w:val="24"/>
          <w:szCs w:val="24"/>
        </w:rPr>
        <w:t xml:space="preserve">of legal services still remains a possibility, even if clouded with uncertainty and some suspicion </w:t>
      </w:r>
      <w:r w:rsidR="001D244A" w:rsidRPr="00D45CDF">
        <w:rPr>
          <w:rFonts w:asciiTheme="minorHAnsi" w:hAnsiTheme="minorHAnsi"/>
          <w:sz w:val="24"/>
          <w:szCs w:val="24"/>
        </w:rPr>
        <w:t xml:space="preserve">in </w:t>
      </w:r>
      <w:r w:rsidR="00351591" w:rsidRPr="00D45CDF">
        <w:rPr>
          <w:rFonts w:asciiTheme="minorHAnsi" w:hAnsiTheme="minorHAnsi"/>
          <w:sz w:val="24"/>
          <w:szCs w:val="24"/>
        </w:rPr>
        <w:t xml:space="preserve">certain quarters. </w:t>
      </w:r>
    </w:p>
    <w:p w14:paraId="1C16A813" w14:textId="77777777" w:rsidR="00744895" w:rsidRDefault="00326FD9" w:rsidP="00DB3574">
      <w:pPr>
        <w:spacing w:line="240" w:lineRule="auto"/>
        <w:ind w:left="360"/>
        <w:rPr>
          <w:rFonts w:asciiTheme="minorHAnsi" w:hAnsiTheme="minorHAnsi"/>
          <w:b/>
          <w:sz w:val="24"/>
          <w:szCs w:val="24"/>
        </w:rPr>
      </w:pPr>
      <w:r w:rsidRPr="00D45CDF">
        <w:rPr>
          <w:rFonts w:asciiTheme="minorHAnsi" w:hAnsiTheme="minorHAnsi"/>
          <w:bCs/>
          <w:sz w:val="24"/>
          <w:szCs w:val="24"/>
        </w:rPr>
        <w:t xml:space="preserve"> </w:t>
      </w:r>
    </w:p>
    <w:p w14:paraId="2C3AA96F" w14:textId="77777777" w:rsidR="00B66D64" w:rsidRPr="00D45CDF" w:rsidRDefault="00B66D64" w:rsidP="00D45CDF">
      <w:pPr>
        <w:spacing w:line="240" w:lineRule="auto"/>
        <w:rPr>
          <w:rFonts w:asciiTheme="minorHAnsi" w:hAnsiTheme="minorHAnsi"/>
          <w:b/>
          <w:sz w:val="24"/>
          <w:szCs w:val="24"/>
        </w:rPr>
      </w:pPr>
      <w:r w:rsidRPr="00D45CDF">
        <w:rPr>
          <w:rFonts w:asciiTheme="minorHAnsi" w:hAnsiTheme="minorHAnsi"/>
          <w:b/>
          <w:sz w:val="24"/>
          <w:szCs w:val="24"/>
        </w:rPr>
        <w:t>References</w:t>
      </w:r>
    </w:p>
    <w:p w14:paraId="6182DA91" w14:textId="77777777" w:rsidR="004C0917" w:rsidRPr="00D45CDF" w:rsidRDefault="004C0917" w:rsidP="00D45CDF">
      <w:pPr>
        <w:spacing w:line="240" w:lineRule="auto"/>
        <w:rPr>
          <w:rFonts w:asciiTheme="minorHAnsi" w:hAnsiTheme="minorHAnsi"/>
          <w:sz w:val="24"/>
          <w:szCs w:val="24"/>
        </w:rPr>
      </w:pPr>
      <w:proofErr w:type="spellStart"/>
      <w:r w:rsidRPr="00D45CDF">
        <w:rPr>
          <w:rFonts w:asciiTheme="minorHAnsi" w:hAnsiTheme="minorHAnsi"/>
          <w:sz w:val="24"/>
          <w:szCs w:val="24"/>
        </w:rPr>
        <w:t>Agutamba</w:t>
      </w:r>
      <w:proofErr w:type="spellEnd"/>
      <w:r w:rsidRPr="00D45CDF">
        <w:rPr>
          <w:rFonts w:asciiTheme="minorHAnsi" w:hAnsiTheme="minorHAnsi"/>
          <w:sz w:val="24"/>
          <w:szCs w:val="24"/>
        </w:rPr>
        <w:t>, K.</w:t>
      </w:r>
      <w:r w:rsidR="00FA78EF" w:rsidRPr="00D45CDF">
        <w:rPr>
          <w:rFonts w:asciiTheme="minorHAnsi" w:hAnsiTheme="minorHAnsi"/>
          <w:sz w:val="24"/>
          <w:szCs w:val="24"/>
        </w:rPr>
        <w:t xml:space="preserve"> </w:t>
      </w:r>
      <w:r w:rsidR="006904A1">
        <w:rPr>
          <w:rFonts w:asciiTheme="minorHAnsi" w:hAnsiTheme="minorHAnsi"/>
          <w:sz w:val="24"/>
          <w:szCs w:val="24"/>
        </w:rPr>
        <w:t>“</w:t>
      </w:r>
      <w:r w:rsidR="00FA78EF" w:rsidRPr="00D45CDF">
        <w:rPr>
          <w:rFonts w:asciiTheme="minorHAnsi" w:hAnsiTheme="minorHAnsi"/>
          <w:sz w:val="24"/>
          <w:szCs w:val="24"/>
        </w:rPr>
        <w:t>Is cross-border legal practice really possible?</w:t>
      </w:r>
      <w:r w:rsidR="006904A1">
        <w:rPr>
          <w:rFonts w:asciiTheme="minorHAnsi" w:hAnsiTheme="minorHAnsi"/>
          <w:sz w:val="24"/>
          <w:szCs w:val="24"/>
        </w:rPr>
        <w:t>”</w:t>
      </w:r>
      <w:r w:rsidR="00FA78EF" w:rsidRPr="00D45CDF">
        <w:rPr>
          <w:rFonts w:asciiTheme="minorHAnsi" w:hAnsiTheme="minorHAnsi"/>
          <w:sz w:val="24"/>
          <w:szCs w:val="24"/>
        </w:rPr>
        <w:t xml:space="preserve"> </w:t>
      </w:r>
      <w:r w:rsidR="00FA78EF" w:rsidRPr="00D45CDF">
        <w:rPr>
          <w:rFonts w:asciiTheme="minorHAnsi" w:hAnsiTheme="minorHAnsi"/>
          <w:i/>
          <w:iCs/>
          <w:sz w:val="24"/>
          <w:szCs w:val="24"/>
        </w:rPr>
        <w:t>The New Times</w:t>
      </w:r>
      <w:r w:rsidR="00C85190" w:rsidRPr="00D45CDF">
        <w:rPr>
          <w:rFonts w:asciiTheme="minorHAnsi" w:hAnsiTheme="minorHAnsi"/>
          <w:i/>
          <w:iCs/>
          <w:sz w:val="24"/>
          <w:szCs w:val="24"/>
        </w:rPr>
        <w:t>.</w:t>
      </w:r>
      <w:r w:rsidR="00FA78EF" w:rsidRPr="00D45CDF">
        <w:rPr>
          <w:rFonts w:asciiTheme="minorHAnsi" w:hAnsiTheme="minorHAnsi"/>
          <w:i/>
          <w:iCs/>
          <w:sz w:val="24"/>
          <w:szCs w:val="24"/>
        </w:rPr>
        <w:t xml:space="preserve"> </w:t>
      </w:r>
      <w:r w:rsidR="00FA78EF" w:rsidRPr="00D45CDF">
        <w:rPr>
          <w:rFonts w:asciiTheme="minorHAnsi" w:hAnsiTheme="minorHAnsi"/>
          <w:sz w:val="24"/>
          <w:szCs w:val="24"/>
        </w:rPr>
        <w:t>20 April</w:t>
      </w:r>
      <w:r w:rsidR="006904A1">
        <w:rPr>
          <w:rFonts w:asciiTheme="minorHAnsi" w:hAnsiTheme="minorHAnsi"/>
          <w:sz w:val="24"/>
          <w:szCs w:val="24"/>
        </w:rPr>
        <w:t xml:space="preserve"> 2015</w:t>
      </w:r>
      <w:r w:rsidR="00FA78EF" w:rsidRPr="00D45CDF">
        <w:rPr>
          <w:rFonts w:asciiTheme="minorHAnsi" w:hAnsiTheme="minorHAnsi"/>
          <w:sz w:val="24"/>
          <w:szCs w:val="24"/>
        </w:rPr>
        <w:t xml:space="preserve">. Available at </w:t>
      </w:r>
      <w:r w:rsidR="00281D69" w:rsidRPr="00D45CDF">
        <w:rPr>
          <w:rFonts w:asciiTheme="minorHAnsi" w:hAnsiTheme="minorHAnsi"/>
          <w:sz w:val="24"/>
          <w:szCs w:val="24"/>
        </w:rPr>
        <w:t>&lt;</w:t>
      </w:r>
      <w:r w:rsidR="00FA78EF" w:rsidRPr="00D45CDF">
        <w:rPr>
          <w:rFonts w:asciiTheme="minorHAnsi" w:hAnsiTheme="minorHAnsi"/>
          <w:sz w:val="24"/>
          <w:szCs w:val="24"/>
        </w:rPr>
        <w:t xml:space="preserve">https://www.newtimes.co.rw/section/read/188004 </w:t>
      </w:r>
      <w:r w:rsidR="00281D69" w:rsidRPr="00D45CDF">
        <w:rPr>
          <w:rFonts w:asciiTheme="minorHAnsi" w:hAnsiTheme="minorHAnsi"/>
          <w:sz w:val="24"/>
          <w:szCs w:val="24"/>
        </w:rPr>
        <w:t xml:space="preserve">&gt; </w:t>
      </w:r>
      <w:r w:rsidR="00FA78EF" w:rsidRPr="00D45CDF">
        <w:rPr>
          <w:rFonts w:asciiTheme="minorHAnsi" w:hAnsiTheme="minorHAnsi"/>
          <w:sz w:val="24"/>
          <w:szCs w:val="24"/>
        </w:rPr>
        <w:t xml:space="preserve">Accessed 31 October 2019. </w:t>
      </w:r>
    </w:p>
    <w:p w14:paraId="7407E54F" w14:textId="77777777" w:rsidR="00B66D64" w:rsidRPr="00D45CDF" w:rsidRDefault="00B66D64" w:rsidP="00D45CDF">
      <w:pPr>
        <w:spacing w:line="240" w:lineRule="auto"/>
        <w:rPr>
          <w:rFonts w:asciiTheme="minorHAnsi" w:hAnsiTheme="minorHAnsi"/>
          <w:sz w:val="24"/>
          <w:szCs w:val="24"/>
        </w:rPr>
      </w:pPr>
      <w:r w:rsidRPr="00D45CDF">
        <w:rPr>
          <w:rFonts w:asciiTheme="minorHAnsi" w:hAnsiTheme="minorHAnsi"/>
          <w:sz w:val="24"/>
          <w:szCs w:val="24"/>
        </w:rPr>
        <w:t>APPG on Legal and Constitutional Affairs</w:t>
      </w:r>
      <w:r w:rsidR="00C360D2">
        <w:rPr>
          <w:rFonts w:asciiTheme="minorHAnsi" w:hAnsiTheme="minorHAnsi"/>
          <w:sz w:val="24"/>
          <w:szCs w:val="24"/>
        </w:rPr>
        <w:t>,</w:t>
      </w:r>
      <w:r w:rsidRPr="00D45CDF">
        <w:rPr>
          <w:rFonts w:asciiTheme="minorHAnsi" w:hAnsiTheme="minorHAnsi"/>
          <w:sz w:val="24"/>
          <w:szCs w:val="24"/>
        </w:rPr>
        <w:t xml:space="preserve"> </w:t>
      </w:r>
      <w:r w:rsidR="002A0F50">
        <w:rPr>
          <w:rFonts w:asciiTheme="minorHAnsi" w:hAnsiTheme="minorHAnsi"/>
          <w:sz w:val="24"/>
          <w:szCs w:val="24"/>
        </w:rPr>
        <w:t>“</w:t>
      </w:r>
      <w:r w:rsidRPr="002A0F50">
        <w:rPr>
          <w:rFonts w:asciiTheme="minorHAnsi" w:hAnsiTheme="minorHAnsi"/>
          <w:sz w:val="24"/>
          <w:szCs w:val="24"/>
        </w:rPr>
        <w:t>The effect of Brexit on legal services</w:t>
      </w:r>
      <w:r w:rsidR="002A0F50">
        <w:rPr>
          <w:rFonts w:asciiTheme="minorHAnsi" w:hAnsiTheme="minorHAnsi"/>
          <w:sz w:val="24"/>
          <w:szCs w:val="24"/>
        </w:rPr>
        <w:t>”</w:t>
      </w:r>
      <w:r w:rsidRPr="00D45CDF">
        <w:rPr>
          <w:rFonts w:asciiTheme="minorHAnsi" w:hAnsiTheme="minorHAnsi"/>
          <w:i/>
          <w:sz w:val="24"/>
          <w:szCs w:val="24"/>
        </w:rPr>
        <w:t xml:space="preserve">. </w:t>
      </w:r>
      <w:r w:rsidRPr="00D45CDF">
        <w:rPr>
          <w:rFonts w:asciiTheme="minorHAnsi" w:hAnsiTheme="minorHAnsi"/>
          <w:sz w:val="24"/>
          <w:szCs w:val="24"/>
        </w:rPr>
        <w:t>October 2018. Law Society of England and Wales. Available at &lt; https://www.lawsociety.org.uk/policy-campaigns/articles/appg-legal-consitutional-affairs-effect-of-brexit-on-legal-services/ &gt; Accessed 21 June 2019.</w:t>
      </w:r>
    </w:p>
    <w:p w14:paraId="6DF4F278" w14:textId="77777777" w:rsidR="00B66D64" w:rsidRPr="00D45CDF" w:rsidRDefault="00C360D2" w:rsidP="00D45CDF">
      <w:pPr>
        <w:spacing w:line="240" w:lineRule="auto"/>
        <w:rPr>
          <w:rFonts w:asciiTheme="minorHAnsi" w:hAnsiTheme="minorHAnsi"/>
          <w:sz w:val="24"/>
          <w:szCs w:val="24"/>
        </w:rPr>
      </w:pPr>
      <w:r>
        <w:rPr>
          <w:rFonts w:asciiTheme="minorHAnsi" w:hAnsiTheme="minorHAnsi"/>
          <w:sz w:val="24"/>
          <w:szCs w:val="24"/>
        </w:rPr>
        <w:t>Bar Council,</w:t>
      </w:r>
      <w:r w:rsidR="00B66D64" w:rsidRPr="00D45CDF">
        <w:rPr>
          <w:rFonts w:asciiTheme="minorHAnsi" w:hAnsiTheme="minorHAnsi"/>
          <w:sz w:val="24"/>
          <w:szCs w:val="24"/>
        </w:rPr>
        <w:t xml:space="preserve"> </w:t>
      </w:r>
      <w:r w:rsidR="002A0F50">
        <w:rPr>
          <w:rFonts w:asciiTheme="minorHAnsi" w:hAnsiTheme="minorHAnsi"/>
          <w:sz w:val="24"/>
          <w:szCs w:val="24"/>
        </w:rPr>
        <w:t>“</w:t>
      </w:r>
      <w:r w:rsidR="00B66D64" w:rsidRPr="002A0F50">
        <w:rPr>
          <w:rFonts w:asciiTheme="minorHAnsi" w:hAnsiTheme="minorHAnsi"/>
          <w:sz w:val="24"/>
          <w:szCs w:val="24"/>
        </w:rPr>
        <w:t>EU Lawyers in the UK – Practice rights under the draft Withdrawal Agreement</w:t>
      </w:r>
      <w:r w:rsidR="00B66D64" w:rsidRPr="00D45CDF">
        <w:rPr>
          <w:rFonts w:asciiTheme="minorHAnsi" w:hAnsiTheme="minorHAnsi"/>
          <w:sz w:val="24"/>
          <w:szCs w:val="24"/>
        </w:rPr>
        <w:t>.</w:t>
      </w:r>
      <w:r w:rsidR="002A0F50">
        <w:rPr>
          <w:rFonts w:asciiTheme="minorHAnsi" w:hAnsiTheme="minorHAnsi"/>
          <w:sz w:val="24"/>
          <w:szCs w:val="24"/>
        </w:rPr>
        <w:t>”</w:t>
      </w:r>
      <w:r w:rsidR="00B66D64" w:rsidRPr="00D45CDF">
        <w:rPr>
          <w:rFonts w:asciiTheme="minorHAnsi" w:hAnsiTheme="minorHAnsi"/>
          <w:sz w:val="24"/>
          <w:szCs w:val="24"/>
        </w:rPr>
        <w:t xml:space="preserve"> 16 November</w:t>
      </w:r>
      <w:r>
        <w:rPr>
          <w:rFonts w:asciiTheme="minorHAnsi" w:hAnsiTheme="minorHAnsi"/>
          <w:sz w:val="24"/>
          <w:szCs w:val="24"/>
        </w:rPr>
        <w:t xml:space="preserve"> 2018</w:t>
      </w:r>
      <w:r w:rsidR="00B66D64" w:rsidRPr="00D45CDF">
        <w:rPr>
          <w:rFonts w:asciiTheme="minorHAnsi" w:hAnsiTheme="minorHAnsi"/>
          <w:sz w:val="24"/>
          <w:szCs w:val="24"/>
        </w:rPr>
        <w:t>. Available at &lt;https://www.barcouncil.org.uk/media/695906/eu-lawyers-in-the-uk-practice-rights-q-a_revised_nov_2018.pdf &gt; Accessed 28 June 2019.</w:t>
      </w:r>
    </w:p>
    <w:p w14:paraId="6906DFA6" w14:textId="77777777" w:rsidR="00B66D64" w:rsidRPr="00D45CDF" w:rsidRDefault="00B66D64" w:rsidP="00D45CDF">
      <w:pPr>
        <w:spacing w:line="240" w:lineRule="auto"/>
        <w:rPr>
          <w:rFonts w:asciiTheme="minorHAnsi" w:hAnsiTheme="minorHAnsi"/>
          <w:sz w:val="24"/>
          <w:szCs w:val="24"/>
        </w:rPr>
      </w:pPr>
      <w:r w:rsidRPr="00D45CDF">
        <w:rPr>
          <w:rFonts w:asciiTheme="minorHAnsi" w:hAnsiTheme="minorHAnsi"/>
          <w:sz w:val="24"/>
          <w:szCs w:val="24"/>
        </w:rPr>
        <w:t>Bar Council Brexit Working Gr</w:t>
      </w:r>
      <w:r w:rsidR="00C360D2">
        <w:rPr>
          <w:rFonts w:asciiTheme="minorHAnsi" w:hAnsiTheme="minorHAnsi"/>
          <w:sz w:val="24"/>
          <w:szCs w:val="24"/>
        </w:rPr>
        <w:t>oup,</w:t>
      </w:r>
      <w:r w:rsidRPr="00D45CDF">
        <w:rPr>
          <w:rFonts w:asciiTheme="minorHAnsi" w:hAnsiTheme="minorHAnsi"/>
          <w:sz w:val="24"/>
          <w:szCs w:val="24"/>
        </w:rPr>
        <w:t xml:space="preserve"> </w:t>
      </w:r>
      <w:r w:rsidR="002A0F50">
        <w:rPr>
          <w:rFonts w:asciiTheme="minorHAnsi" w:hAnsiTheme="minorHAnsi"/>
          <w:sz w:val="24"/>
          <w:szCs w:val="24"/>
        </w:rPr>
        <w:t>“</w:t>
      </w:r>
      <w:r w:rsidRPr="002A0F50">
        <w:rPr>
          <w:rFonts w:asciiTheme="minorHAnsi" w:hAnsiTheme="minorHAnsi"/>
          <w:sz w:val="24"/>
          <w:szCs w:val="24"/>
        </w:rPr>
        <w:t>Legal Services</w:t>
      </w:r>
      <w:r w:rsidRPr="00D45CDF">
        <w:rPr>
          <w:rFonts w:asciiTheme="minorHAnsi" w:hAnsiTheme="minorHAnsi"/>
          <w:sz w:val="24"/>
          <w:szCs w:val="24"/>
        </w:rPr>
        <w:t>.</w:t>
      </w:r>
      <w:r w:rsidR="002A0F50">
        <w:rPr>
          <w:rFonts w:asciiTheme="minorHAnsi" w:hAnsiTheme="minorHAnsi"/>
          <w:sz w:val="24"/>
          <w:szCs w:val="24"/>
        </w:rPr>
        <w:t>”</w:t>
      </w:r>
      <w:r w:rsidRPr="00D45CDF">
        <w:rPr>
          <w:rFonts w:asciiTheme="minorHAnsi" w:hAnsiTheme="minorHAnsi"/>
          <w:sz w:val="24"/>
          <w:szCs w:val="24"/>
        </w:rPr>
        <w:t xml:space="preserve"> June</w:t>
      </w:r>
      <w:r w:rsidR="00C360D2">
        <w:rPr>
          <w:rFonts w:asciiTheme="minorHAnsi" w:hAnsiTheme="minorHAnsi"/>
          <w:sz w:val="24"/>
          <w:szCs w:val="24"/>
        </w:rPr>
        <w:t xml:space="preserve"> 2017</w:t>
      </w:r>
      <w:r w:rsidRPr="00D45CDF">
        <w:rPr>
          <w:rFonts w:asciiTheme="minorHAnsi" w:hAnsiTheme="minorHAnsi"/>
          <w:sz w:val="24"/>
          <w:szCs w:val="24"/>
        </w:rPr>
        <w:t xml:space="preserve">. Paper One. The General Council of the Bar. </w:t>
      </w:r>
    </w:p>
    <w:p w14:paraId="47BEDF76" w14:textId="77777777" w:rsidR="00B66D64" w:rsidRPr="00D45CDF" w:rsidRDefault="00B66D64" w:rsidP="00D45CDF">
      <w:pPr>
        <w:spacing w:line="240" w:lineRule="auto"/>
        <w:rPr>
          <w:rFonts w:asciiTheme="minorHAnsi" w:hAnsiTheme="minorHAnsi"/>
          <w:sz w:val="24"/>
          <w:szCs w:val="24"/>
        </w:rPr>
      </w:pPr>
      <w:r w:rsidRPr="00D45CDF">
        <w:rPr>
          <w:rFonts w:asciiTheme="minorHAnsi" w:hAnsiTheme="minorHAnsi"/>
          <w:sz w:val="24"/>
          <w:szCs w:val="24"/>
        </w:rPr>
        <w:t>B</w:t>
      </w:r>
      <w:r w:rsidR="00C360D2">
        <w:rPr>
          <w:rFonts w:asciiTheme="minorHAnsi" w:hAnsiTheme="minorHAnsi"/>
          <w:sz w:val="24"/>
          <w:szCs w:val="24"/>
        </w:rPr>
        <w:t>ar Council Brexit Working Group,</w:t>
      </w:r>
      <w:r w:rsidRPr="00D45CDF">
        <w:rPr>
          <w:rFonts w:asciiTheme="minorHAnsi" w:hAnsiTheme="minorHAnsi"/>
          <w:sz w:val="24"/>
          <w:szCs w:val="24"/>
        </w:rPr>
        <w:t xml:space="preserve"> </w:t>
      </w:r>
      <w:r w:rsidR="002A0F50">
        <w:rPr>
          <w:rFonts w:asciiTheme="minorHAnsi" w:hAnsiTheme="minorHAnsi"/>
          <w:sz w:val="24"/>
          <w:szCs w:val="24"/>
        </w:rPr>
        <w:t>“</w:t>
      </w:r>
      <w:r w:rsidRPr="002A0F50">
        <w:rPr>
          <w:rFonts w:asciiTheme="minorHAnsi" w:hAnsiTheme="minorHAnsi"/>
          <w:sz w:val="24"/>
          <w:szCs w:val="24"/>
        </w:rPr>
        <w:t>International Arbitration</w:t>
      </w:r>
      <w:r w:rsidRPr="00D45CDF">
        <w:rPr>
          <w:rFonts w:asciiTheme="minorHAnsi" w:hAnsiTheme="minorHAnsi"/>
          <w:sz w:val="24"/>
          <w:szCs w:val="24"/>
        </w:rPr>
        <w:t>.</w:t>
      </w:r>
      <w:r w:rsidR="002A0F50">
        <w:rPr>
          <w:rFonts w:asciiTheme="minorHAnsi" w:hAnsiTheme="minorHAnsi"/>
          <w:sz w:val="24"/>
          <w:szCs w:val="24"/>
        </w:rPr>
        <w:t>”</w:t>
      </w:r>
      <w:r w:rsidRPr="00D45CDF">
        <w:rPr>
          <w:rFonts w:asciiTheme="minorHAnsi" w:hAnsiTheme="minorHAnsi"/>
          <w:sz w:val="24"/>
          <w:szCs w:val="24"/>
        </w:rPr>
        <w:t xml:space="preserve"> March</w:t>
      </w:r>
      <w:r w:rsidR="00C360D2">
        <w:rPr>
          <w:rFonts w:asciiTheme="minorHAnsi" w:hAnsiTheme="minorHAnsi"/>
          <w:sz w:val="24"/>
          <w:szCs w:val="24"/>
        </w:rPr>
        <w:t xml:space="preserve"> 2017</w:t>
      </w:r>
      <w:r w:rsidRPr="00D45CDF">
        <w:rPr>
          <w:rFonts w:asciiTheme="minorHAnsi" w:hAnsiTheme="minorHAnsi"/>
          <w:sz w:val="24"/>
          <w:szCs w:val="24"/>
        </w:rPr>
        <w:t xml:space="preserve">. Paper Two. The General Council of the Bar. </w:t>
      </w:r>
    </w:p>
    <w:p w14:paraId="008F8AE3" w14:textId="77777777" w:rsidR="00B66D64" w:rsidRPr="00D45CDF" w:rsidRDefault="00B66D64" w:rsidP="00D45CDF">
      <w:pPr>
        <w:spacing w:line="240" w:lineRule="auto"/>
        <w:rPr>
          <w:rFonts w:asciiTheme="minorHAnsi" w:hAnsiTheme="minorHAnsi"/>
          <w:sz w:val="24"/>
          <w:szCs w:val="24"/>
        </w:rPr>
      </w:pPr>
      <w:r w:rsidRPr="00D45CDF">
        <w:rPr>
          <w:rFonts w:asciiTheme="minorHAnsi" w:hAnsiTheme="minorHAnsi"/>
          <w:sz w:val="24"/>
          <w:szCs w:val="24"/>
        </w:rPr>
        <w:t>B</w:t>
      </w:r>
      <w:r w:rsidR="00C360D2">
        <w:rPr>
          <w:rFonts w:asciiTheme="minorHAnsi" w:hAnsiTheme="minorHAnsi"/>
          <w:sz w:val="24"/>
          <w:szCs w:val="24"/>
        </w:rPr>
        <w:t>ar Council of England and Wales,</w:t>
      </w:r>
      <w:r w:rsidRPr="00D45CDF">
        <w:rPr>
          <w:rFonts w:asciiTheme="minorHAnsi" w:hAnsiTheme="minorHAnsi"/>
          <w:sz w:val="24"/>
          <w:szCs w:val="24"/>
        </w:rPr>
        <w:t xml:space="preserve"> </w:t>
      </w:r>
      <w:r w:rsidR="00C360D2">
        <w:rPr>
          <w:rFonts w:asciiTheme="minorHAnsi" w:hAnsiTheme="minorHAnsi"/>
          <w:sz w:val="24"/>
          <w:szCs w:val="24"/>
        </w:rPr>
        <w:t>“</w:t>
      </w:r>
      <w:r w:rsidRPr="00D45CDF">
        <w:rPr>
          <w:rFonts w:asciiTheme="minorHAnsi" w:hAnsiTheme="minorHAnsi"/>
          <w:sz w:val="24"/>
          <w:szCs w:val="24"/>
        </w:rPr>
        <w:t xml:space="preserve">Response to the question from the House of Commons Justice Select Committee: What is the value that EU lawyers bring to this country, in </w:t>
      </w:r>
      <w:r w:rsidRPr="00D45CDF">
        <w:rPr>
          <w:rFonts w:asciiTheme="minorHAnsi" w:hAnsiTheme="minorHAnsi"/>
          <w:sz w:val="24"/>
          <w:szCs w:val="24"/>
        </w:rPr>
        <w:lastRenderedPageBreak/>
        <w:t>particular to the City of London?</w:t>
      </w:r>
      <w:r w:rsidR="00C360D2">
        <w:rPr>
          <w:rFonts w:asciiTheme="minorHAnsi" w:hAnsiTheme="minorHAnsi"/>
          <w:sz w:val="24"/>
          <w:szCs w:val="24"/>
        </w:rPr>
        <w:t>”</w:t>
      </w:r>
      <w:r w:rsidRPr="00D45CDF">
        <w:rPr>
          <w:rFonts w:asciiTheme="minorHAnsi" w:hAnsiTheme="minorHAnsi"/>
          <w:sz w:val="24"/>
          <w:szCs w:val="24"/>
        </w:rPr>
        <w:t xml:space="preserve"> 20 July</w:t>
      </w:r>
      <w:r w:rsidR="00C360D2">
        <w:rPr>
          <w:rFonts w:asciiTheme="minorHAnsi" w:hAnsiTheme="minorHAnsi"/>
          <w:sz w:val="24"/>
          <w:szCs w:val="24"/>
        </w:rPr>
        <w:t xml:space="preserve"> 2016</w:t>
      </w:r>
      <w:r w:rsidRPr="00D45CDF">
        <w:rPr>
          <w:rFonts w:asciiTheme="minorHAnsi" w:hAnsiTheme="minorHAnsi"/>
          <w:sz w:val="24"/>
          <w:szCs w:val="24"/>
        </w:rPr>
        <w:t>. Available at &lt;https://www.parliament.uk/documents/commons-committees/Justice/Further-evidence-from-Bar-Council-of-England-and-Wales-on-legal-services-regulation.pdf&gt; Accessed 17 July 2019.</w:t>
      </w:r>
    </w:p>
    <w:p w14:paraId="1DCFD1DA" w14:textId="77777777" w:rsidR="00B66D64" w:rsidRPr="00D45CDF" w:rsidRDefault="00C360D2" w:rsidP="00D45CDF">
      <w:pPr>
        <w:spacing w:line="240" w:lineRule="auto"/>
        <w:rPr>
          <w:rFonts w:asciiTheme="minorHAnsi" w:hAnsiTheme="minorHAnsi"/>
          <w:color w:val="0000FF"/>
          <w:sz w:val="24"/>
          <w:szCs w:val="24"/>
          <w:u w:val="single"/>
        </w:rPr>
      </w:pPr>
      <w:r>
        <w:rPr>
          <w:rFonts w:asciiTheme="minorHAnsi" w:hAnsiTheme="minorHAnsi"/>
          <w:sz w:val="24"/>
          <w:szCs w:val="24"/>
        </w:rPr>
        <w:t>Bar Standards Board,</w:t>
      </w:r>
      <w:r w:rsidR="00B66D64" w:rsidRPr="00D45CDF">
        <w:rPr>
          <w:rFonts w:asciiTheme="minorHAnsi" w:hAnsiTheme="minorHAnsi"/>
          <w:sz w:val="24"/>
          <w:szCs w:val="24"/>
        </w:rPr>
        <w:t xml:space="preserve"> </w:t>
      </w:r>
      <w:r w:rsidR="00B66D64" w:rsidRPr="00D45CDF">
        <w:rPr>
          <w:rFonts w:asciiTheme="minorHAnsi" w:hAnsiTheme="minorHAnsi"/>
          <w:i/>
          <w:sz w:val="24"/>
          <w:szCs w:val="24"/>
        </w:rPr>
        <w:t>The Bar Standards Board Handbook</w:t>
      </w:r>
      <w:r w:rsidR="00B66D64" w:rsidRPr="00D45CDF">
        <w:rPr>
          <w:rFonts w:asciiTheme="minorHAnsi" w:hAnsiTheme="minorHAnsi"/>
          <w:sz w:val="24"/>
          <w:szCs w:val="24"/>
        </w:rPr>
        <w:t xml:space="preserve"> </w:t>
      </w:r>
      <w:r w:rsidR="002A0F50">
        <w:rPr>
          <w:rFonts w:asciiTheme="minorHAnsi" w:hAnsiTheme="minorHAnsi"/>
          <w:sz w:val="24"/>
          <w:szCs w:val="24"/>
        </w:rPr>
        <w:t>(</w:t>
      </w:r>
      <w:r w:rsidR="00B66D64" w:rsidRPr="00D45CDF">
        <w:rPr>
          <w:rFonts w:asciiTheme="minorHAnsi" w:hAnsiTheme="minorHAnsi"/>
          <w:sz w:val="24"/>
          <w:szCs w:val="24"/>
        </w:rPr>
        <w:t>Fourth edition. July</w:t>
      </w:r>
      <w:r>
        <w:rPr>
          <w:rFonts w:asciiTheme="minorHAnsi" w:hAnsiTheme="minorHAnsi"/>
          <w:sz w:val="24"/>
          <w:szCs w:val="24"/>
        </w:rPr>
        <w:t xml:space="preserve"> 2019</w:t>
      </w:r>
      <w:r w:rsidR="002A0F50">
        <w:rPr>
          <w:rFonts w:asciiTheme="minorHAnsi" w:hAnsiTheme="minorHAnsi"/>
          <w:sz w:val="24"/>
          <w:szCs w:val="24"/>
        </w:rPr>
        <w:t>)</w:t>
      </w:r>
      <w:r w:rsidR="00B66D64" w:rsidRPr="00D45CDF">
        <w:rPr>
          <w:rFonts w:asciiTheme="minorHAnsi" w:hAnsiTheme="minorHAnsi"/>
          <w:sz w:val="24"/>
          <w:szCs w:val="24"/>
        </w:rPr>
        <w:t>.</w:t>
      </w:r>
    </w:p>
    <w:p w14:paraId="48B25231" w14:textId="77777777" w:rsidR="00B66D64" w:rsidRPr="00D45CDF" w:rsidRDefault="00B66D64" w:rsidP="00D45CDF">
      <w:pPr>
        <w:autoSpaceDE w:val="0"/>
        <w:autoSpaceDN w:val="0"/>
        <w:adjustRightInd w:val="0"/>
        <w:spacing w:line="240" w:lineRule="auto"/>
        <w:rPr>
          <w:rFonts w:asciiTheme="minorHAnsi" w:hAnsiTheme="minorHAnsi"/>
          <w:sz w:val="24"/>
          <w:szCs w:val="24"/>
        </w:rPr>
      </w:pPr>
      <w:r w:rsidRPr="00D45CDF">
        <w:rPr>
          <w:rFonts w:asciiTheme="minorHAnsi" w:hAnsiTheme="minorHAnsi"/>
          <w:sz w:val="24"/>
          <w:szCs w:val="24"/>
        </w:rPr>
        <w:t>Barnard, C. and Ludlow, A.</w:t>
      </w:r>
      <w:r w:rsidR="002A0F50">
        <w:rPr>
          <w:rFonts w:asciiTheme="minorHAnsi" w:hAnsiTheme="minorHAnsi"/>
          <w:sz w:val="24"/>
          <w:szCs w:val="24"/>
        </w:rPr>
        <w:t>,</w:t>
      </w:r>
      <w:r w:rsidRPr="00D45CDF">
        <w:rPr>
          <w:rFonts w:asciiTheme="minorHAnsi" w:hAnsiTheme="minorHAnsi"/>
          <w:sz w:val="24"/>
          <w:szCs w:val="24"/>
        </w:rPr>
        <w:t xml:space="preserve"> </w:t>
      </w:r>
      <w:r w:rsidR="00DB3574">
        <w:rPr>
          <w:rFonts w:asciiTheme="minorHAnsi" w:hAnsiTheme="minorHAnsi"/>
          <w:sz w:val="24"/>
          <w:szCs w:val="24"/>
        </w:rPr>
        <w:t>“</w:t>
      </w:r>
      <w:r w:rsidRPr="00D45CDF">
        <w:rPr>
          <w:rFonts w:asciiTheme="minorHAnsi" w:hAnsiTheme="minorHAnsi"/>
          <w:sz w:val="24"/>
          <w:szCs w:val="24"/>
        </w:rPr>
        <w:t>Free Movement of Services, Migration and Le</w:t>
      </w:r>
      <w:r w:rsidR="00DB3574">
        <w:rPr>
          <w:rFonts w:asciiTheme="minorHAnsi" w:hAnsiTheme="minorHAnsi"/>
          <w:sz w:val="24"/>
          <w:szCs w:val="24"/>
        </w:rPr>
        <w:t>aving the EU</w:t>
      </w:r>
      <w:r w:rsidRPr="00D45CDF">
        <w:rPr>
          <w:rFonts w:asciiTheme="minorHAnsi" w:hAnsiTheme="minorHAnsi"/>
          <w:sz w:val="24"/>
          <w:szCs w:val="24"/>
        </w:rPr>
        <w:t>.</w:t>
      </w:r>
      <w:r w:rsidR="00DB3574">
        <w:rPr>
          <w:rFonts w:asciiTheme="minorHAnsi" w:hAnsiTheme="minorHAnsi"/>
          <w:sz w:val="24"/>
          <w:szCs w:val="24"/>
        </w:rPr>
        <w:t>”</w:t>
      </w:r>
      <w:r w:rsidRPr="00D45CDF">
        <w:rPr>
          <w:rFonts w:asciiTheme="minorHAnsi" w:hAnsiTheme="minorHAnsi"/>
          <w:sz w:val="24"/>
          <w:szCs w:val="24"/>
        </w:rPr>
        <w:t xml:space="preserve"> </w:t>
      </w:r>
      <w:r w:rsidRPr="00D45CDF">
        <w:rPr>
          <w:rFonts w:asciiTheme="minorHAnsi" w:hAnsiTheme="minorHAnsi"/>
          <w:i/>
          <w:sz w:val="24"/>
          <w:szCs w:val="24"/>
        </w:rPr>
        <w:t xml:space="preserve">National Institute Economic Review, </w:t>
      </w:r>
      <w:r w:rsidR="00DB3574">
        <w:rPr>
          <w:rFonts w:asciiTheme="minorHAnsi" w:hAnsiTheme="minorHAnsi"/>
          <w:sz w:val="24"/>
          <w:szCs w:val="24"/>
        </w:rPr>
        <w:t>May,</w:t>
      </w:r>
      <w:r w:rsidRPr="00D45CDF">
        <w:rPr>
          <w:rFonts w:asciiTheme="minorHAnsi" w:hAnsiTheme="minorHAnsi"/>
          <w:sz w:val="24"/>
          <w:szCs w:val="24"/>
        </w:rPr>
        <w:t xml:space="preserve"> 236, </w:t>
      </w:r>
      <w:r w:rsidR="00DB3574" w:rsidRPr="00D45CDF">
        <w:rPr>
          <w:rFonts w:asciiTheme="minorHAnsi" w:hAnsiTheme="minorHAnsi"/>
          <w:sz w:val="24"/>
          <w:szCs w:val="24"/>
        </w:rPr>
        <w:t>(2016)</w:t>
      </w:r>
      <w:r w:rsidR="00DB3574">
        <w:rPr>
          <w:rFonts w:asciiTheme="minorHAnsi" w:hAnsiTheme="minorHAnsi"/>
          <w:sz w:val="24"/>
          <w:szCs w:val="24"/>
        </w:rPr>
        <w:t>:</w:t>
      </w:r>
      <w:r w:rsidRPr="00D45CDF">
        <w:rPr>
          <w:rFonts w:asciiTheme="minorHAnsi" w:hAnsiTheme="minorHAnsi"/>
          <w:sz w:val="24"/>
          <w:szCs w:val="24"/>
        </w:rPr>
        <w:t xml:space="preserve"> 23-30.</w:t>
      </w:r>
    </w:p>
    <w:p w14:paraId="7C07F767" w14:textId="77777777" w:rsidR="00B66D64" w:rsidRPr="00D45CDF" w:rsidRDefault="00DB3574" w:rsidP="00D45CDF">
      <w:pPr>
        <w:autoSpaceDE w:val="0"/>
        <w:autoSpaceDN w:val="0"/>
        <w:adjustRightInd w:val="0"/>
        <w:spacing w:line="240" w:lineRule="auto"/>
        <w:rPr>
          <w:rFonts w:asciiTheme="minorHAnsi" w:hAnsiTheme="minorHAnsi"/>
          <w:sz w:val="24"/>
          <w:szCs w:val="24"/>
        </w:rPr>
      </w:pPr>
      <w:proofErr w:type="spellStart"/>
      <w:r>
        <w:rPr>
          <w:rFonts w:asciiTheme="minorHAnsi" w:hAnsiTheme="minorHAnsi"/>
          <w:sz w:val="24"/>
          <w:szCs w:val="24"/>
        </w:rPr>
        <w:t>Beqiraj</w:t>
      </w:r>
      <w:proofErr w:type="spellEnd"/>
      <w:r>
        <w:rPr>
          <w:rFonts w:asciiTheme="minorHAnsi" w:hAnsiTheme="minorHAnsi"/>
          <w:sz w:val="24"/>
          <w:szCs w:val="24"/>
        </w:rPr>
        <w:t>, J.</w:t>
      </w:r>
      <w:r w:rsidR="002A0F50">
        <w:rPr>
          <w:rFonts w:asciiTheme="minorHAnsi" w:hAnsiTheme="minorHAnsi"/>
          <w:sz w:val="24"/>
          <w:szCs w:val="24"/>
        </w:rPr>
        <w:t>,</w:t>
      </w:r>
      <w:r>
        <w:rPr>
          <w:rFonts w:asciiTheme="minorHAnsi" w:hAnsiTheme="minorHAnsi"/>
          <w:sz w:val="24"/>
          <w:szCs w:val="24"/>
        </w:rPr>
        <w:t xml:space="preserve"> “</w:t>
      </w:r>
      <w:r w:rsidR="00B66D64" w:rsidRPr="00D45CDF">
        <w:rPr>
          <w:rFonts w:asciiTheme="minorHAnsi" w:hAnsiTheme="minorHAnsi"/>
          <w:sz w:val="24"/>
          <w:szCs w:val="24"/>
        </w:rPr>
        <w:t>FAQ: Professional Qualifications after Brexit.</w:t>
      </w:r>
      <w:r>
        <w:rPr>
          <w:rFonts w:asciiTheme="minorHAnsi" w:hAnsiTheme="minorHAnsi"/>
          <w:sz w:val="24"/>
          <w:szCs w:val="24"/>
        </w:rPr>
        <w:t>”</w:t>
      </w:r>
      <w:r w:rsidR="00B66D64" w:rsidRPr="00D45CDF">
        <w:rPr>
          <w:rFonts w:asciiTheme="minorHAnsi" w:hAnsiTheme="minorHAnsi"/>
          <w:sz w:val="24"/>
          <w:szCs w:val="24"/>
        </w:rPr>
        <w:t xml:space="preserve"> </w:t>
      </w:r>
      <w:r w:rsidR="00B66D64" w:rsidRPr="002A0F50">
        <w:rPr>
          <w:rFonts w:asciiTheme="minorHAnsi" w:hAnsiTheme="minorHAnsi"/>
          <w:i/>
          <w:sz w:val="24"/>
          <w:szCs w:val="24"/>
        </w:rPr>
        <w:t>British Institute of International and Comparative Law</w:t>
      </w:r>
      <w:r w:rsidR="00B66D64" w:rsidRPr="00D45CDF">
        <w:rPr>
          <w:rFonts w:asciiTheme="minorHAnsi" w:hAnsiTheme="minorHAnsi"/>
          <w:sz w:val="24"/>
          <w:szCs w:val="24"/>
        </w:rPr>
        <w:t>, October</w:t>
      </w:r>
      <w:r>
        <w:rPr>
          <w:rFonts w:asciiTheme="minorHAnsi" w:hAnsiTheme="minorHAnsi"/>
          <w:sz w:val="24"/>
          <w:szCs w:val="24"/>
        </w:rPr>
        <w:t xml:space="preserve"> 2017</w:t>
      </w:r>
      <w:r w:rsidR="00B66D64" w:rsidRPr="00D45CDF">
        <w:rPr>
          <w:rFonts w:asciiTheme="minorHAnsi" w:hAnsiTheme="minorHAnsi"/>
          <w:sz w:val="24"/>
          <w:szCs w:val="24"/>
        </w:rPr>
        <w:t xml:space="preserve">. </w:t>
      </w:r>
    </w:p>
    <w:p w14:paraId="58AB2B98" w14:textId="77777777" w:rsidR="007C5C58" w:rsidRPr="00D45CDF" w:rsidRDefault="007C5C58" w:rsidP="00D45CDF">
      <w:pPr>
        <w:autoSpaceDE w:val="0"/>
        <w:autoSpaceDN w:val="0"/>
        <w:adjustRightInd w:val="0"/>
        <w:spacing w:line="240" w:lineRule="auto"/>
        <w:rPr>
          <w:rFonts w:asciiTheme="minorHAnsi" w:hAnsiTheme="minorHAnsi"/>
          <w:sz w:val="24"/>
          <w:szCs w:val="24"/>
        </w:rPr>
      </w:pPr>
      <w:r w:rsidRPr="00D45CDF">
        <w:rPr>
          <w:rFonts w:asciiTheme="minorHAnsi" w:hAnsiTheme="minorHAnsi"/>
          <w:sz w:val="24"/>
          <w:szCs w:val="24"/>
        </w:rPr>
        <w:t>Binda, M.</w:t>
      </w:r>
      <w:r w:rsidR="002A0F50">
        <w:rPr>
          <w:rFonts w:asciiTheme="minorHAnsi" w:hAnsiTheme="minorHAnsi"/>
          <w:sz w:val="24"/>
          <w:szCs w:val="24"/>
        </w:rPr>
        <w:t>,</w:t>
      </w:r>
      <w:r w:rsidRPr="00D45CDF">
        <w:rPr>
          <w:rFonts w:asciiTheme="minorHAnsi" w:hAnsiTheme="minorHAnsi"/>
          <w:sz w:val="24"/>
          <w:szCs w:val="24"/>
        </w:rPr>
        <w:t xml:space="preserve"> </w:t>
      </w:r>
      <w:r w:rsidR="002A0F50" w:rsidRPr="002A0F50">
        <w:rPr>
          <w:rFonts w:asciiTheme="minorHAnsi" w:hAnsiTheme="minorHAnsi"/>
          <w:sz w:val="24"/>
          <w:szCs w:val="24"/>
        </w:rPr>
        <w:t>“</w:t>
      </w:r>
      <w:r w:rsidRPr="002A0F50">
        <w:rPr>
          <w:rFonts w:asciiTheme="minorHAnsi" w:hAnsiTheme="minorHAnsi"/>
          <w:sz w:val="24"/>
          <w:szCs w:val="24"/>
        </w:rPr>
        <w:t>Good Governance and Foreign Direct Investment: A Legal Contribution to a Balanced Economic Development in the East African Community,</w:t>
      </w:r>
      <w:r w:rsidR="002A0F50" w:rsidRPr="002A0F50">
        <w:rPr>
          <w:rFonts w:asciiTheme="minorHAnsi" w:hAnsiTheme="minorHAnsi"/>
          <w:sz w:val="24"/>
          <w:szCs w:val="24"/>
        </w:rPr>
        <w:t>”</w:t>
      </w:r>
      <w:r w:rsidRPr="00D45CDF">
        <w:rPr>
          <w:rFonts w:asciiTheme="minorHAnsi" w:hAnsiTheme="minorHAnsi"/>
          <w:sz w:val="24"/>
          <w:szCs w:val="24"/>
        </w:rPr>
        <w:t xml:space="preserve"> PhD Thesis, Utrecht University.</w:t>
      </w:r>
      <w:r w:rsidR="0090085F" w:rsidRPr="00D45CDF">
        <w:rPr>
          <w:rFonts w:asciiTheme="minorHAnsi" w:hAnsiTheme="minorHAnsi"/>
          <w:sz w:val="24"/>
          <w:szCs w:val="24"/>
        </w:rPr>
        <w:t xml:space="preserve"> </w:t>
      </w:r>
      <w:r w:rsidR="00DB3574" w:rsidRPr="00D45CDF">
        <w:rPr>
          <w:rFonts w:asciiTheme="minorHAnsi" w:hAnsiTheme="minorHAnsi"/>
          <w:sz w:val="24"/>
          <w:szCs w:val="24"/>
        </w:rPr>
        <w:t xml:space="preserve">(2015) </w:t>
      </w:r>
      <w:r w:rsidR="0090085F" w:rsidRPr="00D45CDF">
        <w:rPr>
          <w:rFonts w:asciiTheme="minorHAnsi" w:hAnsiTheme="minorHAnsi"/>
          <w:sz w:val="24"/>
          <w:szCs w:val="24"/>
        </w:rPr>
        <w:t>Available at &lt;https://dspace.library.uu.nl/handle/1874/318087&gt; Accessed 26 June 2020</w:t>
      </w:r>
      <w:r w:rsidR="00007EE5" w:rsidRPr="00D45CDF">
        <w:rPr>
          <w:rFonts w:asciiTheme="minorHAnsi" w:hAnsiTheme="minorHAnsi"/>
          <w:sz w:val="24"/>
          <w:szCs w:val="24"/>
        </w:rPr>
        <w:t>.</w:t>
      </w:r>
    </w:p>
    <w:p w14:paraId="39B445C1" w14:textId="77777777" w:rsidR="007C5C58" w:rsidRPr="00D45CDF" w:rsidRDefault="002A0F50" w:rsidP="00D45CDF">
      <w:pPr>
        <w:autoSpaceDE w:val="0"/>
        <w:autoSpaceDN w:val="0"/>
        <w:adjustRightInd w:val="0"/>
        <w:spacing w:line="240" w:lineRule="auto"/>
        <w:rPr>
          <w:rFonts w:asciiTheme="minorHAnsi" w:eastAsiaTheme="minorHAnsi" w:hAnsiTheme="minorHAnsi"/>
          <w:b/>
          <w:sz w:val="24"/>
          <w:szCs w:val="24"/>
          <w:lang w:eastAsia="en-US"/>
        </w:rPr>
      </w:pPr>
      <w:r>
        <w:rPr>
          <w:rFonts w:asciiTheme="minorHAnsi" w:hAnsiTheme="minorHAnsi"/>
          <w:sz w:val="24"/>
          <w:szCs w:val="24"/>
          <w:lang w:val="en-US"/>
        </w:rPr>
        <w:t>Binda, M., “Legal Framework of the EAC</w:t>
      </w:r>
      <w:r w:rsidR="007C5C58" w:rsidRPr="00D45CDF">
        <w:rPr>
          <w:rFonts w:asciiTheme="minorHAnsi" w:hAnsiTheme="minorHAnsi"/>
          <w:sz w:val="24"/>
          <w:szCs w:val="24"/>
          <w:lang w:val="en-US"/>
        </w:rPr>
        <w:t>,</w:t>
      </w:r>
      <w:r>
        <w:rPr>
          <w:rFonts w:asciiTheme="minorHAnsi" w:hAnsiTheme="minorHAnsi"/>
          <w:sz w:val="24"/>
          <w:szCs w:val="24"/>
          <w:lang w:val="en-US"/>
        </w:rPr>
        <w:t>”</w:t>
      </w:r>
      <w:r w:rsidR="007C5C58" w:rsidRPr="00D45CDF">
        <w:rPr>
          <w:rFonts w:asciiTheme="minorHAnsi" w:hAnsiTheme="minorHAnsi"/>
          <w:sz w:val="24"/>
          <w:szCs w:val="24"/>
          <w:lang w:val="en-US"/>
        </w:rPr>
        <w:t xml:space="preserve"> </w:t>
      </w:r>
      <w:r w:rsidR="007C5C58" w:rsidRPr="00D45CDF">
        <w:rPr>
          <w:rFonts w:asciiTheme="minorHAnsi" w:hAnsiTheme="minorHAnsi"/>
          <w:sz w:val="24"/>
          <w:szCs w:val="24"/>
        </w:rPr>
        <w:t xml:space="preserve">in </w:t>
      </w:r>
      <w:r w:rsidRPr="00D45CDF">
        <w:rPr>
          <w:rFonts w:asciiTheme="minorHAnsi" w:hAnsiTheme="minorHAnsi"/>
          <w:i/>
          <w:iCs/>
          <w:sz w:val="24"/>
          <w:szCs w:val="24"/>
        </w:rPr>
        <w:t>East African Community Law</w:t>
      </w:r>
      <w:r w:rsidRPr="00D45CDF">
        <w:rPr>
          <w:rFonts w:asciiTheme="minorHAnsi" w:hAnsiTheme="minorHAnsi"/>
          <w:sz w:val="24"/>
          <w:szCs w:val="24"/>
        </w:rPr>
        <w:t xml:space="preserve"> </w:t>
      </w:r>
      <w:r w:rsidR="007C5C58" w:rsidRPr="00D45CDF">
        <w:rPr>
          <w:rFonts w:asciiTheme="minorHAnsi" w:hAnsiTheme="minorHAnsi"/>
          <w:sz w:val="24"/>
          <w:szCs w:val="24"/>
        </w:rPr>
        <w:t xml:space="preserve">eds </w:t>
      </w:r>
      <w:proofErr w:type="spellStart"/>
      <w:r w:rsidR="007C5C58" w:rsidRPr="00D45CDF">
        <w:rPr>
          <w:rFonts w:asciiTheme="minorHAnsi" w:hAnsiTheme="minorHAnsi"/>
          <w:sz w:val="24"/>
          <w:szCs w:val="24"/>
        </w:rPr>
        <w:t>Ugirashebuja</w:t>
      </w:r>
      <w:proofErr w:type="spellEnd"/>
      <w:r w:rsidR="007C5C58" w:rsidRPr="00D45CDF">
        <w:rPr>
          <w:rFonts w:asciiTheme="minorHAnsi" w:hAnsiTheme="minorHAnsi"/>
          <w:sz w:val="24"/>
          <w:szCs w:val="24"/>
        </w:rPr>
        <w:t xml:space="preserve">, E., </w:t>
      </w:r>
      <w:proofErr w:type="spellStart"/>
      <w:r w:rsidR="007C5C58" w:rsidRPr="00D45CDF">
        <w:rPr>
          <w:rFonts w:asciiTheme="minorHAnsi" w:hAnsiTheme="minorHAnsi"/>
          <w:sz w:val="24"/>
          <w:szCs w:val="24"/>
        </w:rPr>
        <w:t>Ruhangisa</w:t>
      </w:r>
      <w:proofErr w:type="spellEnd"/>
      <w:r w:rsidR="007C5C58" w:rsidRPr="00D45CDF">
        <w:rPr>
          <w:rFonts w:asciiTheme="minorHAnsi" w:hAnsiTheme="minorHAnsi"/>
          <w:sz w:val="24"/>
          <w:szCs w:val="24"/>
        </w:rPr>
        <w:t xml:space="preserve">, J.E., </w:t>
      </w:r>
      <w:proofErr w:type="spellStart"/>
      <w:r w:rsidR="007C5C58" w:rsidRPr="00D45CDF">
        <w:rPr>
          <w:rFonts w:asciiTheme="minorHAnsi" w:hAnsiTheme="minorHAnsi"/>
          <w:sz w:val="24"/>
          <w:szCs w:val="24"/>
        </w:rPr>
        <w:t>Ottervanger</w:t>
      </w:r>
      <w:proofErr w:type="spellEnd"/>
      <w:r w:rsidR="007C5C58" w:rsidRPr="00D45CDF">
        <w:rPr>
          <w:rFonts w:asciiTheme="minorHAnsi" w:hAnsiTheme="minorHAnsi"/>
          <w:sz w:val="24"/>
          <w:szCs w:val="24"/>
        </w:rPr>
        <w:t xml:space="preserve">, T. and </w:t>
      </w:r>
      <w:proofErr w:type="spellStart"/>
      <w:r w:rsidR="007C5C58" w:rsidRPr="00D45CDF">
        <w:rPr>
          <w:rFonts w:asciiTheme="minorHAnsi" w:hAnsiTheme="minorHAnsi"/>
          <w:sz w:val="24"/>
          <w:szCs w:val="24"/>
        </w:rPr>
        <w:t>Cuyvers</w:t>
      </w:r>
      <w:proofErr w:type="spellEnd"/>
      <w:r w:rsidR="007C5C58" w:rsidRPr="00D45CDF">
        <w:rPr>
          <w:rFonts w:asciiTheme="minorHAnsi" w:hAnsiTheme="minorHAnsi"/>
          <w:sz w:val="24"/>
          <w:szCs w:val="24"/>
        </w:rPr>
        <w:t xml:space="preserve">, A. </w:t>
      </w:r>
      <w:r w:rsidR="00DB3574">
        <w:rPr>
          <w:rFonts w:asciiTheme="minorHAnsi" w:hAnsiTheme="minorHAnsi"/>
          <w:sz w:val="24"/>
          <w:szCs w:val="24"/>
        </w:rPr>
        <w:t>(</w:t>
      </w:r>
      <w:r w:rsidR="007C5C58" w:rsidRPr="00D45CDF">
        <w:rPr>
          <w:rFonts w:asciiTheme="minorHAnsi" w:hAnsiTheme="minorHAnsi"/>
          <w:sz w:val="24"/>
          <w:szCs w:val="24"/>
        </w:rPr>
        <w:t xml:space="preserve">Leiden. Brill </w:t>
      </w:r>
      <w:proofErr w:type="spellStart"/>
      <w:r w:rsidR="007C5C58" w:rsidRPr="00D45CDF">
        <w:rPr>
          <w:rFonts w:asciiTheme="minorHAnsi" w:hAnsiTheme="minorHAnsi"/>
          <w:sz w:val="24"/>
          <w:szCs w:val="24"/>
        </w:rPr>
        <w:t>Nijhoff</w:t>
      </w:r>
      <w:proofErr w:type="spellEnd"/>
      <w:r w:rsidR="007C5C58" w:rsidRPr="00D45CDF">
        <w:rPr>
          <w:rFonts w:asciiTheme="minorHAnsi" w:hAnsiTheme="minorHAnsi"/>
          <w:sz w:val="24"/>
          <w:szCs w:val="24"/>
        </w:rPr>
        <w:t xml:space="preserve">, </w:t>
      </w:r>
      <w:r>
        <w:rPr>
          <w:rFonts w:asciiTheme="minorHAnsi" w:hAnsiTheme="minorHAnsi"/>
          <w:sz w:val="24"/>
          <w:szCs w:val="24"/>
          <w:lang w:val="en-US"/>
        </w:rPr>
        <w:t>2017):</w:t>
      </w:r>
      <w:r w:rsidR="00DB3574">
        <w:rPr>
          <w:rFonts w:asciiTheme="minorHAnsi" w:hAnsiTheme="minorHAnsi"/>
          <w:sz w:val="24"/>
          <w:szCs w:val="24"/>
          <w:lang w:val="en-US"/>
        </w:rPr>
        <w:t xml:space="preserve"> </w:t>
      </w:r>
      <w:r w:rsidR="007C5C58" w:rsidRPr="00D45CDF">
        <w:rPr>
          <w:rFonts w:asciiTheme="minorHAnsi" w:hAnsiTheme="minorHAnsi"/>
          <w:sz w:val="24"/>
          <w:szCs w:val="24"/>
        </w:rPr>
        <w:t>103-118.</w:t>
      </w:r>
    </w:p>
    <w:p w14:paraId="53E4C74B" w14:textId="77777777" w:rsidR="00520BD3" w:rsidRPr="00D45CDF" w:rsidRDefault="00520BD3" w:rsidP="00D45CDF">
      <w:pPr>
        <w:autoSpaceDE w:val="0"/>
        <w:autoSpaceDN w:val="0"/>
        <w:adjustRightInd w:val="0"/>
        <w:spacing w:line="240" w:lineRule="auto"/>
        <w:rPr>
          <w:rFonts w:asciiTheme="minorHAnsi" w:hAnsiTheme="minorHAnsi"/>
          <w:sz w:val="24"/>
          <w:szCs w:val="24"/>
        </w:rPr>
      </w:pPr>
      <w:r w:rsidRPr="00D45CDF">
        <w:rPr>
          <w:rFonts w:asciiTheme="minorHAnsi" w:hAnsiTheme="minorHAnsi"/>
          <w:sz w:val="24"/>
          <w:szCs w:val="24"/>
        </w:rPr>
        <w:t>CCBE</w:t>
      </w:r>
      <w:r w:rsidR="002A0F50">
        <w:rPr>
          <w:rFonts w:asciiTheme="minorHAnsi" w:hAnsiTheme="minorHAnsi"/>
          <w:sz w:val="24"/>
          <w:szCs w:val="24"/>
        </w:rPr>
        <w:t>,</w:t>
      </w:r>
      <w:r w:rsidRPr="00D45CDF">
        <w:rPr>
          <w:rFonts w:asciiTheme="minorHAnsi" w:hAnsiTheme="minorHAnsi"/>
          <w:sz w:val="24"/>
          <w:szCs w:val="24"/>
        </w:rPr>
        <w:t xml:space="preserve"> </w:t>
      </w:r>
      <w:r w:rsidR="002A0F50">
        <w:rPr>
          <w:rFonts w:asciiTheme="minorHAnsi" w:hAnsiTheme="minorHAnsi"/>
          <w:sz w:val="24"/>
          <w:szCs w:val="24"/>
        </w:rPr>
        <w:t>“</w:t>
      </w:r>
      <w:r w:rsidRPr="00D45CDF">
        <w:rPr>
          <w:rFonts w:asciiTheme="minorHAnsi" w:hAnsiTheme="minorHAnsi"/>
          <w:sz w:val="24"/>
          <w:szCs w:val="24"/>
        </w:rPr>
        <w:t>Charter of core principles of the European legal profession &amp; Code of conduct for European lawyers.</w:t>
      </w:r>
      <w:r w:rsidR="002A0F50">
        <w:rPr>
          <w:rFonts w:asciiTheme="minorHAnsi" w:hAnsiTheme="minorHAnsi"/>
          <w:sz w:val="24"/>
          <w:szCs w:val="24"/>
        </w:rPr>
        <w:t>”</w:t>
      </w:r>
      <w:r w:rsidRPr="00D45CDF">
        <w:rPr>
          <w:rFonts w:asciiTheme="minorHAnsi" w:hAnsiTheme="minorHAnsi"/>
          <w:sz w:val="24"/>
          <w:szCs w:val="24"/>
        </w:rPr>
        <w:t xml:space="preserve"> Available at https://www.ccbe.eu/fileadmin/speciality_distribution/public/documents/DEONTOLOGY/DEON_CoC/EN_DEON_CoC.pdf&gt; Accessed 11 June 2020</w:t>
      </w:r>
      <w:r w:rsidR="00007EE5" w:rsidRPr="00D45CDF">
        <w:rPr>
          <w:rFonts w:asciiTheme="minorHAnsi" w:hAnsiTheme="minorHAnsi"/>
          <w:sz w:val="24"/>
          <w:szCs w:val="24"/>
        </w:rPr>
        <w:t>.</w:t>
      </w:r>
    </w:p>
    <w:p w14:paraId="0ABE5B58" w14:textId="77777777" w:rsidR="00B66D64" w:rsidRPr="00D45CDF" w:rsidRDefault="00DB3574" w:rsidP="00D45CDF">
      <w:pPr>
        <w:autoSpaceDE w:val="0"/>
        <w:autoSpaceDN w:val="0"/>
        <w:adjustRightInd w:val="0"/>
        <w:spacing w:line="240" w:lineRule="auto"/>
        <w:rPr>
          <w:rFonts w:asciiTheme="minorHAnsi" w:hAnsiTheme="minorHAnsi"/>
          <w:sz w:val="24"/>
          <w:szCs w:val="24"/>
        </w:rPr>
      </w:pPr>
      <w:r>
        <w:rPr>
          <w:rFonts w:asciiTheme="minorHAnsi" w:hAnsiTheme="minorHAnsi"/>
          <w:sz w:val="24"/>
          <w:szCs w:val="24"/>
        </w:rPr>
        <w:t>CCBE, “</w:t>
      </w:r>
      <w:r w:rsidR="00B66D64" w:rsidRPr="00D45CDF">
        <w:rPr>
          <w:rFonts w:asciiTheme="minorHAnsi" w:hAnsiTheme="minorHAnsi"/>
          <w:sz w:val="24"/>
          <w:szCs w:val="24"/>
        </w:rPr>
        <w:t>CCBE Lawyers’ Statistics 2008.</w:t>
      </w:r>
      <w:r>
        <w:rPr>
          <w:rFonts w:asciiTheme="minorHAnsi" w:hAnsiTheme="minorHAnsi"/>
          <w:sz w:val="24"/>
          <w:szCs w:val="24"/>
        </w:rPr>
        <w:t>”</w:t>
      </w:r>
      <w:r w:rsidR="00B66D64" w:rsidRPr="00D45CDF">
        <w:rPr>
          <w:rFonts w:asciiTheme="minorHAnsi" w:hAnsiTheme="minorHAnsi"/>
          <w:sz w:val="24"/>
          <w:szCs w:val="24"/>
        </w:rPr>
        <w:t xml:space="preserve"> Available at &lt;https://www.ccbe.eu/fileadmin/speciality_distribution/public/documents/Statistics/EN_STAT_2008_Number_of_lawyers_in_European_countries.pdf&gt; Accessed 17 July 2019.</w:t>
      </w:r>
    </w:p>
    <w:p w14:paraId="43C3034E" w14:textId="77777777" w:rsidR="00B66D64" w:rsidRPr="00D45CDF" w:rsidRDefault="00DB3574" w:rsidP="00D45CDF">
      <w:pPr>
        <w:autoSpaceDE w:val="0"/>
        <w:autoSpaceDN w:val="0"/>
        <w:adjustRightInd w:val="0"/>
        <w:spacing w:line="240" w:lineRule="auto"/>
        <w:rPr>
          <w:rFonts w:asciiTheme="minorHAnsi" w:hAnsiTheme="minorHAnsi"/>
          <w:sz w:val="24"/>
          <w:szCs w:val="24"/>
        </w:rPr>
      </w:pPr>
      <w:r>
        <w:rPr>
          <w:rFonts w:asciiTheme="minorHAnsi" w:hAnsiTheme="minorHAnsi"/>
          <w:sz w:val="24"/>
          <w:szCs w:val="24"/>
        </w:rPr>
        <w:t>CCBE</w:t>
      </w:r>
      <w:r w:rsidR="002A0F50">
        <w:rPr>
          <w:rFonts w:asciiTheme="minorHAnsi" w:hAnsiTheme="minorHAnsi"/>
          <w:sz w:val="24"/>
          <w:szCs w:val="24"/>
        </w:rPr>
        <w:t>,</w:t>
      </w:r>
      <w:r w:rsidR="00B66D64" w:rsidRPr="00D45CDF">
        <w:rPr>
          <w:rFonts w:asciiTheme="minorHAnsi" w:hAnsiTheme="minorHAnsi"/>
          <w:sz w:val="24"/>
          <w:szCs w:val="24"/>
        </w:rPr>
        <w:t xml:space="preserve"> </w:t>
      </w:r>
      <w:r>
        <w:rPr>
          <w:rFonts w:asciiTheme="minorHAnsi" w:hAnsiTheme="minorHAnsi"/>
          <w:sz w:val="24"/>
          <w:szCs w:val="24"/>
        </w:rPr>
        <w:t>“</w:t>
      </w:r>
      <w:r w:rsidR="00B66D64" w:rsidRPr="00D45CDF">
        <w:rPr>
          <w:rFonts w:asciiTheme="minorHAnsi" w:hAnsiTheme="minorHAnsi"/>
          <w:sz w:val="24"/>
          <w:szCs w:val="24"/>
        </w:rPr>
        <w:t>Evaluation of the Lawyers’ Directives.</w:t>
      </w:r>
      <w:r>
        <w:rPr>
          <w:rFonts w:asciiTheme="minorHAnsi" w:hAnsiTheme="minorHAnsi"/>
          <w:sz w:val="24"/>
          <w:szCs w:val="24"/>
        </w:rPr>
        <w:t>”</w:t>
      </w:r>
      <w:r w:rsidR="00B66D64" w:rsidRPr="00D45CDF">
        <w:rPr>
          <w:rFonts w:asciiTheme="minorHAnsi" w:hAnsiTheme="minorHAnsi"/>
          <w:sz w:val="24"/>
          <w:szCs w:val="24"/>
        </w:rPr>
        <w:t xml:space="preserve"> 12</w:t>
      </w:r>
      <w:r w:rsidR="00281D69" w:rsidRPr="00D45CDF">
        <w:rPr>
          <w:rFonts w:asciiTheme="minorHAnsi" w:hAnsiTheme="minorHAnsi"/>
          <w:sz w:val="24"/>
          <w:szCs w:val="24"/>
        </w:rPr>
        <w:t xml:space="preserve"> September</w:t>
      </w:r>
      <w:r>
        <w:rPr>
          <w:rFonts w:asciiTheme="minorHAnsi" w:hAnsiTheme="minorHAnsi"/>
          <w:sz w:val="24"/>
          <w:szCs w:val="24"/>
        </w:rPr>
        <w:t xml:space="preserve"> 2014</w:t>
      </w:r>
      <w:r w:rsidR="00B66D64" w:rsidRPr="00D45CDF">
        <w:rPr>
          <w:rFonts w:asciiTheme="minorHAnsi" w:hAnsiTheme="minorHAnsi"/>
          <w:sz w:val="24"/>
          <w:szCs w:val="24"/>
        </w:rPr>
        <w:t>. Available at &lt;https://www.ccbe.eu/NTCdocument/EN_12092014_EN_CCBE_1_1412929215.pdf&gt; Accessed 22 July 2019.</w:t>
      </w:r>
    </w:p>
    <w:p w14:paraId="2B6293FD" w14:textId="77777777" w:rsidR="00B66D64" w:rsidRPr="00D45CDF" w:rsidRDefault="00B66D64" w:rsidP="00D45CDF">
      <w:pPr>
        <w:spacing w:line="240" w:lineRule="auto"/>
        <w:rPr>
          <w:rFonts w:asciiTheme="minorHAnsi" w:hAnsiTheme="minorHAnsi"/>
          <w:sz w:val="24"/>
          <w:szCs w:val="24"/>
        </w:rPr>
      </w:pPr>
      <w:r w:rsidRPr="00D45CDF">
        <w:rPr>
          <w:rFonts w:asciiTheme="minorHAnsi" w:hAnsiTheme="minorHAnsi"/>
          <w:sz w:val="24"/>
          <w:szCs w:val="24"/>
        </w:rPr>
        <w:t>CCBE</w:t>
      </w:r>
      <w:r w:rsidR="00DB3574">
        <w:rPr>
          <w:rFonts w:asciiTheme="minorHAnsi" w:hAnsiTheme="minorHAnsi"/>
          <w:sz w:val="24"/>
          <w:szCs w:val="24"/>
        </w:rPr>
        <w:t>,</w:t>
      </w:r>
      <w:r w:rsidRPr="00D45CDF">
        <w:rPr>
          <w:rFonts w:asciiTheme="minorHAnsi" w:hAnsiTheme="minorHAnsi"/>
          <w:sz w:val="24"/>
          <w:szCs w:val="24"/>
        </w:rPr>
        <w:t xml:space="preserve"> </w:t>
      </w:r>
      <w:r w:rsidR="00DB3574">
        <w:rPr>
          <w:rFonts w:asciiTheme="minorHAnsi" w:hAnsiTheme="minorHAnsi"/>
          <w:sz w:val="24"/>
          <w:szCs w:val="24"/>
        </w:rPr>
        <w:t>“</w:t>
      </w:r>
      <w:r w:rsidRPr="00D45CDF">
        <w:rPr>
          <w:rFonts w:asciiTheme="minorHAnsi" w:hAnsiTheme="minorHAnsi"/>
          <w:sz w:val="24"/>
          <w:szCs w:val="24"/>
        </w:rPr>
        <w:t>Guidelines for Bars and Law Societies on Free Movement of Lawyers within the European Union.</w:t>
      </w:r>
      <w:r w:rsidR="00DB3574">
        <w:rPr>
          <w:rFonts w:asciiTheme="minorHAnsi" w:hAnsiTheme="minorHAnsi"/>
          <w:sz w:val="24"/>
          <w:szCs w:val="24"/>
        </w:rPr>
        <w:t>”</w:t>
      </w:r>
      <w:r w:rsidRPr="00D45CDF">
        <w:rPr>
          <w:rFonts w:asciiTheme="minorHAnsi" w:hAnsiTheme="minorHAnsi"/>
          <w:sz w:val="24"/>
          <w:szCs w:val="24"/>
        </w:rPr>
        <w:t xml:space="preserve"> </w:t>
      </w:r>
      <w:r w:rsidR="00DB3574" w:rsidRPr="00D45CDF">
        <w:rPr>
          <w:rFonts w:asciiTheme="minorHAnsi" w:hAnsiTheme="minorHAnsi"/>
          <w:sz w:val="24"/>
          <w:szCs w:val="24"/>
        </w:rPr>
        <w:t xml:space="preserve">(2016) </w:t>
      </w:r>
      <w:r w:rsidRPr="00D45CDF">
        <w:rPr>
          <w:rFonts w:asciiTheme="minorHAnsi" w:hAnsiTheme="minorHAnsi"/>
          <w:sz w:val="24"/>
          <w:szCs w:val="24"/>
        </w:rPr>
        <w:t>Available at &lt;https://www.ccbe.eu/fileadmin/speciality_distribution/public/documents/EU_LAWYERS/EUL_Guides___recommendations/EN_FML_2016_Guide.pdf &gt; Accessed 25 July 2019.</w:t>
      </w:r>
    </w:p>
    <w:p w14:paraId="7FD423C7" w14:textId="77777777" w:rsidR="008F64D4" w:rsidRPr="00D45CDF" w:rsidRDefault="00DB3574" w:rsidP="00D45CDF">
      <w:pPr>
        <w:spacing w:line="240" w:lineRule="auto"/>
        <w:rPr>
          <w:rFonts w:asciiTheme="minorHAnsi" w:hAnsiTheme="minorHAnsi"/>
          <w:sz w:val="24"/>
          <w:szCs w:val="24"/>
        </w:rPr>
      </w:pPr>
      <w:r>
        <w:rPr>
          <w:rFonts w:asciiTheme="minorHAnsi" w:hAnsiTheme="minorHAnsi"/>
          <w:sz w:val="24"/>
          <w:szCs w:val="24"/>
        </w:rPr>
        <w:t xml:space="preserve">Craig, P. and de </w:t>
      </w:r>
      <w:proofErr w:type="spellStart"/>
      <w:r>
        <w:rPr>
          <w:rFonts w:asciiTheme="minorHAnsi" w:hAnsiTheme="minorHAnsi"/>
          <w:sz w:val="24"/>
          <w:szCs w:val="24"/>
        </w:rPr>
        <w:t>Búrca</w:t>
      </w:r>
      <w:proofErr w:type="spellEnd"/>
      <w:r>
        <w:rPr>
          <w:rFonts w:asciiTheme="minorHAnsi" w:hAnsiTheme="minorHAnsi"/>
          <w:sz w:val="24"/>
          <w:szCs w:val="24"/>
        </w:rPr>
        <w:t xml:space="preserve">, G, </w:t>
      </w:r>
      <w:r w:rsidR="008F64D4" w:rsidRPr="00DB3574">
        <w:rPr>
          <w:rFonts w:asciiTheme="minorHAnsi" w:hAnsiTheme="minorHAnsi"/>
          <w:i/>
          <w:sz w:val="24"/>
          <w:szCs w:val="24"/>
        </w:rPr>
        <w:t>EU Law</w:t>
      </w:r>
      <w:r w:rsidR="008F64D4" w:rsidRPr="00D45CDF">
        <w:rPr>
          <w:rFonts w:asciiTheme="minorHAnsi" w:hAnsiTheme="minorHAnsi"/>
          <w:sz w:val="24"/>
          <w:szCs w:val="24"/>
        </w:rPr>
        <w:t>,</w:t>
      </w:r>
      <w:r>
        <w:rPr>
          <w:rFonts w:asciiTheme="minorHAnsi" w:hAnsiTheme="minorHAnsi"/>
          <w:sz w:val="24"/>
          <w:szCs w:val="24"/>
        </w:rPr>
        <w:t xml:space="preserve"> (</w:t>
      </w:r>
      <w:r w:rsidR="008F64D4" w:rsidRPr="00D45CDF">
        <w:rPr>
          <w:rFonts w:asciiTheme="minorHAnsi" w:hAnsiTheme="minorHAnsi"/>
          <w:sz w:val="24"/>
          <w:szCs w:val="24"/>
        </w:rPr>
        <w:t>6</w:t>
      </w:r>
      <w:r w:rsidR="008F64D4" w:rsidRPr="00D45CDF">
        <w:rPr>
          <w:rFonts w:asciiTheme="minorHAnsi" w:hAnsiTheme="minorHAnsi"/>
          <w:sz w:val="24"/>
          <w:szCs w:val="24"/>
          <w:vertAlign w:val="superscript"/>
        </w:rPr>
        <w:t>th</w:t>
      </w:r>
      <w:r w:rsidR="008F64D4" w:rsidRPr="00D45CDF">
        <w:rPr>
          <w:rFonts w:asciiTheme="minorHAnsi" w:hAnsiTheme="minorHAnsi"/>
          <w:sz w:val="24"/>
          <w:szCs w:val="24"/>
        </w:rPr>
        <w:t xml:space="preserve"> edition, OUP</w:t>
      </w:r>
      <w:r>
        <w:rPr>
          <w:rFonts w:asciiTheme="minorHAnsi" w:hAnsiTheme="minorHAnsi"/>
          <w:sz w:val="24"/>
          <w:szCs w:val="24"/>
        </w:rPr>
        <w:t xml:space="preserve"> </w:t>
      </w:r>
      <w:r w:rsidRPr="00D45CDF">
        <w:rPr>
          <w:rFonts w:asciiTheme="minorHAnsi" w:hAnsiTheme="minorHAnsi"/>
          <w:sz w:val="24"/>
          <w:szCs w:val="24"/>
        </w:rPr>
        <w:t>2015)</w:t>
      </w:r>
      <w:r w:rsidR="008F64D4" w:rsidRPr="00D45CDF">
        <w:rPr>
          <w:rFonts w:asciiTheme="minorHAnsi" w:hAnsiTheme="minorHAnsi"/>
          <w:sz w:val="24"/>
          <w:szCs w:val="24"/>
        </w:rPr>
        <w:t>.</w:t>
      </w:r>
    </w:p>
    <w:p w14:paraId="086D8574" w14:textId="77777777" w:rsidR="005726AE" w:rsidRPr="00D45CDF" w:rsidRDefault="002A0F50" w:rsidP="00D45CDF">
      <w:pPr>
        <w:spacing w:line="240" w:lineRule="auto"/>
        <w:rPr>
          <w:rFonts w:asciiTheme="minorHAnsi" w:hAnsiTheme="minorHAnsi"/>
          <w:sz w:val="24"/>
          <w:szCs w:val="24"/>
        </w:rPr>
      </w:pPr>
      <w:proofErr w:type="spellStart"/>
      <w:r>
        <w:rPr>
          <w:rFonts w:asciiTheme="minorHAnsi" w:hAnsiTheme="minorHAnsi"/>
          <w:sz w:val="24"/>
          <w:szCs w:val="24"/>
        </w:rPr>
        <w:t>Cuyvers</w:t>
      </w:r>
      <w:proofErr w:type="spellEnd"/>
      <w:r>
        <w:rPr>
          <w:rFonts w:asciiTheme="minorHAnsi" w:hAnsiTheme="minorHAnsi"/>
          <w:sz w:val="24"/>
          <w:szCs w:val="24"/>
        </w:rPr>
        <w:t>, A., “</w:t>
      </w:r>
      <w:r w:rsidR="005726AE" w:rsidRPr="00D45CDF">
        <w:rPr>
          <w:rFonts w:asciiTheme="minorHAnsi" w:hAnsiTheme="minorHAnsi"/>
          <w:sz w:val="24"/>
          <w:szCs w:val="24"/>
        </w:rPr>
        <w:t>Freedom of establishment and the freedom to provide services in the EU</w:t>
      </w:r>
      <w:r>
        <w:rPr>
          <w:rFonts w:asciiTheme="minorHAnsi" w:hAnsiTheme="minorHAnsi"/>
          <w:sz w:val="24"/>
          <w:szCs w:val="24"/>
        </w:rPr>
        <w:t>”</w:t>
      </w:r>
      <w:r w:rsidR="005726AE" w:rsidRPr="00D45CDF">
        <w:rPr>
          <w:rFonts w:asciiTheme="minorHAnsi" w:hAnsiTheme="minorHAnsi"/>
          <w:sz w:val="24"/>
          <w:szCs w:val="24"/>
        </w:rPr>
        <w:t xml:space="preserve"> in </w:t>
      </w:r>
      <w:r w:rsidRPr="00D45CDF">
        <w:rPr>
          <w:rFonts w:asciiTheme="minorHAnsi" w:hAnsiTheme="minorHAnsi"/>
          <w:i/>
          <w:iCs/>
          <w:sz w:val="24"/>
          <w:szCs w:val="24"/>
        </w:rPr>
        <w:t>East African Community La</w:t>
      </w:r>
      <w:r>
        <w:rPr>
          <w:rFonts w:asciiTheme="minorHAnsi" w:hAnsiTheme="minorHAnsi"/>
          <w:i/>
          <w:iCs/>
          <w:sz w:val="24"/>
          <w:szCs w:val="24"/>
        </w:rPr>
        <w:t>w</w:t>
      </w:r>
      <w:r>
        <w:rPr>
          <w:rFonts w:asciiTheme="minorHAnsi" w:hAnsiTheme="minorHAnsi"/>
          <w:sz w:val="24"/>
          <w:szCs w:val="24"/>
        </w:rPr>
        <w:t xml:space="preserve"> </w:t>
      </w:r>
      <w:r w:rsidR="005726AE" w:rsidRPr="00D45CDF">
        <w:rPr>
          <w:rFonts w:asciiTheme="minorHAnsi" w:hAnsiTheme="minorHAnsi"/>
          <w:sz w:val="24"/>
          <w:szCs w:val="24"/>
        </w:rPr>
        <w:t xml:space="preserve">eds </w:t>
      </w:r>
      <w:proofErr w:type="spellStart"/>
      <w:r w:rsidR="005726AE" w:rsidRPr="00D45CDF">
        <w:rPr>
          <w:rFonts w:asciiTheme="minorHAnsi" w:hAnsiTheme="minorHAnsi"/>
          <w:sz w:val="24"/>
          <w:szCs w:val="24"/>
        </w:rPr>
        <w:t>Ugirashebuja</w:t>
      </w:r>
      <w:proofErr w:type="spellEnd"/>
      <w:r w:rsidR="005726AE" w:rsidRPr="00D45CDF">
        <w:rPr>
          <w:rFonts w:asciiTheme="minorHAnsi" w:hAnsiTheme="minorHAnsi"/>
          <w:sz w:val="24"/>
          <w:szCs w:val="24"/>
        </w:rPr>
        <w:t xml:space="preserve">, E., </w:t>
      </w:r>
      <w:proofErr w:type="spellStart"/>
      <w:r w:rsidR="005726AE" w:rsidRPr="00D45CDF">
        <w:rPr>
          <w:rFonts w:asciiTheme="minorHAnsi" w:hAnsiTheme="minorHAnsi"/>
          <w:sz w:val="24"/>
          <w:szCs w:val="24"/>
        </w:rPr>
        <w:t>Ruhangisa</w:t>
      </w:r>
      <w:proofErr w:type="spellEnd"/>
      <w:r w:rsidR="005726AE" w:rsidRPr="00D45CDF">
        <w:rPr>
          <w:rFonts w:asciiTheme="minorHAnsi" w:hAnsiTheme="minorHAnsi"/>
          <w:sz w:val="24"/>
          <w:szCs w:val="24"/>
        </w:rPr>
        <w:t xml:space="preserve">, J.E., </w:t>
      </w:r>
      <w:proofErr w:type="spellStart"/>
      <w:r w:rsidR="005726AE" w:rsidRPr="00D45CDF">
        <w:rPr>
          <w:rFonts w:asciiTheme="minorHAnsi" w:hAnsiTheme="minorHAnsi"/>
          <w:sz w:val="24"/>
          <w:szCs w:val="24"/>
        </w:rPr>
        <w:t>Ottervanger</w:t>
      </w:r>
      <w:proofErr w:type="spellEnd"/>
      <w:r w:rsidR="005726AE" w:rsidRPr="00D45CDF">
        <w:rPr>
          <w:rFonts w:asciiTheme="minorHAnsi" w:hAnsiTheme="minorHAnsi"/>
          <w:sz w:val="24"/>
          <w:szCs w:val="24"/>
        </w:rPr>
        <w:t xml:space="preserve">, T. and </w:t>
      </w:r>
      <w:proofErr w:type="spellStart"/>
      <w:r w:rsidR="005726AE" w:rsidRPr="00D45CDF">
        <w:rPr>
          <w:rFonts w:asciiTheme="minorHAnsi" w:hAnsiTheme="minorHAnsi"/>
          <w:sz w:val="24"/>
          <w:szCs w:val="24"/>
        </w:rPr>
        <w:t>Cuyvers</w:t>
      </w:r>
      <w:proofErr w:type="spellEnd"/>
      <w:r w:rsidR="005726AE" w:rsidRPr="00D45CDF">
        <w:rPr>
          <w:rFonts w:asciiTheme="minorHAnsi" w:hAnsiTheme="minorHAnsi"/>
          <w:sz w:val="24"/>
          <w:szCs w:val="24"/>
        </w:rPr>
        <w:t xml:space="preserve">, A. </w:t>
      </w:r>
      <w:r w:rsidR="00DB3574">
        <w:rPr>
          <w:rFonts w:asciiTheme="minorHAnsi" w:hAnsiTheme="minorHAnsi"/>
          <w:sz w:val="24"/>
          <w:szCs w:val="24"/>
        </w:rPr>
        <w:t>(</w:t>
      </w:r>
      <w:r w:rsidR="005726AE" w:rsidRPr="00D45CDF">
        <w:rPr>
          <w:rFonts w:asciiTheme="minorHAnsi" w:hAnsiTheme="minorHAnsi"/>
          <w:sz w:val="24"/>
          <w:szCs w:val="24"/>
        </w:rPr>
        <w:t xml:space="preserve">Leiden. Brill </w:t>
      </w:r>
      <w:proofErr w:type="spellStart"/>
      <w:r w:rsidR="005726AE" w:rsidRPr="00D45CDF">
        <w:rPr>
          <w:rFonts w:asciiTheme="minorHAnsi" w:hAnsiTheme="minorHAnsi"/>
          <w:sz w:val="24"/>
          <w:szCs w:val="24"/>
        </w:rPr>
        <w:t>Nijhoff</w:t>
      </w:r>
      <w:proofErr w:type="spellEnd"/>
      <w:r w:rsidR="005726AE" w:rsidRPr="00D45CDF">
        <w:rPr>
          <w:rFonts w:asciiTheme="minorHAnsi" w:hAnsiTheme="minorHAnsi"/>
          <w:sz w:val="24"/>
          <w:szCs w:val="24"/>
        </w:rPr>
        <w:t>,</w:t>
      </w:r>
      <w:r w:rsidR="00DB3574" w:rsidRPr="00DB3574">
        <w:rPr>
          <w:rFonts w:asciiTheme="minorHAnsi" w:hAnsiTheme="minorHAnsi"/>
          <w:sz w:val="24"/>
          <w:szCs w:val="24"/>
        </w:rPr>
        <w:t xml:space="preserve"> </w:t>
      </w:r>
      <w:r w:rsidR="00DB3574" w:rsidRPr="00D45CDF">
        <w:rPr>
          <w:rFonts w:asciiTheme="minorHAnsi" w:hAnsiTheme="minorHAnsi"/>
          <w:sz w:val="24"/>
          <w:szCs w:val="24"/>
        </w:rPr>
        <w:t>2017)</w:t>
      </w:r>
      <w:r>
        <w:rPr>
          <w:rFonts w:asciiTheme="minorHAnsi" w:hAnsiTheme="minorHAnsi"/>
          <w:sz w:val="24"/>
          <w:szCs w:val="24"/>
        </w:rPr>
        <w:t>:</w:t>
      </w:r>
      <w:r w:rsidR="005726AE" w:rsidRPr="00D45CDF">
        <w:rPr>
          <w:rFonts w:asciiTheme="minorHAnsi" w:hAnsiTheme="minorHAnsi"/>
          <w:sz w:val="24"/>
          <w:szCs w:val="24"/>
        </w:rPr>
        <w:t xml:space="preserve"> 376-391.</w:t>
      </w:r>
    </w:p>
    <w:p w14:paraId="6CA565DD" w14:textId="77777777" w:rsidR="004650E7" w:rsidRPr="00D45CDF" w:rsidRDefault="004650E7" w:rsidP="00D45CDF">
      <w:pPr>
        <w:spacing w:before="240" w:line="240" w:lineRule="auto"/>
        <w:rPr>
          <w:rFonts w:asciiTheme="minorHAnsi" w:hAnsiTheme="minorHAnsi"/>
          <w:sz w:val="24"/>
          <w:szCs w:val="24"/>
        </w:rPr>
      </w:pPr>
      <w:bookmarkStart w:id="5" w:name="_Hlk21901052"/>
      <w:proofErr w:type="spellStart"/>
      <w:r w:rsidRPr="00D45CDF">
        <w:rPr>
          <w:rFonts w:asciiTheme="minorHAnsi" w:hAnsiTheme="minorHAnsi"/>
          <w:sz w:val="24"/>
          <w:szCs w:val="24"/>
        </w:rPr>
        <w:t>Dihel</w:t>
      </w:r>
      <w:proofErr w:type="spellEnd"/>
      <w:r w:rsidRPr="00D45CDF">
        <w:rPr>
          <w:rFonts w:asciiTheme="minorHAnsi" w:hAnsiTheme="minorHAnsi"/>
          <w:sz w:val="24"/>
          <w:szCs w:val="24"/>
        </w:rPr>
        <w:t>, N. A. Fernandes, R.</w:t>
      </w:r>
      <w:r w:rsidR="002A0F50">
        <w:rPr>
          <w:rFonts w:asciiTheme="minorHAnsi" w:hAnsiTheme="minorHAnsi"/>
          <w:sz w:val="24"/>
          <w:szCs w:val="24"/>
        </w:rPr>
        <w:t>,</w:t>
      </w:r>
      <w:r w:rsidRPr="00D45CDF">
        <w:rPr>
          <w:rFonts w:asciiTheme="minorHAnsi" w:hAnsiTheme="minorHAnsi"/>
          <w:sz w:val="24"/>
          <w:szCs w:val="24"/>
        </w:rPr>
        <w:t xml:space="preserve"> </w:t>
      </w:r>
      <w:proofErr w:type="spellStart"/>
      <w:r w:rsidRPr="00D45CDF">
        <w:rPr>
          <w:rFonts w:asciiTheme="minorHAnsi" w:hAnsiTheme="minorHAnsi"/>
          <w:sz w:val="24"/>
          <w:szCs w:val="24"/>
        </w:rPr>
        <w:t>Gicho</w:t>
      </w:r>
      <w:proofErr w:type="spellEnd"/>
      <w:r w:rsidR="002A0F50">
        <w:rPr>
          <w:rFonts w:asciiTheme="minorHAnsi" w:hAnsiTheme="minorHAnsi"/>
          <w:sz w:val="24"/>
          <w:szCs w:val="24"/>
        </w:rPr>
        <w:t xml:space="preserve">, J., </w:t>
      </w:r>
      <w:proofErr w:type="spellStart"/>
      <w:r w:rsidR="002A0F50">
        <w:rPr>
          <w:rFonts w:asciiTheme="minorHAnsi" w:hAnsiTheme="minorHAnsi"/>
          <w:sz w:val="24"/>
          <w:szCs w:val="24"/>
        </w:rPr>
        <w:t>Kashangaki</w:t>
      </w:r>
      <w:proofErr w:type="spellEnd"/>
      <w:r w:rsidR="002A0F50">
        <w:rPr>
          <w:rFonts w:asciiTheme="minorHAnsi" w:hAnsiTheme="minorHAnsi"/>
          <w:sz w:val="24"/>
          <w:szCs w:val="24"/>
        </w:rPr>
        <w:t xml:space="preserve"> and </w:t>
      </w:r>
      <w:proofErr w:type="spellStart"/>
      <w:r w:rsidR="002A0F50">
        <w:rPr>
          <w:rFonts w:asciiTheme="minorHAnsi" w:hAnsiTheme="minorHAnsi"/>
          <w:sz w:val="24"/>
          <w:szCs w:val="24"/>
        </w:rPr>
        <w:t>Strychcz</w:t>
      </w:r>
      <w:proofErr w:type="spellEnd"/>
      <w:r w:rsidR="002A0F50">
        <w:rPr>
          <w:rFonts w:asciiTheme="minorHAnsi" w:hAnsiTheme="minorHAnsi"/>
          <w:sz w:val="24"/>
          <w:szCs w:val="24"/>
        </w:rPr>
        <w:t>, N.,</w:t>
      </w:r>
      <w:r w:rsidRPr="00D45CDF">
        <w:rPr>
          <w:rFonts w:asciiTheme="minorHAnsi" w:hAnsiTheme="minorHAnsi"/>
          <w:sz w:val="24"/>
          <w:szCs w:val="24"/>
        </w:rPr>
        <w:t xml:space="preserve"> </w:t>
      </w:r>
      <w:r w:rsidR="00DB3574">
        <w:rPr>
          <w:rFonts w:asciiTheme="minorHAnsi" w:hAnsiTheme="minorHAnsi"/>
          <w:sz w:val="24"/>
          <w:szCs w:val="24"/>
        </w:rPr>
        <w:t>“</w:t>
      </w:r>
      <w:r w:rsidRPr="00D45CDF">
        <w:rPr>
          <w:rFonts w:asciiTheme="minorHAnsi" w:hAnsiTheme="minorHAnsi"/>
          <w:sz w:val="24"/>
          <w:szCs w:val="24"/>
        </w:rPr>
        <w:t>Becoming a Global Exporter of Business Services? The Case of Kenya.</w:t>
      </w:r>
      <w:r w:rsidR="00DB3574">
        <w:rPr>
          <w:rFonts w:asciiTheme="minorHAnsi" w:hAnsiTheme="minorHAnsi"/>
          <w:sz w:val="24"/>
          <w:szCs w:val="24"/>
        </w:rPr>
        <w:t>”</w:t>
      </w:r>
      <w:r w:rsidRPr="00D45CDF">
        <w:rPr>
          <w:rFonts w:asciiTheme="minorHAnsi" w:hAnsiTheme="minorHAnsi"/>
          <w:sz w:val="24"/>
          <w:szCs w:val="24"/>
        </w:rPr>
        <w:t xml:space="preserve"> In </w:t>
      </w:r>
      <w:r w:rsidR="00DB3574" w:rsidRPr="00DB3574">
        <w:rPr>
          <w:rFonts w:asciiTheme="minorHAnsi" w:hAnsiTheme="minorHAnsi"/>
          <w:i/>
          <w:sz w:val="24"/>
          <w:szCs w:val="24"/>
        </w:rPr>
        <w:t>Exporting Services: A Developing Country Perspective</w:t>
      </w:r>
      <w:r w:rsidR="00DB3574">
        <w:rPr>
          <w:rFonts w:asciiTheme="minorHAnsi" w:hAnsiTheme="minorHAnsi"/>
          <w:sz w:val="24"/>
          <w:szCs w:val="24"/>
        </w:rPr>
        <w:t>, eds.</w:t>
      </w:r>
      <w:r w:rsidR="00DB3574" w:rsidRPr="00D45CDF">
        <w:rPr>
          <w:rFonts w:asciiTheme="minorHAnsi" w:hAnsiTheme="minorHAnsi"/>
          <w:sz w:val="24"/>
          <w:szCs w:val="24"/>
        </w:rPr>
        <w:t xml:space="preserve"> </w:t>
      </w:r>
      <w:r w:rsidRPr="00D45CDF">
        <w:rPr>
          <w:rFonts w:asciiTheme="minorHAnsi" w:hAnsiTheme="minorHAnsi"/>
          <w:sz w:val="24"/>
          <w:szCs w:val="24"/>
        </w:rPr>
        <w:t xml:space="preserve">A. Goswami, A. </w:t>
      </w:r>
      <w:proofErr w:type="spellStart"/>
      <w:r w:rsidRPr="00D45CDF">
        <w:rPr>
          <w:rFonts w:asciiTheme="minorHAnsi" w:hAnsiTheme="minorHAnsi"/>
          <w:sz w:val="24"/>
          <w:szCs w:val="24"/>
        </w:rPr>
        <w:t>Mattoo</w:t>
      </w:r>
      <w:proofErr w:type="spellEnd"/>
      <w:r w:rsidRPr="00D45CDF">
        <w:rPr>
          <w:rFonts w:asciiTheme="minorHAnsi" w:hAnsiTheme="minorHAnsi"/>
          <w:sz w:val="24"/>
          <w:szCs w:val="24"/>
        </w:rPr>
        <w:t xml:space="preserve"> and S. </w:t>
      </w:r>
      <w:proofErr w:type="spellStart"/>
      <w:r w:rsidRPr="00D45CDF">
        <w:rPr>
          <w:rFonts w:asciiTheme="minorHAnsi" w:hAnsiTheme="minorHAnsi"/>
          <w:sz w:val="24"/>
          <w:szCs w:val="24"/>
        </w:rPr>
        <w:t>Sáez</w:t>
      </w:r>
      <w:proofErr w:type="spellEnd"/>
      <w:r w:rsidRPr="00D45CDF">
        <w:rPr>
          <w:rFonts w:asciiTheme="minorHAnsi" w:hAnsiTheme="minorHAnsi"/>
          <w:sz w:val="24"/>
          <w:szCs w:val="24"/>
        </w:rPr>
        <w:t xml:space="preserve"> </w:t>
      </w:r>
      <w:r w:rsidR="00DB3574">
        <w:rPr>
          <w:rFonts w:asciiTheme="minorHAnsi" w:hAnsiTheme="minorHAnsi"/>
          <w:sz w:val="24"/>
          <w:szCs w:val="24"/>
        </w:rPr>
        <w:t>(</w:t>
      </w:r>
      <w:r w:rsidRPr="00D45CDF">
        <w:rPr>
          <w:rFonts w:asciiTheme="minorHAnsi" w:hAnsiTheme="minorHAnsi"/>
          <w:sz w:val="24"/>
          <w:szCs w:val="24"/>
        </w:rPr>
        <w:t>Washington, DC: World Bank</w:t>
      </w:r>
      <w:r w:rsidR="00DB3574">
        <w:rPr>
          <w:rFonts w:asciiTheme="minorHAnsi" w:hAnsiTheme="minorHAnsi"/>
          <w:sz w:val="24"/>
          <w:szCs w:val="24"/>
        </w:rPr>
        <w:t xml:space="preserve">, </w:t>
      </w:r>
      <w:r w:rsidR="00DB3574" w:rsidRPr="00D45CDF">
        <w:rPr>
          <w:rFonts w:asciiTheme="minorHAnsi" w:hAnsiTheme="minorHAnsi"/>
          <w:sz w:val="24"/>
          <w:szCs w:val="24"/>
        </w:rPr>
        <w:t>2012</w:t>
      </w:r>
      <w:r w:rsidR="00DB3574">
        <w:rPr>
          <w:rFonts w:asciiTheme="minorHAnsi" w:hAnsiTheme="minorHAnsi"/>
          <w:sz w:val="24"/>
          <w:szCs w:val="24"/>
        </w:rPr>
        <w:t>)</w:t>
      </w:r>
      <w:r w:rsidR="002A0F50">
        <w:rPr>
          <w:rFonts w:asciiTheme="minorHAnsi" w:hAnsiTheme="minorHAnsi"/>
          <w:sz w:val="24"/>
          <w:szCs w:val="24"/>
        </w:rPr>
        <w:t>:</w:t>
      </w:r>
      <w:r w:rsidRPr="00D45CDF">
        <w:rPr>
          <w:rFonts w:asciiTheme="minorHAnsi" w:hAnsiTheme="minorHAnsi"/>
          <w:sz w:val="24"/>
          <w:szCs w:val="24"/>
        </w:rPr>
        <w:t xml:space="preserve"> 237-69.</w:t>
      </w:r>
    </w:p>
    <w:p w14:paraId="2041CE5E" w14:textId="77777777" w:rsidR="00044278" w:rsidRPr="00D45CDF" w:rsidRDefault="00044278" w:rsidP="00D45CDF">
      <w:pPr>
        <w:spacing w:before="240" w:line="240" w:lineRule="auto"/>
        <w:rPr>
          <w:rFonts w:asciiTheme="minorHAnsi" w:eastAsia="Times New Roman" w:hAnsiTheme="minorHAnsi"/>
          <w:b/>
          <w:bCs/>
          <w:color w:val="000222"/>
          <w:kern w:val="36"/>
          <w:sz w:val="24"/>
          <w:szCs w:val="24"/>
          <w:lang w:eastAsia="en-GB"/>
        </w:rPr>
      </w:pPr>
      <w:proofErr w:type="spellStart"/>
      <w:r w:rsidRPr="00D45CDF">
        <w:rPr>
          <w:rFonts w:asciiTheme="minorHAnsi" w:hAnsiTheme="minorHAnsi"/>
          <w:sz w:val="24"/>
          <w:szCs w:val="24"/>
        </w:rPr>
        <w:lastRenderedPageBreak/>
        <w:t>Dihel</w:t>
      </w:r>
      <w:proofErr w:type="spellEnd"/>
      <w:r w:rsidRPr="00D45CDF">
        <w:rPr>
          <w:rFonts w:asciiTheme="minorHAnsi" w:hAnsiTheme="minorHAnsi"/>
          <w:sz w:val="24"/>
          <w:szCs w:val="24"/>
        </w:rPr>
        <w:t xml:space="preserve">, N., Fernandes, A.M., and </w:t>
      </w:r>
      <w:proofErr w:type="spellStart"/>
      <w:r w:rsidRPr="00D45CDF">
        <w:rPr>
          <w:rFonts w:asciiTheme="minorHAnsi" w:hAnsiTheme="minorHAnsi"/>
          <w:sz w:val="24"/>
          <w:szCs w:val="24"/>
        </w:rPr>
        <w:t>Mattoo</w:t>
      </w:r>
      <w:proofErr w:type="spellEnd"/>
      <w:r w:rsidRPr="00D45CDF">
        <w:rPr>
          <w:rFonts w:asciiTheme="minorHAnsi" w:hAnsiTheme="minorHAnsi"/>
          <w:sz w:val="24"/>
          <w:szCs w:val="24"/>
        </w:rPr>
        <w:t>, A.</w:t>
      </w:r>
      <w:r w:rsidR="002A0F50">
        <w:rPr>
          <w:rFonts w:asciiTheme="minorHAnsi" w:hAnsiTheme="minorHAnsi"/>
          <w:sz w:val="24"/>
          <w:szCs w:val="24"/>
        </w:rPr>
        <w:t>,</w:t>
      </w:r>
      <w:r w:rsidRPr="00D45CDF">
        <w:rPr>
          <w:rFonts w:asciiTheme="minorHAnsi" w:hAnsiTheme="minorHAnsi"/>
          <w:sz w:val="24"/>
          <w:szCs w:val="24"/>
        </w:rPr>
        <w:t xml:space="preserve"> </w:t>
      </w:r>
      <w:r w:rsidR="00DB3574">
        <w:rPr>
          <w:rFonts w:asciiTheme="minorHAnsi" w:hAnsiTheme="minorHAnsi"/>
          <w:sz w:val="24"/>
          <w:szCs w:val="24"/>
        </w:rPr>
        <w:t>“</w:t>
      </w:r>
      <w:r w:rsidRPr="00D45CDF">
        <w:rPr>
          <w:rFonts w:asciiTheme="minorHAnsi" w:hAnsiTheme="minorHAnsi"/>
          <w:sz w:val="24"/>
          <w:szCs w:val="24"/>
        </w:rPr>
        <w:t>Developing Professional Services in Africa Through Regional Integration.</w:t>
      </w:r>
      <w:r w:rsidR="00884C52">
        <w:rPr>
          <w:rFonts w:asciiTheme="minorHAnsi" w:hAnsiTheme="minorHAnsi"/>
          <w:sz w:val="24"/>
          <w:szCs w:val="24"/>
        </w:rPr>
        <w:t>”</w:t>
      </w:r>
      <w:r w:rsidRPr="00D45CDF">
        <w:rPr>
          <w:rFonts w:asciiTheme="minorHAnsi" w:hAnsiTheme="minorHAnsi"/>
          <w:sz w:val="24"/>
          <w:szCs w:val="24"/>
        </w:rPr>
        <w:t xml:space="preserve"> 15 September</w:t>
      </w:r>
      <w:r w:rsidR="00DB3574">
        <w:rPr>
          <w:rFonts w:asciiTheme="minorHAnsi" w:hAnsiTheme="minorHAnsi"/>
          <w:sz w:val="24"/>
          <w:szCs w:val="24"/>
        </w:rPr>
        <w:t xml:space="preserve"> 2010</w:t>
      </w:r>
      <w:r w:rsidRPr="00D45CDF">
        <w:rPr>
          <w:rFonts w:asciiTheme="minorHAnsi" w:hAnsiTheme="minorHAnsi"/>
          <w:sz w:val="24"/>
          <w:szCs w:val="24"/>
        </w:rPr>
        <w:t>. Available at &lt;http://siteresources.worldbank.org/INTPREMNET/Resources/EP32.pdf&gt; Accessed 2 November 2019.</w:t>
      </w:r>
    </w:p>
    <w:p w14:paraId="1796A206" w14:textId="77777777" w:rsidR="00592EFD" w:rsidRPr="00D45CDF" w:rsidRDefault="00592EFD" w:rsidP="00D45CDF">
      <w:pPr>
        <w:spacing w:before="240" w:line="240" w:lineRule="auto"/>
        <w:rPr>
          <w:rFonts w:asciiTheme="minorHAnsi" w:hAnsiTheme="minorHAnsi"/>
          <w:sz w:val="24"/>
          <w:szCs w:val="24"/>
        </w:rPr>
      </w:pPr>
      <w:proofErr w:type="spellStart"/>
      <w:r w:rsidRPr="00D45CDF">
        <w:rPr>
          <w:rFonts w:asciiTheme="minorHAnsi" w:hAnsiTheme="minorHAnsi"/>
          <w:sz w:val="24"/>
          <w:szCs w:val="24"/>
        </w:rPr>
        <w:t>Dihel</w:t>
      </w:r>
      <w:proofErr w:type="spellEnd"/>
      <w:r w:rsidRPr="00D45CDF">
        <w:rPr>
          <w:rFonts w:asciiTheme="minorHAnsi" w:hAnsiTheme="minorHAnsi"/>
          <w:sz w:val="24"/>
          <w:szCs w:val="24"/>
        </w:rPr>
        <w:t>, N., Fernandes, A.M.</w:t>
      </w:r>
      <w:r w:rsidR="00884C52">
        <w:rPr>
          <w:rFonts w:asciiTheme="minorHAnsi" w:hAnsiTheme="minorHAnsi"/>
          <w:sz w:val="24"/>
          <w:szCs w:val="24"/>
        </w:rPr>
        <w:t xml:space="preserve">, </w:t>
      </w:r>
      <w:proofErr w:type="spellStart"/>
      <w:r w:rsidR="00884C52">
        <w:rPr>
          <w:rFonts w:asciiTheme="minorHAnsi" w:hAnsiTheme="minorHAnsi"/>
          <w:sz w:val="24"/>
          <w:szCs w:val="24"/>
        </w:rPr>
        <w:t>Mattoo</w:t>
      </w:r>
      <w:proofErr w:type="spellEnd"/>
      <w:r w:rsidR="00884C52">
        <w:rPr>
          <w:rFonts w:asciiTheme="minorHAnsi" w:hAnsiTheme="minorHAnsi"/>
          <w:sz w:val="24"/>
          <w:szCs w:val="24"/>
        </w:rPr>
        <w:t xml:space="preserve">, A. and </w:t>
      </w:r>
      <w:proofErr w:type="spellStart"/>
      <w:r w:rsidR="00884C52">
        <w:rPr>
          <w:rFonts w:asciiTheme="minorHAnsi" w:hAnsiTheme="minorHAnsi"/>
          <w:sz w:val="24"/>
          <w:szCs w:val="24"/>
        </w:rPr>
        <w:t>Strychacz</w:t>
      </w:r>
      <w:proofErr w:type="spellEnd"/>
      <w:r w:rsidR="00884C52">
        <w:rPr>
          <w:rFonts w:asciiTheme="minorHAnsi" w:hAnsiTheme="minorHAnsi"/>
          <w:sz w:val="24"/>
          <w:szCs w:val="24"/>
        </w:rPr>
        <w:t>, N.</w:t>
      </w:r>
      <w:r w:rsidR="002A0F50">
        <w:rPr>
          <w:rFonts w:asciiTheme="minorHAnsi" w:hAnsiTheme="minorHAnsi"/>
          <w:sz w:val="24"/>
          <w:szCs w:val="24"/>
        </w:rPr>
        <w:t>,</w:t>
      </w:r>
      <w:r w:rsidR="00884C52">
        <w:rPr>
          <w:rFonts w:asciiTheme="minorHAnsi" w:hAnsiTheme="minorHAnsi"/>
          <w:sz w:val="24"/>
          <w:szCs w:val="24"/>
        </w:rPr>
        <w:t xml:space="preserve"> “</w:t>
      </w:r>
      <w:r w:rsidRPr="00D45CDF">
        <w:rPr>
          <w:rFonts w:asciiTheme="minorHAnsi" w:hAnsiTheme="minorHAnsi"/>
          <w:sz w:val="24"/>
          <w:szCs w:val="24"/>
        </w:rPr>
        <w:t>Reform and Regional Integration of Professional Services in East Africa</w:t>
      </w:r>
      <w:r w:rsidR="002A0F50">
        <w:rPr>
          <w:rFonts w:asciiTheme="minorHAnsi" w:hAnsiTheme="minorHAnsi"/>
          <w:sz w:val="24"/>
          <w:szCs w:val="24"/>
        </w:rPr>
        <w:t>.”</w:t>
      </w:r>
      <w:r w:rsidRPr="00D45CDF">
        <w:rPr>
          <w:rFonts w:asciiTheme="minorHAnsi" w:hAnsiTheme="minorHAnsi"/>
          <w:sz w:val="24"/>
          <w:szCs w:val="24"/>
        </w:rPr>
        <w:t xml:space="preserve"> The World Bank</w:t>
      </w:r>
      <w:r w:rsidR="002A0F50">
        <w:rPr>
          <w:rFonts w:asciiTheme="minorHAnsi" w:hAnsiTheme="minorHAnsi"/>
          <w:sz w:val="24"/>
          <w:szCs w:val="24"/>
        </w:rPr>
        <w:t>.</w:t>
      </w:r>
      <w:r w:rsidRPr="00D45CDF">
        <w:rPr>
          <w:rFonts w:asciiTheme="minorHAnsi" w:hAnsiTheme="minorHAnsi"/>
          <w:sz w:val="24"/>
          <w:szCs w:val="24"/>
        </w:rPr>
        <w:t xml:space="preserve"> September</w:t>
      </w:r>
      <w:r w:rsidR="00884C52">
        <w:rPr>
          <w:rFonts w:asciiTheme="minorHAnsi" w:hAnsiTheme="minorHAnsi"/>
          <w:sz w:val="24"/>
          <w:szCs w:val="24"/>
        </w:rPr>
        <w:t xml:space="preserve"> 2010</w:t>
      </w:r>
      <w:r w:rsidRPr="00D45CDF">
        <w:rPr>
          <w:rFonts w:asciiTheme="minorHAnsi" w:hAnsiTheme="minorHAnsi"/>
          <w:sz w:val="24"/>
          <w:szCs w:val="24"/>
        </w:rPr>
        <w:t>. Available at http://siteresources.worldbank.org/INTPREMNET/Resources/EP32.pdf Accessed 2 November 2019.</w:t>
      </w:r>
    </w:p>
    <w:p w14:paraId="08D28AA9" w14:textId="77777777" w:rsidR="004650E7" w:rsidRPr="00D45CDF" w:rsidRDefault="004650E7" w:rsidP="00D45CDF">
      <w:pPr>
        <w:spacing w:before="240" w:line="240" w:lineRule="auto"/>
        <w:rPr>
          <w:rFonts w:asciiTheme="minorHAnsi" w:hAnsiTheme="minorHAnsi"/>
          <w:sz w:val="24"/>
          <w:szCs w:val="24"/>
        </w:rPr>
      </w:pPr>
      <w:proofErr w:type="spellStart"/>
      <w:r w:rsidRPr="00D45CDF">
        <w:rPr>
          <w:rFonts w:asciiTheme="minorHAnsi" w:hAnsiTheme="minorHAnsi"/>
          <w:sz w:val="24"/>
          <w:szCs w:val="24"/>
        </w:rPr>
        <w:t>Dihel</w:t>
      </w:r>
      <w:proofErr w:type="spellEnd"/>
      <w:r w:rsidRPr="00D45CDF">
        <w:rPr>
          <w:rFonts w:asciiTheme="minorHAnsi" w:hAnsiTheme="minorHAnsi"/>
          <w:sz w:val="24"/>
          <w:szCs w:val="24"/>
        </w:rPr>
        <w:t>,</w:t>
      </w:r>
      <w:r w:rsidR="002A0F50">
        <w:rPr>
          <w:rFonts w:asciiTheme="minorHAnsi" w:hAnsiTheme="minorHAnsi"/>
          <w:sz w:val="24"/>
          <w:szCs w:val="24"/>
        </w:rPr>
        <w:t xml:space="preserve"> N. and</w:t>
      </w:r>
      <w:r w:rsidRPr="00D45CDF">
        <w:rPr>
          <w:rFonts w:asciiTheme="minorHAnsi" w:hAnsiTheme="minorHAnsi"/>
          <w:sz w:val="24"/>
          <w:szCs w:val="24"/>
        </w:rPr>
        <w:t xml:space="preserve"> Goswami</w:t>
      </w:r>
      <w:r w:rsidR="002A0F50">
        <w:rPr>
          <w:rFonts w:asciiTheme="minorHAnsi" w:hAnsiTheme="minorHAnsi"/>
          <w:sz w:val="24"/>
          <w:szCs w:val="24"/>
        </w:rPr>
        <w:t>, A.,</w:t>
      </w:r>
      <w:r w:rsidRPr="00D45CDF">
        <w:rPr>
          <w:rFonts w:asciiTheme="minorHAnsi" w:hAnsiTheme="minorHAnsi"/>
          <w:sz w:val="24"/>
          <w:szCs w:val="24"/>
        </w:rPr>
        <w:t xml:space="preserve"> (eds.) </w:t>
      </w:r>
      <w:r w:rsidRPr="00D45CDF">
        <w:rPr>
          <w:rFonts w:asciiTheme="minorHAnsi" w:hAnsiTheme="minorHAnsi"/>
          <w:i/>
          <w:iCs/>
          <w:sz w:val="24"/>
          <w:szCs w:val="24"/>
        </w:rPr>
        <w:t xml:space="preserve">From Hair Stylists and Teachers to Accountants and Doctors </w:t>
      </w:r>
      <w:r w:rsidR="00C04540" w:rsidRPr="00D45CDF">
        <w:rPr>
          <w:rFonts w:asciiTheme="minorHAnsi" w:hAnsiTheme="minorHAnsi"/>
          <w:i/>
          <w:iCs/>
          <w:sz w:val="24"/>
          <w:szCs w:val="24"/>
        </w:rPr>
        <w:sym w:font="Symbol" w:char="F02D"/>
      </w:r>
      <w:r w:rsidRPr="00D45CDF">
        <w:rPr>
          <w:rFonts w:asciiTheme="minorHAnsi" w:hAnsiTheme="minorHAnsi"/>
          <w:i/>
          <w:iCs/>
          <w:sz w:val="24"/>
          <w:szCs w:val="24"/>
        </w:rPr>
        <w:t xml:space="preserve"> The Unexplored Potential of Trade in Services in Africa</w:t>
      </w:r>
      <w:r w:rsidRPr="00D45CDF">
        <w:rPr>
          <w:rFonts w:asciiTheme="minorHAnsi" w:hAnsiTheme="minorHAnsi"/>
          <w:sz w:val="24"/>
          <w:szCs w:val="24"/>
        </w:rPr>
        <w:t xml:space="preserve">. </w:t>
      </w:r>
      <w:r w:rsidR="00884C52">
        <w:rPr>
          <w:rFonts w:asciiTheme="minorHAnsi" w:hAnsiTheme="minorHAnsi"/>
          <w:sz w:val="24"/>
          <w:szCs w:val="24"/>
        </w:rPr>
        <w:t xml:space="preserve">(Washington DC: World Bank, </w:t>
      </w:r>
      <w:r w:rsidR="00884C52" w:rsidRPr="00D45CDF">
        <w:rPr>
          <w:rFonts w:asciiTheme="minorHAnsi" w:hAnsiTheme="minorHAnsi"/>
          <w:sz w:val="24"/>
          <w:szCs w:val="24"/>
        </w:rPr>
        <w:t xml:space="preserve">2016) </w:t>
      </w:r>
      <w:r w:rsidR="00007EE5" w:rsidRPr="00D45CDF">
        <w:rPr>
          <w:rFonts w:asciiTheme="minorHAnsi" w:hAnsiTheme="minorHAnsi"/>
          <w:sz w:val="24"/>
          <w:szCs w:val="24"/>
        </w:rPr>
        <w:t>Available at &lt;</w:t>
      </w:r>
      <w:hyperlink r:id="rId10" w:history="1">
        <w:r w:rsidR="00007EE5" w:rsidRPr="00D45CDF">
          <w:rPr>
            <w:rFonts w:asciiTheme="minorHAnsi" w:hAnsiTheme="minorHAnsi"/>
            <w:sz w:val="24"/>
            <w:szCs w:val="24"/>
          </w:rPr>
          <w:t>http://documents1.worldbank.org/curated/en/477321469182630728/pdf/107185-WP-TradeinServiceWeb-PUBLIC.pdf</w:t>
        </w:r>
      </w:hyperlink>
      <w:r w:rsidR="00007EE5" w:rsidRPr="00D45CDF">
        <w:rPr>
          <w:rFonts w:asciiTheme="minorHAnsi" w:hAnsiTheme="minorHAnsi"/>
          <w:sz w:val="24"/>
          <w:szCs w:val="24"/>
        </w:rPr>
        <w:t>&gt; Accessed 26 June 2020.</w:t>
      </w:r>
    </w:p>
    <w:p w14:paraId="101E3E01" w14:textId="77777777" w:rsidR="00673798" w:rsidRPr="00D45CDF" w:rsidRDefault="00673798" w:rsidP="00D45CDF">
      <w:pPr>
        <w:spacing w:line="240" w:lineRule="auto"/>
        <w:rPr>
          <w:rFonts w:asciiTheme="minorHAnsi" w:hAnsiTheme="minorHAnsi"/>
          <w:sz w:val="24"/>
          <w:szCs w:val="24"/>
        </w:rPr>
      </w:pPr>
      <w:r w:rsidRPr="00D45CDF">
        <w:rPr>
          <w:rFonts w:asciiTheme="minorHAnsi" w:hAnsiTheme="minorHAnsi"/>
          <w:sz w:val="24"/>
          <w:szCs w:val="24"/>
        </w:rPr>
        <w:t>EAC Secretariat</w:t>
      </w:r>
      <w:r w:rsidR="004755A8">
        <w:rPr>
          <w:rFonts w:asciiTheme="minorHAnsi" w:hAnsiTheme="minorHAnsi"/>
          <w:sz w:val="24"/>
          <w:szCs w:val="24"/>
        </w:rPr>
        <w:t>,</w:t>
      </w:r>
      <w:r w:rsidRPr="00D45CDF">
        <w:rPr>
          <w:rFonts w:asciiTheme="minorHAnsi" w:hAnsiTheme="minorHAnsi"/>
          <w:sz w:val="24"/>
          <w:szCs w:val="24"/>
        </w:rPr>
        <w:t xml:space="preserve"> </w:t>
      </w:r>
      <w:bookmarkEnd w:id="5"/>
      <w:r w:rsidRPr="00D45CDF">
        <w:rPr>
          <w:rFonts w:asciiTheme="minorHAnsi" w:hAnsiTheme="minorHAnsi"/>
          <w:i/>
          <w:iCs/>
          <w:sz w:val="24"/>
          <w:szCs w:val="24"/>
        </w:rPr>
        <w:t>East African Community Vision 2050</w:t>
      </w:r>
      <w:r w:rsidRPr="00D45CDF">
        <w:rPr>
          <w:rFonts w:asciiTheme="minorHAnsi" w:hAnsiTheme="minorHAnsi"/>
          <w:sz w:val="24"/>
          <w:szCs w:val="24"/>
        </w:rPr>
        <w:t>. Arusha, Tanzania</w:t>
      </w:r>
      <w:r w:rsidR="00884C52">
        <w:rPr>
          <w:rFonts w:asciiTheme="minorHAnsi" w:hAnsiTheme="minorHAnsi"/>
          <w:sz w:val="24"/>
          <w:szCs w:val="24"/>
        </w:rPr>
        <w:t xml:space="preserve"> </w:t>
      </w:r>
      <w:r w:rsidR="00884C52" w:rsidRPr="00D45CDF">
        <w:rPr>
          <w:rFonts w:asciiTheme="minorHAnsi" w:hAnsiTheme="minorHAnsi"/>
          <w:sz w:val="24"/>
          <w:szCs w:val="24"/>
        </w:rPr>
        <w:t>(2016)</w:t>
      </w:r>
      <w:r w:rsidRPr="00D45CDF">
        <w:rPr>
          <w:rFonts w:asciiTheme="minorHAnsi" w:hAnsiTheme="minorHAnsi"/>
          <w:sz w:val="24"/>
          <w:szCs w:val="24"/>
        </w:rPr>
        <w:t>.</w:t>
      </w:r>
    </w:p>
    <w:p w14:paraId="733D6036" w14:textId="77777777" w:rsidR="000660A6" w:rsidRPr="00D45CDF" w:rsidRDefault="00DD4734" w:rsidP="00D45CDF">
      <w:pPr>
        <w:spacing w:line="240" w:lineRule="auto"/>
        <w:rPr>
          <w:rFonts w:asciiTheme="minorHAnsi" w:hAnsiTheme="minorHAnsi"/>
          <w:sz w:val="24"/>
          <w:szCs w:val="24"/>
        </w:rPr>
      </w:pPr>
      <w:r w:rsidRPr="00D45CDF">
        <w:rPr>
          <w:rFonts w:asciiTheme="minorHAnsi" w:hAnsiTheme="minorHAnsi"/>
          <w:sz w:val="24"/>
          <w:szCs w:val="24"/>
        </w:rPr>
        <w:t>E</w:t>
      </w:r>
      <w:r w:rsidR="00A129B9" w:rsidRPr="00D45CDF">
        <w:rPr>
          <w:rFonts w:asciiTheme="minorHAnsi" w:hAnsiTheme="minorHAnsi"/>
          <w:sz w:val="24"/>
          <w:szCs w:val="24"/>
        </w:rPr>
        <w:t>ALS Institute</w:t>
      </w:r>
      <w:r w:rsidR="002A0F50">
        <w:rPr>
          <w:rFonts w:asciiTheme="minorHAnsi" w:hAnsiTheme="minorHAnsi"/>
          <w:sz w:val="24"/>
          <w:szCs w:val="24"/>
        </w:rPr>
        <w:t>,</w:t>
      </w:r>
      <w:r w:rsidRPr="00D45CDF">
        <w:rPr>
          <w:rFonts w:asciiTheme="minorHAnsi" w:hAnsiTheme="minorHAnsi"/>
          <w:sz w:val="24"/>
          <w:szCs w:val="24"/>
        </w:rPr>
        <w:t xml:space="preserve"> </w:t>
      </w:r>
      <w:r w:rsidR="002A0F50">
        <w:rPr>
          <w:rFonts w:asciiTheme="minorHAnsi" w:hAnsiTheme="minorHAnsi"/>
          <w:sz w:val="24"/>
          <w:szCs w:val="24"/>
        </w:rPr>
        <w:t>“</w:t>
      </w:r>
      <w:r w:rsidRPr="00D45CDF">
        <w:rPr>
          <w:rFonts w:asciiTheme="minorHAnsi" w:hAnsiTheme="minorHAnsi"/>
          <w:sz w:val="24"/>
          <w:szCs w:val="24"/>
        </w:rPr>
        <w:t>Regional Integration.</w:t>
      </w:r>
      <w:r w:rsidR="002A0F50">
        <w:rPr>
          <w:rFonts w:asciiTheme="minorHAnsi" w:hAnsiTheme="minorHAnsi"/>
          <w:sz w:val="24"/>
          <w:szCs w:val="24"/>
        </w:rPr>
        <w:t>”</w:t>
      </w:r>
      <w:r w:rsidRPr="00D45CDF">
        <w:rPr>
          <w:rFonts w:asciiTheme="minorHAnsi" w:hAnsiTheme="minorHAnsi"/>
          <w:sz w:val="24"/>
          <w:szCs w:val="24"/>
        </w:rPr>
        <w:t xml:space="preserve"> Available at &lt;https://ealawsociety.org/regional-intergration/&gt; Accessed 31 October 2019.</w:t>
      </w:r>
      <w:bookmarkStart w:id="6" w:name="_Hlk25357206"/>
    </w:p>
    <w:p w14:paraId="14A0EC22" w14:textId="77777777" w:rsidR="00AA1167" w:rsidRPr="00D45CDF" w:rsidRDefault="00AA1167" w:rsidP="00D45CDF">
      <w:pPr>
        <w:spacing w:line="240" w:lineRule="auto"/>
        <w:rPr>
          <w:rFonts w:asciiTheme="minorHAnsi" w:hAnsiTheme="minorHAnsi"/>
          <w:sz w:val="24"/>
          <w:szCs w:val="24"/>
        </w:rPr>
      </w:pPr>
      <w:proofErr w:type="spellStart"/>
      <w:r w:rsidRPr="00D45CDF">
        <w:rPr>
          <w:rFonts w:asciiTheme="minorHAnsi" w:hAnsiTheme="minorHAnsi"/>
          <w:sz w:val="24"/>
          <w:szCs w:val="24"/>
        </w:rPr>
        <w:t>Gasthorn</w:t>
      </w:r>
      <w:proofErr w:type="spellEnd"/>
      <w:r w:rsidRPr="00D45CDF">
        <w:rPr>
          <w:rFonts w:asciiTheme="minorHAnsi" w:hAnsiTheme="minorHAnsi"/>
          <w:sz w:val="24"/>
          <w:szCs w:val="24"/>
        </w:rPr>
        <w:t>, K.</w:t>
      </w:r>
      <w:r w:rsidR="0019611A">
        <w:rPr>
          <w:rFonts w:asciiTheme="minorHAnsi" w:hAnsiTheme="minorHAnsi"/>
          <w:sz w:val="24"/>
          <w:szCs w:val="24"/>
        </w:rPr>
        <w:t>,</w:t>
      </w:r>
      <w:r w:rsidRPr="00D45CDF">
        <w:rPr>
          <w:rFonts w:asciiTheme="minorHAnsi" w:hAnsiTheme="minorHAnsi"/>
          <w:sz w:val="24"/>
          <w:szCs w:val="24"/>
        </w:rPr>
        <w:t xml:space="preserve"> </w:t>
      </w:r>
      <w:r w:rsidR="00884C52">
        <w:rPr>
          <w:rFonts w:asciiTheme="minorHAnsi" w:hAnsiTheme="minorHAnsi"/>
          <w:sz w:val="24"/>
          <w:szCs w:val="24"/>
        </w:rPr>
        <w:t>“</w:t>
      </w:r>
      <w:r w:rsidRPr="00D45CDF">
        <w:rPr>
          <w:rFonts w:asciiTheme="minorHAnsi" w:hAnsiTheme="minorHAnsi"/>
          <w:sz w:val="24"/>
          <w:szCs w:val="24"/>
        </w:rPr>
        <w:t>Freedom of Establishment and the Freedom</w:t>
      </w:r>
      <w:r w:rsidR="00884C52">
        <w:rPr>
          <w:rFonts w:asciiTheme="minorHAnsi" w:hAnsiTheme="minorHAnsi"/>
          <w:sz w:val="24"/>
          <w:szCs w:val="24"/>
        </w:rPr>
        <w:t xml:space="preserve"> to provide Services in the EAC”</w:t>
      </w:r>
      <w:r w:rsidRPr="00D45CDF">
        <w:rPr>
          <w:rFonts w:asciiTheme="minorHAnsi" w:hAnsiTheme="minorHAnsi"/>
          <w:sz w:val="24"/>
          <w:szCs w:val="24"/>
        </w:rPr>
        <w:t xml:space="preserve"> in </w:t>
      </w:r>
      <w:r w:rsidR="00884C52" w:rsidRPr="00D45CDF">
        <w:rPr>
          <w:rFonts w:asciiTheme="minorHAnsi" w:hAnsiTheme="minorHAnsi"/>
          <w:i/>
          <w:iCs/>
          <w:sz w:val="24"/>
          <w:szCs w:val="24"/>
        </w:rPr>
        <w:t>East African Community Law</w:t>
      </w:r>
      <w:r w:rsidR="00884C52">
        <w:rPr>
          <w:rFonts w:asciiTheme="minorHAnsi" w:hAnsiTheme="minorHAnsi"/>
          <w:sz w:val="24"/>
          <w:szCs w:val="24"/>
        </w:rPr>
        <w:t xml:space="preserve"> </w:t>
      </w:r>
      <w:r w:rsidRPr="00D45CDF">
        <w:rPr>
          <w:rFonts w:asciiTheme="minorHAnsi" w:hAnsiTheme="minorHAnsi"/>
          <w:sz w:val="24"/>
          <w:szCs w:val="24"/>
        </w:rPr>
        <w:t>eds</w:t>
      </w:r>
      <w:r w:rsidR="0019611A">
        <w:rPr>
          <w:rFonts w:asciiTheme="minorHAnsi" w:hAnsiTheme="minorHAnsi"/>
          <w:sz w:val="24"/>
          <w:szCs w:val="24"/>
        </w:rPr>
        <w:t>.</w:t>
      </w:r>
      <w:r w:rsidRPr="00D45CDF">
        <w:rPr>
          <w:rFonts w:asciiTheme="minorHAnsi" w:hAnsiTheme="minorHAnsi"/>
          <w:sz w:val="24"/>
          <w:szCs w:val="24"/>
        </w:rPr>
        <w:t xml:space="preserve"> </w:t>
      </w:r>
      <w:proofErr w:type="spellStart"/>
      <w:r w:rsidRPr="00D45CDF">
        <w:rPr>
          <w:rFonts w:asciiTheme="minorHAnsi" w:hAnsiTheme="minorHAnsi"/>
          <w:sz w:val="24"/>
          <w:szCs w:val="24"/>
        </w:rPr>
        <w:t>Ugirashebuja</w:t>
      </w:r>
      <w:proofErr w:type="spellEnd"/>
      <w:r w:rsidRPr="00D45CDF">
        <w:rPr>
          <w:rFonts w:asciiTheme="minorHAnsi" w:hAnsiTheme="minorHAnsi"/>
          <w:sz w:val="24"/>
          <w:szCs w:val="24"/>
        </w:rPr>
        <w:t xml:space="preserve">, E., </w:t>
      </w:r>
      <w:proofErr w:type="spellStart"/>
      <w:r w:rsidRPr="00D45CDF">
        <w:rPr>
          <w:rFonts w:asciiTheme="minorHAnsi" w:hAnsiTheme="minorHAnsi"/>
          <w:sz w:val="24"/>
          <w:szCs w:val="24"/>
        </w:rPr>
        <w:t>Ruhangisa</w:t>
      </w:r>
      <w:proofErr w:type="spellEnd"/>
      <w:r w:rsidRPr="00D45CDF">
        <w:rPr>
          <w:rFonts w:asciiTheme="minorHAnsi" w:hAnsiTheme="minorHAnsi"/>
          <w:sz w:val="24"/>
          <w:szCs w:val="24"/>
        </w:rPr>
        <w:t xml:space="preserve">, J.E., </w:t>
      </w:r>
      <w:proofErr w:type="spellStart"/>
      <w:r w:rsidRPr="00D45CDF">
        <w:rPr>
          <w:rFonts w:asciiTheme="minorHAnsi" w:hAnsiTheme="minorHAnsi"/>
          <w:sz w:val="24"/>
          <w:szCs w:val="24"/>
        </w:rPr>
        <w:t>Ottervanger</w:t>
      </w:r>
      <w:proofErr w:type="spellEnd"/>
      <w:r w:rsidRPr="00D45CDF">
        <w:rPr>
          <w:rFonts w:asciiTheme="minorHAnsi" w:hAnsiTheme="minorHAnsi"/>
          <w:sz w:val="24"/>
          <w:szCs w:val="24"/>
        </w:rPr>
        <w:t xml:space="preserve">, T. and </w:t>
      </w:r>
      <w:proofErr w:type="spellStart"/>
      <w:r w:rsidRPr="00D45CDF">
        <w:rPr>
          <w:rFonts w:asciiTheme="minorHAnsi" w:hAnsiTheme="minorHAnsi"/>
          <w:sz w:val="24"/>
          <w:szCs w:val="24"/>
        </w:rPr>
        <w:t>Cuyvers</w:t>
      </w:r>
      <w:proofErr w:type="spellEnd"/>
      <w:r w:rsidRPr="00D45CDF">
        <w:rPr>
          <w:rFonts w:asciiTheme="minorHAnsi" w:hAnsiTheme="minorHAnsi"/>
          <w:sz w:val="24"/>
          <w:szCs w:val="24"/>
        </w:rPr>
        <w:t xml:space="preserve">, A. </w:t>
      </w:r>
      <w:r w:rsidR="00884C52">
        <w:rPr>
          <w:rFonts w:asciiTheme="minorHAnsi" w:hAnsiTheme="minorHAnsi"/>
          <w:sz w:val="24"/>
          <w:szCs w:val="24"/>
        </w:rPr>
        <w:t>(</w:t>
      </w:r>
      <w:r w:rsidRPr="00D45CDF">
        <w:rPr>
          <w:rFonts w:asciiTheme="minorHAnsi" w:hAnsiTheme="minorHAnsi"/>
          <w:sz w:val="24"/>
          <w:szCs w:val="24"/>
        </w:rPr>
        <w:t xml:space="preserve">Leiden. Brill </w:t>
      </w:r>
      <w:proofErr w:type="spellStart"/>
      <w:r w:rsidRPr="00D45CDF">
        <w:rPr>
          <w:rFonts w:asciiTheme="minorHAnsi" w:hAnsiTheme="minorHAnsi"/>
          <w:sz w:val="24"/>
          <w:szCs w:val="24"/>
        </w:rPr>
        <w:t>Nijhoff</w:t>
      </w:r>
      <w:proofErr w:type="spellEnd"/>
      <w:r w:rsidR="00884C52">
        <w:rPr>
          <w:rFonts w:asciiTheme="minorHAnsi" w:hAnsiTheme="minorHAnsi"/>
          <w:sz w:val="24"/>
          <w:szCs w:val="24"/>
        </w:rPr>
        <w:t xml:space="preserve">, </w:t>
      </w:r>
      <w:r w:rsidR="00884C52" w:rsidRPr="00D45CDF">
        <w:rPr>
          <w:rFonts w:asciiTheme="minorHAnsi" w:hAnsiTheme="minorHAnsi"/>
          <w:sz w:val="24"/>
          <w:szCs w:val="24"/>
        </w:rPr>
        <w:t>2017)</w:t>
      </w:r>
      <w:r w:rsidR="00884C52">
        <w:rPr>
          <w:rFonts w:asciiTheme="minorHAnsi" w:hAnsiTheme="minorHAnsi"/>
          <w:sz w:val="24"/>
          <w:szCs w:val="24"/>
        </w:rPr>
        <w:t xml:space="preserve">: </w:t>
      </w:r>
      <w:r w:rsidR="005726AE" w:rsidRPr="00D45CDF">
        <w:rPr>
          <w:rFonts w:asciiTheme="minorHAnsi" w:hAnsiTheme="minorHAnsi"/>
          <w:sz w:val="24"/>
          <w:szCs w:val="24"/>
        </w:rPr>
        <w:t>365-375.</w:t>
      </w:r>
    </w:p>
    <w:bookmarkEnd w:id="6"/>
    <w:p w14:paraId="7C8F9935" w14:textId="77777777" w:rsidR="00B66D64" w:rsidRPr="00D45CDF" w:rsidRDefault="00B66D64" w:rsidP="00D45CDF">
      <w:pPr>
        <w:autoSpaceDE w:val="0"/>
        <w:autoSpaceDN w:val="0"/>
        <w:adjustRightInd w:val="0"/>
        <w:spacing w:line="240" w:lineRule="auto"/>
        <w:rPr>
          <w:rFonts w:asciiTheme="minorHAnsi" w:hAnsiTheme="minorHAnsi"/>
          <w:sz w:val="24"/>
          <w:szCs w:val="24"/>
        </w:rPr>
      </w:pPr>
      <w:proofErr w:type="spellStart"/>
      <w:r w:rsidRPr="00D45CDF">
        <w:rPr>
          <w:rFonts w:asciiTheme="minorHAnsi" w:hAnsiTheme="minorHAnsi"/>
          <w:sz w:val="24"/>
          <w:szCs w:val="24"/>
        </w:rPr>
        <w:t>Hennsler</w:t>
      </w:r>
      <w:proofErr w:type="spellEnd"/>
      <w:r w:rsidRPr="00D45CDF">
        <w:rPr>
          <w:rFonts w:asciiTheme="minorHAnsi" w:hAnsiTheme="minorHAnsi"/>
          <w:sz w:val="24"/>
          <w:szCs w:val="24"/>
        </w:rPr>
        <w:t>, M. and Terry, L. S.</w:t>
      </w:r>
      <w:r w:rsidR="0019611A">
        <w:rPr>
          <w:rFonts w:asciiTheme="minorHAnsi" w:hAnsiTheme="minorHAnsi"/>
          <w:sz w:val="24"/>
          <w:szCs w:val="24"/>
        </w:rPr>
        <w:t>,</w:t>
      </w:r>
      <w:r w:rsidRPr="00D45CDF">
        <w:rPr>
          <w:rFonts w:asciiTheme="minorHAnsi" w:hAnsiTheme="minorHAnsi"/>
          <w:sz w:val="24"/>
          <w:szCs w:val="24"/>
        </w:rPr>
        <w:t xml:space="preserve"> </w:t>
      </w:r>
      <w:r w:rsidR="00884C52">
        <w:rPr>
          <w:rFonts w:asciiTheme="minorHAnsi" w:hAnsiTheme="minorHAnsi"/>
          <w:sz w:val="24"/>
          <w:szCs w:val="24"/>
        </w:rPr>
        <w:t>“</w:t>
      </w:r>
      <w:r w:rsidRPr="00D45CDF">
        <w:rPr>
          <w:rFonts w:asciiTheme="minorHAnsi" w:hAnsiTheme="minorHAnsi"/>
          <w:sz w:val="24"/>
          <w:szCs w:val="24"/>
        </w:rPr>
        <w:t>Lawyers without Frontiers - A View from Germany.</w:t>
      </w:r>
      <w:r w:rsidR="00884C52">
        <w:rPr>
          <w:rFonts w:asciiTheme="minorHAnsi" w:hAnsiTheme="minorHAnsi"/>
          <w:sz w:val="24"/>
          <w:szCs w:val="24"/>
        </w:rPr>
        <w:t>”</w:t>
      </w:r>
      <w:r w:rsidRPr="00D45CDF">
        <w:rPr>
          <w:rFonts w:asciiTheme="minorHAnsi" w:hAnsiTheme="minorHAnsi"/>
          <w:sz w:val="24"/>
          <w:szCs w:val="24"/>
        </w:rPr>
        <w:t xml:space="preserve"> </w:t>
      </w:r>
      <w:r w:rsidRPr="00D45CDF">
        <w:rPr>
          <w:rFonts w:asciiTheme="minorHAnsi" w:hAnsiTheme="minorHAnsi"/>
          <w:i/>
          <w:sz w:val="24"/>
          <w:szCs w:val="24"/>
        </w:rPr>
        <w:t>Dickinson Journal of International Law,</w:t>
      </w:r>
      <w:r w:rsidRPr="00D45CDF">
        <w:rPr>
          <w:rFonts w:asciiTheme="minorHAnsi" w:hAnsiTheme="minorHAnsi"/>
          <w:sz w:val="24"/>
          <w:szCs w:val="24"/>
        </w:rPr>
        <w:t xml:space="preserve"> 19, 2, </w:t>
      </w:r>
      <w:r w:rsidR="00884C52" w:rsidRPr="00D45CDF">
        <w:rPr>
          <w:rFonts w:asciiTheme="minorHAnsi" w:hAnsiTheme="minorHAnsi"/>
          <w:sz w:val="24"/>
          <w:szCs w:val="24"/>
        </w:rPr>
        <w:t>(2001)</w:t>
      </w:r>
      <w:r w:rsidR="00884C52">
        <w:rPr>
          <w:rFonts w:asciiTheme="minorHAnsi" w:hAnsiTheme="minorHAnsi"/>
          <w:sz w:val="24"/>
          <w:szCs w:val="24"/>
        </w:rPr>
        <w:t>:</w:t>
      </w:r>
      <w:r w:rsidRPr="00D45CDF">
        <w:rPr>
          <w:rFonts w:asciiTheme="minorHAnsi" w:hAnsiTheme="minorHAnsi"/>
          <w:sz w:val="24"/>
          <w:szCs w:val="24"/>
        </w:rPr>
        <w:t xml:space="preserve"> 269-299.</w:t>
      </w:r>
    </w:p>
    <w:p w14:paraId="2BF583AF" w14:textId="77777777" w:rsidR="00242198" w:rsidRPr="00D45CDF" w:rsidRDefault="00242198" w:rsidP="00D45CDF">
      <w:pPr>
        <w:shd w:val="clear" w:color="auto" w:fill="FFFFFF"/>
        <w:spacing w:after="150" w:line="240" w:lineRule="auto"/>
        <w:rPr>
          <w:rFonts w:asciiTheme="minorHAnsi" w:hAnsiTheme="minorHAnsi"/>
          <w:sz w:val="24"/>
          <w:szCs w:val="24"/>
        </w:rPr>
      </w:pPr>
      <w:proofErr w:type="spellStart"/>
      <w:r w:rsidRPr="00D45CDF">
        <w:rPr>
          <w:rFonts w:asciiTheme="minorHAnsi" w:eastAsia="Times New Roman" w:hAnsiTheme="minorHAnsi"/>
          <w:sz w:val="24"/>
          <w:szCs w:val="24"/>
          <w:lang w:eastAsia="en-GB"/>
        </w:rPr>
        <w:t>Hoekman</w:t>
      </w:r>
      <w:proofErr w:type="spellEnd"/>
      <w:r w:rsidRPr="00D45CDF">
        <w:rPr>
          <w:rFonts w:asciiTheme="minorHAnsi" w:eastAsia="Times New Roman" w:hAnsiTheme="minorHAnsi"/>
          <w:sz w:val="24"/>
          <w:szCs w:val="24"/>
          <w:lang w:eastAsia="en-GB"/>
        </w:rPr>
        <w:t>, B.</w:t>
      </w:r>
      <w:r w:rsidR="0019611A">
        <w:rPr>
          <w:rFonts w:asciiTheme="minorHAnsi" w:eastAsia="Times New Roman" w:hAnsiTheme="minorHAnsi"/>
          <w:sz w:val="24"/>
          <w:szCs w:val="24"/>
          <w:lang w:eastAsia="en-GB"/>
        </w:rPr>
        <w:t>,</w:t>
      </w:r>
      <w:r w:rsidRPr="00D45CDF">
        <w:rPr>
          <w:rFonts w:asciiTheme="minorHAnsi" w:eastAsia="Times New Roman" w:hAnsiTheme="minorHAnsi"/>
          <w:sz w:val="24"/>
          <w:szCs w:val="24"/>
          <w:lang w:eastAsia="en-GB"/>
        </w:rPr>
        <w:t xml:space="preserve"> </w:t>
      </w:r>
      <w:r w:rsidR="00884C52">
        <w:rPr>
          <w:rFonts w:asciiTheme="minorHAnsi" w:eastAsia="Times New Roman" w:hAnsiTheme="minorHAnsi"/>
          <w:sz w:val="24"/>
          <w:szCs w:val="24"/>
          <w:lang w:eastAsia="en-GB"/>
        </w:rPr>
        <w:t>“</w:t>
      </w:r>
      <w:hyperlink r:id="rId11" w:history="1">
        <w:r w:rsidRPr="00D45CDF">
          <w:rPr>
            <w:rFonts w:asciiTheme="minorHAnsi" w:eastAsia="Times New Roman" w:hAnsiTheme="minorHAnsi"/>
            <w:sz w:val="24"/>
            <w:szCs w:val="24"/>
            <w:lang w:eastAsia="en-GB"/>
          </w:rPr>
          <w:t>Integrating African Services Markets</w:t>
        </w:r>
      </w:hyperlink>
      <w:r w:rsidRPr="00D45CDF">
        <w:rPr>
          <w:rFonts w:asciiTheme="minorHAnsi" w:eastAsia="Times New Roman" w:hAnsiTheme="minorHAnsi"/>
          <w:sz w:val="24"/>
          <w:szCs w:val="24"/>
          <w:lang w:eastAsia="en-GB"/>
        </w:rPr>
        <w:t xml:space="preserve"> in Regional Integration in Africa, proceedings of the 20th Senior Policy Seminar, Nairobi: Africa</w:t>
      </w:r>
      <w:r w:rsidR="00884C52">
        <w:rPr>
          <w:rFonts w:asciiTheme="minorHAnsi" w:eastAsia="Times New Roman" w:hAnsiTheme="minorHAnsi"/>
          <w:sz w:val="24"/>
          <w:szCs w:val="24"/>
          <w:lang w:eastAsia="en-GB"/>
        </w:rPr>
        <w:t>n Economic Research Consortium,” (</w:t>
      </w:r>
      <w:r w:rsidRPr="00D45CDF">
        <w:rPr>
          <w:rFonts w:asciiTheme="minorHAnsi" w:eastAsia="Times New Roman" w:hAnsiTheme="minorHAnsi"/>
          <w:sz w:val="24"/>
          <w:szCs w:val="24"/>
          <w:lang w:eastAsia="en-GB"/>
        </w:rPr>
        <w:t>2018</w:t>
      </w:r>
      <w:r w:rsidR="00884C52">
        <w:rPr>
          <w:rFonts w:asciiTheme="minorHAnsi" w:eastAsia="Times New Roman" w:hAnsiTheme="minorHAnsi"/>
          <w:sz w:val="24"/>
          <w:szCs w:val="24"/>
          <w:lang w:eastAsia="en-GB"/>
        </w:rPr>
        <w:t>)</w:t>
      </w:r>
      <w:r w:rsidRPr="00D45CDF">
        <w:rPr>
          <w:rFonts w:asciiTheme="minorHAnsi" w:eastAsia="Times New Roman" w:hAnsiTheme="minorHAnsi"/>
          <w:sz w:val="24"/>
          <w:szCs w:val="24"/>
          <w:lang w:eastAsia="en-GB"/>
        </w:rPr>
        <w:t xml:space="preserve"> Available at &lt;</w:t>
      </w:r>
      <w:r w:rsidRPr="00D45CDF">
        <w:rPr>
          <w:rFonts w:asciiTheme="minorHAnsi" w:hAnsiTheme="minorHAnsi"/>
          <w:sz w:val="24"/>
          <w:szCs w:val="24"/>
        </w:rPr>
        <w:t xml:space="preserve">https://www.eui.eu/DepartmentsAndCentres/RobertSchumanCentre/Africa-Platform/Publications&gt; </w:t>
      </w:r>
      <w:r w:rsidRPr="00D45CDF">
        <w:rPr>
          <w:rFonts w:asciiTheme="minorHAnsi" w:eastAsia="Times New Roman" w:hAnsiTheme="minorHAnsi"/>
          <w:sz w:val="24"/>
          <w:szCs w:val="24"/>
          <w:lang w:eastAsia="en-GB"/>
        </w:rPr>
        <w:t>Accessed 2 November 2019.</w:t>
      </w:r>
    </w:p>
    <w:p w14:paraId="04C9AD1D" w14:textId="77777777" w:rsidR="00B66D64" w:rsidRPr="00D45CDF" w:rsidRDefault="00884C52" w:rsidP="00D45CDF">
      <w:pPr>
        <w:spacing w:before="240" w:line="240" w:lineRule="auto"/>
        <w:rPr>
          <w:rFonts w:asciiTheme="minorHAnsi" w:hAnsiTheme="minorHAnsi"/>
          <w:sz w:val="24"/>
          <w:szCs w:val="24"/>
        </w:rPr>
      </w:pPr>
      <w:bookmarkStart w:id="7" w:name="_Hlk25336817"/>
      <w:r>
        <w:rPr>
          <w:rFonts w:asciiTheme="minorHAnsi" w:hAnsiTheme="minorHAnsi"/>
          <w:sz w:val="24"/>
          <w:szCs w:val="24"/>
        </w:rPr>
        <w:t>Hyde, J.</w:t>
      </w:r>
      <w:r w:rsidR="0019611A">
        <w:rPr>
          <w:rFonts w:asciiTheme="minorHAnsi" w:hAnsiTheme="minorHAnsi"/>
          <w:sz w:val="24"/>
          <w:szCs w:val="24"/>
        </w:rPr>
        <w:t>,</w:t>
      </w:r>
      <w:r>
        <w:rPr>
          <w:rFonts w:asciiTheme="minorHAnsi" w:hAnsiTheme="minorHAnsi"/>
          <w:sz w:val="24"/>
          <w:szCs w:val="24"/>
        </w:rPr>
        <w:t xml:space="preserve"> “</w:t>
      </w:r>
      <w:r w:rsidR="00B66D64" w:rsidRPr="00D45CDF">
        <w:rPr>
          <w:rFonts w:asciiTheme="minorHAnsi" w:hAnsiTheme="minorHAnsi"/>
          <w:sz w:val="24"/>
          <w:szCs w:val="24"/>
        </w:rPr>
        <w:t>Br</w:t>
      </w:r>
      <w:r>
        <w:rPr>
          <w:rFonts w:asciiTheme="minorHAnsi" w:hAnsiTheme="minorHAnsi"/>
          <w:sz w:val="24"/>
          <w:szCs w:val="24"/>
        </w:rPr>
        <w:t>exit hitch as firms eye Ireland</w:t>
      </w:r>
      <w:r w:rsidR="00B66D64" w:rsidRPr="00D45CDF">
        <w:rPr>
          <w:rFonts w:asciiTheme="minorHAnsi" w:hAnsiTheme="minorHAnsi"/>
          <w:sz w:val="24"/>
          <w:szCs w:val="24"/>
        </w:rPr>
        <w:t>.</w:t>
      </w:r>
      <w:r>
        <w:rPr>
          <w:rFonts w:asciiTheme="minorHAnsi" w:hAnsiTheme="minorHAnsi"/>
          <w:sz w:val="24"/>
          <w:szCs w:val="24"/>
        </w:rPr>
        <w:t>”</w:t>
      </w:r>
      <w:r w:rsidR="00B66D64" w:rsidRPr="00D45CDF">
        <w:rPr>
          <w:rFonts w:asciiTheme="minorHAnsi" w:hAnsiTheme="minorHAnsi"/>
          <w:sz w:val="24"/>
          <w:szCs w:val="24"/>
        </w:rPr>
        <w:t xml:space="preserve"> </w:t>
      </w:r>
      <w:r w:rsidR="00B66D64" w:rsidRPr="00D45CDF">
        <w:rPr>
          <w:rFonts w:asciiTheme="minorHAnsi" w:hAnsiTheme="minorHAnsi"/>
          <w:i/>
          <w:sz w:val="24"/>
          <w:szCs w:val="24"/>
        </w:rPr>
        <w:t xml:space="preserve">Law Society Gazette, </w:t>
      </w:r>
      <w:r w:rsidR="00B66D64" w:rsidRPr="00D45CDF">
        <w:rPr>
          <w:rFonts w:asciiTheme="minorHAnsi" w:hAnsiTheme="minorHAnsi"/>
          <w:sz w:val="24"/>
          <w:szCs w:val="24"/>
        </w:rPr>
        <w:t>20</w:t>
      </w:r>
      <w:r w:rsidR="00B66D64" w:rsidRPr="00D45CDF">
        <w:rPr>
          <w:rFonts w:asciiTheme="minorHAnsi" w:hAnsiTheme="minorHAnsi"/>
          <w:i/>
          <w:sz w:val="24"/>
          <w:szCs w:val="24"/>
        </w:rPr>
        <w:t xml:space="preserve"> </w:t>
      </w:r>
      <w:r w:rsidR="00B66D64" w:rsidRPr="00D45CDF">
        <w:rPr>
          <w:rFonts w:asciiTheme="minorHAnsi" w:hAnsiTheme="minorHAnsi"/>
          <w:sz w:val="24"/>
          <w:szCs w:val="24"/>
        </w:rPr>
        <w:t>May</w:t>
      </w:r>
      <w:r>
        <w:rPr>
          <w:rFonts w:asciiTheme="minorHAnsi" w:hAnsiTheme="minorHAnsi"/>
          <w:sz w:val="24"/>
          <w:szCs w:val="24"/>
        </w:rPr>
        <w:t xml:space="preserve"> 2019</w:t>
      </w:r>
      <w:r w:rsidR="00B66D64" w:rsidRPr="00D45CDF">
        <w:rPr>
          <w:rFonts w:asciiTheme="minorHAnsi" w:hAnsiTheme="minorHAnsi"/>
          <w:sz w:val="24"/>
          <w:szCs w:val="24"/>
        </w:rPr>
        <w:t>, 3.</w:t>
      </w:r>
    </w:p>
    <w:p w14:paraId="4802F186" w14:textId="77777777" w:rsidR="00007EE5" w:rsidRPr="00D45CDF" w:rsidRDefault="00884C52" w:rsidP="00D45CDF">
      <w:pPr>
        <w:spacing w:before="240" w:line="240" w:lineRule="auto"/>
        <w:rPr>
          <w:rFonts w:asciiTheme="minorHAnsi" w:hAnsiTheme="minorHAnsi"/>
          <w:sz w:val="24"/>
          <w:szCs w:val="24"/>
        </w:rPr>
      </w:pPr>
      <w:bookmarkStart w:id="8" w:name="_Hlk25337574"/>
      <w:bookmarkEnd w:id="7"/>
      <w:r>
        <w:rPr>
          <w:rFonts w:asciiTheme="minorHAnsi" w:hAnsiTheme="minorHAnsi"/>
          <w:sz w:val="24"/>
          <w:szCs w:val="24"/>
        </w:rPr>
        <w:t>Hyde, J.</w:t>
      </w:r>
      <w:r w:rsidR="004755A8">
        <w:rPr>
          <w:rFonts w:asciiTheme="minorHAnsi" w:hAnsiTheme="minorHAnsi"/>
          <w:sz w:val="24"/>
          <w:szCs w:val="24"/>
        </w:rPr>
        <w:t>,</w:t>
      </w:r>
      <w:r>
        <w:rPr>
          <w:rFonts w:asciiTheme="minorHAnsi" w:hAnsiTheme="minorHAnsi"/>
          <w:sz w:val="24"/>
          <w:szCs w:val="24"/>
        </w:rPr>
        <w:t xml:space="preserve"> “</w:t>
      </w:r>
      <w:r w:rsidR="00B66D64" w:rsidRPr="00D45CDF">
        <w:rPr>
          <w:rFonts w:asciiTheme="minorHAnsi" w:hAnsiTheme="minorHAnsi"/>
          <w:bCs/>
          <w:sz w:val="24"/>
          <w:szCs w:val="24"/>
        </w:rPr>
        <w:t>No-deal Brexit would halt European lawyer scheme overnight, says SRA</w:t>
      </w:r>
      <w:r w:rsidR="0019611A">
        <w:rPr>
          <w:rFonts w:asciiTheme="minorHAnsi" w:hAnsiTheme="minorHAnsi"/>
          <w:bCs/>
          <w:sz w:val="24"/>
          <w:szCs w:val="24"/>
        </w:rPr>
        <w:t>”,</w:t>
      </w:r>
      <w:r w:rsidR="00B66D64" w:rsidRPr="00D45CDF">
        <w:rPr>
          <w:rFonts w:asciiTheme="minorHAnsi" w:hAnsiTheme="minorHAnsi"/>
          <w:i/>
          <w:sz w:val="24"/>
          <w:szCs w:val="24"/>
        </w:rPr>
        <w:t xml:space="preserve"> Law Society Gazette, </w:t>
      </w:r>
      <w:r w:rsidR="00B66D64" w:rsidRPr="00D45CDF">
        <w:rPr>
          <w:rFonts w:asciiTheme="minorHAnsi" w:hAnsiTheme="minorHAnsi"/>
          <w:sz w:val="24"/>
          <w:szCs w:val="24"/>
        </w:rPr>
        <w:t>12</w:t>
      </w:r>
      <w:r w:rsidR="00C85190" w:rsidRPr="00D45CDF">
        <w:rPr>
          <w:rFonts w:asciiTheme="minorHAnsi" w:hAnsiTheme="minorHAnsi"/>
          <w:sz w:val="24"/>
          <w:szCs w:val="24"/>
        </w:rPr>
        <w:t xml:space="preserve"> </w:t>
      </w:r>
      <w:r w:rsidR="00B66D64" w:rsidRPr="00D45CDF">
        <w:rPr>
          <w:rFonts w:asciiTheme="minorHAnsi" w:hAnsiTheme="minorHAnsi"/>
          <w:sz w:val="24"/>
          <w:szCs w:val="24"/>
        </w:rPr>
        <w:t>October</w:t>
      </w:r>
      <w:r>
        <w:rPr>
          <w:rFonts w:asciiTheme="minorHAnsi" w:hAnsiTheme="minorHAnsi"/>
          <w:sz w:val="24"/>
          <w:szCs w:val="24"/>
        </w:rPr>
        <w:t xml:space="preserve"> 2018</w:t>
      </w:r>
      <w:r w:rsidR="00B66D64" w:rsidRPr="00D45CDF">
        <w:rPr>
          <w:rFonts w:asciiTheme="minorHAnsi" w:hAnsiTheme="minorHAnsi"/>
          <w:sz w:val="24"/>
          <w:szCs w:val="24"/>
        </w:rPr>
        <w:t>. Available at &lt;https://www.lawgazette.co.uk/no-deal-brexit-would-halt-european-lawyer-scheme-overnight-says-sra/5067954.article&gt;. Accessed 15 July 2019.</w:t>
      </w:r>
      <w:bookmarkStart w:id="9" w:name="baut0005"/>
    </w:p>
    <w:p w14:paraId="33F8802A" w14:textId="77777777" w:rsidR="00007EE5" w:rsidRPr="00D45CDF" w:rsidRDefault="00821CAC" w:rsidP="00D45CDF">
      <w:pPr>
        <w:spacing w:before="240" w:line="240" w:lineRule="auto"/>
        <w:rPr>
          <w:rFonts w:asciiTheme="minorHAnsi" w:eastAsia="Times New Roman" w:hAnsiTheme="minorHAnsi"/>
          <w:sz w:val="24"/>
          <w:szCs w:val="24"/>
          <w:lang w:eastAsia="en-GB"/>
        </w:rPr>
      </w:pPr>
      <w:hyperlink r:id="rId12" w:anchor="!" w:history="1">
        <w:r w:rsidR="00567E2F" w:rsidRPr="00D45CDF">
          <w:rPr>
            <w:rStyle w:val="text"/>
            <w:rFonts w:asciiTheme="minorHAnsi" w:hAnsiTheme="minorHAnsi"/>
            <w:sz w:val="24"/>
            <w:szCs w:val="24"/>
          </w:rPr>
          <w:t>in ’t Veld</w:t>
        </w:r>
      </w:hyperlink>
      <w:bookmarkEnd w:id="9"/>
      <w:r w:rsidR="00567E2F" w:rsidRPr="00D45CDF">
        <w:rPr>
          <w:rFonts w:asciiTheme="minorHAnsi" w:hAnsiTheme="minorHAnsi"/>
          <w:sz w:val="24"/>
          <w:szCs w:val="24"/>
        </w:rPr>
        <w:t>, Jan</w:t>
      </w:r>
      <w:r w:rsidR="0019611A">
        <w:rPr>
          <w:rFonts w:asciiTheme="minorHAnsi" w:hAnsiTheme="minorHAnsi"/>
          <w:sz w:val="24"/>
          <w:szCs w:val="24"/>
        </w:rPr>
        <w:t>,</w:t>
      </w:r>
      <w:r w:rsidR="00567E2F" w:rsidRPr="00D45CDF">
        <w:rPr>
          <w:rFonts w:asciiTheme="minorHAnsi" w:hAnsiTheme="minorHAnsi"/>
          <w:sz w:val="24"/>
          <w:szCs w:val="24"/>
        </w:rPr>
        <w:t xml:space="preserve"> </w:t>
      </w:r>
      <w:r w:rsidR="00884C52">
        <w:rPr>
          <w:rFonts w:asciiTheme="minorHAnsi" w:eastAsia="Times New Roman" w:hAnsiTheme="minorHAnsi"/>
          <w:kern w:val="36"/>
          <w:sz w:val="24"/>
          <w:szCs w:val="24"/>
          <w:lang w:eastAsia="en-GB"/>
        </w:rPr>
        <w:t>“</w:t>
      </w:r>
      <w:r w:rsidR="00567E2F" w:rsidRPr="00D45CDF">
        <w:rPr>
          <w:rFonts w:asciiTheme="minorHAnsi" w:eastAsia="Times New Roman" w:hAnsiTheme="minorHAnsi"/>
          <w:kern w:val="36"/>
          <w:sz w:val="24"/>
          <w:szCs w:val="24"/>
          <w:lang w:eastAsia="en-GB"/>
        </w:rPr>
        <w:t>The economic benefits of the EU Single Market in goods and services</w:t>
      </w:r>
      <w:r w:rsidR="00884C52">
        <w:rPr>
          <w:rFonts w:asciiTheme="minorHAnsi" w:eastAsia="Times New Roman" w:hAnsiTheme="minorHAnsi"/>
          <w:kern w:val="36"/>
          <w:sz w:val="24"/>
          <w:szCs w:val="24"/>
          <w:lang w:eastAsia="en-GB"/>
        </w:rPr>
        <w:t>”</w:t>
      </w:r>
      <w:r w:rsidR="00567E2F" w:rsidRPr="00D45CDF">
        <w:rPr>
          <w:rFonts w:asciiTheme="minorHAnsi" w:eastAsia="Times New Roman" w:hAnsiTheme="minorHAnsi"/>
          <w:kern w:val="36"/>
          <w:sz w:val="24"/>
          <w:szCs w:val="24"/>
          <w:lang w:eastAsia="en-GB"/>
        </w:rPr>
        <w:t xml:space="preserve"> </w:t>
      </w:r>
      <w:hyperlink r:id="rId13" w:tooltip="Go to Journal of Policy Modeling on ScienceDirect" w:history="1">
        <w:r w:rsidR="00567E2F" w:rsidRPr="00D45CDF">
          <w:rPr>
            <w:rFonts w:asciiTheme="minorHAnsi" w:eastAsia="Times New Roman" w:hAnsiTheme="minorHAnsi"/>
            <w:i/>
            <w:iCs/>
            <w:sz w:val="24"/>
            <w:szCs w:val="24"/>
            <w:lang w:eastAsia="en-GB"/>
          </w:rPr>
          <w:t xml:space="preserve">Journal of Policy </w:t>
        </w:r>
        <w:proofErr w:type="spellStart"/>
        <w:r w:rsidR="00567E2F" w:rsidRPr="00D45CDF">
          <w:rPr>
            <w:rFonts w:asciiTheme="minorHAnsi" w:eastAsia="Times New Roman" w:hAnsiTheme="minorHAnsi"/>
            <w:i/>
            <w:iCs/>
            <w:sz w:val="24"/>
            <w:szCs w:val="24"/>
            <w:lang w:eastAsia="en-GB"/>
          </w:rPr>
          <w:t>Modeling</w:t>
        </w:r>
        <w:proofErr w:type="spellEnd"/>
      </w:hyperlink>
      <w:r w:rsidR="00567E2F" w:rsidRPr="00D45CDF">
        <w:rPr>
          <w:rFonts w:asciiTheme="minorHAnsi" w:eastAsia="Times New Roman" w:hAnsiTheme="minorHAnsi"/>
          <w:sz w:val="24"/>
          <w:szCs w:val="24"/>
          <w:lang w:eastAsia="en-GB"/>
        </w:rPr>
        <w:t xml:space="preserve">, </w:t>
      </w:r>
      <w:hyperlink r:id="rId14" w:tooltip="Go to table of contents for this volume/issue" w:history="1">
        <w:r w:rsidR="00567E2F" w:rsidRPr="00D45CDF">
          <w:rPr>
            <w:rFonts w:asciiTheme="minorHAnsi" w:eastAsia="Times New Roman" w:hAnsiTheme="minorHAnsi"/>
            <w:sz w:val="24"/>
            <w:szCs w:val="24"/>
            <w:lang w:eastAsia="en-GB"/>
          </w:rPr>
          <w:t xml:space="preserve"> 41,  5</w:t>
        </w:r>
      </w:hyperlink>
      <w:r w:rsidR="00567E2F" w:rsidRPr="00D45CDF">
        <w:rPr>
          <w:rFonts w:asciiTheme="minorHAnsi" w:eastAsia="Times New Roman" w:hAnsiTheme="minorHAnsi"/>
          <w:sz w:val="24"/>
          <w:szCs w:val="24"/>
          <w:lang w:eastAsia="en-GB"/>
        </w:rPr>
        <w:t>,</w:t>
      </w:r>
      <w:r w:rsidR="00884C52" w:rsidRPr="00884C52">
        <w:rPr>
          <w:rFonts w:asciiTheme="minorHAnsi" w:hAnsiTheme="minorHAnsi"/>
          <w:sz w:val="24"/>
          <w:szCs w:val="24"/>
        </w:rPr>
        <w:t xml:space="preserve"> </w:t>
      </w:r>
      <w:r w:rsidR="00884C52" w:rsidRPr="00D45CDF">
        <w:rPr>
          <w:rFonts w:asciiTheme="minorHAnsi" w:hAnsiTheme="minorHAnsi"/>
          <w:sz w:val="24"/>
          <w:szCs w:val="24"/>
        </w:rPr>
        <w:t>(2019)</w:t>
      </w:r>
      <w:r w:rsidR="00884C52">
        <w:rPr>
          <w:rFonts w:asciiTheme="minorHAnsi" w:hAnsiTheme="minorHAnsi"/>
          <w:sz w:val="24"/>
          <w:szCs w:val="24"/>
        </w:rPr>
        <w:t>:</w:t>
      </w:r>
      <w:r w:rsidR="00567E2F" w:rsidRPr="00D45CDF">
        <w:rPr>
          <w:rFonts w:asciiTheme="minorHAnsi" w:eastAsia="Times New Roman" w:hAnsiTheme="minorHAnsi"/>
          <w:sz w:val="24"/>
          <w:szCs w:val="24"/>
          <w:lang w:eastAsia="en-GB"/>
        </w:rPr>
        <w:t xml:space="preserve"> 803-818</w:t>
      </w:r>
      <w:r w:rsidR="00BB4103" w:rsidRPr="00D45CDF">
        <w:rPr>
          <w:rFonts w:asciiTheme="minorHAnsi" w:eastAsia="Times New Roman" w:hAnsiTheme="minorHAnsi"/>
          <w:sz w:val="24"/>
          <w:szCs w:val="24"/>
          <w:lang w:eastAsia="en-GB"/>
        </w:rPr>
        <w:t>.</w:t>
      </w:r>
      <w:bookmarkEnd w:id="8"/>
    </w:p>
    <w:p w14:paraId="5F59A6F8" w14:textId="77777777" w:rsidR="00DC22C5" w:rsidRPr="00D45CDF" w:rsidRDefault="00DC22C5" w:rsidP="00D45CDF">
      <w:pPr>
        <w:spacing w:before="240" w:line="240" w:lineRule="auto"/>
        <w:rPr>
          <w:rFonts w:asciiTheme="minorHAnsi" w:eastAsia="Times New Roman" w:hAnsiTheme="minorHAnsi"/>
          <w:kern w:val="36"/>
          <w:sz w:val="24"/>
          <w:szCs w:val="24"/>
          <w:lang w:eastAsia="en-GB"/>
        </w:rPr>
      </w:pPr>
      <w:proofErr w:type="spellStart"/>
      <w:r w:rsidRPr="00D45CDF">
        <w:rPr>
          <w:rFonts w:asciiTheme="minorHAnsi" w:eastAsia="Times New Roman" w:hAnsiTheme="minorHAnsi"/>
          <w:kern w:val="36"/>
          <w:sz w:val="24"/>
          <w:szCs w:val="24"/>
          <w:lang w:eastAsia="en-GB"/>
        </w:rPr>
        <w:t>Kahmann</w:t>
      </w:r>
      <w:proofErr w:type="spellEnd"/>
      <w:r w:rsidRPr="00D45CDF">
        <w:rPr>
          <w:rFonts w:asciiTheme="minorHAnsi" w:eastAsia="Times New Roman" w:hAnsiTheme="minorHAnsi"/>
          <w:kern w:val="36"/>
          <w:sz w:val="24"/>
          <w:szCs w:val="24"/>
          <w:lang w:eastAsia="en-GB"/>
        </w:rPr>
        <w:t>, S.</w:t>
      </w:r>
      <w:r w:rsidR="0019611A">
        <w:rPr>
          <w:rFonts w:asciiTheme="minorHAnsi" w:eastAsia="Times New Roman" w:hAnsiTheme="minorHAnsi"/>
          <w:kern w:val="36"/>
          <w:sz w:val="24"/>
          <w:szCs w:val="24"/>
          <w:lang w:eastAsia="en-GB"/>
        </w:rPr>
        <w:t>,</w:t>
      </w:r>
      <w:r w:rsidRPr="00D45CDF">
        <w:rPr>
          <w:rFonts w:asciiTheme="minorHAnsi" w:eastAsia="Times New Roman" w:hAnsiTheme="minorHAnsi"/>
          <w:kern w:val="36"/>
          <w:sz w:val="24"/>
          <w:szCs w:val="24"/>
          <w:lang w:eastAsia="en-GB"/>
        </w:rPr>
        <w:t xml:space="preserve"> </w:t>
      </w:r>
      <w:r w:rsidR="00884C52">
        <w:rPr>
          <w:rFonts w:asciiTheme="minorHAnsi" w:eastAsia="Times New Roman" w:hAnsiTheme="minorHAnsi"/>
          <w:kern w:val="36"/>
          <w:sz w:val="24"/>
          <w:szCs w:val="24"/>
          <w:lang w:eastAsia="en-GB"/>
        </w:rPr>
        <w:t>“</w:t>
      </w:r>
      <w:r w:rsidRPr="00D45CDF">
        <w:rPr>
          <w:rFonts w:asciiTheme="minorHAnsi" w:eastAsia="Times New Roman" w:hAnsiTheme="minorHAnsi"/>
          <w:kern w:val="36"/>
          <w:sz w:val="24"/>
          <w:szCs w:val="24"/>
          <w:lang w:eastAsia="en-GB"/>
        </w:rPr>
        <w:t>British young lawyers’ practising rights: how will Brexit impact the future in Brussels and</w:t>
      </w:r>
      <w:r w:rsidR="00884C52">
        <w:rPr>
          <w:rFonts w:asciiTheme="minorHAnsi" w:eastAsia="Times New Roman" w:hAnsiTheme="minorHAnsi"/>
          <w:kern w:val="36"/>
          <w:sz w:val="24"/>
          <w:szCs w:val="24"/>
          <w:lang w:eastAsia="en-GB"/>
        </w:rPr>
        <w:t xml:space="preserve"> beyond?”</w:t>
      </w:r>
      <w:r w:rsidRPr="00D45CDF">
        <w:rPr>
          <w:rFonts w:asciiTheme="minorHAnsi" w:eastAsia="Times New Roman" w:hAnsiTheme="minorHAnsi"/>
          <w:kern w:val="36"/>
          <w:sz w:val="24"/>
          <w:szCs w:val="24"/>
          <w:lang w:eastAsia="en-GB"/>
        </w:rPr>
        <w:t xml:space="preserve"> 30 October</w:t>
      </w:r>
      <w:r w:rsidR="00884C52">
        <w:rPr>
          <w:rFonts w:asciiTheme="minorHAnsi" w:eastAsia="Times New Roman" w:hAnsiTheme="minorHAnsi"/>
          <w:kern w:val="36"/>
          <w:sz w:val="24"/>
          <w:szCs w:val="24"/>
          <w:lang w:eastAsia="en-GB"/>
        </w:rPr>
        <w:t xml:space="preserve"> 2019</w:t>
      </w:r>
      <w:r w:rsidR="00007EE5" w:rsidRPr="00D45CDF">
        <w:rPr>
          <w:rFonts w:asciiTheme="minorHAnsi" w:eastAsia="Times New Roman" w:hAnsiTheme="minorHAnsi"/>
          <w:kern w:val="36"/>
          <w:sz w:val="24"/>
          <w:szCs w:val="24"/>
          <w:lang w:eastAsia="en-GB"/>
        </w:rPr>
        <w:t>.</w:t>
      </w:r>
      <w:r w:rsidRPr="00D45CDF">
        <w:rPr>
          <w:rFonts w:asciiTheme="minorHAnsi" w:eastAsia="Times New Roman" w:hAnsiTheme="minorHAnsi"/>
          <w:kern w:val="36"/>
          <w:sz w:val="24"/>
          <w:szCs w:val="24"/>
          <w:lang w:eastAsia="en-GB"/>
        </w:rPr>
        <w:t xml:space="preserve"> </w:t>
      </w:r>
      <w:r w:rsidRPr="00D45CDF">
        <w:rPr>
          <w:rFonts w:asciiTheme="minorHAnsi" w:eastAsia="Times New Roman" w:hAnsiTheme="minorHAnsi"/>
          <w:i/>
          <w:iCs/>
          <w:kern w:val="36"/>
          <w:sz w:val="24"/>
          <w:szCs w:val="24"/>
          <w:lang w:eastAsia="en-GB"/>
        </w:rPr>
        <w:t>The UK Law Societies’ Joint Brussels Office</w:t>
      </w:r>
      <w:r w:rsidRPr="00D45CDF">
        <w:rPr>
          <w:rFonts w:asciiTheme="minorHAnsi" w:eastAsia="Times New Roman" w:hAnsiTheme="minorHAnsi"/>
          <w:kern w:val="36"/>
          <w:sz w:val="24"/>
          <w:szCs w:val="24"/>
          <w:lang w:eastAsia="en-GB"/>
        </w:rPr>
        <w:t xml:space="preserve"> Available at &lt;</w:t>
      </w:r>
      <w:hyperlink r:id="rId15" w:history="1">
        <w:r w:rsidRPr="00D45CDF">
          <w:rPr>
            <w:rStyle w:val="Hyperlink"/>
            <w:rFonts w:asciiTheme="minorHAnsi" w:hAnsiTheme="minorHAnsi"/>
            <w:color w:val="auto"/>
            <w:sz w:val="24"/>
            <w:szCs w:val="24"/>
            <w:u w:val="none"/>
          </w:rPr>
          <w:t>https://www.lawsocieties.eu/viewpoint/british-young-lawyers-practising-rights-how-will-brexit-impact-the-future-in-brussels-and-beyond-by-siobhan-kahmann/6000484.article</w:t>
        </w:r>
      </w:hyperlink>
      <w:r w:rsidRPr="00D45CDF">
        <w:rPr>
          <w:rFonts w:asciiTheme="minorHAnsi" w:eastAsia="Times New Roman" w:hAnsiTheme="minorHAnsi"/>
          <w:kern w:val="36"/>
          <w:sz w:val="24"/>
          <w:szCs w:val="24"/>
          <w:lang w:eastAsia="en-GB"/>
        </w:rPr>
        <w:t xml:space="preserve">&gt; accessed 24 November 2019. </w:t>
      </w:r>
    </w:p>
    <w:p w14:paraId="0D675E86" w14:textId="77777777" w:rsidR="00B66D64" w:rsidRPr="00D45CDF" w:rsidRDefault="00B66D64" w:rsidP="00D45CDF">
      <w:pPr>
        <w:autoSpaceDE w:val="0"/>
        <w:autoSpaceDN w:val="0"/>
        <w:adjustRightInd w:val="0"/>
        <w:spacing w:line="240" w:lineRule="auto"/>
        <w:rPr>
          <w:rFonts w:asciiTheme="minorHAnsi" w:eastAsiaTheme="minorHAnsi" w:hAnsiTheme="minorHAnsi"/>
          <w:sz w:val="24"/>
          <w:szCs w:val="24"/>
          <w:lang w:eastAsia="en-US"/>
        </w:rPr>
      </w:pPr>
      <w:proofErr w:type="spellStart"/>
      <w:r w:rsidRPr="00D45CDF">
        <w:rPr>
          <w:rFonts w:asciiTheme="minorHAnsi" w:eastAsiaTheme="minorHAnsi" w:hAnsiTheme="minorHAnsi"/>
          <w:sz w:val="24"/>
          <w:szCs w:val="24"/>
          <w:lang w:eastAsia="en-US"/>
        </w:rPr>
        <w:lastRenderedPageBreak/>
        <w:t>Katsirea</w:t>
      </w:r>
      <w:proofErr w:type="spellEnd"/>
      <w:r w:rsidRPr="00D45CDF">
        <w:rPr>
          <w:rFonts w:asciiTheme="minorHAnsi" w:eastAsiaTheme="minorHAnsi" w:hAnsiTheme="minorHAnsi"/>
          <w:sz w:val="24"/>
          <w:szCs w:val="24"/>
          <w:lang w:eastAsia="en-US"/>
        </w:rPr>
        <w:t>, I. and Ruff, A.</w:t>
      </w:r>
      <w:r w:rsidR="0019611A">
        <w:rPr>
          <w:rFonts w:asciiTheme="minorHAnsi" w:eastAsiaTheme="minorHAnsi" w:hAnsiTheme="minorHAnsi"/>
          <w:sz w:val="24"/>
          <w:szCs w:val="24"/>
          <w:lang w:eastAsia="en-US"/>
        </w:rPr>
        <w:t>,</w:t>
      </w:r>
      <w:r w:rsidRPr="00D45CDF">
        <w:rPr>
          <w:rFonts w:asciiTheme="minorHAnsi" w:eastAsiaTheme="minorHAnsi" w:hAnsiTheme="minorHAnsi"/>
          <w:sz w:val="24"/>
          <w:szCs w:val="24"/>
          <w:lang w:eastAsia="en-US"/>
        </w:rPr>
        <w:t xml:space="preserve"> </w:t>
      </w:r>
      <w:r w:rsidR="00884C52">
        <w:rPr>
          <w:rFonts w:asciiTheme="minorHAnsi" w:eastAsiaTheme="minorHAnsi" w:hAnsiTheme="minorHAnsi"/>
          <w:sz w:val="24"/>
          <w:szCs w:val="24"/>
          <w:lang w:eastAsia="en-US"/>
        </w:rPr>
        <w:t>“</w:t>
      </w:r>
      <w:r w:rsidRPr="00D45CDF">
        <w:rPr>
          <w:rFonts w:asciiTheme="minorHAnsi" w:eastAsiaTheme="minorHAnsi" w:hAnsiTheme="minorHAnsi"/>
          <w:sz w:val="24"/>
          <w:szCs w:val="24"/>
          <w:lang w:eastAsia="en-US"/>
        </w:rPr>
        <w:t>Free movement of law students and lawyers in the EU: a comparison of Englis</w:t>
      </w:r>
      <w:r w:rsidR="00884C52">
        <w:rPr>
          <w:rFonts w:asciiTheme="minorHAnsi" w:eastAsiaTheme="minorHAnsi" w:hAnsiTheme="minorHAnsi"/>
          <w:sz w:val="24"/>
          <w:szCs w:val="24"/>
          <w:lang w:eastAsia="en-US"/>
        </w:rPr>
        <w:t>h, German and Greek legislation</w:t>
      </w:r>
      <w:r w:rsidRPr="00D45CDF">
        <w:rPr>
          <w:rFonts w:asciiTheme="minorHAnsi" w:eastAsiaTheme="minorHAnsi" w:hAnsiTheme="minorHAnsi"/>
          <w:sz w:val="24"/>
          <w:szCs w:val="24"/>
          <w:lang w:eastAsia="en-US"/>
        </w:rPr>
        <w:t>.</w:t>
      </w:r>
      <w:r w:rsidR="00884C52">
        <w:rPr>
          <w:rFonts w:asciiTheme="minorHAnsi" w:eastAsiaTheme="minorHAnsi" w:hAnsiTheme="minorHAnsi"/>
          <w:sz w:val="24"/>
          <w:szCs w:val="24"/>
          <w:lang w:eastAsia="en-US"/>
        </w:rPr>
        <w:t>”</w:t>
      </w:r>
      <w:r w:rsidRPr="00D45CDF">
        <w:rPr>
          <w:rFonts w:asciiTheme="minorHAnsi" w:eastAsiaTheme="minorHAnsi" w:hAnsiTheme="minorHAnsi"/>
          <w:sz w:val="24"/>
          <w:szCs w:val="24"/>
          <w:lang w:eastAsia="en-US"/>
        </w:rPr>
        <w:t xml:space="preserve"> </w:t>
      </w:r>
      <w:r w:rsidRPr="00D45CDF">
        <w:rPr>
          <w:rFonts w:asciiTheme="minorHAnsi" w:eastAsiaTheme="minorHAnsi" w:hAnsiTheme="minorHAnsi"/>
          <w:i/>
          <w:sz w:val="24"/>
          <w:szCs w:val="24"/>
          <w:lang w:eastAsia="en-US"/>
        </w:rPr>
        <w:t>International Journal of the Legal Profession</w:t>
      </w:r>
      <w:r w:rsidR="00884C52">
        <w:rPr>
          <w:rFonts w:asciiTheme="minorHAnsi" w:eastAsiaTheme="minorHAnsi" w:hAnsiTheme="minorHAnsi"/>
          <w:sz w:val="24"/>
          <w:szCs w:val="24"/>
          <w:lang w:eastAsia="en-US"/>
        </w:rPr>
        <w:t xml:space="preserve">, </w:t>
      </w:r>
      <w:r w:rsidRPr="00D45CDF">
        <w:rPr>
          <w:rFonts w:asciiTheme="minorHAnsi" w:eastAsiaTheme="minorHAnsi" w:hAnsiTheme="minorHAnsi"/>
          <w:sz w:val="24"/>
          <w:szCs w:val="24"/>
          <w:lang w:eastAsia="en-US"/>
        </w:rPr>
        <w:t xml:space="preserve">12, 3 </w:t>
      </w:r>
      <w:r w:rsidR="00884C52" w:rsidRPr="00D45CDF">
        <w:rPr>
          <w:rFonts w:asciiTheme="minorHAnsi" w:eastAsiaTheme="minorHAnsi" w:hAnsiTheme="minorHAnsi"/>
          <w:sz w:val="24"/>
          <w:szCs w:val="24"/>
          <w:lang w:eastAsia="en-US"/>
        </w:rPr>
        <w:t>(2005)</w:t>
      </w:r>
      <w:r w:rsidR="00884C52">
        <w:rPr>
          <w:rFonts w:asciiTheme="minorHAnsi" w:eastAsiaTheme="minorHAnsi" w:hAnsiTheme="minorHAnsi"/>
          <w:sz w:val="24"/>
          <w:szCs w:val="24"/>
          <w:lang w:eastAsia="en-US"/>
        </w:rPr>
        <w:t>:</w:t>
      </w:r>
      <w:r w:rsidRPr="00D45CDF">
        <w:rPr>
          <w:rFonts w:asciiTheme="minorHAnsi" w:eastAsiaTheme="minorHAnsi" w:hAnsiTheme="minorHAnsi"/>
          <w:sz w:val="24"/>
          <w:szCs w:val="24"/>
          <w:lang w:eastAsia="en-US"/>
        </w:rPr>
        <w:t xml:space="preserve"> 367-406.</w:t>
      </w:r>
    </w:p>
    <w:p w14:paraId="51A1F9C5" w14:textId="77777777" w:rsidR="00385670" w:rsidRPr="00D45CDF" w:rsidRDefault="00385670" w:rsidP="00D45CDF">
      <w:pPr>
        <w:autoSpaceDE w:val="0"/>
        <w:autoSpaceDN w:val="0"/>
        <w:adjustRightInd w:val="0"/>
        <w:spacing w:line="240" w:lineRule="auto"/>
        <w:rPr>
          <w:rFonts w:asciiTheme="minorHAnsi" w:eastAsiaTheme="minorHAnsi" w:hAnsiTheme="minorHAnsi"/>
          <w:sz w:val="24"/>
          <w:szCs w:val="24"/>
          <w:lang w:eastAsia="en-US"/>
        </w:rPr>
      </w:pPr>
      <w:proofErr w:type="spellStart"/>
      <w:r w:rsidRPr="00D45CDF">
        <w:rPr>
          <w:rFonts w:asciiTheme="minorHAnsi" w:hAnsiTheme="minorHAnsi"/>
          <w:sz w:val="24"/>
          <w:szCs w:val="24"/>
        </w:rPr>
        <w:t>Kortese</w:t>
      </w:r>
      <w:proofErr w:type="spellEnd"/>
      <w:r w:rsidRPr="00D45CDF">
        <w:rPr>
          <w:rFonts w:asciiTheme="minorHAnsi" w:hAnsiTheme="minorHAnsi"/>
          <w:sz w:val="24"/>
          <w:szCs w:val="24"/>
        </w:rPr>
        <w:t>, L.</w:t>
      </w:r>
      <w:r w:rsidR="0019611A">
        <w:rPr>
          <w:rFonts w:asciiTheme="minorHAnsi" w:hAnsiTheme="minorHAnsi"/>
          <w:sz w:val="24"/>
          <w:szCs w:val="24"/>
        </w:rPr>
        <w:t>,</w:t>
      </w:r>
      <w:r w:rsidRPr="00D45CDF">
        <w:rPr>
          <w:rFonts w:asciiTheme="minorHAnsi" w:hAnsiTheme="minorHAnsi"/>
          <w:sz w:val="24"/>
          <w:szCs w:val="24"/>
        </w:rPr>
        <w:t xml:space="preserve"> </w:t>
      </w:r>
      <w:r w:rsidR="00884C52">
        <w:rPr>
          <w:rFonts w:asciiTheme="minorHAnsi" w:hAnsiTheme="minorHAnsi"/>
          <w:sz w:val="24"/>
          <w:szCs w:val="24"/>
        </w:rPr>
        <w:t>“</w:t>
      </w:r>
      <w:r w:rsidRPr="00D45CDF">
        <w:rPr>
          <w:rFonts w:asciiTheme="minorHAnsi" w:hAnsiTheme="minorHAnsi"/>
          <w:sz w:val="24"/>
          <w:szCs w:val="24"/>
        </w:rPr>
        <w:t>Exploring professional recognition</w:t>
      </w:r>
      <w:r w:rsidR="00884C52">
        <w:rPr>
          <w:rFonts w:asciiTheme="minorHAnsi" w:hAnsiTheme="minorHAnsi"/>
          <w:sz w:val="24"/>
          <w:szCs w:val="24"/>
        </w:rPr>
        <w:t xml:space="preserve"> in the EU: a legal perspective”</w:t>
      </w:r>
      <w:r w:rsidRPr="00D45CDF">
        <w:rPr>
          <w:rFonts w:asciiTheme="minorHAnsi" w:hAnsiTheme="minorHAnsi"/>
          <w:sz w:val="24"/>
          <w:szCs w:val="24"/>
        </w:rPr>
        <w:t xml:space="preserve"> </w:t>
      </w:r>
      <w:r w:rsidRPr="00D45CDF">
        <w:rPr>
          <w:rFonts w:asciiTheme="minorHAnsi" w:hAnsiTheme="minorHAnsi"/>
          <w:i/>
          <w:iCs/>
          <w:sz w:val="24"/>
          <w:szCs w:val="24"/>
        </w:rPr>
        <w:t>Journal of International Mobility</w:t>
      </w:r>
      <w:r w:rsidRPr="00D45CDF">
        <w:rPr>
          <w:rFonts w:asciiTheme="minorHAnsi" w:hAnsiTheme="minorHAnsi"/>
          <w:sz w:val="24"/>
          <w:szCs w:val="24"/>
        </w:rPr>
        <w:t>,</w:t>
      </w:r>
      <w:r w:rsidR="0008118E" w:rsidRPr="00D45CDF">
        <w:rPr>
          <w:rFonts w:asciiTheme="minorHAnsi" w:hAnsiTheme="minorHAnsi"/>
          <w:sz w:val="24"/>
          <w:szCs w:val="24"/>
        </w:rPr>
        <w:t xml:space="preserve"> </w:t>
      </w:r>
      <w:r w:rsidRPr="00D45CDF">
        <w:rPr>
          <w:rFonts w:asciiTheme="minorHAnsi" w:hAnsiTheme="minorHAnsi"/>
          <w:sz w:val="24"/>
          <w:szCs w:val="24"/>
        </w:rPr>
        <w:t>1</w:t>
      </w:r>
      <w:r w:rsidR="0008118E" w:rsidRPr="00D45CDF">
        <w:rPr>
          <w:rFonts w:asciiTheme="minorHAnsi" w:hAnsiTheme="minorHAnsi"/>
          <w:sz w:val="24"/>
          <w:szCs w:val="24"/>
        </w:rPr>
        <w:t xml:space="preserve">, </w:t>
      </w:r>
      <w:r w:rsidRPr="00D45CDF">
        <w:rPr>
          <w:rFonts w:asciiTheme="minorHAnsi" w:hAnsiTheme="minorHAnsi"/>
          <w:sz w:val="24"/>
          <w:szCs w:val="24"/>
        </w:rPr>
        <w:t>4,</w:t>
      </w:r>
      <w:r w:rsidR="00884C52" w:rsidRPr="00884C52">
        <w:rPr>
          <w:rFonts w:asciiTheme="minorHAnsi" w:hAnsiTheme="minorHAnsi"/>
          <w:sz w:val="24"/>
          <w:szCs w:val="24"/>
        </w:rPr>
        <w:t xml:space="preserve"> </w:t>
      </w:r>
      <w:r w:rsidR="00884C52" w:rsidRPr="00D45CDF">
        <w:rPr>
          <w:rFonts w:asciiTheme="minorHAnsi" w:hAnsiTheme="minorHAnsi"/>
          <w:sz w:val="24"/>
          <w:szCs w:val="24"/>
        </w:rPr>
        <w:t>(2016)</w:t>
      </w:r>
      <w:r w:rsidR="00884C52">
        <w:rPr>
          <w:rFonts w:asciiTheme="minorHAnsi" w:hAnsiTheme="minorHAnsi"/>
          <w:sz w:val="24"/>
          <w:szCs w:val="24"/>
        </w:rPr>
        <w:t>:</w:t>
      </w:r>
      <w:r w:rsidRPr="00D45CDF">
        <w:rPr>
          <w:rFonts w:asciiTheme="minorHAnsi" w:hAnsiTheme="minorHAnsi"/>
          <w:sz w:val="24"/>
          <w:szCs w:val="24"/>
        </w:rPr>
        <w:t xml:space="preserve"> 43-58</w:t>
      </w:r>
      <w:r w:rsidR="000660A6" w:rsidRPr="00D45CDF">
        <w:rPr>
          <w:rFonts w:asciiTheme="minorHAnsi" w:hAnsiTheme="minorHAnsi"/>
          <w:sz w:val="24"/>
          <w:szCs w:val="24"/>
        </w:rPr>
        <w:t>.</w:t>
      </w:r>
    </w:p>
    <w:p w14:paraId="4DF7D228" w14:textId="77777777" w:rsidR="00B66D64" w:rsidRPr="00D45CDF" w:rsidRDefault="00B66D64" w:rsidP="00D45CDF">
      <w:pPr>
        <w:autoSpaceDE w:val="0"/>
        <w:autoSpaceDN w:val="0"/>
        <w:adjustRightInd w:val="0"/>
        <w:spacing w:line="240" w:lineRule="auto"/>
        <w:rPr>
          <w:rFonts w:asciiTheme="minorHAnsi" w:eastAsiaTheme="minorHAnsi" w:hAnsiTheme="minorHAnsi"/>
          <w:sz w:val="24"/>
          <w:szCs w:val="24"/>
          <w:lang w:eastAsia="en-US"/>
        </w:rPr>
      </w:pPr>
      <w:proofErr w:type="spellStart"/>
      <w:r w:rsidRPr="00D45CDF">
        <w:rPr>
          <w:rFonts w:asciiTheme="minorHAnsi" w:eastAsiaTheme="minorHAnsi" w:hAnsiTheme="minorHAnsi"/>
          <w:sz w:val="24"/>
          <w:szCs w:val="24"/>
          <w:lang w:eastAsia="en-US"/>
        </w:rPr>
        <w:t>Lonbay</w:t>
      </w:r>
      <w:proofErr w:type="spellEnd"/>
      <w:r w:rsidRPr="00D45CDF">
        <w:rPr>
          <w:rFonts w:asciiTheme="minorHAnsi" w:eastAsiaTheme="minorHAnsi" w:hAnsiTheme="minorHAnsi"/>
          <w:sz w:val="24"/>
          <w:szCs w:val="24"/>
          <w:lang w:eastAsia="en-US"/>
        </w:rPr>
        <w:t>, J.</w:t>
      </w:r>
      <w:r w:rsidR="0019611A">
        <w:rPr>
          <w:rFonts w:asciiTheme="minorHAnsi" w:eastAsiaTheme="minorHAnsi" w:hAnsiTheme="minorHAnsi"/>
          <w:sz w:val="24"/>
          <w:szCs w:val="24"/>
          <w:lang w:eastAsia="en-US"/>
        </w:rPr>
        <w:t>,</w:t>
      </w:r>
      <w:r w:rsidRPr="00D45CDF">
        <w:rPr>
          <w:rFonts w:asciiTheme="minorHAnsi" w:eastAsiaTheme="minorHAnsi" w:hAnsiTheme="minorHAnsi"/>
          <w:sz w:val="24"/>
          <w:szCs w:val="24"/>
          <w:lang w:eastAsia="en-US"/>
        </w:rPr>
        <w:t xml:space="preserve"> </w:t>
      </w:r>
      <w:bookmarkStart w:id="10" w:name="_Hlk23603345"/>
      <w:r w:rsidR="00884C52">
        <w:rPr>
          <w:rFonts w:asciiTheme="minorHAnsi" w:eastAsiaTheme="minorHAnsi" w:hAnsiTheme="minorHAnsi"/>
          <w:sz w:val="24"/>
          <w:szCs w:val="24"/>
          <w:lang w:eastAsia="en-US"/>
        </w:rPr>
        <w:t>“</w:t>
      </w:r>
      <w:r w:rsidRPr="00D45CDF">
        <w:rPr>
          <w:rFonts w:asciiTheme="minorHAnsi" w:eastAsiaTheme="minorHAnsi" w:hAnsiTheme="minorHAnsi"/>
          <w:sz w:val="24"/>
          <w:szCs w:val="24"/>
          <w:lang w:eastAsia="en-US"/>
        </w:rPr>
        <w:t>Assessing the European Market for Legal Services: Developments in the Free Movement of Lawyers in the European Union</w:t>
      </w:r>
      <w:bookmarkEnd w:id="10"/>
      <w:r w:rsidRPr="00D45CDF">
        <w:rPr>
          <w:rFonts w:asciiTheme="minorHAnsi" w:eastAsiaTheme="minorHAnsi" w:hAnsiTheme="minorHAnsi"/>
          <w:sz w:val="24"/>
          <w:szCs w:val="24"/>
          <w:lang w:eastAsia="en-US"/>
        </w:rPr>
        <w:t>.</w:t>
      </w:r>
      <w:r w:rsidR="00884C52">
        <w:rPr>
          <w:rFonts w:asciiTheme="minorHAnsi" w:eastAsiaTheme="minorHAnsi" w:hAnsiTheme="minorHAnsi"/>
          <w:sz w:val="24"/>
          <w:szCs w:val="24"/>
          <w:lang w:eastAsia="en-US"/>
        </w:rPr>
        <w:t>”</w:t>
      </w:r>
      <w:r w:rsidRPr="00D45CDF">
        <w:rPr>
          <w:rFonts w:asciiTheme="minorHAnsi" w:eastAsiaTheme="minorHAnsi" w:hAnsiTheme="minorHAnsi"/>
          <w:sz w:val="24"/>
          <w:szCs w:val="24"/>
          <w:lang w:eastAsia="en-US"/>
        </w:rPr>
        <w:t xml:space="preserve"> </w:t>
      </w:r>
      <w:r w:rsidRPr="00D45CDF">
        <w:rPr>
          <w:rFonts w:asciiTheme="minorHAnsi" w:eastAsiaTheme="minorHAnsi" w:hAnsiTheme="minorHAnsi"/>
          <w:i/>
          <w:sz w:val="24"/>
          <w:szCs w:val="24"/>
          <w:lang w:eastAsia="en-US"/>
        </w:rPr>
        <w:t>Fordham International Law Journal</w:t>
      </w:r>
      <w:r w:rsidRPr="00D45CDF">
        <w:rPr>
          <w:rFonts w:asciiTheme="minorHAnsi" w:eastAsiaTheme="minorHAnsi" w:hAnsiTheme="minorHAnsi"/>
          <w:sz w:val="24"/>
          <w:szCs w:val="24"/>
          <w:lang w:eastAsia="en-US"/>
        </w:rPr>
        <w:t xml:space="preserve">. 33, </w:t>
      </w:r>
      <w:r w:rsidR="00884C52" w:rsidRPr="00D45CDF">
        <w:rPr>
          <w:rFonts w:asciiTheme="minorHAnsi" w:eastAsiaTheme="minorHAnsi" w:hAnsiTheme="minorHAnsi"/>
          <w:sz w:val="24"/>
          <w:szCs w:val="24"/>
          <w:lang w:eastAsia="en-US"/>
        </w:rPr>
        <w:t>(2010)</w:t>
      </w:r>
      <w:r w:rsidR="00884C52">
        <w:rPr>
          <w:rFonts w:asciiTheme="minorHAnsi" w:eastAsiaTheme="minorHAnsi" w:hAnsiTheme="minorHAnsi"/>
          <w:sz w:val="24"/>
          <w:szCs w:val="24"/>
          <w:lang w:eastAsia="en-US"/>
        </w:rPr>
        <w:t>:</w:t>
      </w:r>
      <w:r w:rsidRPr="00D45CDF">
        <w:rPr>
          <w:rFonts w:asciiTheme="minorHAnsi" w:eastAsiaTheme="minorHAnsi" w:hAnsiTheme="minorHAnsi"/>
          <w:sz w:val="24"/>
          <w:szCs w:val="24"/>
          <w:lang w:eastAsia="en-US"/>
        </w:rPr>
        <w:t xml:space="preserve"> 1629-1669.</w:t>
      </w:r>
    </w:p>
    <w:p w14:paraId="37462F55" w14:textId="77777777" w:rsidR="001E5971" w:rsidRPr="00D45CDF" w:rsidRDefault="007C5C58" w:rsidP="00D45CDF">
      <w:pPr>
        <w:autoSpaceDE w:val="0"/>
        <w:autoSpaceDN w:val="0"/>
        <w:adjustRightInd w:val="0"/>
        <w:spacing w:line="240" w:lineRule="auto"/>
        <w:rPr>
          <w:rFonts w:asciiTheme="minorHAnsi" w:hAnsiTheme="minorHAnsi"/>
          <w:sz w:val="24"/>
          <w:szCs w:val="24"/>
        </w:rPr>
      </w:pPr>
      <w:proofErr w:type="spellStart"/>
      <w:r w:rsidRPr="00D45CDF">
        <w:rPr>
          <w:rFonts w:asciiTheme="minorHAnsi" w:hAnsiTheme="minorHAnsi"/>
          <w:sz w:val="24"/>
          <w:szCs w:val="24"/>
          <w:lang w:val="en-US"/>
        </w:rPr>
        <w:t>Franceschi</w:t>
      </w:r>
      <w:proofErr w:type="spellEnd"/>
      <w:r w:rsidRPr="00D45CDF">
        <w:rPr>
          <w:rFonts w:asciiTheme="minorHAnsi" w:hAnsiTheme="minorHAnsi"/>
          <w:sz w:val="24"/>
          <w:szCs w:val="24"/>
          <w:lang w:val="en-US"/>
        </w:rPr>
        <w:t xml:space="preserve">, L., and </w:t>
      </w:r>
      <w:r w:rsidR="0039001D" w:rsidRPr="00D45CDF">
        <w:rPr>
          <w:rFonts w:asciiTheme="minorHAnsi" w:hAnsiTheme="minorHAnsi"/>
          <w:sz w:val="24"/>
          <w:szCs w:val="24"/>
          <w:lang w:val="en-US"/>
        </w:rPr>
        <w:t>Lumumba,</w:t>
      </w:r>
      <w:r w:rsidRPr="00D45CDF">
        <w:rPr>
          <w:rFonts w:asciiTheme="minorHAnsi" w:hAnsiTheme="minorHAnsi"/>
          <w:sz w:val="24"/>
          <w:szCs w:val="24"/>
          <w:lang w:val="en-US"/>
        </w:rPr>
        <w:t xml:space="preserve"> P</w:t>
      </w:r>
      <w:r w:rsidR="00007EE5" w:rsidRPr="00D45CDF">
        <w:rPr>
          <w:rFonts w:asciiTheme="minorHAnsi" w:hAnsiTheme="minorHAnsi"/>
          <w:sz w:val="24"/>
          <w:szCs w:val="24"/>
          <w:lang w:val="en-US"/>
        </w:rPr>
        <w:t>.</w:t>
      </w:r>
      <w:r w:rsidRPr="00D45CDF">
        <w:rPr>
          <w:rFonts w:asciiTheme="minorHAnsi" w:hAnsiTheme="minorHAnsi"/>
          <w:sz w:val="24"/>
          <w:szCs w:val="24"/>
          <w:lang w:val="en-US"/>
        </w:rPr>
        <w:t>L</w:t>
      </w:r>
      <w:r w:rsidR="00007EE5" w:rsidRPr="00D45CDF">
        <w:rPr>
          <w:rFonts w:asciiTheme="minorHAnsi" w:hAnsiTheme="minorHAnsi"/>
          <w:sz w:val="24"/>
          <w:szCs w:val="24"/>
          <w:lang w:val="en-US"/>
        </w:rPr>
        <w:t>.</w:t>
      </w:r>
      <w:r w:rsidRPr="00D45CDF">
        <w:rPr>
          <w:rFonts w:asciiTheme="minorHAnsi" w:hAnsiTheme="minorHAnsi"/>
          <w:sz w:val="24"/>
          <w:szCs w:val="24"/>
          <w:lang w:val="en-US"/>
        </w:rPr>
        <w:t>O.</w:t>
      </w:r>
      <w:r w:rsidR="0019611A">
        <w:rPr>
          <w:rFonts w:asciiTheme="minorHAnsi" w:hAnsiTheme="minorHAnsi"/>
          <w:sz w:val="24"/>
          <w:szCs w:val="24"/>
          <w:lang w:val="en-US"/>
        </w:rPr>
        <w:t>,</w:t>
      </w:r>
      <w:r w:rsidRPr="00D45CDF">
        <w:rPr>
          <w:rFonts w:asciiTheme="minorHAnsi" w:hAnsiTheme="minorHAnsi"/>
          <w:sz w:val="24"/>
          <w:szCs w:val="24"/>
          <w:lang w:val="en-US"/>
        </w:rPr>
        <w:t xml:space="preserve"> </w:t>
      </w:r>
      <w:r w:rsidR="0039001D" w:rsidRPr="00D45CDF">
        <w:rPr>
          <w:rFonts w:asciiTheme="minorHAnsi" w:hAnsiTheme="minorHAnsi"/>
          <w:i/>
          <w:sz w:val="24"/>
          <w:szCs w:val="24"/>
          <w:lang w:val="en-US"/>
        </w:rPr>
        <w:t>The Constitution of Kenya: A Commentary</w:t>
      </w:r>
      <w:r w:rsidR="0039001D" w:rsidRPr="00D45CDF">
        <w:rPr>
          <w:rFonts w:asciiTheme="minorHAnsi" w:hAnsiTheme="minorHAnsi"/>
          <w:sz w:val="24"/>
          <w:szCs w:val="24"/>
          <w:lang w:val="en-US"/>
        </w:rPr>
        <w:t xml:space="preserve">, </w:t>
      </w:r>
      <w:r w:rsidR="00884C52">
        <w:rPr>
          <w:rFonts w:asciiTheme="minorHAnsi" w:hAnsiTheme="minorHAnsi"/>
          <w:sz w:val="24"/>
          <w:szCs w:val="24"/>
          <w:lang w:val="en-US"/>
        </w:rPr>
        <w:t>(</w:t>
      </w:r>
      <w:r w:rsidR="0039001D" w:rsidRPr="00D45CDF">
        <w:rPr>
          <w:rFonts w:asciiTheme="minorHAnsi" w:hAnsiTheme="minorHAnsi"/>
          <w:sz w:val="24"/>
          <w:szCs w:val="24"/>
          <w:lang w:val="en-US"/>
        </w:rPr>
        <w:t>2</w:t>
      </w:r>
      <w:r w:rsidR="0039001D" w:rsidRPr="00D45CDF">
        <w:rPr>
          <w:rFonts w:asciiTheme="minorHAnsi" w:hAnsiTheme="minorHAnsi"/>
          <w:sz w:val="24"/>
          <w:szCs w:val="24"/>
          <w:vertAlign w:val="superscript"/>
          <w:lang w:val="en-US"/>
        </w:rPr>
        <w:t>nd</w:t>
      </w:r>
      <w:r w:rsidR="0039001D" w:rsidRPr="00D45CDF">
        <w:rPr>
          <w:rFonts w:asciiTheme="minorHAnsi" w:hAnsiTheme="minorHAnsi"/>
          <w:sz w:val="24"/>
          <w:szCs w:val="24"/>
          <w:lang w:val="en-US"/>
        </w:rPr>
        <w:t xml:space="preserve"> edition, Strathmore University Press</w:t>
      </w:r>
      <w:r w:rsidR="00884C52">
        <w:rPr>
          <w:rFonts w:asciiTheme="minorHAnsi" w:hAnsiTheme="minorHAnsi"/>
          <w:sz w:val="24"/>
          <w:szCs w:val="24"/>
          <w:lang w:val="en-US"/>
        </w:rPr>
        <w:t xml:space="preserve">, </w:t>
      </w:r>
      <w:r w:rsidR="00884C52" w:rsidRPr="00D45CDF">
        <w:rPr>
          <w:rFonts w:asciiTheme="minorHAnsi" w:hAnsiTheme="minorHAnsi"/>
          <w:sz w:val="24"/>
          <w:szCs w:val="24"/>
          <w:lang w:val="en-US"/>
        </w:rPr>
        <w:t>2019)</w:t>
      </w:r>
      <w:r w:rsidRPr="00D45CDF">
        <w:rPr>
          <w:rFonts w:asciiTheme="minorHAnsi" w:hAnsiTheme="minorHAnsi"/>
          <w:sz w:val="24"/>
          <w:szCs w:val="24"/>
          <w:lang w:val="en-US"/>
        </w:rPr>
        <w:t>.</w:t>
      </w:r>
    </w:p>
    <w:p w14:paraId="1A92B1D0" w14:textId="77777777" w:rsidR="001E5971" w:rsidRPr="00884C52" w:rsidRDefault="001E5971" w:rsidP="00D45CDF">
      <w:pPr>
        <w:autoSpaceDE w:val="0"/>
        <w:autoSpaceDN w:val="0"/>
        <w:adjustRightInd w:val="0"/>
        <w:spacing w:line="240" w:lineRule="auto"/>
        <w:rPr>
          <w:rFonts w:asciiTheme="minorHAnsi" w:hAnsiTheme="minorHAnsi"/>
          <w:sz w:val="24"/>
          <w:szCs w:val="24"/>
          <w:shd w:val="clear" w:color="auto" w:fill="FFFFFF"/>
        </w:rPr>
      </w:pPr>
      <w:proofErr w:type="spellStart"/>
      <w:r w:rsidRPr="00884C52">
        <w:rPr>
          <w:rFonts w:asciiTheme="minorHAnsi" w:hAnsiTheme="minorHAnsi"/>
          <w:sz w:val="24"/>
          <w:szCs w:val="24"/>
        </w:rPr>
        <w:t>Kountouris</w:t>
      </w:r>
      <w:proofErr w:type="spellEnd"/>
      <w:r w:rsidRPr="00884C52">
        <w:rPr>
          <w:rFonts w:asciiTheme="minorHAnsi" w:hAnsiTheme="minorHAnsi"/>
          <w:sz w:val="24"/>
          <w:szCs w:val="24"/>
        </w:rPr>
        <w:t>, N.</w:t>
      </w:r>
      <w:r w:rsidR="0019611A">
        <w:rPr>
          <w:rFonts w:asciiTheme="minorHAnsi" w:hAnsiTheme="minorHAnsi"/>
          <w:sz w:val="24"/>
          <w:szCs w:val="24"/>
        </w:rPr>
        <w:t>,</w:t>
      </w:r>
      <w:r w:rsidRPr="00884C52">
        <w:rPr>
          <w:rFonts w:asciiTheme="minorHAnsi" w:hAnsiTheme="minorHAnsi"/>
          <w:sz w:val="24"/>
          <w:szCs w:val="24"/>
        </w:rPr>
        <w:t xml:space="preserve"> </w:t>
      </w:r>
      <w:r w:rsidR="00884C52">
        <w:rPr>
          <w:rFonts w:asciiTheme="minorHAnsi" w:hAnsiTheme="minorHAnsi"/>
          <w:sz w:val="24"/>
          <w:szCs w:val="24"/>
        </w:rPr>
        <w:t>“</w:t>
      </w:r>
      <w:r w:rsidRPr="00884C52">
        <w:rPr>
          <w:rFonts w:asciiTheme="minorHAnsi" w:hAnsiTheme="minorHAnsi"/>
          <w:sz w:val="24"/>
          <w:szCs w:val="24"/>
        </w:rPr>
        <w:t>The concept of ‘worker’ in European Labour Law – Fra</w:t>
      </w:r>
      <w:r w:rsidR="00884C52">
        <w:rPr>
          <w:rFonts w:asciiTheme="minorHAnsi" w:hAnsiTheme="minorHAnsi"/>
          <w:sz w:val="24"/>
          <w:szCs w:val="24"/>
        </w:rPr>
        <w:t>gmentation, Autonomy, and Scope”</w:t>
      </w:r>
      <w:r w:rsidRPr="00884C52">
        <w:rPr>
          <w:rFonts w:asciiTheme="minorHAnsi" w:hAnsiTheme="minorHAnsi"/>
          <w:sz w:val="24"/>
          <w:szCs w:val="24"/>
        </w:rPr>
        <w:t xml:space="preserve"> </w:t>
      </w:r>
      <w:r w:rsidRPr="00884C52">
        <w:rPr>
          <w:rStyle w:val="Emphasis"/>
          <w:rFonts w:asciiTheme="minorHAnsi" w:hAnsiTheme="minorHAnsi"/>
          <w:sz w:val="24"/>
          <w:szCs w:val="24"/>
          <w:bdr w:val="none" w:sz="0" w:space="0" w:color="auto" w:frame="1"/>
          <w:shd w:val="clear" w:color="auto" w:fill="FFFFFF"/>
        </w:rPr>
        <w:t>Industrial Law Journal</w:t>
      </w:r>
      <w:r w:rsidR="00884C52" w:rsidRPr="00884C52">
        <w:rPr>
          <w:rFonts w:asciiTheme="minorHAnsi" w:hAnsiTheme="minorHAnsi"/>
          <w:sz w:val="24"/>
          <w:szCs w:val="24"/>
          <w:shd w:val="clear" w:color="auto" w:fill="FFFFFF"/>
        </w:rPr>
        <w:t xml:space="preserve">, </w:t>
      </w:r>
      <w:r w:rsidR="0019611A">
        <w:rPr>
          <w:rFonts w:asciiTheme="minorHAnsi" w:hAnsiTheme="minorHAnsi"/>
          <w:sz w:val="24"/>
          <w:szCs w:val="24"/>
          <w:shd w:val="clear" w:color="auto" w:fill="FFFFFF"/>
        </w:rPr>
        <w:t xml:space="preserve">47, </w:t>
      </w:r>
      <w:r w:rsidRPr="00884C52">
        <w:rPr>
          <w:rFonts w:asciiTheme="minorHAnsi" w:hAnsiTheme="minorHAnsi"/>
          <w:sz w:val="24"/>
          <w:szCs w:val="24"/>
          <w:shd w:val="clear" w:color="auto" w:fill="FFFFFF"/>
        </w:rPr>
        <w:t>2,</w:t>
      </w:r>
      <w:r w:rsidR="00884C52" w:rsidRPr="00884C52">
        <w:rPr>
          <w:rFonts w:asciiTheme="minorHAnsi" w:hAnsiTheme="minorHAnsi"/>
          <w:sz w:val="24"/>
          <w:szCs w:val="24"/>
        </w:rPr>
        <w:t xml:space="preserve"> (</w:t>
      </w:r>
      <w:r w:rsidR="00884C52" w:rsidRPr="00884C52">
        <w:rPr>
          <w:rFonts w:asciiTheme="minorHAnsi" w:hAnsiTheme="minorHAnsi"/>
          <w:sz w:val="24"/>
          <w:szCs w:val="24"/>
          <w:shd w:val="clear" w:color="auto" w:fill="FFFFFF"/>
        </w:rPr>
        <w:t>2018):</w:t>
      </w:r>
      <w:r w:rsidRPr="00884C52">
        <w:rPr>
          <w:rFonts w:asciiTheme="minorHAnsi" w:hAnsiTheme="minorHAnsi"/>
          <w:sz w:val="24"/>
          <w:szCs w:val="24"/>
          <w:shd w:val="clear" w:color="auto" w:fill="FFFFFF"/>
        </w:rPr>
        <w:t xml:space="preserve"> 192–225.</w:t>
      </w:r>
    </w:p>
    <w:p w14:paraId="08BC3B8D" w14:textId="77777777" w:rsidR="00FD67A5" w:rsidRPr="00D45CDF" w:rsidRDefault="00FD67A5" w:rsidP="00D45CDF">
      <w:pPr>
        <w:autoSpaceDE w:val="0"/>
        <w:autoSpaceDN w:val="0"/>
        <w:adjustRightInd w:val="0"/>
        <w:spacing w:line="240" w:lineRule="auto"/>
        <w:rPr>
          <w:rFonts w:asciiTheme="minorHAnsi" w:hAnsiTheme="minorHAnsi"/>
          <w:sz w:val="24"/>
          <w:szCs w:val="24"/>
        </w:rPr>
      </w:pPr>
      <w:r w:rsidRPr="00D45CDF">
        <w:rPr>
          <w:rFonts w:asciiTheme="minorHAnsi" w:hAnsiTheme="minorHAnsi"/>
          <w:sz w:val="24"/>
          <w:szCs w:val="24"/>
        </w:rPr>
        <w:t>Mancini, G</w:t>
      </w:r>
      <w:r w:rsidR="0019611A">
        <w:rPr>
          <w:rFonts w:asciiTheme="minorHAnsi" w:hAnsiTheme="minorHAnsi"/>
          <w:sz w:val="24"/>
          <w:szCs w:val="24"/>
        </w:rPr>
        <w:t>.,</w:t>
      </w:r>
      <w:r w:rsidRPr="00D45CDF">
        <w:rPr>
          <w:rFonts w:asciiTheme="minorHAnsi" w:hAnsiTheme="minorHAnsi"/>
          <w:sz w:val="24"/>
          <w:szCs w:val="24"/>
        </w:rPr>
        <w:t xml:space="preserve"> </w:t>
      </w:r>
      <w:r w:rsidRPr="00D45CDF">
        <w:rPr>
          <w:rFonts w:asciiTheme="minorHAnsi" w:hAnsiTheme="minorHAnsi"/>
          <w:i/>
          <w:iCs/>
          <w:sz w:val="24"/>
          <w:szCs w:val="24"/>
        </w:rPr>
        <w:t>Democracy and Constitutionalism in the European Union</w:t>
      </w:r>
      <w:r w:rsidRPr="00D45CDF">
        <w:rPr>
          <w:rFonts w:asciiTheme="minorHAnsi" w:hAnsiTheme="minorHAnsi"/>
          <w:sz w:val="24"/>
          <w:szCs w:val="24"/>
        </w:rPr>
        <w:t xml:space="preserve"> </w:t>
      </w:r>
      <w:r w:rsidR="00884C52">
        <w:rPr>
          <w:rFonts w:asciiTheme="minorHAnsi" w:hAnsiTheme="minorHAnsi"/>
          <w:sz w:val="24"/>
          <w:szCs w:val="24"/>
        </w:rPr>
        <w:t>(</w:t>
      </w:r>
      <w:r w:rsidRPr="00D45CDF">
        <w:rPr>
          <w:rFonts w:asciiTheme="minorHAnsi" w:hAnsiTheme="minorHAnsi"/>
          <w:sz w:val="24"/>
          <w:szCs w:val="24"/>
        </w:rPr>
        <w:t>Hart Publishing</w:t>
      </w:r>
      <w:r w:rsidR="00884C52">
        <w:rPr>
          <w:rFonts w:asciiTheme="minorHAnsi" w:hAnsiTheme="minorHAnsi"/>
          <w:sz w:val="24"/>
          <w:szCs w:val="24"/>
        </w:rPr>
        <w:t xml:space="preserve"> </w:t>
      </w:r>
      <w:r w:rsidR="00884C52" w:rsidRPr="00D45CDF">
        <w:rPr>
          <w:rFonts w:asciiTheme="minorHAnsi" w:hAnsiTheme="minorHAnsi"/>
          <w:sz w:val="24"/>
          <w:szCs w:val="24"/>
        </w:rPr>
        <w:t>2000)</w:t>
      </w:r>
      <w:r w:rsidRPr="00D45CDF">
        <w:rPr>
          <w:rFonts w:asciiTheme="minorHAnsi" w:hAnsiTheme="minorHAnsi"/>
          <w:sz w:val="24"/>
          <w:szCs w:val="24"/>
        </w:rPr>
        <w:t>.</w:t>
      </w:r>
    </w:p>
    <w:p w14:paraId="38455289" w14:textId="77777777" w:rsidR="00B66D64" w:rsidRPr="00D45CDF" w:rsidRDefault="00B66D64" w:rsidP="00D45CDF">
      <w:pPr>
        <w:autoSpaceDE w:val="0"/>
        <w:autoSpaceDN w:val="0"/>
        <w:adjustRightInd w:val="0"/>
        <w:spacing w:line="240" w:lineRule="auto"/>
        <w:rPr>
          <w:rFonts w:asciiTheme="minorHAnsi" w:hAnsiTheme="minorHAnsi"/>
          <w:sz w:val="24"/>
          <w:szCs w:val="24"/>
        </w:rPr>
      </w:pPr>
      <w:r w:rsidRPr="00D45CDF">
        <w:rPr>
          <w:rFonts w:asciiTheme="minorHAnsi" w:hAnsiTheme="minorHAnsi"/>
          <w:sz w:val="24"/>
          <w:szCs w:val="24"/>
        </w:rPr>
        <w:t>May, A.</w:t>
      </w:r>
      <w:r w:rsidR="0019611A">
        <w:rPr>
          <w:rFonts w:asciiTheme="minorHAnsi" w:hAnsiTheme="minorHAnsi"/>
          <w:sz w:val="24"/>
          <w:szCs w:val="24"/>
        </w:rPr>
        <w:t>,</w:t>
      </w:r>
      <w:r w:rsidR="00E111DC">
        <w:rPr>
          <w:rFonts w:asciiTheme="minorHAnsi" w:hAnsiTheme="minorHAnsi"/>
          <w:sz w:val="24"/>
          <w:szCs w:val="24"/>
        </w:rPr>
        <w:t xml:space="preserve"> “</w:t>
      </w:r>
      <w:r w:rsidRPr="00D45CDF">
        <w:rPr>
          <w:rFonts w:asciiTheme="minorHAnsi" w:hAnsiTheme="minorHAnsi"/>
          <w:sz w:val="24"/>
          <w:szCs w:val="24"/>
        </w:rPr>
        <w:t>Globalised Law and Best Friends Networks</w:t>
      </w:r>
      <w:r w:rsidR="00E111DC">
        <w:rPr>
          <w:rFonts w:asciiTheme="minorHAnsi" w:hAnsiTheme="minorHAnsi"/>
          <w:sz w:val="24"/>
          <w:szCs w:val="24"/>
        </w:rPr>
        <w:t>,”</w:t>
      </w:r>
      <w:r w:rsidRPr="00D45CDF">
        <w:rPr>
          <w:rFonts w:asciiTheme="minorHAnsi" w:hAnsiTheme="minorHAnsi"/>
          <w:sz w:val="24"/>
          <w:szCs w:val="24"/>
        </w:rPr>
        <w:t xml:space="preserve"> </w:t>
      </w:r>
      <w:r w:rsidRPr="00D45CDF">
        <w:rPr>
          <w:rFonts w:asciiTheme="minorHAnsi" w:hAnsiTheme="minorHAnsi"/>
          <w:i/>
          <w:sz w:val="24"/>
          <w:szCs w:val="24"/>
        </w:rPr>
        <w:t>The Principle.</w:t>
      </w:r>
      <w:r w:rsidR="00884C52" w:rsidRPr="00884C52">
        <w:rPr>
          <w:rFonts w:asciiTheme="minorHAnsi" w:hAnsiTheme="minorHAnsi"/>
          <w:sz w:val="24"/>
          <w:szCs w:val="24"/>
        </w:rPr>
        <w:t xml:space="preserve"> </w:t>
      </w:r>
      <w:r w:rsidR="00884C52" w:rsidRPr="00D45CDF">
        <w:rPr>
          <w:rFonts w:asciiTheme="minorHAnsi" w:hAnsiTheme="minorHAnsi"/>
          <w:sz w:val="24"/>
          <w:szCs w:val="24"/>
        </w:rPr>
        <w:t>(2019</w:t>
      </w:r>
      <w:proofErr w:type="gramStart"/>
      <w:r w:rsidR="00884C52" w:rsidRPr="00D45CDF">
        <w:rPr>
          <w:rFonts w:asciiTheme="minorHAnsi" w:hAnsiTheme="minorHAnsi"/>
          <w:sz w:val="24"/>
          <w:szCs w:val="24"/>
        </w:rPr>
        <w:t xml:space="preserve">) </w:t>
      </w:r>
      <w:r w:rsidRPr="00D45CDF">
        <w:rPr>
          <w:rFonts w:asciiTheme="minorHAnsi" w:hAnsiTheme="minorHAnsi"/>
          <w:i/>
          <w:sz w:val="24"/>
          <w:szCs w:val="24"/>
        </w:rPr>
        <w:t xml:space="preserve"> </w:t>
      </w:r>
      <w:r w:rsidRPr="00D45CDF">
        <w:rPr>
          <w:rFonts w:asciiTheme="minorHAnsi" w:hAnsiTheme="minorHAnsi"/>
          <w:sz w:val="24"/>
          <w:szCs w:val="24"/>
        </w:rPr>
        <w:t>Available</w:t>
      </w:r>
      <w:proofErr w:type="gramEnd"/>
      <w:r w:rsidRPr="00D45CDF">
        <w:rPr>
          <w:rFonts w:asciiTheme="minorHAnsi" w:hAnsiTheme="minorHAnsi"/>
          <w:sz w:val="24"/>
          <w:szCs w:val="24"/>
        </w:rPr>
        <w:t xml:space="preserve"> at &lt;https://www.allaboutlaw.co.uk/commercial-awareness/commercial-insights/globalised-law-and-best-friends-networks-&gt; Accessed 24 June 2019.</w:t>
      </w:r>
    </w:p>
    <w:p w14:paraId="567C2217" w14:textId="77777777" w:rsidR="00CD10BF" w:rsidRPr="00D45CDF" w:rsidRDefault="00B66D64" w:rsidP="00D45CDF">
      <w:pPr>
        <w:spacing w:line="240" w:lineRule="auto"/>
        <w:rPr>
          <w:rFonts w:asciiTheme="minorHAnsi" w:hAnsiTheme="minorHAnsi"/>
          <w:sz w:val="24"/>
          <w:szCs w:val="24"/>
          <w:lang w:eastAsia="en-GB"/>
        </w:rPr>
      </w:pPr>
      <w:r w:rsidRPr="00D45CDF">
        <w:rPr>
          <w:rFonts w:asciiTheme="minorHAnsi" w:hAnsiTheme="minorHAnsi"/>
          <w:sz w:val="24"/>
          <w:szCs w:val="24"/>
          <w:lang w:eastAsia="en-GB"/>
        </w:rPr>
        <w:t>Muller, G.</w:t>
      </w:r>
      <w:r w:rsidR="0019611A">
        <w:rPr>
          <w:rFonts w:asciiTheme="minorHAnsi" w:hAnsiTheme="minorHAnsi"/>
          <w:sz w:val="24"/>
          <w:szCs w:val="24"/>
          <w:lang w:eastAsia="en-GB"/>
        </w:rPr>
        <w:t>,</w:t>
      </w:r>
      <w:r w:rsidRPr="00D45CDF">
        <w:rPr>
          <w:rFonts w:asciiTheme="minorHAnsi" w:hAnsiTheme="minorHAnsi"/>
          <w:sz w:val="24"/>
          <w:szCs w:val="24"/>
          <w:lang w:eastAsia="en-GB"/>
        </w:rPr>
        <w:t xml:space="preserve"> </w:t>
      </w:r>
      <w:r w:rsidR="00884C52">
        <w:rPr>
          <w:rFonts w:asciiTheme="minorHAnsi" w:hAnsiTheme="minorHAnsi"/>
          <w:sz w:val="24"/>
          <w:szCs w:val="24"/>
          <w:lang w:eastAsia="en-GB"/>
        </w:rPr>
        <w:t>“</w:t>
      </w:r>
      <w:r w:rsidRPr="00D45CDF">
        <w:rPr>
          <w:rFonts w:asciiTheme="minorHAnsi" w:hAnsiTheme="minorHAnsi"/>
          <w:sz w:val="24"/>
          <w:szCs w:val="24"/>
          <w:lang w:eastAsia="en-GB"/>
        </w:rPr>
        <w:t>Free Movement of Lawyers Within the EU Internal Market.</w:t>
      </w:r>
      <w:r w:rsidR="00884C52">
        <w:rPr>
          <w:rFonts w:asciiTheme="minorHAnsi" w:hAnsiTheme="minorHAnsi"/>
          <w:sz w:val="24"/>
          <w:szCs w:val="24"/>
          <w:lang w:eastAsia="en-GB"/>
        </w:rPr>
        <w:t>”</w:t>
      </w:r>
      <w:r w:rsidRPr="00D45CDF">
        <w:rPr>
          <w:rFonts w:asciiTheme="minorHAnsi" w:hAnsiTheme="minorHAnsi"/>
          <w:sz w:val="24"/>
          <w:szCs w:val="24"/>
          <w:lang w:eastAsia="en-GB"/>
        </w:rPr>
        <w:t xml:space="preserve"> </w:t>
      </w:r>
      <w:r w:rsidRPr="00D45CDF">
        <w:rPr>
          <w:rFonts w:asciiTheme="minorHAnsi" w:hAnsiTheme="minorHAnsi"/>
          <w:i/>
          <w:sz w:val="24"/>
          <w:szCs w:val="24"/>
        </w:rPr>
        <w:t>European Business Law Review</w:t>
      </w:r>
      <w:r w:rsidRPr="00D45CDF">
        <w:rPr>
          <w:rFonts w:asciiTheme="minorHAnsi" w:hAnsiTheme="minorHAnsi"/>
          <w:sz w:val="24"/>
          <w:szCs w:val="24"/>
        </w:rPr>
        <w:t xml:space="preserve">, </w:t>
      </w:r>
      <w:r w:rsidRPr="00D45CDF">
        <w:rPr>
          <w:rFonts w:asciiTheme="minorHAnsi" w:hAnsiTheme="minorHAnsi"/>
          <w:sz w:val="24"/>
          <w:szCs w:val="24"/>
          <w:lang w:eastAsia="en-GB"/>
        </w:rPr>
        <w:t xml:space="preserve">26, 3, </w:t>
      </w:r>
      <w:r w:rsidR="00884C52" w:rsidRPr="00D45CDF">
        <w:rPr>
          <w:rFonts w:asciiTheme="minorHAnsi" w:hAnsiTheme="minorHAnsi"/>
          <w:sz w:val="24"/>
          <w:szCs w:val="24"/>
          <w:lang w:eastAsia="en-GB"/>
        </w:rPr>
        <w:t>(2015)</w:t>
      </w:r>
      <w:r w:rsidR="00884C52">
        <w:rPr>
          <w:rFonts w:asciiTheme="minorHAnsi" w:hAnsiTheme="minorHAnsi"/>
          <w:sz w:val="24"/>
          <w:szCs w:val="24"/>
          <w:lang w:eastAsia="en-GB"/>
        </w:rPr>
        <w:t>:</w:t>
      </w:r>
      <w:r w:rsidRPr="00D45CDF">
        <w:rPr>
          <w:rFonts w:asciiTheme="minorHAnsi" w:hAnsiTheme="minorHAnsi"/>
          <w:sz w:val="24"/>
          <w:szCs w:val="24"/>
          <w:lang w:eastAsia="en-GB"/>
        </w:rPr>
        <w:t xml:space="preserve"> 355-390</w:t>
      </w:r>
      <w:r w:rsidR="00884C52">
        <w:rPr>
          <w:rFonts w:asciiTheme="minorHAnsi" w:hAnsiTheme="minorHAnsi"/>
          <w:sz w:val="24"/>
          <w:szCs w:val="24"/>
          <w:lang w:eastAsia="en-GB"/>
        </w:rPr>
        <w:t>.</w:t>
      </w:r>
    </w:p>
    <w:p w14:paraId="7334C1C4" w14:textId="77777777" w:rsidR="00CD10BF" w:rsidRPr="00D45CDF" w:rsidRDefault="00CD10BF" w:rsidP="00D45CDF">
      <w:pPr>
        <w:spacing w:line="240" w:lineRule="auto"/>
        <w:rPr>
          <w:rFonts w:asciiTheme="minorHAnsi" w:hAnsiTheme="minorHAnsi"/>
          <w:sz w:val="24"/>
          <w:szCs w:val="24"/>
          <w:lang w:eastAsia="en-GB"/>
        </w:rPr>
      </w:pPr>
      <w:r w:rsidRPr="00D45CDF">
        <w:rPr>
          <w:rFonts w:asciiTheme="minorHAnsi" w:hAnsiTheme="minorHAnsi"/>
          <w:sz w:val="24"/>
          <w:szCs w:val="24"/>
        </w:rPr>
        <w:t xml:space="preserve">Omondi L. </w:t>
      </w:r>
      <w:proofErr w:type="spellStart"/>
      <w:proofErr w:type="gramStart"/>
      <w:r w:rsidRPr="00D45CDF">
        <w:rPr>
          <w:rFonts w:asciiTheme="minorHAnsi" w:hAnsiTheme="minorHAnsi"/>
          <w:sz w:val="24"/>
          <w:szCs w:val="24"/>
        </w:rPr>
        <w:t>F.</w:t>
      </w:r>
      <w:r w:rsidR="00884C52">
        <w:rPr>
          <w:rFonts w:asciiTheme="minorHAnsi" w:hAnsiTheme="minorHAnsi"/>
          <w:sz w:val="24"/>
          <w:szCs w:val="24"/>
        </w:rPr>
        <w:t>,“</w:t>
      </w:r>
      <w:proofErr w:type="gramEnd"/>
      <w:r w:rsidRPr="00D45CDF">
        <w:rPr>
          <w:rFonts w:asciiTheme="minorHAnsi" w:hAnsiTheme="minorHAnsi"/>
          <w:sz w:val="24"/>
          <w:szCs w:val="24"/>
        </w:rPr>
        <w:t>Free</w:t>
      </w:r>
      <w:proofErr w:type="spellEnd"/>
      <w:r w:rsidRPr="00D45CDF">
        <w:rPr>
          <w:rFonts w:asciiTheme="minorHAnsi" w:hAnsiTheme="minorHAnsi"/>
          <w:sz w:val="24"/>
          <w:szCs w:val="24"/>
        </w:rPr>
        <w:t xml:space="preserve"> Movement of Services: Challenges to the Implementation of Cross-border Legal Practice within EAC</w:t>
      </w:r>
      <w:r w:rsidR="00C85190" w:rsidRPr="00D45CDF">
        <w:rPr>
          <w:rFonts w:asciiTheme="minorHAnsi" w:hAnsiTheme="minorHAnsi"/>
          <w:sz w:val="24"/>
          <w:szCs w:val="24"/>
        </w:rPr>
        <w:t>.</w:t>
      </w:r>
      <w:r w:rsidR="00884C52">
        <w:rPr>
          <w:rFonts w:asciiTheme="minorHAnsi" w:hAnsiTheme="minorHAnsi"/>
          <w:sz w:val="24"/>
          <w:szCs w:val="24"/>
        </w:rPr>
        <w:t>”</w:t>
      </w:r>
      <w:r w:rsidRPr="00D45CDF">
        <w:rPr>
          <w:rFonts w:asciiTheme="minorHAnsi" w:hAnsiTheme="minorHAnsi"/>
          <w:sz w:val="24"/>
          <w:szCs w:val="24"/>
        </w:rPr>
        <w:t xml:space="preserve"> </w:t>
      </w:r>
      <w:r w:rsidR="00C85190" w:rsidRPr="00D45CDF">
        <w:rPr>
          <w:rFonts w:asciiTheme="minorHAnsi" w:hAnsiTheme="minorHAnsi"/>
          <w:sz w:val="24"/>
          <w:szCs w:val="24"/>
        </w:rPr>
        <w:t xml:space="preserve">6 </w:t>
      </w:r>
      <w:r w:rsidR="00C85190" w:rsidRPr="00D45CDF">
        <w:rPr>
          <w:rFonts w:asciiTheme="minorHAnsi" w:hAnsiTheme="minorHAnsi"/>
          <w:sz w:val="24"/>
          <w:szCs w:val="24"/>
          <w:shd w:val="clear" w:color="auto" w:fill="FFFFFF"/>
        </w:rPr>
        <w:t>November</w:t>
      </w:r>
      <w:r w:rsidR="00884C52">
        <w:rPr>
          <w:rFonts w:asciiTheme="minorHAnsi" w:hAnsiTheme="minorHAnsi"/>
          <w:sz w:val="24"/>
          <w:szCs w:val="24"/>
          <w:shd w:val="clear" w:color="auto" w:fill="FFFFFF"/>
        </w:rPr>
        <w:t xml:space="preserve"> </w:t>
      </w:r>
      <w:r w:rsidR="00884C52" w:rsidRPr="00D45CDF">
        <w:rPr>
          <w:rFonts w:asciiTheme="minorHAnsi" w:hAnsiTheme="minorHAnsi"/>
          <w:sz w:val="24"/>
          <w:szCs w:val="24"/>
          <w:shd w:val="clear" w:color="auto" w:fill="FFFFFF"/>
        </w:rPr>
        <w:t>2017</w:t>
      </w:r>
      <w:r w:rsidR="00C85190" w:rsidRPr="00D45CDF">
        <w:rPr>
          <w:rFonts w:asciiTheme="minorHAnsi" w:hAnsiTheme="minorHAnsi"/>
          <w:sz w:val="24"/>
          <w:szCs w:val="24"/>
          <w:shd w:val="clear" w:color="auto" w:fill="FFFFFF"/>
        </w:rPr>
        <w:t xml:space="preserve">. </w:t>
      </w:r>
      <w:r w:rsidRPr="00D45CDF">
        <w:rPr>
          <w:rFonts w:asciiTheme="minorHAnsi" w:hAnsiTheme="minorHAnsi"/>
          <w:sz w:val="24"/>
          <w:szCs w:val="24"/>
          <w:shd w:val="clear" w:color="auto" w:fill="FFFFFF"/>
        </w:rPr>
        <w:t>Available at SSRN &lt;https://ssrn.com/abstract=3065974</w:t>
      </w:r>
      <w:r w:rsidRPr="00D45CDF">
        <w:rPr>
          <w:rFonts w:asciiTheme="minorHAnsi" w:hAnsiTheme="minorHAnsi"/>
          <w:sz w:val="24"/>
          <w:szCs w:val="24"/>
        </w:rPr>
        <w:t>&gt;</w:t>
      </w:r>
      <w:r w:rsidRPr="00D45CDF">
        <w:rPr>
          <w:rFonts w:asciiTheme="minorHAnsi" w:hAnsiTheme="minorHAnsi"/>
          <w:sz w:val="24"/>
          <w:szCs w:val="24"/>
          <w:shd w:val="clear" w:color="auto" w:fill="FFFFFF"/>
        </w:rPr>
        <w:t> or &lt;http://dx.doi.org/10.2139/ssrn.306597</w:t>
      </w:r>
      <w:r w:rsidRPr="00D45CDF">
        <w:rPr>
          <w:rFonts w:asciiTheme="minorHAnsi" w:hAnsiTheme="minorHAnsi"/>
          <w:sz w:val="24"/>
          <w:szCs w:val="24"/>
        </w:rPr>
        <w:t>&gt;</w:t>
      </w:r>
    </w:p>
    <w:p w14:paraId="49FA6E3E" w14:textId="77777777" w:rsidR="00EE0C90" w:rsidRPr="00D45CDF" w:rsidRDefault="00B66D64" w:rsidP="00D45CDF">
      <w:pPr>
        <w:spacing w:line="240" w:lineRule="auto"/>
        <w:rPr>
          <w:rFonts w:asciiTheme="minorHAnsi" w:hAnsiTheme="minorHAnsi"/>
          <w:sz w:val="24"/>
          <w:szCs w:val="24"/>
        </w:rPr>
      </w:pPr>
      <w:proofErr w:type="spellStart"/>
      <w:r w:rsidRPr="00D45CDF">
        <w:rPr>
          <w:rFonts w:asciiTheme="minorHAnsi" w:hAnsiTheme="minorHAnsi"/>
          <w:sz w:val="24"/>
          <w:szCs w:val="24"/>
          <w:lang w:eastAsia="en-GB"/>
        </w:rPr>
        <w:t>Peretz</w:t>
      </w:r>
      <w:proofErr w:type="spellEnd"/>
      <w:r w:rsidRPr="00D45CDF">
        <w:rPr>
          <w:rFonts w:asciiTheme="minorHAnsi" w:hAnsiTheme="minorHAnsi"/>
          <w:sz w:val="24"/>
          <w:szCs w:val="24"/>
          <w:lang w:eastAsia="en-GB"/>
        </w:rPr>
        <w:t>, G.</w:t>
      </w:r>
      <w:r w:rsidR="0019611A">
        <w:rPr>
          <w:rFonts w:asciiTheme="minorHAnsi" w:hAnsiTheme="minorHAnsi"/>
          <w:sz w:val="24"/>
          <w:szCs w:val="24"/>
          <w:lang w:eastAsia="en-GB"/>
        </w:rPr>
        <w:t>,</w:t>
      </w:r>
      <w:r w:rsidR="004A4E15" w:rsidRPr="00D45CDF">
        <w:rPr>
          <w:rFonts w:asciiTheme="minorHAnsi" w:hAnsiTheme="minorHAnsi"/>
          <w:sz w:val="24"/>
          <w:szCs w:val="24"/>
          <w:lang w:eastAsia="en-GB"/>
        </w:rPr>
        <w:t xml:space="preserve"> </w:t>
      </w:r>
      <w:r w:rsidR="00884C52">
        <w:rPr>
          <w:rFonts w:asciiTheme="minorHAnsi" w:hAnsiTheme="minorHAnsi"/>
          <w:sz w:val="24"/>
          <w:szCs w:val="24"/>
          <w:lang w:eastAsia="en-GB"/>
        </w:rPr>
        <w:t>“</w:t>
      </w:r>
      <w:r w:rsidRPr="00D45CDF">
        <w:rPr>
          <w:rFonts w:asciiTheme="minorHAnsi" w:eastAsia="Times New Roman" w:hAnsiTheme="minorHAnsi"/>
          <w:kern w:val="36"/>
          <w:sz w:val="24"/>
          <w:szCs w:val="24"/>
          <w:lang w:eastAsia="en-GB"/>
        </w:rPr>
        <w:t>Make mine a Guinness: why I’ve j</w:t>
      </w:r>
      <w:r w:rsidR="00884C52">
        <w:rPr>
          <w:rFonts w:asciiTheme="minorHAnsi" w:eastAsia="Times New Roman" w:hAnsiTheme="minorHAnsi"/>
          <w:kern w:val="36"/>
          <w:sz w:val="24"/>
          <w:szCs w:val="24"/>
          <w:lang w:eastAsia="en-GB"/>
        </w:rPr>
        <w:t>oined the Irish Bar.”</w:t>
      </w:r>
      <w:r w:rsidRPr="00D45CDF">
        <w:rPr>
          <w:rFonts w:asciiTheme="minorHAnsi" w:eastAsia="Times New Roman" w:hAnsiTheme="minorHAnsi"/>
          <w:kern w:val="36"/>
          <w:sz w:val="24"/>
          <w:szCs w:val="24"/>
          <w:lang w:eastAsia="en-GB"/>
        </w:rPr>
        <w:t xml:space="preserve"> </w:t>
      </w:r>
      <w:r w:rsidRPr="00D45CDF">
        <w:rPr>
          <w:rFonts w:asciiTheme="minorHAnsi" w:eastAsia="Times New Roman" w:hAnsiTheme="minorHAnsi"/>
          <w:i/>
          <w:iCs/>
          <w:kern w:val="36"/>
          <w:sz w:val="24"/>
          <w:szCs w:val="24"/>
          <w:lang w:eastAsia="en-GB"/>
        </w:rPr>
        <w:t>The Times</w:t>
      </w:r>
      <w:r w:rsidRPr="00D45CDF">
        <w:rPr>
          <w:rFonts w:asciiTheme="minorHAnsi" w:eastAsia="Times New Roman" w:hAnsiTheme="minorHAnsi"/>
          <w:kern w:val="36"/>
          <w:sz w:val="24"/>
          <w:szCs w:val="24"/>
          <w:lang w:eastAsia="en-GB"/>
        </w:rPr>
        <w:t>, 26 J</w:t>
      </w:r>
      <w:r w:rsidRPr="00D45CDF">
        <w:rPr>
          <w:rFonts w:asciiTheme="minorHAnsi" w:hAnsiTheme="minorHAnsi"/>
          <w:sz w:val="24"/>
          <w:szCs w:val="24"/>
          <w:shd w:val="clear" w:color="auto" w:fill="FFFFFF"/>
        </w:rPr>
        <w:t>uly</w:t>
      </w:r>
      <w:r w:rsidR="00884C52">
        <w:rPr>
          <w:rFonts w:asciiTheme="minorHAnsi" w:hAnsiTheme="minorHAnsi"/>
          <w:sz w:val="24"/>
          <w:szCs w:val="24"/>
          <w:shd w:val="clear" w:color="auto" w:fill="FFFFFF"/>
        </w:rPr>
        <w:t xml:space="preserve"> </w:t>
      </w:r>
      <w:r w:rsidR="00884C52" w:rsidRPr="00D45CDF">
        <w:rPr>
          <w:rFonts w:asciiTheme="minorHAnsi" w:hAnsiTheme="minorHAnsi"/>
          <w:sz w:val="24"/>
          <w:szCs w:val="24"/>
          <w:lang w:eastAsia="en-GB"/>
        </w:rPr>
        <w:t>2018</w:t>
      </w:r>
      <w:r w:rsidRPr="00D45CDF">
        <w:rPr>
          <w:rFonts w:asciiTheme="minorHAnsi" w:hAnsiTheme="minorHAnsi"/>
          <w:sz w:val="24"/>
          <w:szCs w:val="24"/>
          <w:shd w:val="clear" w:color="auto" w:fill="FFFFFF"/>
        </w:rPr>
        <w:t xml:space="preserve">. Available at &lt; </w:t>
      </w:r>
      <w:hyperlink r:id="rId16" w:history="1">
        <w:r w:rsidRPr="00D45CDF">
          <w:rPr>
            <w:rStyle w:val="Hyperlink"/>
            <w:rFonts w:asciiTheme="minorHAnsi" w:hAnsiTheme="minorHAnsi"/>
            <w:color w:val="auto"/>
            <w:sz w:val="24"/>
            <w:szCs w:val="24"/>
            <w:u w:val="none"/>
          </w:rPr>
          <w:t>https://www.thetimes.co.uk/article/make-mine-a-guinness-why-i-ve-joined-the-irish-bar-rfwln2tsc</w:t>
        </w:r>
      </w:hyperlink>
      <w:r w:rsidRPr="00D45CDF">
        <w:rPr>
          <w:rFonts w:asciiTheme="minorHAnsi" w:hAnsiTheme="minorHAnsi"/>
          <w:sz w:val="24"/>
          <w:szCs w:val="24"/>
        </w:rPr>
        <w:t>&gt; Accessed 15 July 2019.</w:t>
      </w:r>
    </w:p>
    <w:p w14:paraId="27642C0C" w14:textId="77777777" w:rsidR="00B66D64" w:rsidRPr="00D45CDF" w:rsidRDefault="00B66D64" w:rsidP="00D45CDF">
      <w:pPr>
        <w:spacing w:line="240" w:lineRule="auto"/>
        <w:rPr>
          <w:rFonts w:asciiTheme="minorHAnsi" w:hAnsiTheme="minorHAnsi"/>
          <w:sz w:val="24"/>
          <w:szCs w:val="24"/>
        </w:rPr>
      </w:pPr>
      <w:r w:rsidRPr="00D45CDF">
        <w:rPr>
          <w:rFonts w:asciiTheme="minorHAnsi" w:hAnsiTheme="minorHAnsi"/>
          <w:sz w:val="24"/>
          <w:szCs w:val="24"/>
        </w:rPr>
        <w:t xml:space="preserve">Queen Mary University London and White &amp; Case, </w:t>
      </w:r>
      <w:r w:rsidR="00884C52">
        <w:rPr>
          <w:rFonts w:asciiTheme="minorHAnsi" w:hAnsiTheme="minorHAnsi"/>
          <w:sz w:val="24"/>
          <w:szCs w:val="24"/>
        </w:rPr>
        <w:t>“</w:t>
      </w:r>
      <w:r w:rsidRPr="00D45CDF">
        <w:rPr>
          <w:rFonts w:asciiTheme="minorHAnsi" w:hAnsiTheme="minorHAnsi"/>
          <w:sz w:val="24"/>
          <w:szCs w:val="24"/>
        </w:rPr>
        <w:t>2018 International Arbitration Survey: The Evolution</w:t>
      </w:r>
      <w:r w:rsidR="00884C52">
        <w:rPr>
          <w:rFonts w:asciiTheme="minorHAnsi" w:hAnsiTheme="minorHAnsi"/>
          <w:sz w:val="24"/>
          <w:szCs w:val="24"/>
        </w:rPr>
        <w:t xml:space="preserve"> of International Arbitration” </w:t>
      </w:r>
      <w:r w:rsidR="00884C52" w:rsidRPr="00D45CDF">
        <w:rPr>
          <w:rFonts w:asciiTheme="minorHAnsi" w:hAnsiTheme="minorHAnsi"/>
          <w:sz w:val="24"/>
          <w:szCs w:val="24"/>
        </w:rPr>
        <w:t>(2018)</w:t>
      </w:r>
      <w:r w:rsidR="00884C52">
        <w:rPr>
          <w:rFonts w:asciiTheme="minorHAnsi" w:hAnsiTheme="minorHAnsi"/>
          <w:sz w:val="24"/>
          <w:szCs w:val="24"/>
        </w:rPr>
        <w:t>.</w:t>
      </w:r>
      <w:r w:rsidR="00884C52" w:rsidRPr="00D45CDF">
        <w:rPr>
          <w:rFonts w:asciiTheme="minorHAnsi" w:hAnsiTheme="minorHAnsi"/>
          <w:sz w:val="24"/>
          <w:szCs w:val="24"/>
        </w:rPr>
        <w:t xml:space="preserve"> </w:t>
      </w:r>
      <w:r w:rsidRPr="00D45CDF">
        <w:rPr>
          <w:rFonts w:asciiTheme="minorHAnsi" w:hAnsiTheme="minorHAnsi"/>
          <w:sz w:val="24"/>
          <w:szCs w:val="24"/>
        </w:rPr>
        <w:t>Available at &lt;http://www.arbitration.qmul.ac.uk/media/arbitration/docs/2018-International-Arbitration-Survey---The-Evolution-of-International-Arbitration-(2).PDF&gt; Accessed 24 June 2019.</w:t>
      </w:r>
    </w:p>
    <w:p w14:paraId="48FA94F0" w14:textId="77777777" w:rsidR="00B66D64" w:rsidRPr="00D45CDF" w:rsidRDefault="00B66D64" w:rsidP="00D45CDF">
      <w:pPr>
        <w:autoSpaceDE w:val="0"/>
        <w:autoSpaceDN w:val="0"/>
        <w:adjustRightInd w:val="0"/>
        <w:spacing w:line="240" w:lineRule="auto"/>
        <w:rPr>
          <w:rFonts w:asciiTheme="minorHAnsi" w:hAnsiTheme="minorHAnsi"/>
          <w:sz w:val="24"/>
          <w:szCs w:val="24"/>
        </w:rPr>
      </w:pPr>
      <w:proofErr w:type="spellStart"/>
      <w:r w:rsidRPr="00D45CDF">
        <w:rPr>
          <w:rFonts w:asciiTheme="minorHAnsi" w:hAnsiTheme="minorHAnsi"/>
          <w:sz w:val="24"/>
          <w:szCs w:val="24"/>
        </w:rPr>
        <w:t>Schelkens</w:t>
      </w:r>
      <w:proofErr w:type="spellEnd"/>
      <w:r w:rsidRPr="00D45CDF">
        <w:rPr>
          <w:rFonts w:asciiTheme="minorHAnsi" w:hAnsiTheme="minorHAnsi"/>
          <w:sz w:val="24"/>
          <w:szCs w:val="24"/>
        </w:rPr>
        <w:t>, M.</w:t>
      </w:r>
      <w:r w:rsidR="0019611A">
        <w:rPr>
          <w:rFonts w:asciiTheme="minorHAnsi" w:hAnsiTheme="minorHAnsi"/>
          <w:sz w:val="24"/>
          <w:szCs w:val="24"/>
        </w:rPr>
        <w:t>,</w:t>
      </w:r>
      <w:r w:rsidRPr="00D45CDF">
        <w:rPr>
          <w:rFonts w:asciiTheme="minorHAnsi" w:hAnsiTheme="minorHAnsi"/>
          <w:sz w:val="24"/>
          <w:szCs w:val="24"/>
        </w:rPr>
        <w:t xml:space="preserve"> </w:t>
      </w:r>
      <w:r w:rsidR="0019611A">
        <w:rPr>
          <w:rFonts w:asciiTheme="minorHAnsi" w:hAnsiTheme="minorHAnsi"/>
          <w:sz w:val="24"/>
          <w:szCs w:val="24"/>
        </w:rPr>
        <w:t>“</w:t>
      </w:r>
      <w:r w:rsidRPr="00D45CDF">
        <w:rPr>
          <w:rFonts w:asciiTheme="minorHAnsi" w:hAnsiTheme="minorHAnsi"/>
          <w:sz w:val="24"/>
          <w:szCs w:val="24"/>
        </w:rPr>
        <w:t>The Freedom of Establishment of Lawyers in the European Union</w:t>
      </w:r>
      <w:r w:rsidR="0019611A">
        <w:rPr>
          <w:rFonts w:asciiTheme="minorHAnsi" w:hAnsiTheme="minorHAnsi"/>
          <w:sz w:val="24"/>
          <w:szCs w:val="24"/>
        </w:rPr>
        <w:t>,”</w:t>
      </w:r>
      <w:r w:rsidRPr="00D45CDF">
        <w:rPr>
          <w:rFonts w:asciiTheme="minorHAnsi" w:hAnsiTheme="minorHAnsi"/>
          <w:sz w:val="24"/>
          <w:szCs w:val="24"/>
        </w:rPr>
        <w:t xml:space="preserve"> </w:t>
      </w:r>
      <w:r w:rsidRPr="00D45CDF">
        <w:rPr>
          <w:rFonts w:asciiTheme="minorHAnsi" w:hAnsiTheme="minorHAnsi"/>
          <w:i/>
          <w:sz w:val="24"/>
          <w:szCs w:val="24"/>
        </w:rPr>
        <w:t xml:space="preserve">Jura </w:t>
      </w:r>
      <w:proofErr w:type="spellStart"/>
      <w:proofErr w:type="gramStart"/>
      <w:r w:rsidRPr="00D45CDF">
        <w:rPr>
          <w:rFonts w:asciiTheme="minorHAnsi" w:hAnsiTheme="minorHAnsi"/>
          <w:i/>
          <w:sz w:val="24"/>
          <w:szCs w:val="24"/>
        </w:rPr>
        <w:t>Falconis</w:t>
      </w:r>
      <w:proofErr w:type="spellEnd"/>
      <w:r w:rsidR="0019611A">
        <w:rPr>
          <w:rFonts w:asciiTheme="minorHAnsi" w:hAnsiTheme="minorHAnsi"/>
          <w:i/>
          <w:sz w:val="24"/>
          <w:szCs w:val="24"/>
        </w:rPr>
        <w:t>,</w:t>
      </w:r>
      <w:r w:rsidRPr="00D45CDF">
        <w:rPr>
          <w:rFonts w:asciiTheme="minorHAnsi" w:hAnsiTheme="minorHAnsi"/>
          <w:sz w:val="24"/>
          <w:szCs w:val="24"/>
        </w:rPr>
        <w:t xml:space="preserve">  51</w:t>
      </w:r>
      <w:proofErr w:type="gramEnd"/>
      <w:r w:rsidRPr="00D45CDF">
        <w:rPr>
          <w:rFonts w:asciiTheme="minorHAnsi" w:hAnsiTheme="minorHAnsi"/>
          <w:sz w:val="24"/>
          <w:szCs w:val="24"/>
        </w:rPr>
        <w:t xml:space="preserve">, 2, </w:t>
      </w:r>
      <w:r w:rsidR="00884C52" w:rsidRPr="00D45CDF">
        <w:rPr>
          <w:rFonts w:asciiTheme="minorHAnsi" w:hAnsiTheme="minorHAnsi"/>
          <w:sz w:val="24"/>
          <w:szCs w:val="24"/>
        </w:rPr>
        <w:t>(2014-15)</w:t>
      </w:r>
      <w:r w:rsidR="00884C52">
        <w:rPr>
          <w:rFonts w:asciiTheme="minorHAnsi" w:hAnsiTheme="minorHAnsi"/>
          <w:sz w:val="24"/>
          <w:szCs w:val="24"/>
        </w:rPr>
        <w:t>:</w:t>
      </w:r>
      <w:r w:rsidRPr="00D45CDF">
        <w:rPr>
          <w:rFonts w:asciiTheme="minorHAnsi" w:hAnsiTheme="minorHAnsi"/>
          <w:sz w:val="24"/>
          <w:szCs w:val="24"/>
        </w:rPr>
        <w:t xml:space="preserve"> 214-241.</w:t>
      </w:r>
    </w:p>
    <w:p w14:paraId="50308717" w14:textId="77777777" w:rsidR="00E66469" w:rsidRPr="00D45CDF" w:rsidRDefault="00E66469" w:rsidP="00D45CDF">
      <w:pPr>
        <w:autoSpaceDE w:val="0"/>
        <w:autoSpaceDN w:val="0"/>
        <w:adjustRightInd w:val="0"/>
        <w:spacing w:line="240" w:lineRule="auto"/>
        <w:rPr>
          <w:rFonts w:asciiTheme="minorHAnsi" w:hAnsiTheme="minorHAnsi"/>
          <w:sz w:val="24"/>
          <w:szCs w:val="24"/>
        </w:rPr>
      </w:pPr>
      <w:r w:rsidRPr="00D45CDF">
        <w:rPr>
          <w:rFonts w:asciiTheme="minorHAnsi" w:hAnsiTheme="minorHAnsi"/>
          <w:sz w:val="24"/>
          <w:szCs w:val="24"/>
        </w:rPr>
        <w:t>Singh, A.</w:t>
      </w:r>
      <w:r w:rsidR="0019611A">
        <w:rPr>
          <w:rFonts w:asciiTheme="minorHAnsi" w:hAnsiTheme="minorHAnsi"/>
          <w:sz w:val="24"/>
          <w:szCs w:val="24"/>
        </w:rPr>
        <w:t>,</w:t>
      </w:r>
      <w:r w:rsidRPr="00D45CDF">
        <w:rPr>
          <w:rFonts w:asciiTheme="minorHAnsi" w:hAnsiTheme="minorHAnsi"/>
          <w:sz w:val="24"/>
          <w:szCs w:val="24"/>
        </w:rPr>
        <w:t xml:space="preserve"> </w:t>
      </w:r>
      <w:r w:rsidR="0019611A">
        <w:rPr>
          <w:rFonts w:asciiTheme="minorHAnsi" w:hAnsiTheme="minorHAnsi"/>
          <w:sz w:val="24"/>
          <w:szCs w:val="24"/>
        </w:rPr>
        <w:t>“</w:t>
      </w:r>
      <w:r w:rsidRPr="00D45CDF">
        <w:rPr>
          <w:rFonts w:asciiTheme="minorHAnsi" w:hAnsiTheme="minorHAnsi"/>
          <w:sz w:val="24"/>
          <w:szCs w:val="24"/>
        </w:rPr>
        <w:t>Globalization of the Legal Profession and Regulation of Law Practice</w:t>
      </w:r>
      <w:r w:rsidR="0019611A">
        <w:rPr>
          <w:rFonts w:asciiTheme="minorHAnsi" w:hAnsiTheme="minorHAnsi"/>
          <w:sz w:val="24"/>
          <w:szCs w:val="24"/>
        </w:rPr>
        <w:t>”</w:t>
      </w:r>
      <w:r w:rsidRPr="00D45CDF">
        <w:rPr>
          <w:rFonts w:asciiTheme="minorHAnsi" w:hAnsiTheme="minorHAnsi"/>
          <w:sz w:val="24"/>
          <w:szCs w:val="24"/>
        </w:rPr>
        <w:t xml:space="preserve"> in </w:t>
      </w:r>
      <w:r w:rsidR="0019611A" w:rsidRPr="00D45CDF">
        <w:rPr>
          <w:rFonts w:asciiTheme="minorHAnsi" w:hAnsiTheme="minorHAnsi"/>
          <w:i/>
          <w:iCs/>
          <w:sz w:val="24"/>
          <w:szCs w:val="24"/>
        </w:rPr>
        <w:t>The Indian Legal Profession in the age of Globalization</w:t>
      </w:r>
      <w:r w:rsidR="0019611A" w:rsidRPr="00D45CDF">
        <w:rPr>
          <w:rFonts w:asciiTheme="minorHAnsi" w:hAnsiTheme="minorHAnsi"/>
          <w:sz w:val="24"/>
          <w:szCs w:val="24"/>
        </w:rPr>
        <w:t xml:space="preserve"> </w:t>
      </w:r>
      <w:r w:rsidRPr="00D45CDF">
        <w:rPr>
          <w:rFonts w:asciiTheme="minorHAnsi" w:hAnsiTheme="minorHAnsi"/>
          <w:sz w:val="24"/>
          <w:szCs w:val="24"/>
        </w:rPr>
        <w:t>eds</w:t>
      </w:r>
      <w:r w:rsidR="0019611A">
        <w:rPr>
          <w:rFonts w:asciiTheme="minorHAnsi" w:hAnsiTheme="minorHAnsi"/>
          <w:sz w:val="24"/>
          <w:szCs w:val="24"/>
        </w:rPr>
        <w:t>.</w:t>
      </w:r>
      <w:r w:rsidRPr="00D45CDF">
        <w:rPr>
          <w:rFonts w:asciiTheme="minorHAnsi" w:hAnsiTheme="minorHAnsi"/>
          <w:sz w:val="24"/>
          <w:szCs w:val="24"/>
        </w:rPr>
        <w:t xml:space="preserve"> Wilkins, D., Khanna, S. and </w:t>
      </w:r>
      <w:proofErr w:type="spellStart"/>
      <w:r w:rsidRPr="00D45CDF">
        <w:rPr>
          <w:rFonts w:asciiTheme="minorHAnsi" w:hAnsiTheme="minorHAnsi"/>
          <w:sz w:val="24"/>
          <w:szCs w:val="24"/>
        </w:rPr>
        <w:t>Trubek</w:t>
      </w:r>
      <w:proofErr w:type="spellEnd"/>
      <w:r w:rsidRPr="00D45CDF">
        <w:rPr>
          <w:rFonts w:asciiTheme="minorHAnsi" w:hAnsiTheme="minorHAnsi"/>
          <w:sz w:val="24"/>
          <w:szCs w:val="24"/>
        </w:rPr>
        <w:t xml:space="preserve">, D. </w:t>
      </w:r>
      <w:r w:rsidR="00884C52">
        <w:rPr>
          <w:rFonts w:asciiTheme="minorHAnsi" w:hAnsiTheme="minorHAnsi"/>
          <w:sz w:val="24"/>
          <w:szCs w:val="24"/>
        </w:rPr>
        <w:t>(</w:t>
      </w:r>
      <w:r w:rsidRPr="00D45CDF">
        <w:rPr>
          <w:rFonts w:asciiTheme="minorHAnsi" w:hAnsiTheme="minorHAnsi"/>
          <w:sz w:val="24"/>
          <w:szCs w:val="24"/>
        </w:rPr>
        <w:t xml:space="preserve">Cambridge, CUP, </w:t>
      </w:r>
      <w:r w:rsidR="00884C52" w:rsidRPr="00D45CDF">
        <w:rPr>
          <w:rFonts w:asciiTheme="minorHAnsi" w:hAnsiTheme="minorHAnsi"/>
          <w:sz w:val="24"/>
          <w:szCs w:val="24"/>
        </w:rPr>
        <w:t>2017)</w:t>
      </w:r>
      <w:r w:rsidR="00884C52">
        <w:rPr>
          <w:rFonts w:asciiTheme="minorHAnsi" w:hAnsiTheme="minorHAnsi"/>
          <w:sz w:val="24"/>
          <w:szCs w:val="24"/>
        </w:rPr>
        <w:t>:</w:t>
      </w:r>
      <w:r w:rsidR="00884C52" w:rsidRPr="00D45CDF">
        <w:rPr>
          <w:rFonts w:asciiTheme="minorHAnsi" w:hAnsiTheme="minorHAnsi"/>
          <w:sz w:val="24"/>
          <w:szCs w:val="24"/>
        </w:rPr>
        <w:t xml:space="preserve"> </w:t>
      </w:r>
      <w:r w:rsidRPr="00D45CDF">
        <w:rPr>
          <w:rFonts w:asciiTheme="minorHAnsi" w:hAnsiTheme="minorHAnsi"/>
          <w:sz w:val="24"/>
          <w:szCs w:val="24"/>
        </w:rPr>
        <w:t>pp 363-394.</w:t>
      </w:r>
    </w:p>
    <w:p w14:paraId="70BB5744" w14:textId="77777777" w:rsidR="00DE2776" w:rsidRPr="00D45CDF" w:rsidRDefault="00DE2776" w:rsidP="00D45CDF">
      <w:pPr>
        <w:autoSpaceDE w:val="0"/>
        <w:autoSpaceDN w:val="0"/>
        <w:adjustRightInd w:val="0"/>
        <w:spacing w:line="240" w:lineRule="auto"/>
        <w:rPr>
          <w:rFonts w:asciiTheme="minorHAnsi" w:eastAsiaTheme="minorHAnsi" w:hAnsiTheme="minorHAnsi"/>
          <w:sz w:val="24"/>
          <w:szCs w:val="24"/>
          <w:lang w:eastAsia="en-US"/>
        </w:rPr>
      </w:pPr>
      <w:r w:rsidRPr="00D45CDF">
        <w:rPr>
          <w:rFonts w:asciiTheme="minorHAnsi" w:hAnsiTheme="minorHAnsi"/>
          <w:sz w:val="24"/>
          <w:szCs w:val="24"/>
        </w:rPr>
        <w:t>SRA</w:t>
      </w:r>
      <w:r w:rsidR="00884C52">
        <w:rPr>
          <w:rFonts w:asciiTheme="minorHAnsi" w:hAnsiTheme="minorHAnsi"/>
          <w:sz w:val="24"/>
          <w:szCs w:val="24"/>
        </w:rPr>
        <w:t>,</w:t>
      </w:r>
      <w:r w:rsidRPr="00D45CDF">
        <w:rPr>
          <w:rFonts w:asciiTheme="minorHAnsi" w:hAnsiTheme="minorHAnsi"/>
          <w:sz w:val="24"/>
          <w:szCs w:val="24"/>
        </w:rPr>
        <w:t xml:space="preserve"> </w:t>
      </w:r>
      <w:r w:rsidR="00884C52">
        <w:rPr>
          <w:rFonts w:asciiTheme="minorHAnsi" w:hAnsiTheme="minorHAnsi"/>
          <w:sz w:val="24"/>
          <w:szCs w:val="24"/>
        </w:rPr>
        <w:t>“</w:t>
      </w:r>
      <w:r w:rsidRPr="00D45CDF">
        <w:rPr>
          <w:rFonts w:asciiTheme="minorHAnsi" w:hAnsiTheme="minorHAnsi"/>
          <w:sz w:val="24"/>
          <w:szCs w:val="24"/>
        </w:rPr>
        <w:t>Ethics Guidance: RFLs and practice with solicitors in England and Wales.</w:t>
      </w:r>
      <w:r w:rsidR="00884C52">
        <w:rPr>
          <w:rFonts w:asciiTheme="minorHAnsi" w:hAnsiTheme="minorHAnsi"/>
          <w:sz w:val="24"/>
          <w:szCs w:val="24"/>
        </w:rPr>
        <w:t>”</w:t>
      </w:r>
      <w:r w:rsidR="00884C52" w:rsidRPr="00884C52">
        <w:rPr>
          <w:rFonts w:asciiTheme="minorHAnsi" w:hAnsiTheme="minorHAnsi"/>
          <w:sz w:val="24"/>
          <w:szCs w:val="24"/>
        </w:rPr>
        <w:t xml:space="preserve"> </w:t>
      </w:r>
      <w:r w:rsidR="00884C52" w:rsidRPr="00D45CDF">
        <w:rPr>
          <w:rFonts w:asciiTheme="minorHAnsi" w:hAnsiTheme="minorHAnsi"/>
          <w:sz w:val="24"/>
          <w:szCs w:val="24"/>
        </w:rPr>
        <w:t xml:space="preserve">(2010) </w:t>
      </w:r>
      <w:r w:rsidRPr="00D45CDF">
        <w:rPr>
          <w:rFonts w:asciiTheme="minorHAnsi" w:hAnsiTheme="minorHAnsi"/>
          <w:sz w:val="24"/>
          <w:szCs w:val="24"/>
        </w:rPr>
        <w:t>Available at &lt;</w:t>
      </w:r>
      <w:r w:rsidRPr="00D45CDF">
        <w:rPr>
          <w:rFonts w:asciiTheme="minorHAnsi" w:eastAsiaTheme="minorHAnsi" w:hAnsiTheme="minorHAnsi"/>
          <w:sz w:val="24"/>
          <w:szCs w:val="24"/>
          <w:lang w:eastAsia="en-US"/>
        </w:rPr>
        <w:t>http://www.sra.org.uk/solicitors/code-of-conduct/guidance/rfls-and-practice-with-solicitors-in-england-and-wales.page.page&gt; Accessed 25 July 2019.</w:t>
      </w:r>
    </w:p>
    <w:p w14:paraId="5E0FCAB4" w14:textId="77777777" w:rsidR="004923D7" w:rsidRPr="00D45CDF" w:rsidRDefault="004923D7" w:rsidP="00D45CDF">
      <w:pPr>
        <w:autoSpaceDE w:val="0"/>
        <w:autoSpaceDN w:val="0"/>
        <w:adjustRightInd w:val="0"/>
        <w:spacing w:line="240" w:lineRule="auto"/>
        <w:rPr>
          <w:rFonts w:asciiTheme="minorHAnsi" w:hAnsiTheme="minorHAnsi"/>
          <w:sz w:val="24"/>
          <w:szCs w:val="24"/>
        </w:rPr>
      </w:pPr>
      <w:r w:rsidRPr="00D45CDF">
        <w:rPr>
          <w:rFonts w:asciiTheme="minorHAnsi" w:hAnsiTheme="minorHAnsi"/>
          <w:sz w:val="24"/>
          <w:szCs w:val="24"/>
        </w:rPr>
        <w:lastRenderedPageBreak/>
        <w:t>SRA</w:t>
      </w:r>
      <w:r w:rsidR="00884C52">
        <w:rPr>
          <w:rFonts w:asciiTheme="minorHAnsi" w:hAnsiTheme="minorHAnsi"/>
          <w:sz w:val="24"/>
          <w:szCs w:val="24"/>
        </w:rPr>
        <w:t>,</w:t>
      </w:r>
      <w:r w:rsidRPr="00D45CDF">
        <w:rPr>
          <w:rFonts w:asciiTheme="minorHAnsi" w:hAnsiTheme="minorHAnsi"/>
          <w:sz w:val="24"/>
          <w:szCs w:val="24"/>
        </w:rPr>
        <w:t xml:space="preserve"> </w:t>
      </w:r>
      <w:r w:rsidR="00884C52">
        <w:rPr>
          <w:rFonts w:asciiTheme="minorHAnsi" w:hAnsiTheme="minorHAnsi"/>
          <w:sz w:val="24"/>
          <w:szCs w:val="24"/>
        </w:rPr>
        <w:t>“</w:t>
      </w:r>
      <w:r w:rsidRPr="00D45CDF">
        <w:rPr>
          <w:rFonts w:asciiTheme="minorHAnsi" w:hAnsiTheme="minorHAnsi"/>
          <w:sz w:val="24"/>
          <w:szCs w:val="24"/>
        </w:rPr>
        <w:t>Population of Solicitors in England and Wales.</w:t>
      </w:r>
      <w:r w:rsidR="00A76950">
        <w:rPr>
          <w:rFonts w:asciiTheme="minorHAnsi" w:hAnsiTheme="minorHAnsi"/>
          <w:sz w:val="24"/>
          <w:szCs w:val="24"/>
        </w:rPr>
        <w:t>”</w:t>
      </w:r>
      <w:r w:rsidRPr="00D45CDF">
        <w:rPr>
          <w:rFonts w:asciiTheme="minorHAnsi" w:hAnsiTheme="minorHAnsi"/>
          <w:sz w:val="24"/>
          <w:szCs w:val="24"/>
        </w:rPr>
        <w:t xml:space="preserve"> </w:t>
      </w:r>
      <w:r w:rsidR="00884C52" w:rsidRPr="00D45CDF">
        <w:rPr>
          <w:rFonts w:asciiTheme="minorHAnsi" w:hAnsiTheme="minorHAnsi"/>
          <w:sz w:val="24"/>
          <w:szCs w:val="24"/>
        </w:rPr>
        <w:t xml:space="preserve">(2019) </w:t>
      </w:r>
      <w:r w:rsidRPr="00D45CDF">
        <w:rPr>
          <w:rFonts w:asciiTheme="minorHAnsi" w:hAnsiTheme="minorHAnsi"/>
          <w:sz w:val="24"/>
          <w:szCs w:val="24"/>
        </w:rPr>
        <w:t>Available at &lt;https://www.sra.org.uk/sra/how-we-work/reports/statistics/regulated-community-statistics/data/population_solicitors/&gt; Accessed 2 November 2019.</w:t>
      </w:r>
    </w:p>
    <w:p w14:paraId="1EE05719" w14:textId="77777777" w:rsidR="00B66D64" w:rsidRPr="00D45CDF" w:rsidRDefault="00B66D64" w:rsidP="00D45CDF">
      <w:pPr>
        <w:autoSpaceDE w:val="0"/>
        <w:autoSpaceDN w:val="0"/>
        <w:adjustRightInd w:val="0"/>
        <w:spacing w:line="240" w:lineRule="auto"/>
        <w:rPr>
          <w:rFonts w:asciiTheme="minorHAnsi" w:hAnsiTheme="minorHAnsi"/>
          <w:sz w:val="24"/>
          <w:szCs w:val="24"/>
        </w:rPr>
      </w:pPr>
      <w:r w:rsidRPr="00D45CDF">
        <w:rPr>
          <w:rFonts w:asciiTheme="minorHAnsi" w:hAnsiTheme="minorHAnsi"/>
          <w:sz w:val="24"/>
          <w:szCs w:val="24"/>
        </w:rPr>
        <w:t>SRA</w:t>
      </w:r>
      <w:r w:rsidR="00A76950">
        <w:rPr>
          <w:rFonts w:asciiTheme="minorHAnsi" w:hAnsiTheme="minorHAnsi"/>
          <w:sz w:val="24"/>
          <w:szCs w:val="24"/>
        </w:rPr>
        <w:t>, “</w:t>
      </w:r>
      <w:r w:rsidRPr="00D45CDF">
        <w:rPr>
          <w:rFonts w:asciiTheme="minorHAnsi" w:hAnsiTheme="minorHAnsi"/>
          <w:sz w:val="24"/>
          <w:szCs w:val="24"/>
        </w:rPr>
        <w:t>SRA Renewals Registered European Lawyers (REL) Guide October 2018.</w:t>
      </w:r>
      <w:r w:rsidR="00A76950">
        <w:rPr>
          <w:rFonts w:asciiTheme="minorHAnsi" w:hAnsiTheme="minorHAnsi"/>
          <w:sz w:val="24"/>
          <w:szCs w:val="24"/>
        </w:rPr>
        <w:t>”</w:t>
      </w:r>
      <w:r w:rsidRPr="00D45CDF">
        <w:rPr>
          <w:rFonts w:asciiTheme="minorHAnsi" w:hAnsiTheme="minorHAnsi"/>
          <w:sz w:val="24"/>
          <w:szCs w:val="24"/>
        </w:rPr>
        <w:t xml:space="preserve"> </w:t>
      </w:r>
      <w:r w:rsidR="004923D7" w:rsidRPr="00D45CDF">
        <w:rPr>
          <w:rFonts w:asciiTheme="minorHAnsi" w:hAnsiTheme="minorHAnsi"/>
          <w:sz w:val="24"/>
          <w:szCs w:val="24"/>
        </w:rPr>
        <w:t>Available at &lt;</w:t>
      </w:r>
      <w:hyperlink r:id="rId17" w:history="1">
        <w:r w:rsidR="004923D7" w:rsidRPr="00D45CDF">
          <w:rPr>
            <w:rStyle w:val="Hyperlink"/>
            <w:rFonts w:asciiTheme="minorHAnsi" w:hAnsiTheme="minorHAnsi"/>
            <w:color w:val="auto"/>
            <w:sz w:val="24"/>
            <w:szCs w:val="24"/>
            <w:u w:val="none"/>
          </w:rPr>
          <w:t>https://www.sra.org.uk/globalassets/documents/mysra/registered-european-lawyers-guide.pdf?version=4a1abe</w:t>
        </w:r>
      </w:hyperlink>
      <w:r w:rsidR="004923D7" w:rsidRPr="00D45CDF">
        <w:rPr>
          <w:rFonts w:asciiTheme="minorHAnsi" w:hAnsiTheme="minorHAnsi"/>
          <w:sz w:val="24"/>
          <w:szCs w:val="24"/>
        </w:rPr>
        <w:t>&gt; Accessed 2 November 2019</w:t>
      </w:r>
      <w:r w:rsidR="00007EE5" w:rsidRPr="00D45CDF">
        <w:rPr>
          <w:rFonts w:asciiTheme="minorHAnsi" w:hAnsiTheme="minorHAnsi"/>
          <w:sz w:val="24"/>
          <w:szCs w:val="24"/>
        </w:rPr>
        <w:t>.</w:t>
      </w:r>
    </w:p>
    <w:p w14:paraId="1F7A2FA7" w14:textId="77777777" w:rsidR="00C85190" w:rsidRPr="00D45CDF" w:rsidRDefault="00B66D64" w:rsidP="00D45CDF">
      <w:pPr>
        <w:autoSpaceDE w:val="0"/>
        <w:autoSpaceDN w:val="0"/>
        <w:adjustRightInd w:val="0"/>
        <w:spacing w:line="240" w:lineRule="auto"/>
        <w:rPr>
          <w:rFonts w:asciiTheme="minorHAnsi" w:eastAsiaTheme="minorHAnsi" w:hAnsiTheme="minorHAnsi"/>
          <w:sz w:val="24"/>
          <w:szCs w:val="24"/>
          <w:lang w:eastAsia="en-US"/>
        </w:rPr>
      </w:pPr>
      <w:proofErr w:type="spellStart"/>
      <w:r w:rsidRPr="00D45CDF">
        <w:rPr>
          <w:rFonts w:asciiTheme="minorHAnsi" w:eastAsiaTheme="minorHAnsi" w:hAnsiTheme="minorHAnsi"/>
          <w:sz w:val="24"/>
          <w:szCs w:val="24"/>
          <w:lang w:eastAsia="en-US"/>
        </w:rPr>
        <w:t>TheCityUK</w:t>
      </w:r>
      <w:proofErr w:type="spellEnd"/>
      <w:r w:rsidR="00A76950">
        <w:rPr>
          <w:rFonts w:asciiTheme="minorHAnsi" w:eastAsiaTheme="minorHAnsi" w:hAnsiTheme="minorHAnsi"/>
          <w:sz w:val="24"/>
          <w:szCs w:val="24"/>
          <w:lang w:eastAsia="en-US"/>
        </w:rPr>
        <w:t>, “</w:t>
      </w:r>
      <w:r w:rsidRPr="00D45CDF">
        <w:rPr>
          <w:rFonts w:asciiTheme="minorHAnsi" w:eastAsiaTheme="minorHAnsi" w:hAnsiTheme="minorHAnsi"/>
          <w:sz w:val="24"/>
          <w:szCs w:val="24"/>
          <w:lang w:eastAsia="en-US"/>
        </w:rPr>
        <w:t>Legal Excellence, Internationally Renowned UK Legal Services 2018.</w:t>
      </w:r>
      <w:r w:rsidR="00A76950">
        <w:rPr>
          <w:rFonts w:asciiTheme="minorHAnsi" w:eastAsiaTheme="minorHAnsi" w:hAnsiTheme="minorHAnsi"/>
          <w:sz w:val="24"/>
          <w:szCs w:val="24"/>
          <w:lang w:eastAsia="en-US"/>
        </w:rPr>
        <w:t>”</w:t>
      </w:r>
      <w:r w:rsidRPr="00D45CDF">
        <w:rPr>
          <w:rFonts w:asciiTheme="minorHAnsi" w:eastAsiaTheme="minorHAnsi" w:hAnsiTheme="minorHAnsi"/>
          <w:sz w:val="24"/>
          <w:szCs w:val="24"/>
          <w:lang w:eastAsia="en-US"/>
        </w:rPr>
        <w:t xml:space="preserve"> November 2018. Available at &lt; https://www.thecityuk.com/assets/2018/Reports-PDF/86e1b87840/Legal-excellence-internationally-renowned-UK-legal-services-2018.pdf &gt; Accessed 21 June 2019.</w:t>
      </w:r>
    </w:p>
    <w:p w14:paraId="2D82DDC7" w14:textId="77777777" w:rsidR="00C85190" w:rsidRPr="00D45CDF" w:rsidRDefault="00A76950" w:rsidP="00D45CDF">
      <w:pPr>
        <w:autoSpaceDE w:val="0"/>
        <w:autoSpaceDN w:val="0"/>
        <w:adjustRightInd w:val="0"/>
        <w:spacing w:line="240" w:lineRule="auto"/>
        <w:rPr>
          <w:rFonts w:asciiTheme="minorHAnsi" w:hAnsiTheme="minorHAnsi"/>
          <w:sz w:val="24"/>
          <w:szCs w:val="24"/>
        </w:rPr>
      </w:pPr>
      <w:bookmarkStart w:id="11" w:name="_Hlk23624647"/>
      <w:r>
        <w:rPr>
          <w:rFonts w:asciiTheme="minorHAnsi" w:eastAsiaTheme="minorHAnsi" w:hAnsiTheme="minorHAnsi"/>
          <w:sz w:val="24"/>
          <w:szCs w:val="24"/>
          <w:lang w:eastAsia="en-US"/>
        </w:rPr>
        <w:t>The East African, “</w:t>
      </w:r>
      <w:r w:rsidR="00C85190" w:rsidRPr="00D45CDF">
        <w:rPr>
          <w:rFonts w:asciiTheme="minorHAnsi" w:eastAsia="Times New Roman" w:hAnsiTheme="minorHAnsi"/>
          <w:sz w:val="24"/>
          <w:szCs w:val="24"/>
          <w:lang w:eastAsia="en-GB"/>
        </w:rPr>
        <w:t>Lawyer trained in Uganda allowed to practise in Kenya</w:t>
      </w:r>
      <w:r w:rsidR="00EE0C90" w:rsidRPr="00D45CDF">
        <w:rPr>
          <w:rFonts w:asciiTheme="minorHAnsi" w:eastAsia="Times New Roman" w:hAnsiTheme="minorHAnsi"/>
          <w:sz w:val="24"/>
          <w:szCs w:val="24"/>
          <w:lang w:eastAsia="en-GB"/>
        </w:rPr>
        <w:t>.</w:t>
      </w:r>
      <w:r>
        <w:rPr>
          <w:rFonts w:asciiTheme="minorHAnsi" w:eastAsia="Times New Roman" w:hAnsiTheme="minorHAnsi"/>
          <w:sz w:val="24"/>
          <w:szCs w:val="24"/>
          <w:lang w:eastAsia="en-GB"/>
        </w:rPr>
        <w:t>”</w:t>
      </w:r>
      <w:r w:rsidR="00EE0C90" w:rsidRPr="00D45CDF">
        <w:rPr>
          <w:rFonts w:asciiTheme="minorHAnsi" w:eastAsia="Times New Roman" w:hAnsiTheme="minorHAnsi"/>
          <w:sz w:val="24"/>
          <w:szCs w:val="24"/>
          <w:lang w:eastAsia="en-GB"/>
        </w:rPr>
        <w:t xml:space="preserve"> </w:t>
      </w:r>
      <w:r w:rsidR="00EE0C90" w:rsidRPr="00D45CDF">
        <w:rPr>
          <w:rFonts w:asciiTheme="minorHAnsi" w:eastAsia="Times New Roman" w:hAnsiTheme="minorHAnsi"/>
          <w:i/>
          <w:iCs/>
          <w:sz w:val="24"/>
          <w:szCs w:val="24"/>
          <w:lang w:eastAsia="en-GB"/>
        </w:rPr>
        <w:t>The Daily Monitor</w:t>
      </w:r>
      <w:r w:rsidR="00EE0C90" w:rsidRPr="00D45CDF">
        <w:rPr>
          <w:rFonts w:asciiTheme="minorHAnsi" w:eastAsia="Times New Roman" w:hAnsiTheme="minorHAnsi"/>
          <w:sz w:val="24"/>
          <w:szCs w:val="24"/>
          <w:lang w:eastAsia="en-GB"/>
        </w:rPr>
        <w:t>. 3 August</w:t>
      </w:r>
      <w:r>
        <w:rPr>
          <w:rFonts w:asciiTheme="minorHAnsi" w:eastAsia="Times New Roman" w:hAnsiTheme="minorHAnsi"/>
          <w:sz w:val="24"/>
          <w:szCs w:val="24"/>
          <w:lang w:eastAsia="en-GB"/>
        </w:rPr>
        <w:t xml:space="preserve"> 2019</w:t>
      </w:r>
      <w:r w:rsidR="00EE0C90" w:rsidRPr="00D45CDF">
        <w:rPr>
          <w:rFonts w:asciiTheme="minorHAnsi" w:eastAsia="Times New Roman" w:hAnsiTheme="minorHAnsi"/>
          <w:sz w:val="24"/>
          <w:szCs w:val="24"/>
          <w:lang w:eastAsia="en-GB"/>
        </w:rPr>
        <w:t xml:space="preserve">. Available at </w:t>
      </w:r>
      <w:bookmarkEnd w:id="11"/>
      <w:r w:rsidR="00EE0C90" w:rsidRPr="00D45CDF">
        <w:rPr>
          <w:rFonts w:asciiTheme="minorHAnsi" w:eastAsia="Times New Roman" w:hAnsiTheme="minorHAnsi"/>
          <w:sz w:val="24"/>
          <w:szCs w:val="24"/>
          <w:lang w:eastAsia="en-GB"/>
        </w:rPr>
        <w:t>&lt;</w:t>
      </w:r>
      <w:r w:rsidR="00EE0C90" w:rsidRPr="00D45CDF">
        <w:rPr>
          <w:rFonts w:asciiTheme="minorHAnsi" w:hAnsiTheme="minorHAnsi"/>
          <w:sz w:val="24"/>
          <w:szCs w:val="24"/>
        </w:rPr>
        <w:t>https://www.monitor.co.ug/News/National/Lawyer-trained-in-Uganda-allowed-to-practise-in-Kenya/688334-5221558-111g1qw/index.html&gt; Accessed 1 November 2019.</w:t>
      </w:r>
    </w:p>
    <w:p w14:paraId="1082F968" w14:textId="77777777" w:rsidR="00A93ADD" w:rsidRPr="00D45CDF" w:rsidRDefault="00A93ADD" w:rsidP="00D45CDF">
      <w:pPr>
        <w:autoSpaceDE w:val="0"/>
        <w:autoSpaceDN w:val="0"/>
        <w:adjustRightInd w:val="0"/>
        <w:spacing w:line="240" w:lineRule="auto"/>
        <w:rPr>
          <w:rFonts w:asciiTheme="minorHAnsi" w:hAnsiTheme="minorHAnsi"/>
          <w:sz w:val="24"/>
          <w:szCs w:val="24"/>
        </w:rPr>
      </w:pPr>
      <w:r w:rsidRPr="00D45CDF">
        <w:rPr>
          <w:rFonts w:asciiTheme="minorHAnsi" w:eastAsiaTheme="minorHAnsi" w:hAnsiTheme="minorHAnsi"/>
          <w:sz w:val="24"/>
          <w:szCs w:val="24"/>
          <w:lang w:eastAsia="en-US"/>
        </w:rPr>
        <w:t>The East African</w:t>
      </w:r>
      <w:r w:rsidR="00A76950">
        <w:rPr>
          <w:rFonts w:asciiTheme="minorHAnsi" w:eastAsiaTheme="minorHAnsi" w:hAnsiTheme="minorHAnsi"/>
          <w:sz w:val="24"/>
          <w:szCs w:val="24"/>
          <w:lang w:eastAsia="en-US"/>
        </w:rPr>
        <w:t>,</w:t>
      </w:r>
      <w:r w:rsidRPr="00D45CDF">
        <w:rPr>
          <w:rFonts w:asciiTheme="minorHAnsi" w:eastAsia="Times New Roman" w:hAnsiTheme="minorHAnsi"/>
          <w:sz w:val="24"/>
          <w:szCs w:val="24"/>
          <w:lang w:eastAsia="en-GB"/>
        </w:rPr>
        <w:t xml:space="preserve"> </w:t>
      </w:r>
      <w:r w:rsidR="00A76950">
        <w:rPr>
          <w:rFonts w:asciiTheme="minorHAnsi" w:eastAsia="Times New Roman" w:hAnsiTheme="minorHAnsi"/>
          <w:sz w:val="24"/>
          <w:szCs w:val="24"/>
          <w:lang w:eastAsia="en-GB"/>
        </w:rPr>
        <w:t>“</w:t>
      </w:r>
      <w:r w:rsidRPr="00D45CDF">
        <w:rPr>
          <w:rFonts w:asciiTheme="minorHAnsi" w:eastAsia="Times New Roman" w:hAnsiTheme="minorHAnsi"/>
          <w:sz w:val="24"/>
          <w:szCs w:val="24"/>
          <w:lang w:eastAsia="en-GB"/>
        </w:rPr>
        <w:t>Legal practice far from integration.</w:t>
      </w:r>
      <w:r w:rsidR="00A76950">
        <w:rPr>
          <w:rFonts w:asciiTheme="minorHAnsi" w:eastAsia="Times New Roman" w:hAnsiTheme="minorHAnsi"/>
          <w:sz w:val="24"/>
          <w:szCs w:val="24"/>
          <w:lang w:eastAsia="en-GB"/>
        </w:rPr>
        <w:t>”</w:t>
      </w:r>
      <w:r w:rsidRPr="00D45CDF">
        <w:rPr>
          <w:rFonts w:asciiTheme="minorHAnsi" w:eastAsia="Times New Roman" w:hAnsiTheme="minorHAnsi"/>
          <w:sz w:val="24"/>
          <w:szCs w:val="24"/>
          <w:lang w:eastAsia="en-GB"/>
        </w:rPr>
        <w:t xml:space="preserve"> 13 July</w:t>
      </w:r>
      <w:r w:rsidR="00A76950">
        <w:rPr>
          <w:rFonts w:asciiTheme="minorHAnsi" w:eastAsia="Times New Roman" w:hAnsiTheme="minorHAnsi"/>
          <w:sz w:val="24"/>
          <w:szCs w:val="24"/>
          <w:lang w:eastAsia="en-GB"/>
        </w:rPr>
        <w:t xml:space="preserve"> 2009</w:t>
      </w:r>
      <w:r w:rsidRPr="00D45CDF">
        <w:rPr>
          <w:rFonts w:asciiTheme="minorHAnsi" w:eastAsia="Times New Roman" w:hAnsiTheme="minorHAnsi"/>
          <w:sz w:val="24"/>
          <w:szCs w:val="24"/>
          <w:lang w:eastAsia="en-GB"/>
        </w:rPr>
        <w:t>. Available at</w:t>
      </w:r>
      <w:r w:rsidRPr="00D45CDF">
        <w:rPr>
          <w:rFonts w:asciiTheme="minorHAnsi" w:hAnsiTheme="minorHAnsi"/>
          <w:sz w:val="24"/>
          <w:szCs w:val="24"/>
        </w:rPr>
        <w:t xml:space="preserve"> </w:t>
      </w:r>
      <w:hyperlink r:id="rId18" w:history="1">
        <w:r w:rsidRPr="00D45CDF">
          <w:rPr>
            <w:rStyle w:val="Hyperlink"/>
            <w:rFonts w:asciiTheme="minorHAnsi" w:hAnsiTheme="minorHAnsi"/>
            <w:color w:val="auto"/>
            <w:sz w:val="24"/>
            <w:szCs w:val="24"/>
            <w:u w:val="none"/>
          </w:rPr>
          <w:t>https://www.theeastafrican.co.ke/news/2558-622446-view-printVersion-4ft75c/index.html</w:t>
        </w:r>
      </w:hyperlink>
      <w:r w:rsidRPr="00D45CDF">
        <w:rPr>
          <w:rFonts w:asciiTheme="minorHAnsi" w:hAnsiTheme="minorHAnsi"/>
          <w:sz w:val="24"/>
          <w:szCs w:val="24"/>
        </w:rPr>
        <w:t xml:space="preserve"> Accessed 2 November 2019.</w:t>
      </w:r>
    </w:p>
    <w:p w14:paraId="0BA6C3A8" w14:textId="77777777" w:rsidR="004978C9" w:rsidRPr="00D45CDF" w:rsidRDefault="004978C9" w:rsidP="00D45CDF">
      <w:pPr>
        <w:spacing w:line="240" w:lineRule="auto"/>
        <w:rPr>
          <w:rFonts w:asciiTheme="minorHAnsi" w:hAnsiTheme="minorHAnsi"/>
          <w:b/>
          <w:sz w:val="24"/>
          <w:szCs w:val="24"/>
        </w:rPr>
      </w:pPr>
      <w:r w:rsidRPr="00D45CDF">
        <w:rPr>
          <w:rFonts w:asciiTheme="minorHAnsi" w:eastAsiaTheme="minorHAnsi" w:hAnsiTheme="minorHAnsi"/>
          <w:sz w:val="24"/>
          <w:szCs w:val="24"/>
          <w:lang w:eastAsia="en-US"/>
        </w:rPr>
        <w:t>The Law Society of England and Wales</w:t>
      </w:r>
      <w:r w:rsidR="00A76950">
        <w:rPr>
          <w:rFonts w:asciiTheme="minorHAnsi" w:eastAsiaTheme="minorHAnsi" w:hAnsiTheme="minorHAnsi"/>
          <w:sz w:val="24"/>
          <w:szCs w:val="24"/>
          <w:lang w:eastAsia="en-US"/>
        </w:rPr>
        <w:t xml:space="preserve">, </w:t>
      </w:r>
      <w:r w:rsidRPr="00D45CDF">
        <w:rPr>
          <w:rFonts w:asciiTheme="minorHAnsi" w:hAnsiTheme="minorHAnsi"/>
          <w:i/>
          <w:sz w:val="24"/>
          <w:szCs w:val="24"/>
        </w:rPr>
        <w:t>House of Lords call for evidence: Internal Market Sub Committee Submission of evidence</w:t>
      </w:r>
      <w:r w:rsidRPr="00D45CDF">
        <w:rPr>
          <w:rFonts w:asciiTheme="minorHAnsi" w:hAnsiTheme="minorHAnsi"/>
          <w:sz w:val="24"/>
          <w:szCs w:val="24"/>
        </w:rPr>
        <w:t>.  5 October</w:t>
      </w:r>
      <w:r w:rsidR="00A76950">
        <w:rPr>
          <w:rFonts w:asciiTheme="minorHAnsi" w:hAnsiTheme="minorHAnsi"/>
          <w:sz w:val="24"/>
          <w:szCs w:val="24"/>
        </w:rPr>
        <w:t xml:space="preserve"> 2016</w:t>
      </w:r>
      <w:r w:rsidRPr="00D45CDF">
        <w:rPr>
          <w:rFonts w:asciiTheme="minorHAnsi" w:hAnsiTheme="minorHAnsi"/>
          <w:sz w:val="24"/>
          <w:szCs w:val="24"/>
        </w:rPr>
        <w:t>.</w:t>
      </w:r>
    </w:p>
    <w:p w14:paraId="17ACB257" w14:textId="77777777" w:rsidR="004978C9" w:rsidRPr="00D45CDF" w:rsidRDefault="004978C9" w:rsidP="00D45CDF">
      <w:pPr>
        <w:autoSpaceDE w:val="0"/>
        <w:autoSpaceDN w:val="0"/>
        <w:adjustRightInd w:val="0"/>
        <w:spacing w:line="240" w:lineRule="auto"/>
        <w:rPr>
          <w:rFonts w:asciiTheme="minorHAnsi" w:eastAsiaTheme="minorHAnsi" w:hAnsiTheme="minorHAnsi"/>
          <w:sz w:val="24"/>
          <w:szCs w:val="24"/>
          <w:lang w:eastAsia="en-US"/>
        </w:rPr>
      </w:pPr>
      <w:bookmarkStart w:id="12" w:name="_Hlk25336966"/>
      <w:r w:rsidRPr="00D45CDF">
        <w:rPr>
          <w:rFonts w:asciiTheme="minorHAnsi" w:eastAsiaTheme="minorHAnsi" w:hAnsiTheme="minorHAnsi"/>
          <w:sz w:val="24"/>
          <w:szCs w:val="24"/>
          <w:lang w:eastAsia="en-US"/>
        </w:rPr>
        <w:t>The Law Society of England and Wales</w:t>
      </w:r>
      <w:r w:rsidR="00A76950">
        <w:rPr>
          <w:rFonts w:asciiTheme="minorHAnsi" w:eastAsiaTheme="minorHAnsi" w:hAnsiTheme="minorHAnsi"/>
          <w:sz w:val="24"/>
          <w:szCs w:val="24"/>
          <w:lang w:eastAsia="en-US"/>
        </w:rPr>
        <w:t>,</w:t>
      </w:r>
      <w:r w:rsidRPr="00D45CDF">
        <w:rPr>
          <w:rFonts w:asciiTheme="minorHAnsi" w:eastAsiaTheme="minorHAnsi" w:hAnsiTheme="minorHAnsi"/>
          <w:sz w:val="24"/>
          <w:szCs w:val="24"/>
          <w:lang w:eastAsia="en-US"/>
        </w:rPr>
        <w:t xml:space="preserve"> </w:t>
      </w:r>
      <w:r w:rsidRPr="00D45CDF">
        <w:rPr>
          <w:rFonts w:asciiTheme="minorHAnsi" w:eastAsiaTheme="minorHAnsi" w:hAnsiTheme="minorHAnsi"/>
          <w:i/>
          <w:sz w:val="24"/>
          <w:szCs w:val="24"/>
          <w:lang w:eastAsia="en-US"/>
        </w:rPr>
        <w:t>Legal Services Sector Forecasts 2017-2025.</w:t>
      </w:r>
      <w:r w:rsidR="00A76950" w:rsidRPr="00A76950">
        <w:rPr>
          <w:rFonts w:asciiTheme="minorHAnsi" w:eastAsiaTheme="minorHAnsi" w:hAnsiTheme="minorHAnsi"/>
          <w:sz w:val="24"/>
          <w:szCs w:val="24"/>
          <w:lang w:eastAsia="en-US"/>
        </w:rPr>
        <w:t xml:space="preserve"> </w:t>
      </w:r>
      <w:r w:rsidR="00A76950" w:rsidRPr="00D45CDF">
        <w:rPr>
          <w:rFonts w:asciiTheme="minorHAnsi" w:eastAsiaTheme="minorHAnsi" w:hAnsiTheme="minorHAnsi"/>
          <w:sz w:val="24"/>
          <w:szCs w:val="24"/>
          <w:lang w:eastAsia="en-US"/>
        </w:rPr>
        <w:t>(2018</w:t>
      </w:r>
      <w:proofErr w:type="gramStart"/>
      <w:r w:rsidR="00A76950" w:rsidRPr="00D45CDF">
        <w:rPr>
          <w:rFonts w:asciiTheme="minorHAnsi" w:eastAsiaTheme="minorHAnsi" w:hAnsiTheme="minorHAnsi"/>
          <w:sz w:val="24"/>
          <w:szCs w:val="24"/>
          <w:lang w:eastAsia="en-US"/>
        </w:rPr>
        <w:t xml:space="preserve">) </w:t>
      </w:r>
      <w:r w:rsidRPr="00D45CDF">
        <w:rPr>
          <w:rFonts w:asciiTheme="minorHAnsi" w:eastAsiaTheme="minorHAnsi" w:hAnsiTheme="minorHAnsi"/>
          <w:sz w:val="24"/>
          <w:szCs w:val="24"/>
          <w:lang w:eastAsia="en-US"/>
        </w:rPr>
        <w:t xml:space="preserve"> Available</w:t>
      </w:r>
      <w:proofErr w:type="gramEnd"/>
      <w:r w:rsidRPr="00D45CDF">
        <w:rPr>
          <w:rFonts w:asciiTheme="minorHAnsi" w:eastAsiaTheme="minorHAnsi" w:hAnsiTheme="minorHAnsi"/>
          <w:sz w:val="24"/>
          <w:szCs w:val="24"/>
          <w:lang w:eastAsia="en-US"/>
        </w:rPr>
        <w:t xml:space="preserve"> at &lt;https://www.lawsociety.org.uk/support-services/research-trends/legal-services-sector-forecasts/&gt; Accessed 24 June 2019.</w:t>
      </w:r>
    </w:p>
    <w:p w14:paraId="574270D2" w14:textId="77777777" w:rsidR="00E355FD" w:rsidRPr="00D45CDF" w:rsidRDefault="00E355FD" w:rsidP="00D45CDF">
      <w:pPr>
        <w:autoSpaceDE w:val="0"/>
        <w:autoSpaceDN w:val="0"/>
        <w:adjustRightInd w:val="0"/>
        <w:spacing w:line="240" w:lineRule="auto"/>
        <w:rPr>
          <w:rFonts w:asciiTheme="minorHAnsi" w:eastAsiaTheme="minorHAnsi" w:hAnsiTheme="minorHAnsi"/>
          <w:sz w:val="24"/>
          <w:szCs w:val="24"/>
          <w:lang w:eastAsia="en-US"/>
        </w:rPr>
      </w:pPr>
      <w:bookmarkStart w:id="13" w:name="_Hlk25364161"/>
      <w:bookmarkEnd w:id="12"/>
      <w:r w:rsidRPr="00D45CDF">
        <w:rPr>
          <w:rFonts w:asciiTheme="minorHAnsi" w:hAnsiTheme="minorHAnsi"/>
          <w:sz w:val="24"/>
          <w:szCs w:val="24"/>
        </w:rPr>
        <w:t>The Law Society</w:t>
      </w:r>
      <w:r w:rsidR="004978C9" w:rsidRPr="00D45CDF">
        <w:rPr>
          <w:rFonts w:asciiTheme="minorHAnsi" w:hAnsiTheme="minorHAnsi"/>
          <w:sz w:val="24"/>
          <w:szCs w:val="24"/>
        </w:rPr>
        <w:t xml:space="preserve"> of England and Wales</w:t>
      </w:r>
      <w:r w:rsidR="0019611A">
        <w:rPr>
          <w:rFonts w:asciiTheme="minorHAnsi" w:hAnsiTheme="minorHAnsi"/>
          <w:sz w:val="24"/>
          <w:szCs w:val="24"/>
        </w:rPr>
        <w:t>,</w:t>
      </w:r>
      <w:r w:rsidRPr="00D45CDF">
        <w:rPr>
          <w:rFonts w:asciiTheme="minorHAnsi" w:hAnsiTheme="minorHAnsi"/>
          <w:sz w:val="24"/>
          <w:szCs w:val="24"/>
        </w:rPr>
        <w:t xml:space="preserve"> </w:t>
      </w:r>
      <w:r w:rsidRPr="00D45CDF">
        <w:rPr>
          <w:rFonts w:asciiTheme="minorHAnsi" w:hAnsiTheme="minorHAnsi"/>
          <w:i/>
          <w:iCs/>
          <w:sz w:val="24"/>
          <w:szCs w:val="24"/>
        </w:rPr>
        <w:t>The UK-EU future partnership – legal services sector.</w:t>
      </w:r>
      <w:r w:rsidR="0019611A">
        <w:rPr>
          <w:rFonts w:asciiTheme="minorHAnsi" w:hAnsiTheme="minorHAnsi"/>
          <w:i/>
          <w:iCs/>
          <w:sz w:val="24"/>
          <w:szCs w:val="24"/>
        </w:rPr>
        <w:t xml:space="preserve"> </w:t>
      </w:r>
      <w:r w:rsidRPr="00A76950">
        <w:rPr>
          <w:rFonts w:asciiTheme="minorHAnsi" w:hAnsiTheme="minorHAnsi"/>
          <w:iCs/>
          <w:sz w:val="24"/>
          <w:szCs w:val="24"/>
        </w:rPr>
        <w:t>1 Augus</w:t>
      </w:r>
      <w:r w:rsidR="00A76950" w:rsidRPr="00A76950">
        <w:rPr>
          <w:rFonts w:asciiTheme="minorHAnsi" w:hAnsiTheme="minorHAnsi"/>
          <w:iCs/>
          <w:sz w:val="24"/>
          <w:szCs w:val="24"/>
        </w:rPr>
        <w:t xml:space="preserve">t </w:t>
      </w:r>
      <w:r w:rsidR="00A76950" w:rsidRPr="00A76950">
        <w:rPr>
          <w:rFonts w:asciiTheme="minorHAnsi" w:hAnsiTheme="minorHAnsi"/>
          <w:sz w:val="24"/>
          <w:szCs w:val="24"/>
        </w:rPr>
        <w:t>2019</w:t>
      </w:r>
      <w:r w:rsidRPr="00A76950">
        <w:rPr>
          <w:rFonts w:asciiTheme="minorHAnsi" w:hAnsiTheme="minorHAnsi"/>
          <w:sz w:val="24"/>
          <w:szCs w:val="24"/>
        </w:rPr>
        <w:t xml:space="preserve">. </w:t>
      </w:r>
      <w:r w:rsidRPr="00D45CDF">
        <w:rPr>
          <w:rFonts w:asciiTheme="minorHAnsi" w:hAnsiTheme="minorHAnsi"/>
          <w:sz w:val="24"/>
          <w:szCs w:val="24"/>
        </w:rPr>
        <w:t>Available at &lt;</w:t>
      </w:r>
      <w:hyperlink r:id="rId19" w:history="1">
        <w:r w:rsidRPr="00D45CDF">
          <w:rPr>
            <w:rFonts w:asciiTheme="minorHAnsi" w:hAnsiTheme="minorHAnsi"/>
            <w:sz w:val="24"/>
            <w:szCs w:val="24"/>
          </w:rPr>
          <w:t>https://www.lawsociety.org.uk/policy-campaigns/articles/uk-eu-future-partnership-legal-services/</w:t>
        </w:r>
      </w:hyperlink>
      <w:r w:rsidRPr="00D45CDF">
        <w:rPr>
          <w:rFonts w:asciiTheme="minorHAnsi" w:hAnsiTheme="minorHAnsi"/>
          <w:sz w:val="24"/>
          <w:szCs w:val="24"/>
        </w:rPr>
        <w:t>&gt; Accessed 3 November 2019.</w:t>
      </w:r>
    </w:p>
    <w:bookmarkEnd w:id="13"/>
    <w:p w14:paraId="2AEF117D" w14:textId="77777777" w:rsidR="00B66D64" w:rsidRPr="00D45CDF" w:rsidRDefault="00491223" w:rsidP="00D45CDF">
      <w:pPr>
        <w:spacing w:line="240" w:lineRule="auto"/>
        <w:rPr>
          <w:rFonts w:asciiTheme="minorHAnsi" w:hAnsiTheme="minorHAnsi"/>
          <w:sz w:val="24"/>
          <w:szCs w:val="24"/>
        </w:rPr>
      </w:pPr>
      <w:r w:rsidRPr="00D45CDF">
        <w:rPr>
          <w:rFonts w:asciiTheme="minorHAnsi" w:hAnsiTheme="minorHAnsi"/>
          <w:sz w:val="24"/>
          <w:szCs w:val="24"/>
        </w:rPr>
        <w:t>UK Law Societies’ Joint Brussels Office</w:t>
      </w:r>
      <w:r w:rsidR="00A76950">
        <w:rPr>
          <w:rFonts w:asciiTheme="minorHAnsi" w:hAnsiTheme="minorHAnsi"/>
          <w:sz w:val="24"/>
          <w:szCs w:val="24"/>
        </w:rPr>
        <w:t>,</w:t>
      </w:r>
      <w:r w:rsidRPr="00D45CDF">
        <w:rPr>
          <w:rFonts w:asciiTheme="minorHAnsi" w:hAnsiTheme="minorHAnsi"/>
          <w:sz w:val="24"/>
          <w:szCs w:val="24"/>
        </w:rPr>
        <w:t xml:space="preserve"> </w:t>
      </w:r>
      <w:r w:rsidR="00A76950">
        <w:rPr>
          <w:rFonts w:asciiTheme="minorHAnsi" w:hAnsiTheme="minorHAnsi"/>
          <w:sz w:val="24"/>
          <w:szCs w:val="24"/>
        </w:rPr>
        <w:t>“</w:t>
      </w:r>
      <w:r w:rsidR="00B66D64" w:rsidRPr="00D45CDF">
        <w:rPr>
          <w:rFonts w:asciiTheme="minorHAnsi" w:hAnsiTheme="minorHAnsi"/>
          <w:sz w:val="24"/>
          <w:szCs w:val="24"/>
        </w:rPr>
        <w:t>UK Delegation Paper: EU lawyers in the UK - Practice rights under the draft Withdrawal Agreement and Q&amp;A</w:t>
      </w:r>
      <w:r w:rsidRPr="00D45CDF">
        <w:rPr>
          <w:rFonts w:asciiTheme="minorHAnsi" w:hAnsiTheme="minorHAnsi"/>
          <w:sz w:val="24"/>
          <w:szCs w:val="24"/>
        </w:rPr>
        <w:t>.</w:t>
      </w:r>
      <w:r w:rsidR="00A76950">
        <w:rPr>
          <w:rFonts w:asciiTheme="minorHAnsi" w:hAnsiTheme="minorHAnsi"/>
          <w:sz w:val="24"/>
          <w:szCs w:val="24"/>
        </w:rPr>
        <w:t>”</w:t>
      </w:r>
      <w:r w:rsidRPr="00D45CDF">
        <w:rPr>
          <w:rFonts w:asciiTheme="minorHAnsi" w:hAnsiTheme="minorHAnsi"/>
          <w:sz w:val="24"/>
          <w:szCs w:val="24"/>
        </w:rPr>
        <w:t xml:space="preserve"> </w:t>
      </w:r>
      <w:r w:rsidR="00B66D64" w:rsidRPr="00D45CDF">
        <w:rPr>
          <w:rFonts w:asciiTheme="minorHAnsi" w:hAnsiTheme="minorHAnsi"/>
          <w:sz w:val="24"/>
          <w:szCs w:val="24"/>
        </w:rPr>
        <w:t>16 November</w:t>
      </w:r>
      <w:r w:rsidR="00A76950">
        <w:rPr>
          <w:rFonts w:asciiTheme="minorHAnsi" w:hAnsiTheme="minorHAnsi"/>
          <w:sz w:val="24"/>
          <w:szCs w:val="24"/>
        </w:rPr>
        <w:t xml:space="preserve"> 2018</w:t>
      </w:r>
      <w:r w:rsidR="00E355FD" w:rsidRPr="00D45CDF">
        <w:rPr>
          <w:rFonts w:asciiTheme="minorHAnsi" w:hAnsiTheme="minorHAnsi"/>
          <w:sz w:val="24"/>
          <w:szCs w:val="24"/>
        </w:rPr>
        <w:t>. Available at</w:t>
      </w:r>
      <w:r w:rsidR="00B66D64" w:rsidRPr="00D45CDF">
        <w:rPr>
          <w:rFonts w:asciiTheme="minorHAnsi" w:hAnsiTheme="minorHAnsi"/>
          <w:sz w:val="24"/>
          <w:szCs w:val="24"/>
        </w:rPr>
        <w:t xml:space="preserve"> &lt;http://www.lawsocieties.eu/brexit/eu-lawyers-in-the-uk-qa-on-practice-rights-in-the-context-of-brexit/5066109.article&gt; Accessed 21 June 2019.</w:t>
      </w:r>
    </w:p>
    <w:p w14:paraId="307EC326" w14:textId="77777777" w:rsidR="009A0668" w:rsidRPr="00D45CDF" w:rsidRDefault="009A0668" w:rsidP="00D45CDF">
      <w:pPr>
        <w:autoSpaceDE w:val="0"/>
        <w:autoSpaceDN w:val="0"/>
        <w:adjustRightInd w:val="0"/>
        <w:spacing w:line="240" w:lineRule="auto"/>
        <w:rPr>
          <w:rFonts w:asciiTheme="minorHAnsi" w:hAnsiTheme="minorHAnsi"/>
          <w:sz w:val="24"/>
          <w:szCs w:val="24"/>
        </w:rPr>
      </w:pPr>
      <w:r w:rsidRPr="00D45CDF">
        <w:rPr>
          <w:rFonts w:asciiTheme="minorHAnsi" w:eastAsiaTheme="minorHAnsi" w:hAnsiTheme="minorHAnsi"/>
          <w:sz w:val="24"/>
          <w:szCs w:val="24"/>
          <w:lang w:eastAsia="en-US"/>
        </w:rPr>
        <w:t xml:space="preserve">United Nations Economic Commission for Africa (UNECA) </w:t>
      </w:r>
      <w:r w:rsidR="00A76950">
        <w:rPr>
          <w:rFonts w:asciiTheme="minorHAnsi" w:eastAsiaTheme="minorHAnsi" w:hAnsiTheme="minorHAnsi"/>
          <w:sz w:val="24"/>
          <w:szCs w:val="24"/>
          <w:lang w:eastAsia="en-US"/>
        </w:rPr>
        <w:t>“</w:t>
      </w:r>
      <w:r w:rsidRPr="00D45CDF">
        <w:rPr>
          <w:rFonts w:asciiTheme="minorHAnsi" w:hAnsiTheme="minorHAnsi"/>
          <w:sz w:val="24"/>
          <w:szCs w:val="24"/>
        </w:rPr>
        <w:t>Africa Regional Integration Index Report 2016.</w:t>
      </w:r>
      <w:r w:rsidR="00A76950">
        <w:rPr>
          <w:rFonts w:asciiTheme="minorHAnsi" w:hAnsiTheme="minorHAnsi"/>
          <w:sz w:val="24"/>
          <w:szCs w:val="24"/>
        </w:rPr>
        <w:t>”</w:t>
      </w:r>
      <w:r w:rsidRPr="00D45CDF">
        <w:rPr>
          <w:rFonts w:asciiTheme="minorHAnsi" w:hAnsiTheme="minorHAnsi"/>
          <w:sz w:val="24"/>
          <w:szCs w:val="24"/>
        </w:rPr>
        <w:t xml:space="preserve"> Available at &lt; https://www.uneca.org/sites/default/files/PublicationFiles/arii-report2016_en_web.pdf &gt; Accessed 11 October 2019.</w:t>
      </w:r>
    </w:p>
    <w:p w14:paraId="0A116160" w14:textId="77777777" w:rsidR="00BE4759" w:rsidRPr="00D45CDF" w:rsidRDefault="00BE4759" w:rsidP="00D45CDF">
      <w:pPr>
        <w:autoSpaceDE w:val="0"/>
        <w:autoSpaceDN w:val="0"/>
        <w:adjustRightInd w:val="0"/>
        <w:spacing w:line="240" w:lineRule="auto"/>
        <w:rPr>
          <w:rFonts w:asciiTheme="minorHAnsi" w:hAnsiTheme="minorHAnsi"/>
          <w:sz w:val="24"/>
          <w:szCs w:val="24"/>
        </w:rPr>
      </w:pPr>
      <w:bookmarkStart w:id="14" w:name="_Hlk25363239"/>
      <w:r w:rsidRPr="00D45CDF">
        <w:rPr>
          <w:rFonts w:asciiTheme="minorHAnsi" w:eastAsiaTheme="minorHAnsi" w:hAnsiTheme="minorHAnsi"/>
          <w:sz w:val="24"/>
          <w:szCs w:val="24"/>
          <w:lang w:eastAsia="en-US"/>
        </w:rPr>
        <w:t xml:space="preserve">United Nations Economic Commission for Africa (UNECA) </w:t>
      </w:r>
      <w:r w:rsidR="00A76950">
        <w:rPr>
          <w:rFonts w:asciiTheme="minorHAnsi" w:eastAsiaTheme="minorHAnsi" w:hAnsiTheme="minorHAnsi"/>
          <w:sz w:val="24"/>
          <w:szCs w:val="24"/>
          <w:lang w:eastAsia="en-US"/>
        </w:rPr>
        <w:t>“</w:t>
      </w:r>
      <w:r w:rsidRPr="00D45CDF">
        <w:rPr>
          <w:rFonts w:asciiTheme="minorHAnsi" w:hAnsiTheme="minorHAnsi"/>
          <w:sz w:val="24"/>
          <w:szCs w:val="24"/>
        </w:rPr>
        <w:t>Fiscal Policy for Financing Sustainable Development in Africa</w:t>
      </w:r>
      <w:r w:rsidR="00A06C40" w:rsidRPr="00D45CDF">
        <w:rPr>
          <w:rFonts w:asciiTheme="minorHAnsi" w:hAnsiTheme="minorHAnsi"/>
          <w:sz w:val="24"/>
          <w:szCs w:val="24"/>
        </w:rPr>
        <w:t>.</w:t>
      </w:r>
      <w:r w:rsidR="00A76950">
        <w:rPr>
          <w:rFonts w:asciiTheme="minorHAnsi" w:hAnsiTheme="minorHAnsi"/>
          <w:sz w:val="24"/>
          <w:szCs w:val="24"/>
        </w:rPr>
        <w:t>”</w:t>
      </w:r>
      <w:r w:rsidR="00A06C40" w:rsidRPr="00D45CDF">
        <w:rPr>
          <w:rFonts w:asciiTheme="minorHAnsi" w:hAnsiTheme="minorHAnsi"/>
          <w:sz w:val="24"/>
          <w:szCs w:val="24"/>
        </w:rPr>
        <w:t xml:space="preserve"> Economic Report on Africa 2019. Available at &lt;</w:t>
      </w:r>
      <w:hyperlink r:id="rId20" w:history="1">
        <w:r w:rsidR="00A06C40" w:rsidRPr="00D45CDF">
          <w:rPr>
            <w:rStyle w:val="Hyperlink"/>
            <w:rFonts w:asciiTheme="minorHAnsi" w:hAnsiTheme="minorHAnsi"/>
            <w:color w:val="auto"/>
            <w:sz w:val="24"/>
            <w:szCs w:val="24"/>
            <w:u w:val="none"/>
          </w:rPr>
          <w:t>http://repository.uneca.org/bitstream/handle/10855/41804/b11928190.pdf?sequence=1</w:t>
        </w:r>
      </w:hyperlink>
      <w:r w:rsidR="00A06C40" w:rsidRPr="00D45CDF">
        <w:rPr>
          <w:rFonts w:asciiTheme="minorHAnsi" w:hAnsiTheme="minorHAnsi"/>
          <w:sz w:val="24"/>
          <w:szCs w:val="24"/>
        </w:rPr>
        <w:t>&gt; Accessed 2 November 2019.</w:t>
      </w:r>
    </w:p>
    <w:bookmarkEnd w:id="14"/>
    <w:p w14:paraId="57D147D0" w14:textId="77777777" w:rsidR="00B66D64" w:rsidRPr="00D45CDF" w:rsidRDefault="00B66D64" w:rsidP="00D45CDF">
      <w:pPr>
        <w:autoSpaceDE w:val="0"/>
        <w:autoSpaceDN w:val="0"/>
        <w:adjustRightInd w:val="0"/>
        <w:spacing w:line="240" w:lineRule="auto"/>
        <w:rPr>
          <w:rFonts w:asciiTheme="minorHAnsi" w:hAnsiTheme="minorHAnsi"/>
          <w:sz w:val="24"/>
          <w:szCs w:val="24"/>
        </w:rPr>
      </w:pPr>
      <w:r w:rsidRPr="00D45CDF">
        <w:rPr>
          <w:rFonts w:asciiTheme="minorHAnsi" w:hAnsiTheme="minorHAnsi"/>
          <w:sz w:val="24"/>
          <w:szCs w:val="24"/>
        </w:rPr>
        <w:t>Westminster Hall Debates</w:t>
      </w:r>
      <w:r w:rsidR="00A76950">
        <w:rPr>
          <w:rFonts w:asciiTheme="minorHAnsi" w:hAnsiTheme="minorHAnsi"/>
          <w:sz w:val="24"/>
          <w:szCs w:val="24"/>
        </w:rPr>
        <w:t>,</w:t>
      </w:r>
      <w:r w:rsidRPr="00D45CDF">
        <w:rPr>
          <w:rFonts w:asciiTheme="minorHAnsi" w:hAnsiTheme="minorHAnsi"/>
          <w:sz w:val="24"/>
          <w:szCs w:val="24"/>
        </w:rPr>
        <w:t xml:space="preserve"> </w:t>
      </w:r>
      <w:r w:rsidR="00A76950">
        <w:rPr>
          <w:rFonts w:asciiTheme="minorHAnsi" w:hAnsiTheme="minorHAnsi"/>
          <w:sz w:val="24"/>
          <w:szCs w:val="24"/>
        </w:rPr>
        <w:t>“</w:t>
      </w:r>
      <w:r w:rsidRPr="00D45CDF">
        <w:rPr>
          <w:rFonts w:asciiTheme="minorHAnsi" w:hAnsiTheme="minorHAnsi"/>
          <w:sz w:val="24"/>
          <w:szCs w:val="24"/>
        </w:rPr>
        <w:t>Leaving the EU: Legal Services.</w:t>
      </w:r>
      <w:r w:rsidR="00A76950">
        <w:rPr>
          <w:rFonts w:asciiTheme="minorHAnsi" w:hAnsiTheme="minorHAnsi"/>
          <w:sz w:val="24"/>
          <w:szCs w:val="24"/>
        </w:rPr>
        <w:t>”</w:t>
      </w:r>
      <w:r w:rsidRPr="00D45CDF">
        <w:rPr>
          <w:rFonts w:asciiTheme="minorHAnsi" w:hAnsiTheme="minorHAnsi"/>
          <w:sz w:val="24"/>
          <w:szCs w:val="24"/>
        </w:rPr>
        <w:t xml:space="preserve"> </w:t>
      </w:r>
      <w:r w:rsidRPr="00D45CDF">
        <w:rPr>
          <w:rFonts w:asciiTheme="minorHAnsi" w:hAnsiTheme="minorHAnsi"/>
          <w:sz w:val="24"/>
          <w:szCs w:val="24"/>
          <w:shd w:val="clear" w:color="auto" w:fill="FFFFFF"/>
        </w:rPr>
        <w:t>HC Deb, 21 November 2018, c381WH. Available at</w:t>
      </w:r>
      <w:r w:rsidRPr="00D45CDF">
        <w:rPr>
          <w:rFonts w:asciiTheme="minorHAnsi" w:hAnsiTheme="minorHAnsi"/>
          <w:color w:val="B5ACAF"/>
          <w:sz w:val="24"/>
          <w:szCs w:val="24"/>
          <w:shd w:val="clear" w:color="auto" w:fill="FFFFFF"/>
        </w:rPr>
        <w:t xml:space="preserve"> </w:t>
      </w:r>
      <w:r w:rsidRPr="00D45CDF">
        <w:rPr>
          <w:rFonts w:asciiTheme="minorHAnsi" w:hAnsiTheme="minorHAnsi"/>
          <w:sz w:val="24"/>
          <w:szCs w:val="24"/>
          <w:shd w:val="clear" w:color="auto" w:fill="FFFFFF"/>
        </w:rPr>
        <w:t xml:space="preserve">&lt; </w:t>
      </w:r>
      <w:r w:rsidRPr="00D45CDF">
        <w:rPr>
          <w:rFonts w:asciiTheme="minorHAnsi" w:hAnsiTheme="minorHAnsi"/>
          <w:sz w:val="24"/>
          <w:szCs w:val="24"/>
        </w:rPr>
        <w:t>https://www.theyworkforyou.com/whall/?id=2018-11-21b.380.0 &gt; Accessed 15 July 2019.</w:t>
      </w:r>
    </w:p>
    <w:p w14:paraId="12BCC949" w14:textId="77777777" w:rsidR="006137E6" w:rsidRPr="00D45CDF" w:rsidRDefault="006137E6" w:rsidP="00D45CDF">
      <w:pPr>
        <w:autoSpaceDE w:val="0"/>
        <w:autoSpaceDN w:val="0"/>
        <w:adjustRightInd w:val="0"/>
        <w:spacing w:line="240" w:lineRule="auto"/>
        <w:rPr>
          <w:rFonts w:asciiTheme="minorHAnsi" w:hAnsiTheme="minorHAnsi"/>
          <w:sz w:val="24"/>
          <w:szCs w:val="24"/>
        </w:rPr>
      </w:pPr>
      <w:r w:rsidRPr="00D45CDF">
        <w:rPr>
          <w:rFonts w:asciiTheme="minorHAnsi" w:hAnsiTheme="minorHAnsi"/>
          <w:sz w:val="24"/>
          <w:szCs w:val="24"/>
          <w:shd w:val="clear" w:color="auto" w:fill="FFFFFF"/>
        </w:rPr>
        <w:lastRenderedPageBreak/>
        <w:t>UN Sustainable Development Goa</w:t>
      </w:r>
      <w:r w:rsidR="00A76950">
        <w:rPr>
          <w:rFonts w:asciiTheme="minorHAnsi" w:hAnsiTheme="minorHAnsi"/>
          <w:sz w:val="24"/>
          <w:szCs w:val="24"/>
          <w:shd w:val="clear" w:color="auto" w:fill="FFFFFF"/>
        </w:rPr>
        <w:t>ls Knowledge Platform, “</w:t>
      </w:r>
      <w:r w:rsidR="006D7721" w:rsidRPr="00D45CDF">
        <w:rPr>
          <w:rFonts w:asciiTheme="minorHAnsi" w:hAnsiTheme="minorHAnsi"/>
          <w:sz w:val="24"/>
          <w:szCs w:val="24"/>
          <w:shd w:val="clear" w:color="auto" w:fill="FFFFFF" w:themeFill="background1"/>
        </w:rPr>
        <w:t>Helping governments and stakeholders make the SDGs a reality</w:t>
      </w:r>
      <w:r w:rsidRPr="00D45CDF">
        <w:rPr>
          <w:rFonts w:asciiTheme="minorHAnsi" w:hAnsiTheme="minorHAnsi"/>
          <w:sz w:val="24"/>
          <w:szCs w:val="24"/>
          <w:shd w:val="clear" w:color="auto" w:fill="FFFFFF"/>
        </w:rPr>
        <w:t>.</w:t>
      </w:r>
      <w:r w:rsidR="00A76950">
        <w:rPr>
          <w:rFonts w:asciiTheme="minorHAnsi" w:hAnsiTheme="minorHAnsi"/>
          <w:sz w:val="24"/>
          <w:szCs w:val="24"/>
          <w:shd w:val="clear" w:color="auto" w:fill="FFFFFF"/>
        </w:rPr>
        <w:t>”</w:t>
      </w:r>
      <w:r w:rsidRPr="00D45CDF">
        <w:rPr>
          <w:rFonts w:asciiTheme="minorHAnsi" w:hAnsiTheme="minorHAnsi"/>
          <w:sz w:val="24"/>
          <w:szCs w:val="24"/>
          <w:shd w:val="clear" w:color="auto" w:fill="FFFFFF"/>
        </w:rPr>
        <w:t xml:space="preserve"> Available </w:t>
      </w:r>
      <w:proofErr w:type="gramStart"/>
      <w:r w:rsidRPr="00D45CDF">
        <w:rPr>
          <w:rFonts w:asciiTheme="minorHAnsi" w:hAnsiTheme="minorHAnsi"/>
          <w:sz w:val="24"/>
          <w:szCs w:val="24"/>
          <w:shd w:val="clear" w:color="auto" w:fill="FFFFFF"/>
        </w:rPr>
        <w:t xml:space="preserve">at </w:t>
      </w:r>
      <w:r w:rsidR="0019611A">
        <w:rPr>
          <w:rFonts w:asciiTheme="minorHAnsi" w:hAnsiTheme="minorHAnsi"/>
          <w:sz w:val="24"/>
          <w:szCs w:val="24"/>
          <w:shd w:val="clear" w:color="auto" w:fill="FFFFFF"/>
        </w:rPr>
        <w:t xml:space="preserve"> </w:t>
      </w:r>
      <w:r w:rsidRPr="00D45CDF">
        <w:rPr>
          <w:rFonts w:asciiTheme="minorHAnsi" w:hAnsiTheme="minorHAnsi"/>
          <w:sz w:val="24"/>
          <w:szCs w:val="24"/>
          <w:shd w:val="clear" w:color="auto" w:fill="FFFFFF"/>
        </w:rPr>
        <w:t>&lt;</w:t>
      </w:r>
      <w:proofErr w:type="gramEnd"/>
      <w:r w:rsidR="006D7721" w:rsidRPr="00D45CDF">
        <w:rPr>
          <w:rFonts w:asciiTheme="minorHAnsi" w:hAnsiTheme="minorHAnsi"/>
          <w:sz w:val="24"/>
          <w:szCs w:val="24"/>
        </w:rPr>
        <w:t>https://sustainabledevelopment.un.org/</w:t>
      </w:r>
      <w:r w:rsidRPr="00D45CDF">
        <w:rPr>
          <w:rFonts w:asciiTheme="minorHAnsi" w:hAnsiTheme="minorHAnsi"/>
          <w:sz w:val="24"/>
          <w:szCs w:val="24"/>
        </w:rPr>
        <w:t>&gt; Accessed 2 November 2019.</w:t>
      </w:r>
    </w:p>
    <w:p w14:paraId="6F82BD60" w14:textId="77777777" w:rsidR="000660A6" w:rsidRPr="00D45CDF" w:rsidRDefault="00821CAC" w:rsidP="00D45CDF">
      <w:pPr>
        <w:autoSpaceDE w:val="0"/>
        <w:autoSpaceDN w:val="0"/>
        <w:adjustRightInd w:val="0"/>
        <w:spacing w:line="240" w:lineRule="auto"/>
        <w:rPr>
          <w:rFonts w:asciiTheme="minorHAnsi" w:hAnsiTheme="minorHAnsi"/>
          <w:sz w:val="24"/>
          <w:szCs w:val="24"/>
        </w:rPr>
      </w:pPr>
      <w:hyperlink r:id="rId21" w:history="1">
        <w:proofErr w:type="spellStart"/>
        <w:r w:rsidR="00DA79F1" w:rsidRPr="00D45CDF">
          <w:rPr>
            <w:rFonts w:asciiTheme="minorHAnsi" w:eastAsia="Times New Roman" w:hAnsiTheme="minorHAnsi"/>
            <w:sz w:val="24"/>
            <w:szCs w:val="24"/>
            <w:lang w:eastAsia="en-GB"/>
          </w:rPr>
          <w:t>Višinskis</w:t>
        </w:r>
        <w:proofErr w:type="spellEnd"/>
      </w:hyperlink>
      <w:r w:rsidR="00DA79F1" w:rsidRPr="00D45CDF">
        <w:rPr>
          <w:rFonts w:asciiTheme="minorHAnsi" w:eastAsia="Times New Roman" w:hAnsiTheme="minorHAnsi"/>
          <w:sz w:val="24"/>
          <w:szCs w:val="24"/>
          <w:lang w:eastAsia="en-GB"/>
        </w:rPr>
        <w:t xml:space="preserve">, V., </w:t>
      </w:r>
      <w:hyperlink r:id="rId22" w:history="1">
        <w:r w:rsidR="00DA79F1" w:rsidRPr="00D45CDF">
          <w:rPr>
            <w:rFonts w:asciiTheme="minorHAnsi" w:eastAsia="Times New Roman" w:hAnsiTheme="minorHAnsi"/>
            <w:sz w:val="24"/>
            <w:szCs w:val="24"/>
            <w:lang w:eastAsia="en-GB"/>
          </w:rPr>
          <w:t xml:space="preserve"> </w:t>
        </w:r>
        <w:proofErr w:type="spellStart"/>
        <w:r w:rsidR="00DA79F1" w:rsidRPr="00D45CDF">
          <w:rPr>
            <w:rFonts w:asciiTheme="minorHAnsi" w:eastAsia="Times New Roman" w:hAnsiTheme="minorHAnsi"/>
            <w:sz w:val="24"/>
            <w:szCs w:val="24"/>
            <w:lang w:eastAsia="en-GB"/>
          </w:rPr>
          <w:t>Žalėnienė</w:t>
        </w:r>
        <w:proofErr w:type="spellEnd"/>
      </w:hyperlink>
      <w:r w:rsidR="00DA79F1" w:rsidRPr="00D45CDF">
        <w:rPr>
          <w:rFonts w:asciiTheme="minorHAnsi" w:eastAsia="Times New Roman" w:hAnsiTheme="minorHAnsi"/>
          <w:sz w:val="24"/>
          <w:szCs w:val="24"/>
          <w:lang w:eastAsia="en-GB"/>
        </w:rPr>
        <w:t>, I. and</w:t>
      </w:r>
      <w:hyperlink r:id="rId23" w:history="1">
        <w:r w:rsidR="00DA79F1" w:rsidRPr="00D45CDF">
          <w:rPr>
            <w:rFonts w:asciiTheme="minorHAnsi" w:eastAsia="Times New Roman" w:hAnsiTheme="minorHAnsi"/>
            <w:sz w:val="24"/>
            <w:szCs w:val="24"/>
            <w:lang w:eastAsia="en-GB"/>
          </w:rPr>
          <w:t xml:space="preserve"> </w:t>
        </w:r>
        <w:proofErr w:type="spellStart"/>
        <w:r w:rsidR="00DA79F1" w:rsidRPr="00D45CDF">
          <w:rPr>
            <w:rFonts w:asciiTheme="minorHAnsi" w:eastAsia="Times New Roman" w:hAnsiTheme="minorHAnsi"/>
            <w:sz w:val="24"/>
            <w:szCs w:val="24"/>
            <w:lang w:eastAsia="en-GB"/>
          </w:rPr>
          <w:t>Tvaronavičienė</w:t>
        </w:r>
        <w:proofErr w:type="spellEnd"/>
      </w:hyperlink>
      <w:r w:rsidR="00DA79F1" w:rsidRPr="00D45CDF">
        <w:rPr>
          <w:rFonts w:asciiTheme="minorHAnsi" w:eastAsia="Times New Roman" w:hAnsiTheme="minorHAnsi"/>
          <w:sz w:val="24"/>
          <w:szCs w:val="24"/>
          <w:lang w:eastAsia="en-GB"/>
        </w:rPr>
        <w:t>, A</w:t>
      </w:r>
      <w:r w:rsidR="00A76950">
        <w:rPr>
          <w:rFonts w:asciiTheme="minorHAnsi" w:hAnsiTheme="minorHAnsi"/>
          <w:sz w:val="24"/>
          <w:szCs w:val="24"/>
        </w:rPr>
        <w:t>.,</w:t>
      </w:r>
      <w:r w:rsidR="00DA79F1" w:rsidRPr="00D45CDF">
        <w:rPr>
          <w:rFonts w:asciiTheme="minorHAnsi" w:hAnsiTheme="minorHAnsi"/>
          <w:sz w:val="24"/>
          <w:szCs w:val="24"/>
        </w:rPr>
        <w:t xml:space="preserve"> </w:t>
      </w:r>
      <w:r w:rsidR="00A76950">
        <w:rPr>
          <w:rFonts w:asciiTheme="minorHAnsi" w:hAnsiTheme="minorHAnsi"/>
          <w:sz w:val="24"/>
          <w:szCs w:val="24"/>
        </w:rPr>
        <w:t>“</w:t>
      </w:r>
      <w:r w:rsidR="00DA79F1" w:rsidRPr="00D45CDF">
        <w:rPr>
          <w:rFonts w:asciiTheme="minorHAnsi" w:hAnsiTheme="minorHAnsi"/>
          <w:sz w:val="24"/>
          <w:szCs w:val="24"/>
        </w:rPr>
        <w:t>Legal environment within the EU: free movemen</w:t>
      </w:r>
      <w:r w:rsidR="00A76950">
        <w:rPr>
          <w:rFonts w:asciiTheme="minorHAnsi" w:hAnsiTheme="minorHAnsi"/>
          <w:sz w:val="24"/>
          <w:szCs w:val="24"/>
        </w:rPr>
        <w:t>t of lawyers and legal services,”</w:t>
      </w:r>
      <w:r w:rsidR="00DA79F1" w:rsidRPr="00D45CDF">
        <w:rPr>
          <w:rFonts w:asciiTheme="minorHAnsi" w:hAnsiTheme="minorHAnsi"/>
          <w:sz w:val="24"/>
          <w:szCs w:val="24"/>
        </w:rPr>
        <w:t xml:space="preserve"> </w:t>
      </w:r>
      <w:r w:rsidR="00DA79F1" w:rsidRPr="00A76950">
        <w:rPr>
          <w:rFonts w:asciiTheme="minorHAnsi" w:hAnsiTheme="minorHAnsi"/>
          <w:i/>
          <w:sz w:val="24"/>
          <w:szCs w:val="24"/>
        </w:rPr>
        <w:t>Business: Theory and Practice</w:t>
      </w:r>
      <w:r w:rsidR="00A76950">
        <w:rPr>
          <w:rFonts w:asciiTheme="minorHAnsi" w:hAnsiTheme="minorHAnsi"/>
          <w:sz w:val="24"/>
          <w:szCs w:val="24"/>
        </w:rPr>
        <w:t>,</w:t>
      </w:r>
      <w:r w:rsidR="00DA79F1" w:rsidRPr="00D45CDF">
        <w:rPr>
          <w:rFonts w:asciiTheme="minorHAnsi" w:hAnsiTheme="minorHAnsi"/>
          <w:sz w:val="24"/>
          <w:szCs w:val="24"/>
        </w:rPr>
        <w:t xml:space="preserve"> 10, 1 </w:t>
      </w:r>
      <w:r w:rsidR="00A76950">
        <w:rPr>
          <w:rFonts w:asciiTheme="minorHAnsi" w:hAnsiTheme="minorHAnsi"/>
          <w:sz w:val="24"/>
          <w:szCs w:val="24"/>
        </w:rPr>
        <w:t xml:space="preserve">(2009): </w:t>
      </w:r>
      <w:r w:rsidR="00DA79F1" w:rsidRPr="00D45CDF">
        <w:rPr>
          <w:rFonts w:asciiTheme="minorHAnsi" w:hAnsiTheme="minorHAnsi"/>
          <w:sz w:val="24"/>
          <w:szCs w:val="24"/>
        </w:rPr>
        <w:t>30-37.</w:t>
      </w:r>
    </w:p>
    <w:p w14:paraId="05A7ED23" w14:textId="77777777" w:rsidR="00771EC4" w:rsidRPr="00D45CDF" w:rsidRDefault="0048098D" w:rsidP="00D45CDF">
      <w:pPr>
        <w:autoSpaceDE w:val="0"/>
        <w:autoSpaceDN w:val="0"/>
        <w:adjustRightInd w:val="0"/>
        <w:spacing w:before="240" w:after="240" w:line="240" w:lineRule="auto"/>
        <w:rPr>
          <w:rFonts w:asciiTheme="minorHAnsi" w:hAnsiTheme="minorHAnsi"/>
          <w:b/>
          <w:sz w:val="24"/>
          <w:szCs w:val="24"/>
        </w:rPr>
      </w:pPr>
      <w:r w:rsidRPr="00D45CDF">
        <w:rPr>
          <w:rFonts w:asciiTheme="minorHAnsi" w:hAnsiTheme="minorHAnsi"/>
          <w:b/>
          <w:sz w:val="24"/>
          <w:szCs w:val="24"/>
        </w:rPr>
        <w:t xml:space="preserve">Table of EU </w:t>
      </w:r>
      <w:r w:rsidR="00B66D64" w:rsidRPr="00D45CDF">
        <w:rPr>
          <w:rFonts w:asciiTheme="minorHAnsi" w:hAnsiTheme="minorHAnsi"/>
          <w:b/>
          <w:sz w:val="24"/>
          <w:szCs w:val="24"/>
        </w:rPr>
        <w:t>Cases</w:t>
      </w:r>
    </w:p>
    <w:p w14:paraId="16410280" w14:textId="77777777" w:rsidR="00FD3EC0" w:rsidRPr="00D45CDF" w:rsidRDefault="00356CF6" w:rsidP="00D45CDF">
      <w:pPr>
        <w:spacing w:line="240" w:lineRule="auto"/>
        <w:rPr>
          <w:rFonts w:asciiTheme="minorHAnsi" w:hAnsiTheme="minorHAnsi"/>
          <w:iCs/>
          <w:sz w:val="24"/>
          <w:szCs w:val="24"/>
          <w:shd w:val="clear" w:color="auto" w:fill="FFFFFF"/>
        </w:rPr>
      </w:pPr>
      <w:proofErr w:type="spellStart"/>
      <w:r w:rsidRPr="00D45CDF">
        <w:rPr>
          <w:rFonts w:asciiTheme="minorHAnsi" w:hAnsiTheme="minorHAnsi"/>
          <w:i/>
          <w:sz w:val="24"/>
          <w:szCs w:val="24"/>
          <w:shd w:val="clear" w:color="auto" w:fill="FFFFFF"/>
        </w:rPr>
        <w:t>Gebhard</w:t>
      </w:r>
      <w:proofErr w:type="spellEnd"/>
      <w:r w:rsidRPr="00D45CDF">
        <w:rPr>
          <w:rFonts w:asciiTheme="minorHAnsi" w:hAnsiTheme="minorHAnsi"/>
          <w:i/>
          <w:sz w:val="24"/>
          <w:szCs w:val="24"/>
          <w:shd w:val="clear" w:color="auto" w:fill="FFFFFF"/>
        </w:rPr>
        <w:t xml:space="preserve"> v </w:t>
      </w:r>
      <w:proofErr w:type="spellStart"/>
      <w:r w:rsidRPr="00D45CDF">
        <w:rPr>
          <w:rFonts w:asciiTheme="minorHAnsi" w:hAnsiTheme="minorHAnsi"/>
          <w:i/>
          <w:sz w:val="24"/>
          <w:szCs w:val="24"/>
          <w:shd w:val="clear" w:color="auto" w:fill="FFFFFF"/>
        </w:rPr>
        <w:t>Consiglio</w:t>
      </w:r>
      <w:proofErr w:type="spellEnd"/>
      <w:r w:rsidRPr="00D45CDF">
        <w:rPr>
          <w:rFonts w:asciiTheme="minorHAnsi" w:hAnsiTheme="minorHAnsi"/>
          <w:i/>
          <w:sz w:val="24"/>
          <w:szCs w:val="24"/>
          <w:shd w:val="clear" w:color="auto" w:fill="FFFFFF"/>
        </w:rPr>
        <w:t xml:space="preserve"> </w:t>
      </w:r>
      <w:proofErr w:type="spellStart"/>
      <w:r w:rsidRPr="00D45CDF">
        <w:rPr>
          <w:rFonts w:asciiTheme="minorHAnsi" w:hAnsiTheme="minorHAnsi"/>
          <w:i/>
          <w:sz w:val="24"/>
          <w:szCs w:val="24"/>
          <w:shd w:val="clear" w:color="auto" w:fill="FFFFFF"/>
        </w:rPr>
        <w:t>dell’Ordine</w:t>
      </w:r>
      <w:proofErr w:type="spellEnd"/>
      <w:r w:rsidRPr="00D45CDF">
        <w:rPr>
          <w:rFonts w:asciiTheme="minorHAnsi" w:hAnsiTheme="minorHAnsi"/>
          <w:i/>
          <w:sz w:val="24"/>
          <w:szCs w:val="24"/>
          <w:shd w:val="clear" w:color="auto" w:fill="FFFFFF"/>
        </w:rPr>
        <w:t xml:space="preserve"> </w:t>
      </w:r>
      <w:proofErr w:type="spellStart"/>
      <w:r w:rsidRPr="00D45CDF">
        <w:rPr>
          <w:rFonts w:asciiTheme="minorHAnsi" w:hAnsiTheme="minorHAnsi"/>
          <w:i/>
          <w:sz w:val="24"/>
          <w:szCs w:val="24"/>
          <w:shd w:val="clear" w:color="auto" w:fill="FFFFFF"/>
        </w:rPr>
        <w:t>degli</w:t>
      </w:r>
      <w:proofErr w:type="spellEnd"/>
      <w:r w:rsidRPr="00D45CDF">
        <w:rPr>
          <w:rFonts w:asciiTheme="minorHAnsi" w:hAnsiTheme="minorHAnsi"/>
          <w:i/>
          <w:sz w:val="24"/>
          <w:szCs w:val="24"/>
          <w:shd w:val="clear" w:color="auto" w:fill="FFFFFF"/>
        </w:rPr>
        <w:t xml:space="preserve"> </w:t>
      </w:r>
      <w:proofErr w:type="spellStart"/>
      <w:r w:rsidRPr="00D45CDF">
        <w:rPr>
          <w:rFonts w:asciiTheme="minorHAnsi" w:hAnsiTheme="minorHAnsi"/>
          <w:i/>
          <w:sz w:val="24"/>
          <w:szCs w:val="24"/>
          <w:shd w:val="clear" w:color="auto" w:fill="FFFFFF"/>
        </w:rPr>
        <w:t>Avvocati</w:t>
      </w:r>
      <w:proofErr w:type="spellEnd"/>
      <w:r w:rsidRPr="00D45CDF">
        <w:rPr>
          <w:rFonts w:asciiTheme="minorHAnsi" w:hAnsiTheme="minorHAnsi"/>
          <w:i/>
          <w:sz w:val="24"/>
          <w:szCs w:val="24"/>
          <w:shd w:val="clear" w:color="auto" w:fill="FFFFFF"/>
        </w:rPr>
        <w:t xml:space="preserve"> e </w:t>
      </w:r>
      <w:proofErr w:type="spellStart"/>
      <w:r w:rsidRPr="00D45CDF">
        <w:rPr>
          <w:rFonts w:asciiTheme="minorHAnsi" w:hAnsiTheme="minorHAnsi"/>
          <w:i/>
          <w:sz w:val="24"/>
          <w:szCs w:val="24"/>
          <w:shd w:val="clear" w:color="auto" w:fill="FFFFFF"/>
        </w:rPr>
        <w:t>Procurati</w:t>
      </w:r>
      <w:proofErr w:type="spellEnd"/>
      <w:r w:rsidRPr="00D45CDF">
        <w:rPr>
          <w:rFonts w:asciiTheme="minorHAnsi" w:hAnsiTheme="minorHAnsi"/>
          <w:i/>
          <w:sz w:val="24"/>
          <w:szCs w:val="24"/>
          <w:shd w:val="clear" w:color="auto" w:fill="FFFFFF"/>
        </w:rPr>
        <w:t xml:space="preserve"> di Milano</w:t>
      </w:r>
      <w:r w:rsidRPr="00D45CDF">
        <w:rPr>
          <w:rFonts w:asciiTheme="minorHAnsi" w:hAnsiTheme="minorHAnsi"/>
          <w:sz w:val="24"/>
          <w:szCs w:val="24"/>
        </w:rPr>
        <w:t xml:space="preserve"> (</w:t>
      </w:r>
      <w:r w:rsidR="00FD3EC0" w:rsidRPr="00D45CDF">
        <w:rPr>
          <w:rFonts w:asciiTheme="minorHAnsi" w:hAnsiTheme="minorHAnsi"/>
          <w:sz w:val="24"/>
          <w:szCs w:val="24"/>
        </w:rPr>
        <w:t>Case C-55/94</w:t>
      </w:r>
      <w:r w:rsidRPr="00D45CDF">
        <w:rPr>
          <w:rFonts w:asciiTheme="minorHAnsi" w:hAnsiTheme="minorHAnsi"/>
          <w:sz w:val="24"/>
          <w:szCs w:val="24"/>
        </w:rPr>
        <w:t xml:space="preserve">) [1995] </w:t>
      </w:r>
      <w:r w:rsidR="00FD3EC0" w:rsidRPr="00D45CDF">
        <w:rPr>
          <w:rFonts w:asciiTheme="minorHAnsi" w:hAnsiTheme="minorHAnsi"/>
          <w:iCs/>
          <w:sz w:val="24"/>
          <w:szCs w:val="24"/>
          <w:shd w:val="clear" w:color="auto" w:fill="FFFFFF"/>
        </w:rPr>
        <w:t>E</w:t>
      </w:r>
      <w:r w:rsidRPr="00D45CDF">
        <w:rPr>
          <w:rFonts w:asciiTheme="minorHAnsi" w:hAnsiTheme="minorHAnsi"/>
          <w:iCs/>
          <w:sz w:val="24"/>
          <w:szCs w:val="24"/>
          <w:shd w:val="clear" w:color="auto" w:fill="FFFFFF"/>
        </w:rPr>
        <w:t>CR</w:t>
      </w:r>
      <w:r w:rsidR="005845A6" w:rsidRPr="00D45CDF">
        <w:rPr>
          <w:rFonts w:asciiTheme="minorHAnsi" w:hAnsiTheme="minorHAnsi"/>
          <w:iCs/>
          <w:sz w:val="24"/>
          <w:szCs w:val="24"/>
          <w:shd w:val="clear" w:color="auto" w:fill="FFFFFF"/>
        </w:rPr>
        <w:t xml:space="preserve"> I-4165</w:t>
      </w:r>
    </w:p>
    <w:p w14:paraId="5709B779" w14:textId="77777777" w:rsidR="005C4F23" w:rsidRPr="00D45CDF" w:rsidRDefault="005C4F23" w:rsidP="00D45CDF">
      <w:pPr>
        <w:spacing w:line="240" w:lineRule="auto"/>
        <w:rPr>
          <w:rFonts w:asciiTheme="minorHAnsi" w:eastAsiaTheme="minorHAnsi" w:hAnsiTheme="minorHAnsi"/>
          <w:sz w:val="24"/>
          <w:szCs w:val="24"/>
          <w:lang w:eastAsia="en-US"/>
        </w:rPr>
      </w:pPr>
      <w:r w:rsidRPr="00D45CDF">
        <w:rPr>
          <w:rFonts w:asciiTheme="minorHAnsi" w:hAnsiTheme="minorHAnsi"/>
          <w:sz w:val="24"/>
          <w:szCs w:val="24"/>
        </w:rPr>
        <w:t xml:space="preserve">Hoekstra v </w:t>
      </w:r>
      <w:proofErr w:type="spellStart"/>
      <w:r w:rsidRPr="00D45CDF">
        <w:rPr>
          <w:rFonts w:asciiTheme="minorHAnsi" w:hAnsiTheme="minorHAnsi"/>
          <w:sz w:val="24"/>
          <w:szCs w:val="24"/>
        </w:rPr>
        <w:t>Bestuur</w:t>
      </w:r>
      <w:proofErr w:type="spellEnd"/>
      <w:r w:rsidRPr="00D45CDF">
        <w:rPr>
          <w:rFonts w:asciiTheme="minorHAnsi" w:hAnsiTheme="minorHAnsi"/>
          <w:sz w:val="24"/>
          <w:szCs w:val="24"/>
        </w:rPr>
        <w:t xml:space="preserve"> der </w:t>
      </w:r>
      <w:proofErr w:type="spellStart"/>
      <w:r w:rsidRPr="00D45CDF">
        <w:rPr>
          <w:rFonts w:asciiTheme="minorHAnsi" w:hAnsiTheme="minorHAnsi"/>
          <w:sz w:val="24"/>
          <w:szCs w:val="24"/>
        </w:rPr>
        <w:t>Bedrijfsvereniging</w:t>
      </w:r>
      <w:proofErr w:type="spellEnd"/>
      <w:r w:rsidRPr="00D45CDF">
        <w:rPr>
          <w:rFonts w:asciiTheme="minorHAnsi" w:hAnsiTheme="minorHAnsi"/>
          <w:sz w:val="24"/>
          <w:szCs w:val="24"/>
        </w:rPr>
        <w:t xml:space="preserve"> </w:t>
      </w:r>
      <w:proofErr w:type="spellStart"/>
      <w:r w:rsidRPr="00D45CDF">
        <w:rPr>
          <w:rFonts w:asciiTheme="minorHAnsi" w:hAnsiTheme="minorHAnsi"/>
          <w:sz w:val="24"/>
          <w:szCs w:val="24"/>
        </w:rPr>
        <w:t>voor</w:t>
      </w:r>
      <w:proofErr w:type="spellEnd"/>
      <w:r w:rsidRPr="00D45CDF">
        <w:rPr>
          <w:rFonts w:asciiTheme="minorHAnsi" w:hAnsiTheme="minorHAnsi"/>
          <w:sz w:val="24"/>
          <w:szCs w:val="24"/>
        </w:rPr>
        <w:t xml:space="preserve"> </w:t>
      </w:r>
      <w:proofErr w:type="spellStart"/>
      <w:r w:rsidRPr="00D45CDF">
        <w:rPr>
          <w:rFonts w:asciiTheme="minorHAnsi" w:hAnsiTheme="minorHAnsi"/>
          <w:sz w:val="24"/>
          <w:szCs w:val="24"/>
        </w:rPr>
        <w:t>Detailhandel</w:t>
      </w:r>
      <w:proofErr w:type="spellEnd"/>
      <w:r w:rsidRPr="00D45CDF">
        <w:rPr>
          <w:rFonts w:asciiTheme="minorHAnsi" w:hAnsiTheme="minorHAnsi"/>
          <w:sz w:val="24"/>
          <w:szCs w:val="24"/>
        </w:rPr>
        <w:t xml:space="preserve"> </w:t>
      </w:r>
      <w:proofErr w:type="spellStart"/>
      <w:r w:rsidRPr="00D45CDF">
        <w:rPr>
          <w:rFonts w:asciiTheme="minorHAnsi" w:hAnsiTheme="minorHAnsi"/>
          <w:sz w:val="24"/>
          <w:szCs w:val="24"/>
        </w:rPr>
        <w:t>en</w:t>
      </w:r>
      <w:proofErr w:type="spellEnd"/>
      <w:r w:rsidRPr="00D45CDF">
        <w:rPr>
          <w:rFonts w:asciiTheme="minorHAnsi" w:hAnsiTheme="minorHAnsi"/>
          <w:sz w:val="24"/>
          <w:szCs w:val="24"/>
        </w:rPr>
        <w:t xml:space="preserve"> </w:t>
      </w:r>
      <w:proofErr w:type="spellStart"/>
      <w:r w:rsidRPr="00D45CDF">
        <w:rPr>
          <w:rFonts w:asciiTheme="minorHAnsi" w:hAnsiTheme="minorHAnsi"/>
          <w:sz w:val="24"/>
          <w:szCs w:val="24"/>
        </w:rPr>
        <w:t>Ambachten</w:t>
      </w:r>
      <w:proofErr w:type="spellEnd"/>
      <w:r w:rsidRPr="00D45CDF">
        <w:rPr>
          <w:rFonts w:asciiTheme="minorHAnsi" w:hAnsiTheme="minorHAnsi"/>
          <w:sz w:val="24"/>
          <w:szCs w:val="24"/>
        </w:rPr>
        <w:t xml:space="preserve"> (Case 75/63) [1964] ECR 177</w:t>
      </w:r>
    </w:p>
    <w:p w14:paraId="2AD08808" w14:textId="77777777" w:rsidR="00FD3EC0" w:rsidRPr="00D45CDF" w:rsidRDefault="00356CF6" w:rsidP="00D45CDF">
      <w:pPr>
        <w:spacing w:line="240" w:lineRule="auto"/>
        <w:rPr>
          <w:rFonts w:asciiTheme="minorHAnsi" w:hAnsiTheme="minorHAnsi"/>
          <w:sz w:val="24"/>
          <w:szCs w:val="24"/>
          <w:shd w:val="clear" w:color="auto" w:fill="FFFFFF"/>
        </w:rPr>
      </w:pPr>
      <w:proofErr w:type="spellStart"/>
      <w:r w:rsidRPr="00D45CDF">
        <w:rPr>
          <w:rFonts w:asciiTheme="minorHAnsi" w:eastAsiaTheme="minorHAnsi" w:hAnsiTheme="minorHAnsi"/>
          <w:i/>
          <w:iCs/>
          <w:sz w:val="24"/>
          <w:szCs w:val="24"/>
          <w:lang w:eastAsia="en-US"/>
        </w:rPr>
        <w:t>Jany</w:t>
      </w:r>
      <w:proofErr w:type="spellEnd"/>
      <w:r w:rsidRPr="00D45CDF">
        <w:rPr>
          <w:rFonts w:asciiTheme="minorHAnsi" w:eastAsiaTheme="minorHAnsi" w:hAnsiTheme="minorHAnsi"/>
          <w:sz w:val="24"/>
          <w:szCs w:val="24"/>
          <w:lang w:eastAsia="en-US"/>
        </w:rPr>
        <w:t xml:space="preserve"> (</w:t>
      </w:r>
      <w:r w:rsidR="00FD3EC0" w:rsidRPr="00D45CDF">
        <w:rPr>
          <w:rFonts w:asciiTheme="minorHAnsi" w:eastAsiaTheme="minorHAnsi" w:hAnsiTheme="minorHAnsi"/>
          <w:sz w:val="24"/>
          <w:szCs w:val="24"/>
          <w:lang w:eastAsia="en-US"/>
        </w:rPr>
        <w:t>Case C-268/99</w:t>
      </w:r>
      <w:r w:rsidRPr="00D45CDF">
        <w:rPr>
          <w:rFonts w:asciiTheme="minorHAnsi" w:eastAsiaTheme="minorHAnsi" w:hAnsiTheme="minorHAnsi"/>
          <w:sz w:val="24"/>
          <w:szCs w:val="24"/>
          <w:lang w:eastAsia="en-US"/>
        </w:rPr>
        <w:t>) [2001]</w:t>
      </w:r>
      <w:r w:rsidR="00FD3EC0" w:rsidRPr="00D45CDF">
        <w:rPr>
          <w:rFonts w:asciiTheme="minorHAnsi" w:eastAsiaTheme="minorHAnsi" w:hAnsiTheme="minorHAnsi"/>
          <w:sz w:val="24"/>
          <w:szCs w:val="24"/>
          <w:lang w:eastAsia="en-US"/>
        </w:rPr>
        <w:t xml:space="preserve"> </w:t>
      </w:r>
      <w:r w:rsidR="00FD3EC0" w:rsidRPr="00D45CDF">
        <w:rPr>
          <w:rFonts w:asciiTheme="minorHAnsi" w:hAnsiTheme="minorHAnsi"/>
          <w:sz w:val="24"/>
          <w:szCs w:val="24"/>
          <w:shd w:val="clear" w:color="auto" w:fill="FFFFFF"/>
        </w:rPr>
        <w:t>E</w:t>
      </w:r>
      <w:r w:rsidR="00BA40CC" w:rsidRPr="00D45CDF">
        <w:rPr>
          <w:rFonts w:asciiTheme="minorHAnsi" w:hAnsiTheme="minorHAnsi"/>
          <w:sz w:val="24"/>
          <w:szCs w:val="24"/>
          <w:shd w:val="clear" w:color="auto" w:fill="FFFFFF"/>
        </w:rPr>
        <w:t>CR I-8615</w:t>
      </w:r>
    </w:p>
    <w:p w14:paraId="1CFF640A" w14:textId="77777777" w:rsidR="001E5971" w:rsidRPr="00D45CDF" w:rsidRDefault="00356CF6" w:rsidP="00D45CDF">
      <w:pPr>
        <w:spacing w:line="240" w:lineRule="auto"/>
        <w:rPr>
          <w:rFonts w:asciiTheme="minorHAnsi" w:hAnsiTheme="minorHAnsi"/>
          <w:sz w:val="24"/>
          <w:szCs w:val="24"/>
          <w:shd w:val="clear" w:color="auto" w:fill="FFFFFF"/>
        </w:rPr>
      </w:pPr>
      <w:r w:rsidRPr="00D45CDF">
        <w:rPr>
          <w:rFonts w:asciiTheme="minorHAnsi" w:hAnsiTheme="minorHAnsi"/>
          <w:i/>
          <w:iCs/>
          <w:sz w:val="24"/>
          <w:szCs w:val="24"/>
          <w:shd w:val="clear" w:color="auto" w:fill="FFFFFF"/>
        </w:rPr>
        <w:t>Lawrie-Blum v Land Baden-Württemberg</w:t>
      </w:r>
      <w:r w:rsidRPr="00D45CDF">
        <w:rPr>
          <w:rFonts w:asciiTheme="minorHAnsi" w:hAnsiTheme="minorHAnsi"/>
          <w:sz w:val="24"/>
          <w:szCs w:val="24"/>
          <w:shd w:val="clear" w:color="auto" w:fill="FFFFFF"/>
        </w:rPr>
        <w:t xml:space="preserve"> (Case C66/85) [1985] ECR 02121</w:t>
      </w:r>
      <w:bookmarkStart w:id="15" w:name="_Hlk25432103"/>
    </w:p>
    <w:p w14:paraId="0CAD91E7" w14:textId="77777777" w:rsidR="001E5971" w:rsidRPr="00D45CDF" w:rsidRDefault="001E5971" w:rsidP="00D45CDF">
      <w:pPr>
        <w:spacing w:line="240" w:lineRule="auto"/>
        <w:rPr>
          <w:rFonts w:asciiTheme="minorHAnsi" w:hAnsiTheme="minorHAnsi"/>
          <w:sz w:val="24"/>
          <w:szCs w:val="24"/>
        </w:rPr>
      </w:pPr>
      <w:r w:rsidRPr="00D45CDF">
        <w:rPr>
          <w:rFonts w:asciiTheme="minorHAnsi" w:hAnsiTheme="minorHAnsi"/>
          <w:i/>
          <w:iCs/>
          <w:sz w:val="24"/>
          <w:szCs w:val="24"/>
          <w:shd w:val="clear" w:color="auto" w:fill="FFFFFF"/>
        </w:rPr>
        <w:t xml:space="preserve">Levin v </w:t>
      </w:r>
      <w:proofErr w:type="spellStart"/>
      <w:r w:rsidRPr="00D45CDF">
        <w:rPr>
          <w:rFonts w:asciiTheme="minorHAnsi" w:hAnsiTheme="minorHAnsi"/>
          <w:i/>
          <w:iCs/>
          <w:sz w:val="24"/>
          <w:szCs w:val="24"/>
          <w:shd w:val="clear" w:color="auto" w:fill="FFFFFF"/>
        </w:rPr>
        <w:t>Staatssecretaris</w:t>
      </w:r>
      <w:proofErr w:type="spellEnd"/>
      <w:r w:rsidRPr="00D45CDF">
        <w:rPr>
          <w:rFonts w:asciiTheme="minorHAnsi" w:hAnsiTheme="minorHAnsi"/>
          <w:i/>
          <w:iCs/>
          <w:sz w:val="24"/>
          <w:szCs w:val="24"/>
          <w:shd w:val="clear" w:color="auto" w:fill="FFFFFF"/>
        </w:rPr>
        <w:t xml:space="preserve"> van </w:t>
      </w:r>
      <w:proofErr w:type="spellStart"/>
      <w:r w:rsidRPr="00D45CDF">
        <w:rPr>
          <w:rFonts w:asciiTheme="minorHAnsi" w:hAnsiTheme="minorHAnsi"/>
          <w:i/>
          <w:iCs/>
          <w:sz w:val="24"/>
          <w:szCs w:val="24"/>
          <w:shd w:val="clear" w:color="auto" w:fill="FFFFFF"/>
        </w:rPr>
        <w:t>Justitie</w:t>
      </w:r>
      <w:proofErr w:type="spellEnd"/>
      <w:r w:rsidRPr="00D45CDF">
        <w:rPr>
          <w:rFonts w:asciiTheme="minorHAnsi" w:hAnsiTheme="minorHAnsi"/>
          <w:sz w:val="24"/>
          <w:szCs w:val="24"/>
          <w:shd w:val="clear" w:color="auto" w:fill="FFFFFF"/>
        </w:rPr>
        <w:t xml:space="preserve"> (Case 53/81) [1982] ECR 1035, para 17</w:t>
      </w:r>
    </w:p>
    <w:p w14:paraId="79C2FC38" w14:textId="77777777" w:rsidR="00543816" w:rsidRPr="00D45CDF" w:rsidRDefault="00543816" w:rsidP="00D45CDF">
      <w:pPr>
        <w:spacing w:line="240" w:lineRule="auto"/>
        <w:rPr>
          <w:rFonts w:asciiTheme="minorHAnsi" w:hAnsiTheme="minorHAnsi"/>
          <w:sz w:val="24"/>
          <w:szCs w:val="24"/>
          <w:shd w:val="clear" w:color="auto" w:fill="FFFFFF"/>
        </w:rPr>
      </w:pPr>
      <w:r w:rsidRPr="00D45CDF">
        <w:rPr>
          <w:rFonts w:asciiTheme="minorHAnsi" w:hAnsiTheme="minorHAnsi"/>
          <w:i/>
          <w:iCs/>
          <w:sz w:val="24"/>
          <w:szCs w:val="24"/>
        </w:rPr>
        <w:t>Luxembourg v European Parliament</w:t>
      </w:r>
      <w:r w:rsidRPr="00D45CDF">
        <w:rPr>
          <w:rFonts w:asciiTheme="minorHAnsi" w:hAnsiTheme="minorHAnsi"/>
          <w:sz w:val="24"/>
          <w:szCs w:val="24"/>
        </w:rPr>
        <w:t xml:space="preserve"> (Case C-168/98)</w:t>
      </w:r>
      <w:r w:rsidRPr="00D45CDF">
        <w:rPr>
          <w:rFonts w:asciiTheme="minorHAnsi" w:hAnsiTheme="minorHAnsi"/>
          <w:sz w:val="24"/>
          <w:szCs w:val="24"/>
          <w:shd w:val="clear" w:color="auto" w:fill="FFFFFF"/>
        </w:rPr>
        <w:t xml:space="preserve"> [2000] </w:t>
      </w:r>
      <w:r w:rsidRPr="00D45CDF">
        <w:rPr>
          <w:rStyle w:val="Emphasis"/>
          <w:rFonts w:asciiTheme="minorHAnsi" w:hAnsiTheme="minorHAnsi"/>
          <w:i w:val="0"/>
          <w:iCs w:val="0"/>
          <w:sz w:val="24"/>
          <w:szCs w:val="24"/>
          <w:shd w:val="clear" w:color="auto" w:fill="FFFFFF"/>
        </w:rPr>
        <w:t>ECR I-09131, para 43</w:t>
      </w:r>
    </w:p>
    <w:p w14:paraId="4852DE1D" w14:textId="77777777" w:rsidR="00653C6C" w:rsidRPr="00D45CDF" w:rsidRDefault="005845A6" w:rsidP="00D45CDF">
      <w:pPr>
        <w:spacing w:line="240" w:lineRule="auto"/>
        <w:rPr>
          <w:rFonts w:asciiTheme="minorHAnsi" w:hAnsiTheme="minorHAnsi"/>
          <w:i/>
          <w:iCs/>
          <w:color w:val="FF0000"/>
          <w:sz w:val="24"/>
          <w:szCs w:val="24"/>
        </w:rPr>
      </w:pPr>
      <w:proofErr w:type="spellStart"/>
      <w:r w:rsidRPr="00D45CDF">
        <w:rPr>
          <w:rFonts w:asciiTheme="minorHAnsi" w:eastAsiaTheme="minorHAnsi" w:hAnsiTheme="minorHAnsi"/>
          <w:bCs/>
          <w:i/>
          <w:sz w:val="24"/>
          <w:szCs w:val="24"/>
          <w:lang w:eastAsia="en-US"/>
        </w:rPr>
        <w:t>Monachos</w:t>
      </w:r>
      <w:proofErr w:type="spellEnd"/>
      <w:r w:rsidRPr="00D45CDF">
        <w:rPr>
          <w:rFonts w:asciiTheme="minorHAnsi" w:eastAsiaTheme="minorHAnsi" w:hAnsiTheme="minorHAnsi"/>
          <w:bCs/>
          <w:i/>
          <w:sz w:val="24"/>
          <w:szCs w:val="24"/>
          <w:lang w:eastAsia="en-US"/>
        </w:rPr>
        <w:t xml:space="preserve"> </w:t>
      </w:r>
      <w:proofErr w:type="spellStart"/>
      <w:r w:rsidRPr="00D45CDF">
        <w:rPr>
          <w:rFonts w:asciiTheme="minorHAnsi" w:eastAsiaTheme="minorHAnsi" w:hAnsiTheme="minorHAnsi"/>
          <w:bCs/>
          <w:i/>
          <w:sz w:val="24"/>
          <w:szCs w:val="24"/>
          <w:lang w:eastAsia="en-US"/>
        </w:rPr>
        <w:t>Eirinaios</w:t>
      </w:r>
      <w:proofErr w:type="spellEnd"/>
      <w:r w:rsidRPr="00D45CDF">
        <w:rPr>
          <w:rFonts w:asciiTheme="minorHAnsi" w:eastAsiaTheme="minorHAnsi" w:hAnsiTheme="minorHAnsi"/>
          <w:bCs/>
          <w:i/>
          <w:sz w:val="24"/>
          <w:szCs w:val="24"/>
          <w:lang w:eastAsia="en-US"/>
        </w:rPr>
        <w:t xml:space="preserve"> v </w:t>
      </w:r>
      <w:proofErr w:type="spellStart"/>
      <w:r w:rsidRPr="00D45CDF">
        <w:rPr>
          <w:rFonts w:asciiTheme="minorHAnsi" w:eastAsiaTheme="minorHAnsi" w:hAnsiTheme="minorHAnsi"/>
          <w:bCs/>
          <w:i/>
          <w:sz w:val="24"/>
          <w:szCs w:val="24"/>
          <w:lang w:eastAsia="en-US"/>
        </w:rPr>
        <w:t>Dikigorikos</w:t>
      </w:r>
      <w:proofErr w:type="spellEnd"/>
      <w:r w:rsidRPr="00D45CDF">
        <w:rPr>
          <w:rFonts w:asciiTheme="minorHAnsi" w:eastAsiaTheme="minorHAnsi" w:hAnsiTheme="minorHAnsi"/>
          <w:bCs/>
          <w:i/>
          <w:sz w:val="24"/>
          <w:szCs w:val="24"/>
          <w:lang w:eastAsia="en-US"/>
        </w:rPr>
        <w:t xml:space="preserve"> </w:t>
      </w:r>
      <w:proofErr w:type="spellStart"/>
      <w:r w:rsidRPr="00D45CDF">
        <w:rPr>
          <w:rFonts w:asciiTheme="minorHAnsi" w:eastAsiaTheme="minorHAnsi" w:hAnsiTheme="minorHAnsi"/>
          <w:bCs/>
          <w:i/>
          <w:sz w:val="24"/>
          <w:szCs w:val="24"/>
          <w:lang w:eastAsia="en-US"/>
        </w:rPr>
        <w:t>Syllogos</w:t>
      </w:r>
      <w:proofErr w:type="spellEnd"/>
      <w:r w:rsidRPr="00D45CDF">
        <w:rPr>
          <w:rFonts w:asciiTheme="minorHAnsi" w:eastAsiaTheme="minorHAnsi" w:hAnsiTheme="minorHAnsi"/>
          <w:bCs/>
          <w:i/>
          <w:sz w:val="24"/>
          <w:szCs w:val="24"/>
          <w:lang w:eastAsia="en-US"/>
        </w:rPr>
        <w:t xml:space="preserve"> </w:t>
      </w:r>
      <w:proofErr w:type="spellStart"/>
      <w:r w:rsidRPr="00D45CDF">
        <w:rPr>
          <w:rFonts w:asciiTheme="minorHAnsi" w:eastAsiaTheme="minorHAnsi" w:hAnsiTheme="minorHAnsi"/>
          <w:bCs/>
          <w:i/>
          <w:sz w:val="24"/>
          <w:szCs w:val="24"/>
          <w:lang w:eastAsia="en-US"/>
        </w:rPr>
        <w:t>Athinon</w:t>
      </w:r>
      <w:proofErr w:type="spellEnd"/>
      <w:r w:rsidRPr="00D45CDF">
        <w:rPr>
          <w:rFonts w:asciiTheme="minorHAnsi" w:hAnsiTheme="minorHAnsi"/>
          <w:b/>
          <w:bCs/>
          <w:color w:val="5F5F5F"/>
          <w:sz w:val="24"/>
          <w:szCs w:val="24"/>
        </w:rPr>
        <w:t xml:space="preserve"> (</w:t>
      </w:r>
      <w:r w:rsidR="00FD3EC0" w:rsidRPr="00D45CDF">
        <w:rPr>
          <w:rFonts w:asciiTheme="minorHAnsi" w:hAnsiTheme="minorHAnsi"/>
          <w:sz w:val="24"/>
          <w:szCs w:val="24"/>
        </w:rPr>
        <w:t>Case C-431/17</w:t>
      </w:r>
      <w:r w:rsidRPr="00D45CDF">
        <w:rPr>
          <w:rFonts w:asciiTheme="minorHAnsi" w:hAnsiTheme="minorHAnsi"/>
          <w:sz w:val="24"/>
          <w:szCs w:val="24"/>
        </w:rPr>
        <w:t>)</w:t>
      </w:r>
      <w:r w:rsidR="00D62987" w:rsidRPr="00D45CDF">
        <w:rPr>
          <w:rFonts w:asciiTheme="minorHAnsi" w:hAnsiTheme="minorHAnsi"/>
          <w:sz w:val="24"/>
          <w:szCs w:val="24"/>
        </w:rPr>
        <w:t xml:space="preserve"> [2019]</w:t>
      </w:r>
      <w:r w:rsidR="00050673" w:rsidRPr="00D45CDF">
        <w:rPr>
          <w:rFonts w:asciiTheme="minorHAnsi" w:hAnsiTheme="minorHAnsi"/>
          <w:sz w:val="24"/>
          <w:szCs w:val="24"/>
        </w:rPr>
        <w:t xml:space="preserve"> ECR 00000</w:t>
      </w:r>
    </w:p>
    <w:bookmarkEnd w:id="15"/>
    <w:p w14:paraId="2E1FDC6C" w14:textId="77777777" w:rsidR="00543816" w:rsidRPr="00D45CDF" w:rsidRDefault="00543816" w:rsidP="00D45CDF">
      <w:pPr>
        <w:pStyle w:val="FootnoteText"/>
        <w:spacing w:after="240"/>
        <w:rPr>
          <w:rStyle w:val="Emphasis"/>
          <w:rFonts w:asciiTheme="minorHAnsi" w:hAnsiTheme="minorHAnsi"/>
          <w:i w:val="0"/>
          <w:iCs w:val="0"/>
          <w:sz w:val="24"/>
          <w:szCs w:val="24"/>
          <w:lang w:val="fr-FR"/>
        </w:rPr>
      </w:pPr>
      <w:proofErr w:type="spellStart"/>
      <w:r w:rsidRPr="00D45CDF">
        <w:rPr>
          <w:rFonts w:asciiTheme="minorHAnsi" w:hAnsiTheme="minorHAnsi"/>
          <w:i/>
          <w:iCs/>
          <w:sz w:val="24"/>
          <w:szCs w:val="24"/>
          <w:lang w:val="fr-FR"/>
        </w:rPr>
        <w:t>Morgenbesser</w:t>
      </w:r>
      <w:proofErr w:type="spellEnd"/>
      <w:r w:rsidRPr="00D45CDF">
        <w:rPr>
          <w:rFonts w:asciiTheme="minorHAnsi" w:hAnsiTheme="minorHAnsi"/>
          <w:i/>
          <w:iCs/>
          <w:sz w:val="24"/>
          <w:szCs w:val="24"/>
          <w:lang w:val="fr-FR"/>
        </w:rPr>
        <w:t xml:space="preserve"> v </w:t>
      </w:r>
      <w:proofErr w:type="spellStart"/>
      <w:r w:rsidRPr="00D45CDF">
        <w:rPr>
          <w:rFonts w:asciiTheme="minorHAnsi" w:hAnsiTheme="minorHAnsi"/>
          <w:i/>
          <w:iCs/>
          <w:sz w:val="24"/>
          <w:szCs w:val="24"/>
          <w:lang w:val="fr-FR"/>
        </w:rPr>
        <w:t>Consiglio</w:t>
      </w:r>
      <w:proofErr w:type="spellEnd"/>
      <w:r w:rsidRPr="00D45CDF">
        <w:rPr>
          <w:rFonts w:asciiTheme="minorHAnsi" w:hAnsiTheme="minorHAnsi"/>
          <w:i/>
          <w:iCs/>
          <w:sz w:val="24"/>
          <w:szCs w:val="24"/>
          <w:lang w:val="fr-FR"/>
        </w:rPr>
        <w:t xml:space="preserve"> </w:t>
      </w:r>
      <w:proofErr w:type="spellStart"/>
      <w:r w:rsidRPr="00D45CDF">
        <w:rPr>
          <w:rFonts w:asciiTheme="minorHAnsi" w:hAnsiTheme="minorHAnsi"/>
          <w:i/>
          <w:iCs/>
          <w:sz w:val="24"/>
          <w:szCs w:val="24"/>
          <w:lang w:val="fr-FR"/>
        </w:rPr>
        <w:t>dell'Ordine</w:t>
      </w:r>
      <w:proofErr w:type="spellEnd"/>
      <w:r w:rsidRPr="00D45CDF">
        <w:rPr>
          <w:rFonts w:asciiTheme="minorHAnsi" w:hAnsiTheme="minorHAnsi"/>
          <w:i/>
          <w:iCs/>
          <w:sz w:val="24"/>
          <w:szCs w:val="24"/>
          <w:lang w:val="fr-FR"/>
        </w:rPr>
        <w:t xml:space="preserve"> </w:t>
      </w:r>
      <w:proofErr w:type="spellStart"/>
      <w:r w:rsidRPr="00D45CDF">
        <w:rPr>
          <w:rFonts w:asciiTheme="minorHAnsi" w:hAnsiTheme="minorHAnsi"/>
          <w:i/>
          <w:iCs/>
          <w:sz w:val="24"/>
          <w:szCs w:val="24"/>
          <w:lang w:val="fr-FR"/>
        </w:rPr>
        <w:t>degli</w:t>
      </w:r>
      <w:proofErr w:type="spellEnd"/>
      <w:r w:rsidRPr="00D45CDF">
        <w:rPr>
          <w:rFonts w:asciiTheme="minorHAnsi" w:hAnsiTheme="minorHAnsi"/>
          <w:i/>
          <w:iCs/>
          <w:sz w:val="24"/>
          <w:szCs w:val="24"/>
          <w:lang w:val="fr-FR"/>
        </w:rPr>
        <w:t xml:space="preserve"> </w:t>
      </w:r>
      <w:proofErr w:type="spellStart"/>
      <w:r w:rsidRPr="00D45CDF">
        <w:rPr>
          <w:rFonts w:asciiTheme="minorHAnsi" w:hAnsiTheme="minorHAnsi"/>
          <w:i/>
          <w:iCs/>
          <w:sz w:val="24"/>
          <w:szCs w:val="24"/>
          <w:lang w:val="fr-FR"/>
        </w:rPr>
        <w:t>avvocati</w:t>
      </w:r>
      <w:proofErr w:type="spellEnd"/>
      <w:r w:rsidRPr="00D45CDF">
        <w:rPr>
          <w:rFonts w:asciiTheme="minorHAnsi" w:hAnsiTheme="minorHAnsi"/>
          <w:i/>
          <w:iCs/>
          <w:sz w:val="24"/>
          <w:szCs w:val="24"/>
          <w:lang w:val="fr-FR"/>
        </w:rPr>
        <w:t xml:space="preserve"> di Genova</w:t>
      </w:r>
      <w:r w:rsidRPr="00D45CDF">
        <w:rPr>
          <w:rFonts w:asciiTheme="minorHAnsi" w:hAnsiTheme="minorHAnsi"/>
          <w:sz w:val="24"/>
          <w:szCs w:val="24"/>
          <w:lang w:val="fr-FR"/>
        </w:rPr>
        <w:t xml:space="preserve"> (Case C-313/01) [2003] ECR </w:t>
      </w:r>
      <w:r w:rsidRPr="00D45CDF">
        <w:rPr>
          <w:rStyle w:val="Emphasis"/>
          <w:rFonts w:asciiTheme="minorHAnsi" w:hAnsiTheme="minorHAnsi"/>
          <w:i w:val="0"/>
          <w:iCs w:val="0"/>
          <w:sz w:val="24"/>
          <w:szCs w:val="24"/>
          <w:lang w:val="fr-FR"/>
        </w:rPr>
        <w:t>I-13467</w:t>
      </w:r>
    </w:p>
    <w:p w14:paraId="1757E591" w14:textId="77777777" w:rsidR="007C5C58" w:rsidRPr="00D45CDF" w:rsidRDefault="007C5C58" w:rsidP="00D45CDF">
      <w:pPr>
        <w:pStyle w:val="FootnoteText"/>
        <w:spacing w:after="240"/>
        <w:rPr>
          <w:rFonts w:asciiTheme="minorHAnsi" w:hAnsiTheme="minorHAnsi"/>
          <w:sz w:val="24"/>
          <w:szCs w:val="24"/>
          <w:shd w:val="clear" w:color="auto" w:fill="FFFFFF"/>
          <w:lang w:val="fr-FR"/>
        </w:rPr>
      </w:pPr>
      <w:r w:rsidRPr="00D45CDF">
        <w:rPr>
          <w:rFonts w:asciiTheme="minorHAnsi" w:hAnsiTheme="minorHAnsi"/>
          <w:i/>
          <w:sz w:val="24"/>
          <w:szCs w:val="24"/>
          <w:lang w:val="fr-FR"/>
        </w:rPr>
        <w:t>Patrick v Ministre des Affaires Culturelles</w:t>
      </w:r>
      <w:r w:rsidRPr="00D45CDF">
        <w:rPr>
          <w:rFonts w:asciiTheme="minorHAnsi" w:hAnsiTheme="minorHAnsi"/>
          <w:sz w:val="24"/>
          <w:szCs w:val="24"/>
          <w:lang w:val="fr-FR"/>
        </w:rPr>
        <w:t xml:space="preserve"> [1977] ECR 1199</w:t>
      </w:r>
    </w:p>
    <w:p w14:paraId="220EA659" w14:textId="77777777" w:rsidR="008528B1" w:rsidRPr="00D45CDF" w:rsidRDefault="008528B1" w:rsidP="00D45CDF">
      <w:pPr>
        <w:spacing w:line="240" w:lineRule="auto"/>
        <w:rPr>
          <w:rFonts w:asciiTheme="minorHAnsi" w:eastAsia="Times New Roman" w:hAnsiTheme="minorHAnsi"/>
          <w:i/>
          <w:sz w:val="24"/>
          <w:szCs w:val="24"/>
          <w:lang w:eastAsia="en-GB"/>
        </w:rPr>
      </w:pPr>
      <w:proofErr w:type="spellStart"/>
      <w:r w:rsidRPr="00D45CDF">
        <w:rPr>
          <w:rFonts w:asciiTheme="minorHAnsi" w:hAnsiTheme="minorHAnsi"/>
          <w:i/>
          <w:iCs/>
          <w:sz w:val="24"/>
          <w:szCs w:val="24"/>
        </w:rPr>
        <w:t>Reyners</w:t>
      </w:r>
      <w:proofErr w:type="spellEnd"/>
      <w:r w:rsidRPr="00D45CDF">
        <w:rPr>
          <w:rFonts w:asciiTheme="minorHAnsi" w:hAnsiTheme="minorHAnsi"/>
          <w:i/>
          <w:iCs/>
          <w:sz w:val="24"/>
          <w:szCs w:val="24"/>
        </w:rPr>
        <w:t xml:space="preserve"> v Belgium</w:t>
      </w:r>
      <w:r w:rsidRPr="00D45CDF">
        <w:rPr>
          <w:rFonts w:asciiTheme="minorHAnsi" w:hAnsiTheme="minorHAnsi"/>
          <w:sz w:val="24"/>
          <w:szCs w:val="24"/>
        </w:rPr>
        <w:t> (Case 2/74) [1974]</w:t>
      </w:r>
      <w:r w:rsidRPr="00D45CDF">
        <w:rPr>
          <w:rFonts w:asciiTheme="minorHAnsi" w:hAnsiTheme="minorHAnsi"/>
          <w:color w:val="444444"/>
          <w:sz w:val="24"/>
          <w:szCs w:val="24"/>
          <w:shd w:val="clear" w:color="auto" w:fill="FFFFFF"/>
        </w:rPr>
        <w:t xml:space="preserve"> </w:t>
      </w:r>
      <w:r w:rsidRPr="00D45CDF">
        <w:rPr>
          <w:rStyle w:val="Emphasis"/>
          <w:rFonts w:asciiTheme="minorHAnsi" w:hAnsiTheme="minorHAnsi"/>
          <w:i w:val="0"/>
          <w:iCs w:val="0"/>
          <w:sz w:val="24"/>
          <w:szCs w:val="24"/>
          <w:shd w:val="clear" w:color="auto" w:fill="FFFFFF"/>
        </w:rPr>
        <w:t>ECR</w:t>
      </w:r>
      <w:r w:rsidR="00587EF0" w:rsidRPr="00D45CDF">
        <w:rPr>
          <w:rStyle w:val="Emphasis"/>
          <w:rFonts w:asciiTheme="minorHAnsi" w:hAnsiTheme="minorHAnsi"/>
          <w:i w:val="0"/>
          <w:iCs w:val="0"/>
          <w:sz w:val="24"/>
          <w:szCs w:val="24"/>
          <w:shd w:val="clear" w:color="auto" w:fill="FFFFFF"/>
        </w:rPr>
        <w:t xml:space="preserve"> </w:t>
      </w:r>
      <w:r w:rsidRPr="00D45CDF">
        <w:rPr>
          <w:rStyle w:val="Emphasis"/>
          <w:rFonts w:asciiTheme="minorHAnsi" w:hAnsiTheme="minorHAnsi"/>
          <w:i w:val="0"/>
          <w:iCs w:val="0"/>
          <w:sz w:val="24"/>
          <w:szCs w:val="24"/>
          <w:shd w:val="clear" w:color="auto" w:fill="FFFFFF"/>
        </w:rPr>
        <w:t>631</w:t>
      </w:r>
    </w:p>
    <w:p w14:paraId="2710606D" w14:textId="77777777" w:rsidR="00653C6C" w:rsidRPr="00D45CDF" w:rsidRDefault="005845A6" w:rsidP="00D45CDF">
      <w:pPr>
        <w:spacing w:line="240" w:lineRule="auto"/>
        <w:rPr>
          <w:rFonts w:asciiTheme="minorHAnsi" w:hAnsiTheme="minorHAnsi"/>
          <w:b/>
          <w:sz w:val="24"/>
          <w:szCs w:val="24"/>
          <w:lang w:val="fr-FR"/>
        </w:rPr>
      </w:pPr>
      <w:proofErr w:type="spellStart"/>
      <w:r w:rsidRPr="00D45CDF">
        <w:rPr>
          <w:rFonts w:asciiTheme="minorHAnsi" w:eastAsia="Times New Roman" w:hAnsiTheme="minorHAnsi"/>
          <w:i/>
          <w:sz w:val="24"/>
          <w:szCs w:val="24"/>
          <w:lang w:val="fr-FR" w:eastAsia="en-GB"/>
        </w:rPr>
        <w:t>Thieffry</w:t>
      </w:r>
      <w:proofErr w:type="spellEnd"/>
      <w:r w:rsidRPr="00D45CDF">
        <w:rPr>
          <w:rFonts w:asciiTheme="minorHAnsi" w:eastAsia="Times New Roman" w:hAnsiTheme="minorHAnsi"/>
          <w:i/>
          <w:sz w:val="24"/>
          <w:szCs w:val="24"/>
          <w:lang w:val="fr-FR" w:eastAsia="en-GB"/>
        </w:rPr>
        <w:t xml:space="preserve"> v Conseil de l’Ordre des avocats à la Cour de Paris</w:t>
      </w:r>
      <w:r w:rsidRPr="00D45CDF">
        <w:rPr>
          <w:rFonts w:asciiTheme="minorHAnsi" w:eastAsia="Times New Roman" w:hAnsiTheme="minorHAnsi"/>
          <w:iCs/>
          <w:sz w:val="24"/>
          <w:szCs w:val="24"/>
          <w:lang w:val="fr-FR" w:eastAsia="en-GB"/>
        </w:rPr>
        <w:t xml:space="preserve"> (</w:t>
      </w:r>
      <w:r w:rsidR="00FD3EC0" w:rsidRPr="00D45CDF">
        <w:rPr>
          <w:rFonts w:asciiTheme="minorHAnsi" w:eastAsia="Times New Roman" w:hAnsiTheme="minorHAnsi"/>
          <w:iCs/>
          <w:sz w:val="24"/>
          <w:szCs w:val="24"/>
          <w:lang w:val="fr-FR" w:eastAsia="en-GB"/>
        </w:rPr>
        <w:t>Case 71/76</w:t>
      </w:r>
      <w:r w:rsidRPr="00D45CDF">
        <w:rPr>
          <w:rFonts w:asciiTheme="minorHAnsi" w:eastAsia="Times New Roman" w:hAnsiTheme="minorHAnsi"/>
          <w:iCs/>
          <w:sz w:val="24"/>
          <w:szCs w:val="24"/>
          <w:lang w:val="fr-FR" w:eastAsia="en-GB"/>
        </w:rPr>
        <w:t>) [</w:t>
      </w:r>
      <w:r w:rsidR="00FD3EC0" w:rsidRPr="00D45CDF">
        <w:rPr>
          <w:rFonts w:asciiTheme="minorHAnsi" w:hAnsiTheme="minorHAnsi"/>
          <w:sz w:val="24"/>
          <w:szCs w:val="24"/>
          <w:shd w:val="clear" w:color="auto" w:fill="FFFFFF"/>
          <w:lang w:val="fr-FR"/>
        </w:rPr>
        <w:t>1977</w:t>
      </w:r>
      <w:r w:rsidR="007D1FE4" w:rsidRPr="00D45CDF">
        <w:rPr>
          <w:rFonts w:asciiTheme="minorHAnsi" w:hAnsiTheme="minorHAnsi"/>
          <w:sz w:val="24"/>
          <w:szCs w:val="24"/>
          <w:shd w:val="clear" w:color="auto" w:fill="FFFFFF"/>
          <w:lang w:val="fr-FR"/>
        </w:rPr>
        <w:t xml:space="preserve">] ECR </w:t>
      </w:r>
      <w:r w:rsidR="007D1FE4" w:rsidRPr="00D45CDF">
        <w:rPr>
          <w:rStyle w:val="Emphasis"/>
          <w:rFonts w:asciiTheme="minorHAnsi" w:hAnsiTheme="minorHAnsi"/>
          <w:i w:val="0"/>
          <w:iCs w:val="0"/>
          <w:sz w:val="24"/>
          <w:szCs w:val="24"/>
          <w:shd w:val="clear" w:color="auto" w:fill="FFFFFF"/>
          <w:lang w:val="fr-FR"/>
        </w:rPr>
        <w:t>00765</w:t>
      </w:r>
    </w:p>
    <w:p w14:paraId="3A500300" w14:textId="77777777" w:rsidR="00653C6C" w:rsidRPr="00D45CDF" w:rsidRDefault="005845A6" w:rsidP="00D45CDF">
      <w:pPr>
        <w:pStyle w:val="FootnoteText"/>
        <w:spacing w:after="240"/>
        <w:rPr>
          <w:rFonts w:asciiTheme="minorHAnsi" w:hAnsiTheme="minorHAnsi"/>
          <w:sz w:val="24"/>
          <w:szCs w:val="24"/>
          <w:shd w:val="clear" w:color="auto" w:fill="FFFFFF"/>
        </w:rPr>
      </w:pPr>
      <w:bookmarkStart w:id="16" w:name="_Hlk42600214"/>
      <w:r w:rsidRPr="00D45CDF">
        <w:rPr>
          <w:rFonts w:asciiTheme="minorHAnsi" w:hAnsiTheme="minorHAnsi"/>
          <w:i/>
          <w:iCs/>
          <w:sz w:val="24"/>
          <w:szCs w:val="24"/>
          <w:lang w:eastAsia="en-GB"/>
        </w:rPr>
        <w:t xml:space="preserve">Van </w:t>
      </w:r>
      <w:proofErr w:type="spellStart"/>
      <w:r w:rsidRPr="00D45CDF">
        <w:rPr>
          <w:rFonts w:asciiTheme="minorHAnsi" w:hAnsiTheme="minorHAnsi"/>
          <w:i/>
          <w:iCs/>
          <w:sz w:val="24"/>
          <w:szCs w:val="24"/>
          <w:lang w:eastAsia="en-GB"/>
        </w:rPr>
        <w:t>Binsbergen</w:t>
      </w:r>
      <w:proofErr w:type="spellEnd"/>
      <w:r w:rsidRPr="00D45CDF">
        <w:rPr>
          <w:rFonts w:asciiTheme="minorHAnsi" w:hAnsiTheme="minorHAnsi"/>
          <w:i/>
          <w:iCs/>
          <w:sz w:val="24"/>
          <w:szCs w:val="24"/>
          <w:lang w:eastAsia="en-GB"/>
        </w:rPr>
        <w:t xml:space="preserve"> v </w:t>
      </w:r>
      <w:proofErr w:type="spellStart"/>
      <w:r w:rsidRPr="00D45CDF">
        <w:rPr>
          <w:rFonts w:asciiTheme="minorHAnsi" w:hAnsiTheme="minorHAnsi"/>
          <w:i/>
          <w:iCs/>
          <w:sz w:val="24"/>
          <w:szCs w:val="24"/>
          <w:lang w:eastAsia="en-GB"/>
        </w:rPr>
        <w:t>Bestuur</w:t>
      </w:r>
      <w:proofErr w:type="spellEnd"/>
      <w:r w:rsidRPr="00D45CDF">
        <w:rPr>
          <w:rFonts w:asciiTheme="minorHAnsi" w:hAnsiTheme="minorHAnsi"/>
          <w:i/>
          <w:iCs/>
          <w:sz w:val="24"/>
          <w:szCs w:val="24"/>
          <w:lang w:eastAsia="en-GB"/>
        </w:rPr>
        <w:t xml:space="preserve"> van de </w:t>
      </w:r>
      <w:proofErr w:type="spellStart"/>
      <w:r w:rsidRPr="00D45CDF">
        <w:rPr>
          <w:rFonts w:asciiTheme="minorHAnsi" w:hAnsiTheme="minorHAnsi"/>
          <w:i/>
          <w:iCs/>
          <w:sz w:val="24"/>
          <w:szCs w:val="24"/>
          <w:lang w:eastAsia="en-GB"/>
        </w:rPr>
        <w:t>Bedrijfsvereniging</w:t>
      </w:r>
      <w:proofErr w:type="spellEnd"/>
      <w:r w:rsidRPr="00D45CDF">
        <w:rPr>
          <w:rFonts w:asciiTheme="minorHAnsi" w:hAnsiTheme="minorHAnsi"/>
          <w:i/>
          <w:iCs/>
          <w:sz w:val="24"/>
          <w:szCs w:val="24"/>
          <w:lang w:eastAsia="en-GB"/>
        </w:rPr>
        <w:t xml:space="preserve"> </w:t>
      </w:r>
      <w:proofErr w:type="spellStart"/>
      <w:r w:rsidRPr="00D45CDF">
        <w:rPr>
          <w:rFonts w:asciiTheme="minorHAnsi" w:hAnsiTheme="minorHAnsi"/>
          <w:i/>
          <w:iCs/>
          <w:sz w:val="24"/>
          <w:szCs w:val="24"/>
          <w:lang w:eastAsia="en-GB"/>
        </w:rPr>
        <w:t>Voor</w:t>
      </w:r>
      <w:proofErr w:type="spellEnd"/>
      <w:r w:rsidRPr="00D45CDF">
        <w:rPr>
          <w:rFonts w:asciiTheme="minorHAnsi" w:hAnsiTheme="minorHAnsi"/>
          <w:i/>
          <w:iCs/>
          <w:sz w:val="24"/>
          <w:szCs w:val="24"/>
          <w:lang w:eastAsia="en-GB"/>
        </w:rPr>
        <w:t xml:space="preserve"> de </w:t>
      </w:r>
      <w:proofErr w:type="spellStart"/>
      <w:r w:rsidRPr="00D45CDF">
        <w:rPr>
          <w:rFonts w:asciiTheme="minorHAnsi" w:hAnsiTheme="minorHAnsi"/>
          <w:i/>
          <w:iCs/>
          <w:sz w:val="24"/>
          <w:szCs w:val="24"/>
          <w:lang w:eastAsia="en-GB"/>
        </w:rPr>
        <w:t>Metaalnijverheid</w:t>
      </w:r>
      <w:proofErr w:type="spellEnd"/>
      <w:r w:rsidRPr="00D45CDF">
        <w:rPr>
          <w:rFonts w:asciiTheme="minorHAnsi" w:hAnsiTheme="minorHAnsi"/>
          <w:i/>
          <w:iCs/>
          <w:sz w:val="24"/>
          <w:szCs w:val="24"/>
          <w:lang w:eastAsia="en-GB"/>
        </w:rPr>
        <w:t xml:space="preserve"> </w:t>
      </w:r>
      <w:r w:rsidRPr="00D45CDF">
        <w:rPr>
          <w:rFonts w:asciiTheme="minorHAnsi" w:hAnsiTheme="minorHAnsi"/>
          <w:sz w:val="24"/>
          <w:szCs w:val="24"/>
          <w:lang w:eastAsia="en-GB"/>
        </w:rPr>
        <w:t>(</w:t>
      </w:r>
      <w:r w:rsidR="00653C6C" w:rsidRPr="00D45CDF">
        <w:rPr>
          <w:rFonts w:asciiTheme="minorHAnsi" w:hAnsiTheme="minorHAnsi"/>
          <w:sz w:val="24"/>
          <w:szCs w:val="24"/>
          <w:lang w:eastAsia="en-GB"/>
        </w:rPr>
        <w:t>Case 33/74</w:t>
      </w:r>
      <w:r w:rsidRPr="00D45CDF">
        <w:rPr>
          <w:rFonts w:asciiTheme="minorHAnsi" w:hAnsiTheme="minorHAnsi"/>
          <w:sz w:val="24"/>
          <w:szCs w:val="24"/>
          <w:lang w:eastAsia="en-GB"/>
        </w:rPr>
        <w:t>) [1974] ECR 1299</w:t>
      </w:r>
    </w:p>
    <w:bookmarkEnd w:id="16"/>
    <w:p w14:paraId="2A8FE2D4" w14:textId="77777777" w:rsidR="00FD3EC0" w:rsidRPr="00D45CDF" w:rsidRDefault="005845A6" w:rsidP="00D45CDF">
      <w:pPr>
        <w:pStyle w:val="FootnoteText"/>
        <w:spacing w:after="240"/>
        <w:rPr>
          <w:rFonts w:asciiTheme="minorHAnsi" w:eastAsia="Times New Roman" w:hAnsiTheme="minorHAnsi"/>
          <w:iCs/>
          <w:sz w:val="24"/>
          <w:szCs w:val="24"/>
          <w:lang w:eastAsia="en-GB"/>
        </w:rPr>
      </w:pPr>
      <w:proofErr w:type="spellStart"/>
      <w:r w:rsidRPr="00D45CDF">
        <w:rPr>
          <w:rFonts w:asciiTheme="minorHAnsi" w:eastAsia="Times New Roman" w:hAnsiTheme="minorHAnsi"/>
          <w:i/>
          <w:sz w:val="24"/>
          <w:szCs w:val="24"/>
          <w:lang w:eastAsia="en-GB"/>
        </w:rPr>
        <w:t>Vlassopoulou</w:t>
      </w:r>
      <w:proofErr w:type="spellEnd"/>
      <w:r w:rsidRPr="00D45CDF">
        <w:rPr>
          <w:rFonts w:asciiTheme="minorHAnsi" w:eastAsia="Times New Roman" w:hAnsiTheme="minorHAnsi"/>
          <w:i/>
          <w:sz w:val="24"/>
          <w:szCs w:val="24"/>
          <w:lang w:eastAsia="en-GB"/>
        </w:rPr>
        <w:t xml:space="preserve"> v Ministerium </w:t>
      </w:r>
      <w:proofErr w:type="spellStart"/>
      <w:r w:rsidRPr="00D45CDF">
        <w:rPr>
          <w:rFonts w:asciiTheme="minorHAnsi" w:eastAsia="Times New Roman" w:hAnsiTheme="minorHAnsi"/>
          <w:i/>
          <w:sz w:val="24"/>
          <w:szCs w:val="24"/>
          <w:lang w:eastAsia="en-GB"/>
        </w:rPr>
        <w:t>für</w:t>
      </w:r>
      <w:proofErr w:type="spellEnd"/>
      <w:r w:rsidRPr="00D45CDF">
        <w:rPr>
          <w:rFonts w:asciiTheme="minorHAnsi" w:eastAsia="Times New Roman" w:hAnsiTheme="minorHAnsi"/>
          <w:i/>
          <w:sz w:val="24"/>
          <w:szCs w:val="24"/>
          <w:lang w:eastAsia="en-GB"/>
        </w:rPr>
        <w:t xml:space="preserve"> </w:t>
      </w:r>
      <w:proofErr w:type="spellStart"/>
      <w:r w:rsidRPr="00D45CDF">
        <w:rPr>
          <w:rFonts w:asciiTheme="minorHAnsi" w:eastAsia="Times New Roman" w:hAnsiTheme="minorHAnsi"/>
          <w:i/>
          <w:sz w:val="24"/>
          <w:szCs w:val="24"/>
          <w:lang w:eastAsia="en-GB"/>
        </w:rPr>
        <w:t>Justiz</w:t>
      </w:r>
      <w:proofErr w:type="spellEnd"/>
      <w:r w:rsidRPr="00D45CDF">
        <w:rPr>
          <w:rFonts w:asciiTheme="minorHAnsi" w:eastAsia="Times New Roman" w:hAnsiTheme="minorHAnsi"/>
          <w:i/>
          <w:sz w:val="24"/>
          <w:szCs w:val="24"/>
          <w:lang w:eastAsia="en-GB"/>
        </w:rPr>
        <w:t xml:space="preserve">, </w:t>
      </w:r>
      <w:proofErr w:type="spellStart"/>
      <w:r w:rsidRPr="00D45CDF">
        <w:rPr>
          <w:rFonts w:asciiTheme="minorHAnsi" w:eastAsia="Times New Roman" w:hAnsiTheme="minorHAnsi"/>
          <w:i/>
          <w:sz w:val="24"/>
          <w:szCs w:val="24"/>
          <w:lang w:eastAsia="en-GB"/>
        </w:rPr>
        <w:t>Bundes</w:t>
      </w:r>
      <w:proofErr w:type="spellEnd"/>
      <w:r w:rsidRPr="00D45CDF">
        <w:rPr>
          <w:rFonts w:asciiTheme="minorHAnsi" w:eastAsia="Times New Roman" w:hAnsiTheme="minorHAnsi"/>
          <w:i/>
          <w:sz w:val="24"/>
          <w:szCs w:val="24"/>
          <w:lang w:eastAsia="en-GB"/>
        </w:rPr>
        <w:t xml:space="preserve"> und </w:t>
      </w:r>
      <w:proofErr w:type="spellStart"/>
      <w:r w:rsidRPr="00D45CDF">
        <w:rPr>
          <w:rFonts w:asciiTheme="minorHAnsi" w:eastAsia="Times New Roman" w:hAnsiTheme="minorHAnsi"/>
          <w:i/>
          <w:sz w:val="24"/>
          <w:szCs w:val="24"/>
          <w:lang w:eastAsia="en-GB"/>
        </w:rPr>
        <w:t>Europaangelegenheiten</w:t>
      </w:r>
      <w:proofErr w:type="spellEnd"/>
      <w:r w:rsidRPr="00D45CDF">
        <w:rPr>
          <w:rFonts w:asciiTheme="minorHAnsi" w:eastAsia="Times New Roman" w:hAnsiTheme="minorHAnsi"/>
          <w:i/>
          <w:sz w:val="24"/>
          <w:szCs w:val="24"/>
          <w:lang w:eastAsia="en-GB"/>
        </w:rPr>
        <w:t xml:space="preserve"> Baden-Württemberg</w:t>
      </w:r>
      <w:r w:rsidRPr="00D45CDF">
        <w:rPr>
          <w:rFonts w:asciiTheme="minorHAnsi" w:eastAsia="Times New Roman" w:hAnsiTheme="minorHAnsi"/>
          <w:iCs/>
          <w:sz w:val="24"/>
          <w:szCs w:val="24"/>
          <w:lang w:eastAsia="en-GB"/>
        </w:rPr>
        <w:t xml:space="preserve"> (</w:t>
      </w:r>
      <w:r w:rsidR="00FD3EC0" w:rsidRPr="00D45CDF">
        <w:rPr>
          <w:rFonts w:asciiTheme="minorHAnsi" w:eastAsia="Times New Roman" w:hAnsiTheme="minorHAnsi"/>
          <w:iCs/>
          <w:sz w:val="24"/>
          <w:szCs w:val="24"/>
          <w:lang w:eastAsia="en-GB"/>
        </w:rPr>
        <w:t>Case C-340/89</w:t>
      </w:r>
      <w:r w:rsidRPr="00D45CDF">
        <w:rPr>
          <w:rFonts w:asciiTheme="minorHAnsi" w:eastAsia="Times New Roman" w:hAnsiTheme="minorHAnsi"/>
          <w:iCs/>
          <w:sz w:val="24"/>
          <w:szCs w:val="24"/>
          <w:lang w:eastAsia="en-GB"/>
        </w:rPr>
        <w:t>) [1991] ECR2357</w:t>
      </w:r>
    </w:p>
    <w:p w14:paraId="6CFDB1F5" w14:textId="77777777" w:rsidR="00B927EC" w:rsidRPr="00D45CDF" w:rsidRDefault="00B927EC" w:rsidP="00D45CDF">
      <w:pPr>
        <w:spacing w:before="240" w:line="240" w:lineRule="auto"/>
        <w:rPr>
          <w:rFonts w:asciiTheme="minorHAnsi" w:eastAsia="Times New Roman" w:hAnsiTheme="minorHAnsi"/>
          <w:b/>
          <w:bCs/>
          <w:color w:val="000222"/>
          <w:kern w:val="36"/>
          <w:sz w:val="24"/>
          <w:szCs w:val="24"/>
          <w:lang w:eastAsia="en-GB"/>
        </w:rPr>
      </w:pPr>
      <w:r w:rsidRPr="00D45CDF">
        <w:rPr>
          <w:rFonts w:asciiTheme="minorHAnsi" w:eastAsia="Times New Roman" w:hAnsiTheme="minorHAnsi"/>
          <w:b/>
          <w:bCs/>
          <w:color w:val="000222"/>
          <w:kern w:val="36"/>
          <w:sz w:val="24"/>
          <w:szCs w:val="24"/>
          <w:lang w:eastAsia="en-GB"/>
        </w:rPr>
        <w:t>Table of Ugandan cases</w:t>
      </w:r>
    </w:p>
    <w:p w14:paraId="5BA10721" w14:textId="77777777" w:rsidR="00B927EC" w:rsidRPr="00D45CDF" w:rsidRDefault="00B927EC" w:rsidP="00D45CDF">
      <w:pPr>
        <w:spacing w:before="240" w:line="240" w:lineRule="auto"/>
        <w:rPr>
          <w:rFonts w:asciiTheme="minorHAnsi" w:eastAsia="Times New Roman" w:hAnsiTheme="minorHAnsi"/>
          <w:color w:val="000222"/>
          <w:kern w:val="36"/>
          <w:sz w:val="24"/>
          <w:szCs w:val="24"/>
          <w:lang w:eastAsia="en-GB"/>
        </w:rPr>
      </w:pPr>
      <w:proofErr w:type="spellStart"/>
      <w:r w:rsidRPr="00D45CDF">
        <w:rPr>
          <w:rFonts w:asciiTheme="minorHAnsi" w:eastAsia="Times New Roman" w:hAnsiTheme="minorHAnsi"/>
          <w:i/>
          <w:iCs/>
          <w:color w:val="000222"/>
          <w:kern w:val="36"/>
          <w:sz w:val="24"/>
          <w:szCs w:val="24"/>
          <w:lang w:eastAsia="en-GB"/>
        </w:rPr>
        <w:t>Katungi</w:t>
      </w:r>
      <w:proofErr w:type="spellEnd"/>
      <w:r w:rsidRPr="00D45CDF">
        <w:rPr>
          <w:rFonts w:asciiTheme="minorHAnsi" w:eastAsia="Times New Roman" w:hAnsiTheme="minorHAnsi"/>
          <w:i/>
          <w:iCs/>
          <w:color w:val="000222"/>
          <w:kern w:val="36"/>
          <w:sz w:val="24"/>
          <w:szCs w:val="24"/>
          <w:lang w:eastAsia="en-GB"/>
        </w:rPr>
        <w:t xml:space="preserve"> Tony vs Attorney General</w:t>
      </w:r>
      <w:r w:rsidRPr="00D45CDF">
        <w:rPr>
          <w:rFonts w:asciiTheme="minorHAnsi" w:eastAsia="Times New Roman" w:hAnsiTheme="minorHAnsi"/>
          <w:color w:val="000222"/>
          <w:kern w:val="36"/>
          <w:sz w:val="24"/>
          <w:szCs w:val="24"/>
          <w:lang w:eastAsia="en-GB"/>
        </w:rPr>
        <w:t xml:space="preserve"> (Misc. Cause No.204 of 2017) [2019] UGHCCD 1 (25 January 2019)</w:t>
      </w:r>
    </w:p>
    <w:p w14:paraId="4B9B5208" w14:textId="77777777" w:rsidR="000660A6" w:rsidRPr="00D45CDF" w:rsidRDefault="0039001D" w:rsidP="00D45CDF">
      <w:pPr>
        <w:spacing w:before="240" w:line="240" w:lineRule="auto"/>
        <w:rPr>
          <w:rFonts w:asciiTheme="minorHAnsi" w:eastAsia="Times New Roman" w:hAnsiTheme="minorHAnsi"/>
          <w:color w:val="000222"/>
          <w:kern w:val="36"/>
          <w:sz w:val="24"/>
          <w:szCs w:val="24"/>
          <w:lang w:eastAsia="en-GB"/>
        </w:rPr>
      </w:pPr>
      <w:r w:rsidRPr="00D45CDF">
        <w:rPr>
          <w:rFonts w:asciiTheme="minorHAnsi" w:hAnsiTheme="minorHAnsi"/>
          <w:i/>
          <w:sz w:val="24"/>
          <w:szCs w:val="24"/>
        </w:rPr>
        <w:t xml:space="preserve">Andrew </w:t>
      </w:r>
      <w:proofErr w:type="spellStart"/>
      <w:r w:rsidRPr="00D45CDF">
        <w:rPr>
          <w:rFonts w:asciiTheme="minorHAnsi" w:hAnsiTheme="minorHAnsi"/>
          <w:i/>
          <w:sz w:val="24"/>
          <w:szCs w:val="24"/>
        </w:rPr>
        <w:t>Bataamwe</w:t>
      </w:r>
      <w:proofErr w:type="spellEnd"/>
      <w:r w:rsidRPr="00D45CDF">
        <w:rPr>
          <w:rFonts w:asciiTheme="minorHAnsi" w:hAnsiTheme="minorHAnsi"/>
          <w:i/>
          <w:sz w:val="24"/>
          <w:szCs w:val="24"/>
        </w:rPr>
        <w:t xml:space="preserve"> vs Attorney General</w:t>
      </w:r>
      <w:r w:rsidRPr="00D45CDF">
        <w:rPr>
          <w:rFonts w:asciiTheme="minorHAnsi" w:hAnsiTheme="minorHAnsi"/>
          <w:sz w:val="24"/>
          <w:szCs w:val="24"/>
        </w:rPr>
        <w:t xml:space="preserve"> (Misc. Cause No. 280 of 2019) (13 May 2020)</w:t>
      </w:r>
    </w:p>
    <w:p w14:paraId="20A6DCF7" w14:textId="77777777" w:rsidR="00B66D64" w:rsidRPr="00D45CDF" w:rsidRDefault="00520F6D" w:rsidP="00D45CDF">
      <w:pPr>
        <w:spacing w:before="240" w:line="240" w:lineRule="auto"/>
        <w:rPr>
          <w:rFonts w:asciiTheme="minorHAnsi" w:eastAsiaTheme="minorHAnsi" w:hAnsiTheme="minorHAnsi"/>
          <w:b/>
          <w:bCs/>
          <w:sz w:val="24"/>
          <w:szCs w:val="24"/>
          <w:lang w:eastAsia="en-US"/>
        </w:rPr>
      </w:pPr>
      <w:bookmarkStart w:id="17" w:name="_Hlk25432258"/>
      <w:r w:rsidRPr="00D45CDF">
        <w:rPr>
          <w:rFonts w:asciiTheme="minorHAnsi" w:eastAsiaTheme="minorHAnsi" w:hAnsiTheme="minorHAnsi"/>
          <w:b/>
          <w:bCs/>
          <w:sz w:val="24"/>
          <w:szCs w:val="24"/>
          <w:lang w:eastAsia="en-US"/>
        </w:rPr>
        <w:t xml:space="preserve">Table of </w:t>
      </w:r>
      <w:bookmarkEnd w:id="17"/>
      <w:r w:rsidR="00B66D64" w:rsidRPr="00D45CDF">
        <w:rPr>
          <w:rFonts w:asciiTheme="minorHAnsi" w:eastAsiaTheme="minorHAnsi" w:hAnsiTheme="minorHAnsi"/>
          <w:b/>
          <w:bCs/>
          <w:sz w:val="24"/>
          <w:szCs w:val="24"/>
          <w:lang w:eastAsia="en-US"/>
        </w:rPr>
        <w:t>EU Legislation</w:t>
      </w:r>
    </w:p>
    <w:p w14:paraId="3C77C453" w14:textId="77777777" w:rsidR="001F2B71" w:rsidRPr="00D45CDF" w:rsidRDefault="001F2B71" w:rsidP="00D45CDF">
      <w:pPr>
        <w:spacing w:before="240" w:line="240" w:lineRule="auto"/>
        <w:rPr>
          <w:rFonts w:asciiTheme="minorHAnsi" w:eastAsiaTheme="minorHAnsi" w:hAnsiTheme="minorHAnsi"/>
          <w:b/>
          <w:bCs/>
          <w:sz w:val="24"/>
          <w:szCs w:val="24"/>
          <w:lang w:eastAsia="en-US"/>
        </w:rPr>
      </w:pPr>
      <w:r w:rsidRPr="00D45CDF">
        <w:rPr>
          <w:rFonts w:asciiTheme="minorHAnsi" w:eastAsiaTheme="minorHAnsi" w:hAnsiTheme="minorHAnsi"/>
          <w:b/>
          <w:bCs/>
          <w:sz w:val="24"/>
          <w:szCs w:val="24"/>
          <w:lang w:eastAsia="en-US"/>
        </w:rPr>
        <w:t>Treaties</w:t>
      </w:r>
    </w:p>
    <w:p w14:paraId="59B380C3" w14:textId="77777777" w:rsidR="00EB17E3" w:rsidRPr="00D45CDF" w:rsidRDefault="00EB17E3" w:rsidP="00D45CDF">
      <w:pPr>
        <w:spacing w:before="240" w:line="240" w:lineRule="auto"/>
        <w:rPr>
          <w:rFonts w:asciiTheme="minorHAnsi" w:eastAsiaTheme="minorHAnsi" w:hAnsiTheme="minorHAnsi"/>
          <w:bCs/>
          <w:sz w:val="24"/>
          <w:szCs w:val="24"/>
          <w:lang w:eastAsia="en-US"/>
        </w:rPr>
      </w:pPr>
      <w:r w:rsidRPr="00D45CDF">
        <w:rPr>
          <w:rFonts w:asciiTheme="minorHAnsi" w:eastAsiaTheme="minorHAnsi" w:hAnsiTheme="minorHAnsi"/>
          <w:bCs/>
          <w:sz w:val="24"/>
          <w:szCs w:val="24"/>
          <w:lang w:eastAsia="en-US"/>
        </w:rPr>
        <w:t>Single European Act 1986</w:t>
      </w:r>
      <w:r w:rsidR="009906DF" w:rsidRPr="00D45CDF">
        <w:rPr>
          <w:rFonts w:asciiTheme="minorHAnsi" w:eastAsiaTheme="minorHAnsi" w:hAnsiTheme="minorHAnsi"/>
          <w:bCs/>
          <w:sz w:val="24"/>
          <w:szCs w:val="24"/>
          <w:lang w:eastAsia="en-US"/>
        </w:rPr>
        <w:t xml:space="preserve"> (SEA)</w:t>
      </w:r>
    </w:p>
    <w:p w14:paraId="565FA629" w14:textId="77777777" w:rsidR="00FA20C0" w:rsidRPr="00D45CDF" w:rsidRDefault="00FA20C0" w:rsidP="00D45CDF">
      <w:pPr>
        <w:spacing w:before="240" w:line="240" w:lineRule="auto"/>
        <w:rPr>
          <w:rFonts w:asciiTheme="minorHAnsi" w:eastAsiaTheme="minorHAnsi" w:hAnsiTheme="minorHAnsi"/>
          <w:bCs/>
          <w:sz w:val="24"/>
          <w:szCs w:val="24"/>
          <w:lang w:eastAsia="en-US"/>
        </w:rPr>
      </w:pPr>
      <w:r w:rsidRPr="00D45CDF">
        <w:rPr>
          <w:rFonts w:asciiTheme="minorHAnsi" w:hAnsiTheme="minorHAnsi"/>
          <w:sz w:val="24"/>
          <w:szCs w:val="24"/>
          <w:shd w:val="clear" w:color="auto" w:fill="FFFFFF" w:themeFill="background1"/>
        </w:rPr>
        <w:lastRenderedPageBreak/>
        <w:t>Treaty on European Union</w:t>
      </w:r>
      <w:r w:rsidRPr="00D45CDF">
        <w:rPr>
          <w:rFonts w:asciiTheme="minorHAnsi" w:eastAsiaTheme="minorHAnsi" w:hAnsiTheme="minorHAnsi"/>
          <w:bCs/>
          <w:sz w:val="24"/>
          <w:szCs w:val="24"/>
          <w:lang w:eastAsia="en-US"/>
        </w:rPr>
        <w:t xml:space="preserve"> </w:t>
      </w:r>
    </w:p>
    <w:p w14:paraId="2E764D42" w14:textId="77777777" w:rsidR="00FA20C0" w:rsidRPr="00D45CDF" w:rsidRDefault="00FA20C0" w:rsidP="00D45CDF">
      <w:pPr>
        <w:spacing w:before="240" w:line="240" w:lineRule="auto"/>
        <w:rPr>
          <w:rFonts w:asciiTheme="minorHAnsi" w:eastAsiaTheme="minorHAnsi" w:hAnsiTheme="minorHAnsi"/>
          <w:bCs/>
          <w:sz w:val="24"/>
          <w:szCs w:val="24"/>
          <w:lang w:eastAsia="en-US"/>
        </w:rPr>
      </w:pPr>
      <w:r w:rsidRPr="00D45CDF">
        <w:rPr>
          <w:rFonts w:asciiTheme="minorHAnsi" w:eastAsiaTheme="minorHAnsi" w:hAnsiTheme="minorHAnsi"/>
          <w:bCs/>
          <w:sz w:val="24"/>
          <w:szCs w:val="24"/>
          <w:lang w:eastAsia="en-US"/>
        </w:rPr>
        <w:t>Treaty on the Functioning of the European Union (TFEU)</w:t>
      </w:r>
    </w:p>
    <w:p w14:paraId="0B7EB911" w14:textId="77777777" w:rsidR="00C2292C" w:rsidRPr="00D45CDF" w:rsidRDefault="00EB17E3" w:rsidP="00D45CDF">
      <w:pPr>
        <w:spacing w:before="240" w:line="240" w:lineRule="auto"/>
        <w:rPr>
          <w:rFonts w:asciiTheme="minorHAnsi" w:eastAsiaTheme="minorHAnsi" w:hAnsiTheme="minorHAnsi"/>
          <w:bCs/>
          <w:sz w:val="24"/>
          <w:szCs w:val="24"/>
          <w:lang w:eastAsia="en-US"/>
        </w:rPr>
      </w:pPr>
      <w:r w:rsidRPr="00D45CDF">
        <w:rPr>
          <w:rFonts w:asciiTheme="minorHAnsi" w:eastAsiaTheme="minorHAnsi" w:hAnsiTheme="minorHAnsi"/>
          <w:bCs/>
          <w:sz w:val="24"/>
          <w:szCs w:val="24"/>
          <w:lang w:eastAsia="en-US"/>
        </w:rPr>
        <w:t>Treaty establishing the European Economic community</w:t>
      </w:r>
      <w:r w:rsidR="00FA20C0" w:rsidRPr="00D45CDF">
        <w:rPr>
          <w:rFonts w:asciiTheme="minorHAnsi" w:eastAsiaTheme="minorHAnsi" w:hAnsiTheme="minorHAnsi"/>
          <w:bCs/>
          <w:sz w:val="24"/>
          <w:szCs w:val="24"/>
          <w:lang w:eastAsia="en-US"/>
        </w:rPr>
        <w:t>/</w:t>
      </w:r>
      <w:r w:rsidRPr="00D45CDF">
        <w:rPr>
          <w:rFonts w:asciiTheme="minorHAnsi" w:eastAsiaTheme="minorHAnsi" w:hAnsiTheme="minorHAnsi"/>
          <w:bCs/>
          <w:sz w:val="24"/>
          <w:szCs w:val="24"/>
          <w:lang w:eastAsia="en-US"/>
        </w:rPr>
        <w:t>Treaty of Rome1957</w:t>
      </w:r>
      <w:r w:rsidR="00FA20C0" w:rsidRPr="00D45CDF">
        <w:rPr>
          <w:rFonts w:asciiTheme="minorHAnsi" w:eastAsiaTheme="minorHAnsi" w:hAnsiTheme="minorHAnsi"/>
          <w:bCs/>
          <w:sz w:val="24"/>
          <w:szCs w:val="24"/>
          <w:lang w:eastAsia="en-US"/>
        </w:rPr>
        <w:t xml:space="preserve"> (EEC Treaty</w:t>
      </w:r>
      <w:r w:rsidRPr="00D45CDF">
        <w:rPr>
          <w:rFonts w:asciiTheme="minorHAnsi" w:eastAsiaTheme="minorHAnsi" w:hAnsiTheme="minorHAnsi"/>
          <w:bCs/>
          <w:sz w:val="24"/>
          <w:szCs w:val="24"/>
          <w:lang w:eastAsia="en-US"/>
        </w:rPr>
        <w:t xml:space="preserve">) </w:t>
      </w:r>
    </w:p>
    <w:p w14:paraId="178E7DB8" w14:textId="77777777" w:rsidR="001F2B71" w:rsidRPr="00D45CDF" w:rsidRDefault="001F2B71" w:rsidP="00D45CDF">
      <w:pPr>
        <w:pStyle w:val="NormalWeb"/>
        <w:shd w:val="clear" w:color="auto" w:fill="FFFFFF"/>
        <w:spacing w:before="0" w:beforeAutospacing="0" w:after="75" w:afterAutospacing="0"/>
        <w:rPr>
          <w:rFonts w:asciiTheme="minorHAnsi" w:hAnsiTheme="minorHAnsi" w:cs="Arial"/>
          <w:b/>
          <w:bCs/>
        </w:rPr>
      </w:pPr>
      <w:r w:rsidRPr="00D45CDF">
        <w:rPr>
          <w:rFonts w:asciiTheme="minorHAnsi" w:hAnsiTheme="minorHAnsi" w:cs="Arial"/>
          <w:b/>
          <w:bCs/>
        </w:rPr>
        <w:t>Directives</w:t>
      </w:r>
    </w:p>
    <w:p w14:paraId="5079CCB1" w14:textId="77777777" w:rsidR="00870582" w:rsidRPr="00D45CDF" w:rsidRDefault="00B66D64" w:rsidP="00D45CDF">
      <w:pPr>
        <w:pStyle w:val="NormalWeb"/>
        <w:shd w:val="clear" w:color="auto" w:fill="FFFFFF"/>
        <w:spacing w:before="0" w:beforeAutospacing="0" w:after="75" w:afterAutospacing="0"/>
        <w:rPr>
          <w:rFonts w:asciiTheme="minorHAnsi" w:hAnsiTheme="minorHAnsi" w:cs="Arial"/>
        </w:rPr>
      </w:pPr>
      <w:r w:rsidRPr="00D45CDF">
        <w:rPr>
          <w:rFonts w:asciiTheme="minorHAnsi" w:hAnsiTheme="minorHAnsi" w:cs="Arial"/>
        </w:rPr>
        <w:t>Lawyers Establishment Directive 98/5/EC</w:t>
      </w:r>
      <w:r w:rsidR="00870582" w:rsidRPr="00D45CDF">
        <w:rPr>
          <w:rFonts w:asciiTheme="minorHAnsi" w:hAnsiTheme="minorHAnsi" w:cs="Arial"/>
        </w:rPr>
        <w:t xml:space="preserve"> to facilitate practice of the profession of lawyer on a permanent basis in a Member State other than that in which the qualification was obtained </w:t>
      </w:r>
      <w:r w:rsidR="00870582" w:rsidRPr="00D45CDF">
        <w:rPr>
          <w:rStyle w:val="Emphasis"/>
          <w:rFonts w:asciiTheme="minorHAnsi" w:hAnsiTheme="minorHAnsi" w:cs="Arial"/>
        </w:rPr>
        <w:t>OJ L 77, 14.3.1998, p. 36–43</w:t>
      </w:r>
    </w:p>
    <w:p w14:paraId="6BAE7BC3" w14:textId="77777777" w:rsidR="00B66D64" w:rsidRPr="00D45CDF" w:rsidRDefault="00B66D64" w:rsidP="00D45CDF">
      <w:pPr>
        <w:spacing w:before="240" w:line="240" w:lineRule="auto"/>
        <w:rPr>
          <w:rFonts w:asciiTheme="minorHAnsi" w:eastAsiaTheme="minorHAnsi" w:hAnsiTheme="minorHAnsi"/>
          <w:bCs/>
          <w:sz w:val="24"/>
          <w:szCs w:val="24"/>
          <w:lang w:eastAsia="en-US"/>
        </w:rPr>
      </w:pPr>
      <w:r w:rsidRPr="00D45CDF">
        <w:rPr>
          <w:rFonts w:asciiTheme="minorHAnsi" w:hAnsiTheme="minorHAnsi"/>
          <w:sz w:val="24"/>
          <w:szCs w:val="24"/>
        </w:rPr>
        <w:t>Lawyers Services Directive 77/249/EEC</w:t>
      </w:r>
      <w:r w:rsidR="004C5136" w:rsidRPr="00D45CDF">
        <w:rPr>
          <w:rFonts w:asciiTheme="minorHAnsi" w:hAnsiTheme="minorHAnsi"/>
          <w:sz w:val="24"/>
          <w:szCs w:val="24"/>
        </w:rPr>
        <w:t xml:space="preserve"> to facilitate the effective exercise by lawyers of freedom to provide services, </w:t>
      </w:r>
      <w:r w:rsidR="004C5136" w:rsidRPr="00D45CDF">
        <w:rPr>
          <w:rStyle w:val="Emphasis"/>
          <w:rFonts w:asciiTheme="minorHAnsi" w:hAnsiTheme="minorHAnsi"/>
          <w:sz w:val="24"/>
          <w:szCs w:val="24"/>
        </w:rPr>
        <w:t>OJ L 78, 26.3.1977, p. 17–18</w:t>
      </w:r>
    </w:p>
    <w:p w14:paraId="1FCEE366" w14:textId="77777777" w:rsidR="00B66D64" w:rsidRPr="00D45CDF" w:rsidRDefault="00B66D64" w:rsidP="00D45CDF">
      <w:pPr>
        <w:spacing w:before="240" w:line="240" w:lineRule="auto"/>
        <w:rPr>
          <w:rFonts w:asciiTheme="minorHAnsi" w:hAnsiTheme="minorHAnsi"/>
          <w:sz w:val="24"/>
          <w:szCs w:val="24"/>
        </w:rPr>
      </w:pPr>
      <w:r w:rsidRPr="00D45CDF">
        <w:rPr>
          <w:rFonts w:asciiTheme="minorHAnsi" w:hAnsiTheme="minorHAnsi"/>
          <w:sz w:val="24"/>
          <w:szCs w:val="24"/>
        </w:rPr>
        <w:t>Professional Qualifications Directive 2005/36 EC</w:t>
      </w:r>
      <w:r w:rsidR="004C5136" w:rsidRPr="00D45CDF">
        <w:rPr>
          <w:rFonts w:asciiTheme="minorHAnsi" w:hAnsiTheme="minorHAnsi"/>
          <w:sz w:val="24"/>
          <w:szCs w:val="24"/>
        </w:rPr>
        <w:t xml:space="preserve"> on the recognition of professional qualifications </w:t>
      </w:r>
      <w:r w:rsidR="004C5136" w:rsidRPr="00D45CDF">
        <w:rPr>
          <w:rStyle w:val="Emphasis"/>
          <w:rFonts w:asciiTheme="minorHAnsi" w:hAnsiTheme="minorHAnsi"/>
          <w:sz w:val="24"/>
          <w:szCs w:val="24"/>
        </w:rPr>
        <w:t>OJ L 255, 30.9.2005, p. 22–142</w:t>
      </w:r>
    </w:p>
    <w:p w14:paraId="5EF687C2" w14:textId="77777777" w:rsidR="00B66D64" w:rsidRPr="00D45CDF" w:rsidRDefault="00B66D64" w:rsidP="00D45CDF">
      <w:pPr>
        <w:spacing w:before="240" w:line="240" w:lineRule="auto"/>
        <w:rPr>
          <w:rFonts w:asciiTheme="minorHAnsi" w:eastAsiaTheme="minorHAnsi" w:hAnsiTheme="minorHAnsi"/>
          <w:sz w:val="24"/>
          <w:szCs w:val="24"/>
          <w:lang w:eastAsia="en-US"/>
        </w:rPr>
      </w:pPr>
      <w:r w:rsidRPr="00D45CDF">
        <w:rPr>
          <w:rFonts w:asciiTheme="minorHAnsi" w:eastAsiaTheme="minorHAnsi" w:hAnsiTheme="minorHAnsi"/>
          <w:sz w:val="24"/>
          <w:szCs w:val="24"/>
          <w:lang w:eastAsia="en-US"/>
        </w:rPr>
        <w:t xml:space="preserve">Directive 2013/55/EU </w:t>
      </w:r>
      <w:r w:rsidR="004C5136" w:rsidRPr="00D45CDF">
        <w:rPr>
          <w:rFonts w:asciiTheme="minorHAnsi" w:hAnsiTheme="minorHAnsi"/>
          <w:sz w:val="24"/>
          <w:szCs w:val="24"/>
          <w:shd w:val="clear" w:color="auto" w:fill="FFFFFF"/>
        </w:rPr>
        <w:t>on the</w:t>
      </w:r>
      <w:r w:rsidR="004C5136" w:rsidRPr="00D45CDF">
        <w:rPr>
          <w:rFonts w:asciiTheme="minorHAnsi" w:hAnsiTheme="minorHAnsi"/>
          <w:sz w:val="24"/>
          <w:szCs w:val="24"/>
        </w:rPr>
        <w:t xml:space="preserve"> on the recognition of professional qualifications and Regulation (EU) No 1024/2012 on administrative cooperation through the Internal Market Information System (‘the IMI Regulation’) Text with EEA relevance </w:t>
      </w:r>
      <w:r w:rsidR="004C5136" w:rsidRPr="00D45CDF">
        <w:rPr>
          <w:rStyle w:val="Emphasis"/>
          <w:rFonts w:asciiTheme="minorHAnsi" w:hAnsiTheme="minorHAnsi"/>
          <w:sz w:val="24"/>
          <w:szCs w:val="24"/>
        </w:rPr>
        <w:t>OJ L 354, 28.12.2013, p. 132–170</w:t>
      </w:r>
    </w:p>
    <w:p w14:paraId="32C31729" w14:textId="77777777" w:rsidR="006A148B" w:rsidRPr="00D45CDF" w:rsidRDefault="00520F6D" w:rsidP="00D45CDF">
      <w:pPr>
        <w:spacing w:before="240" w:line="240" w:lineRule="auto"/>
        <w:rPr>
          <w:rFonts w:asciiTheme="minorHAnsi" w:eastAsiaTheme="minorHAnsi" w:hAnsiTheme="minorHAnsi"/>
          <w:b/>
          <w:bCs/>
          <w:sz w:val="24"/>
          <w:szCs w:val="24"/>
          <w:lang w:eastAsia="en-US"/>
        </w:rPr>
      </w:pPr>
      <w:r w:rsidRPr="00D45CDF">
        <w:rPr>
          <w:rFonts w:asciiTheme="minorHAnsi" w:eastAsiaTheme="minorHAnsi" w:hAnsiTheme="minorHAnsi"/>
          <w:b/>
          <w:bCs/>
          <w:sz w:val="24"/>
          <w:szCs w:val="24"/>
          <w:lang w:eastAsia="en-US"/>
        </w:rPr>
        <w:t xml:space="preserve">Table of </w:t>
      </w:r>
      <w:r w:rsidR="006A148B" w:rsidRPr="00D45CDF">
        <w:rPr>
          <w:rFonts w:asciiTheme="minorHAnsi" w:eastAsiaTheme="minorHAnsi" w:hAnsiTheme="minorHAnsi"/>
          <w:b/>
          <w:bCs/>
          <w:sz w:val="24"/>
          <w:szCs w:val="24"/>
          <w:lang w:eastAsia="en-US"/>
        </w:rPr>
        <w:t>UK Legislation</w:t>
      </w:r>
    </w:p>
    <w:p w14:paraId="015C5923" w14:textId="77777777" w:rsidR="006A148B" w:rsidRPr="00D45CDF" w:rsidRDefault="006A148B" w:rsidP="00D45CDF">
      <w:pPr>
        <w:spacing w:before="240" w:line="240" w:lineRule="auto"/>
        <w:rPr>
          <w:rFonts w:asciiTheme="minorHAnsi" w:hAnsiTheme="minorHAnsi"/>
          <w:sz w:val="24"/>
          <w:szCs w:val="24"/>
        </w:rPr>
      </w:pPr>
      <w:r w:rsidRPr="00D45CDF">
        <w:rPr>
          <w:rFonts w:asciiTheme="minorHAnsi" w:hAnsiTheme="minorHAnsi"/>
          <w:sz w:val="24"/>
          <w:szCs w:val="24"/>
          <w:shd w:val="clear" w:color="auto" w:fill="FFFFFF"/>
        </w:rPr>
        <w:t>Courts and Legal Services Act 1990</w:t>
      </w:r>
    </w:p>
    <w:p w14:paraId="4ED45401" w14:textId="77777777" w:rsidR="006A148B" w:rsidRPr="00D45CDF" w:rsidRDefault="006A148B" w:rsidP="00D45CDF">
      <w:pPr>
        <w:spacing w:before="240" w:line="240" w:lineRule="auto"/>
        <w:rPr>
          <w:rFonts w:asciiTheme="minorHAnsi" w:hAnsiTheme="minorHAnsi"/>
          <w:color w:val="000000"/>
          <w:sz w:val="24"/>
          <w:szCs w:val="24"/>
        </w:rPr>
      </w:pPr>
      <w:r w:rsidRPr="00D45CDF">
        <w:rPr>
          <w:rFonts w:asciiTheme="minorHAnsi" w:hAnsiTheme="minorHAnsi"/>
          <w:color w:val="000000"/>
          <w:sz w:val="24"/>
          <w:szCs w:val="24"/>
        </w:rPr>
        <w:t>European Communities (Lawyer's Practice) Regulations 2000</w:t>
      </w:r>
    </w:p>
    <w:p w14:paraId="42A77E5C" w14:textId="77777777" w:rsidR="006A148B" w:rsidRPr="00D45CDF" w:rsidRDefault="006A148B" w:rsidP="00D45CDF">
      <w:pPr>
        <w:spacing w:before="240" w:line="240" w:lineRule="auto"/>
        <w:rPr>
          <w:rFonts w:asciiTheme="minorHAnsi" w:hAnsiTheme="minorHAnsi"/>
          <w:sz w:val="24"/>
          <w:szCs w:val="24"/>
        </w:rPr>
      </w:pPr>
      <w:r w:rsidRPr="00D45CDF">
        <w:rPr>
          <w:rFonts w:asciiTheme="minorHAnsi" w:hAnsiTheme="minorHAnsi"/>
          <w:color w:val="000000"/>
          <w:sz w:val="24"/>
          <w:szCs w:val="24"/>
        </w:rPr>
        <w:t>European Union (Recognition of Professional Qualifications) Regulations 2015</w:t>
      </w:r>
    </w:p>
    <w:p w14:paraId="2EA7661E" w14:textId="77777777" w:rsidR="006A148B" w:rsidRPr="00D45CDF" w:rsidRDefault="006A148B" w:rsidP="00D45CDF">
      <w:pPr>
        <w:spacing w:before="240" w:line="240" w:lineRule="auto"/>
        <w:rPr>
          <w:rFonts w:asciiTheme="minorHAnsi" w:hAnsiTheme="minorHAnsi"/>
          <w:sz w:val="24"/>
          <w:szCs w:val="24"/>
        </w:rPr>
      </w:pPr>
      <w:r w:rsidRPr="00D45CDF">
        <w:rPr>
          <w:rFonts w:asciiTheme="minorHAnsi" w:hAnsiTheme="minorHAnsi"/>
          <w:sz w:val="24"/>
          <w:szCs w:val="24"/>
        </w:rPr>
        <w:t>Legal Services Act 2007</w:t>
      </w:r>
    </w:p>
    <w:p w14:paraId="67054671" w14:textId="77777777" w:rsidR="006A148B" w:rsidRPr="00D45CDF" w:rsidRDefault="006A148B" w:rsidP="00D45CDF">
      <w:pPr>
        <w:spacing w:before="240" w:line="240" w:lineRule="auto"/>
        <w:rPr>
          <w:rFonts w:asciiTheme="minorHAnsi" w:hAnsiTheme="minorHAnsi"/>
          <w:sz w:val="24"/>
          <w:szCs w:val="24"/>
        </w:rPr>
      </w:pPr>
      <w:r w:rsidRPr="00D45CDF">
        <w:rPr>
          <w:rFonts w:asciiTheme="minorHAnsi" w:hAnsiTheme="minorHAnsi"/>
          <w:sz w:val="24"/>
          <w:szCs w:val="24"/>
        </w:rPr>
        <w:t>SRA Practising Regulations 2011</w:t>
      </w:r>
    </w:p>
    <w:p w14:paraId="506C4A12" w14:textId="77777777" w:rsidR="00520F6D" w:rsidRPr="00D45CDF" w:rsidRDefault="00520F6D" w:rsidP="00D45CDF">
      <w:pPr>
        <w:spacing w:line="240" w:lineRule="auto"/>
        <w:rPr>
          <w:rFonts w:asciiTheme="minorHAnsi" w:hAnsiTheme="minorHAnsi"/>
          <w:b/>
          <w:sz w:val="24"/>
          <w:szCs w:val="24"/>
        </w:rPr>
      </w:pPr>
      <w:r w:rsidRPr="00D45CDF">
        <w:rPr>
          <w:rFonts w:asciiTheme="minorHAnsi" w:eastAsiaTheme="minorHAnsi" w:hAnsiTheme="minorHAnsi"/>
          <w:b/>
          <w:bCs/>
          <w:sz w:val="24"/>
          <w:szCs w:val="24"/>
          <w:lang w:eastAsia="en-US"/>
        </w:rPr>
        <w:t xml:space="preserve">Table of </w:t>
      </w:r>
      <w:r w:rsidRPr="00D45CDF">
        <w:rPr>
          <w:rFonts w:asciiTheme="minorHAnsi" w:hAnsiTheme="minorHAnsi"/>
          <w:b/>
          <w:sz w:val="24"/>
          <w:szCs w:val="24"/>
        </w:rPr>
        <w:t>EAC Legislation</w:t>
      </w:r>
    </w:p>
    <w:p w14:paraId="65627964" w14:textId="77777777" w:rsidR="00C35C74" w:rsidRPr="00D45CDF" w:rsidRDefault="00C35C74" w:rsidP="00D45CDF">
      <w:pPr>
        <w:shd w:val="clear" w:color="auto" w:fill="FFFFFF"/>
        <w:spacing w:line="240" w:lineRule="auto"/>
        <w:jc w:val="both"/>
        <w:rPr>
          <w:rFonts w:asciiTheme="minorHAnsi" w:hAnsiTheme="minorHAnsi"/>
          <w:sz w:val="24"/>
          <w:szCs w:val="24"/>
        </w:rPr>
      </w:pPr>
      <w:r w:rsidRPr="00D45CDF">
        <w:rPr>
          <w:rFonts w:asciiTheme="minorHAnsi" w:hAnsiTheme="minorHAnsi"/>
          <w:sz w:val="24"/>
          <w:szCs w:val="24"/>
        </w:rPr>
        <w:t xml:space="preserve">EAC Common Market (Free Movement of Workers) Regulations </w:t>
      </w:r>
    </w:p>
    <w:p w14:paraId="0DD7DDE7" w14:textId="77777777" w:rsidR="00520F6D" w:rsidRPr="00D45CDF" w:rsidRDefault="00520F6D" w:rsidP="00D45CDF">
      <w:pPr>
        <w:spacing w:line="240" w:lineRule="auto"/>
        <w:rPr>
          <w:rFonts w:asciiTheme="minorHAnsi" w:hAnsiTheme="minorHAnsi"/>
          <w:sz w:val="24"/>
          <w:szCs w:val="24"/>
        </w:rPr>
      </w:pPr>
      <w:r w:rsidRPr="00D45CDF">
        <w:rPr>
          <w:rFonts w:asciiTheme="minorHAnsi" w:hAnsiTheme="minorHAnsi"/>
          <w:sz w:val="24"/>
          <w:szCs w:val="24"/>
        </w:rPr>
        <w:t>EAC Common Market (Right of Establishment) Regulations (Annex III)</w:t>
      </w:r>
    </w:p>
    <w:p w14:paraId="2D68A1F7" w14:textId="77777777" w:rsidR="00520F6D" w:rsidRPr="00D45CDF" w:rsidRDefault="00520F6D" w:rsidP="00D45CDF">
      <w:pPr>
        <w:shd w:val="clear" w:color="auto" w:fill="FFFFFF"/>
        <w:spacing w:line="240" w:lineRule="auto"/>
        <w:jc w:val="both"/>
        <w:rPr>
          <w:rFonts w:asciiTheme="minorHAnsi" w:hAnsiTheme="minorHAnsi"/>
          <w:sz w:val="24"/>
          <w:szCs w:val="24"/>
        </w:rPr>
      </w:pPr>
      <w:r w:rsidRPr="00D45CDF">
        <w:rPr>
          <w:rFonts w:asciiTheme="minorHAnsi" w:eastAsiaTheme="minorHAnsi" w:hAnsiTheme="minorHAnsi"/>
          <w:color w:val="000000"/>
          <w:sz w:val="24"/>
          <w:szCs w:val="24"/>
          <w:lang w:eastAsia="en-US"/>
        </w:rPr>
        <w:t>E</w:t>
      </w:r>
      <w:r w:rsidRPr="00D45CDF">
        <w:rPr>
          <w:rFonts w:asciiTheme="minorHAnsi" w:hAnsiTheme="minorHAnsi"/>
          <w:sz w:val="24"/>
          <w:szCs w:val="24"/>
        </w:rPr>
        <w:t>AC</w:t>
      </w:r>
      <w:r w:rsidRPr="00D45CDF">
        <w:rPr>
          <w:rFonts w:asciiTheme="minorHAnsi" w:eastAsiaTheme="minorHAnsi" w:hAnsiTheme="minorHAnsi"/>
          <w:color w:val="000000"/>
          <w:sz w:val="24"/>
          <w:szCs w:val="24"/>
          <w:lang w:eastAsia="en-US"/>
        </w:rPr>
        <w:t xml:space="preserve"> </w:t>
      </w:r>
      <w:r w:rsidRPr="00D45CDF">
        <w:rPr>
          <w:rFonts w:asciiTheme="minorHAnsi" w:hAnsiTheme="minorHAnsi"/>
          <w:sz w:val="24"/>
          <w:szCs w:val="24"/>
        </w:rPr>
        <w:t>C</w:t>
      </w:r>
      <w:r w:rsidRPr="00D45CDF">
        <w:rPr>
          <w:rFonts w:asciiTheme="minorHAnsi" w:eastAsiaTheme="minorHAnsi" w:hAnsiTheme="minorHAnsi"/>
          <w:color w:val="000000"/>
          <w:sz w:val="24"/>
          <w:szCs w:val="24"/>
          <w:lang w:eastAsia="en-US"/>
        </w:rPr>
        <w:t xml:space="preserve">ommon </w:t>
      </w:r>
      <w:r w:rsidRPr="00D45CDF">
        <w:rPr>
          <w:rFonts w:asciiTheme="minorHAnsi" w:hAnsiTheme="minorHAnsi"/>
          <w:sz w:val="24"/>
          <w:szCs w:val="24"/>
        </w:rPr>
        <w:t>M</w:t>
      </w:r>
      <w:r w:rsidRPr="00D45CDF">
        <w:rPr>
          <w:rFonts w:asciiTheme="minorHAnsi" w:eastAsiaTheme="minorHAnsi" w:hAnsiTheme="minorHAnsi"/>
          <w:color w:val="000000"/>
          <w:sz w:val="24"/>
          <w:szCs w:val="24"/>
          <w:lang w:eastAsia="en-US"/>
        </w:rPr>
        <w:t xml:space="preserve">arket Schedule of </w:t>
      </w:r>
      <w:r w:rsidRPr="00D45CDF">
        <w:rPr>
          <w:rFonts w:asciiTheme="minorHAnsi" w:hAnsiTheme="minorHAnsi"/>
          <w:sz w:val="24"/>
          <w:szCs w:val="24"/>
        </w:rPr>
        <w:t>C</w:t>
      </w:r>
      <w:r w:rsidRPr="00D45CDF">
        <w:rPr>
          <w:rFonts w:asciiTheme="minorHAnsi" w:eastAsiaTheme="minorHAnsi" w:hAnsiTheme="minorHAnsi"/>
          <w:color w:val="000000"/>
          <w:sz w:val="24"/>
          <w:szCs w:val="24"/>
          <w:lang w:eastAsia="en-US"/>
        </w:rPr>
        <w:t xml:space="preserve">ommitments on the </w:t>
      </w:r>
      <w:r w:rsidRPr="00D45CDF">
        <w:rPr>
          <w:rFonts w:asciiTheme="minorHAnsi" w:hAnsiTheme="minorHAnsi"/>
          <w:sz w:val="24"/>
          <w:szCs w:val="24"/>
        </w:rPr>
        <w:t>P</w:t>
      </w:r>
      <w:r w:rsidRPr="00D45CDF">
        <w:rPr>
          <w:rFonts w:asciiTheme="minorHAnsi" w:eastAsiaTheme="minorHAnsi" w:hAnsiTheme="minorHAnsi"/>
          <w:color w:val="000000"/>
          <w:sz w:val="24"/>
          <w:szCs w:val="24"/>
          <w:lang w:eastAsia="en-US"/>
        </w:rPr>
        <w:t xml:space="preserve">rogressive Liberalisation of </w:t>
      </w:r>
      <w:r w:rsidRPr="00D45CDF">
        <w:rPr>
          <w:rFonts w:asciiTheme="minorHAnsi" w:hAnsiTheme="minorHAnsi"/>
          <w:sz w:val="24"/>
          <w:szCs w:val="24"/>
        </w:rPr>
        <w:t>S</w:t>
      </w:r>
      <w:r w:rsidRPr="00D45CDF">
        <w:rPr>
          <w:rFonts w:asciiTheme="minorHAnsi" w:eastAsiaTheme="minorHAnsi" w:hAnsiTheme="minorHAnsi"/>
          <w:color w:val="000000"/>
          <w:sz w:val="24"/>
          <w:szCs w:val="24"/>
          <w:lang w:eastAsia="en-US"/>
        </w:rPr>
        <w:t>ervices</w:t>
      </w:r>
      <w:r w:rsidRPr="00D45CDF">
        <w:rPr>
          <w:rFonts w:asciiTheme="minorHAnsi" w:hAnsiTheme="minorHAnsi"/>
          <w:sz w:val="24"/>
          <w:szCs w:val="24"/>
        </w:rPr>
        <w:t xml:space="preserve"> (Annex V)</w:t>
      </w:r>
    </w:p>
    <w:p w14:paraId="221A394E" w14:textId="77777777" w:rsidR="00520F6D" w:rsidRPr="00D45CDF" w:rsidRDefault="00520F6D" w:rsidP="00D45CDF">
      <w:pPr>
        <w:shd w:val="clear" w:color="auto" w:fill="FFFFFF"/>
        <w:spacing w:line="240" w:lineRule="auto"/>
        <w:jc w:val="both"/>
        <w:rPr>
          <w:rFonts w:asciiTheme="minorHAnsi" w:hAnsiTheme="minorHAnsi"/>
          <w:sz w:val="24"/>
          <w:szCs w:val="24"/>
        </w:rPr>
      </w:pPr>
      <w:r w:rsidRPr="00D45CDF">
        <w:rPr>
          <w:rFonts w:asciiTheme="minorHAnsi" w:hAnsiTheme="minorHAnsi"/>
          <w:sz w:val="24"/>
          <w:szCs w:val="24"/>
        </w:rPr>
        <w:t>EAC Cross Border Legal Practice Bill 2014</w:t>
      </w:r>
    </w:p>
    <w:p w14:paraId="63151E21" w14:textId="77777777" w:rsidR="00520F6D" w:rsidRPr="00D45CDF" w:rsidRDefault="00520F6D" w:rsidP="00D45CDF">
      <w:pPr>
        <w:spacing w:line="240" w:lineRule="auto"/>
        <w:rPr>
          <w:rFonts w:asciiTheme="minorHAnsi" w:hAnsiTheme="minorHAnsi"/>
          <w:sz w:val="24"/>
          <w:szCs w:val="24"/>
        </w:rPr>
      </w:pPr>
      <w:r w:rsidRPr="00D45CDF">
        <w:rPr>
          <w:rFonts w:asciiTheme="minorHAnsi" w:hAnsiTheme="minorHAnsi"/>
          <w:sz w:val="24"/>
          <w:szCs w:val="24"/>
        </w:rPr>
        <w:t>EAC Treaty 1999</w:t>
      </w:r>
    </w:p>
    <w:p w14:paraId="3C31CC0E" w14:textId="77777777" w:rsidR="001F2B71" w:rsidRPr="00D45CDF" w:rsidRDefault="00520F6D" w:rsidP="00D45CDF">
      <w:pPr>
        <w:spacing w:line="240" w:lineRule="auto"/>
        <w:rPr>
          <w:rFonts w:asciiTheme="minorHAnsi" w:hAnsiTheme="minorHAnsi"/>
          <w:sz w:val="24"/>
          <w:szCs w:val="24"/>
        </w:rPr>
      </w:pPr>
      <w:r w:rsidRPr="00D45CDF">
        <w:rPr>
          <w:rFonts w:asciiTheme="minorHAnsi" w:hAnsiTheme="minorHAnsi"/>
          <w:sz w:val="24"/>
          <w:szCs w:val="24"/>
        </w:rPr>
        <w:t>Protocol on the Establishment of the East African Community Common Market (Common Market Protocol)</w:t>
      </w:r>
    </w:p>
    <w:p w14:paraId="5D6DF66C" w14:textId="77777777" w:rsidR="006A148B" w:rsidRPr="00D45CDF" w:rsidRDefault="00520F6D" w:rsidP="00D45CDF">
      <w:pPr>
        <w:spacing w:line="240" w:lineRule="auto"/>
        <w:rPr>
          <w:rFonts w:asciiTheme="minorHAnsi" w:hAnsiTheme="minorHAnsi"/>
          <w:b/>
          <w:bCs/>
          <w:sz w:val="24"/>
          <w:szCs w:val="24"/>
        </w:rPr>
      </w:pPr>
      <w:r w:rsidRPr="00D45CDF">
        <w:rPr>
          <w:rFonts w:asciiTheme="minorHAnsi" w:eastAsiaTheme="minorHAnsi" w:hAnsiTheme="minorHAnsi"/>
          <w:b/>
          <w:bCs/>
          <w:sz w:val="24"/>
          <w:szCs w:val="24"/>
          <w:lang w:eastAsia="en-US"/>
        </w:rPr>
        <w:t xml:space="preserve">Table of </w:t>
      </w:r>
      <w:r w:rsidR="00FB7D00" w:rsidRPr="00D45CDF">
        <w:rPr>
          <w:rFonts w:asciiTheme="minorHAnsi" w:hAnsiTheme="minorHAnsi"/>
          <w:b/>
          <w:bCs/>
          <w:sz w:val="24"/>
          <w:szCs w:val="24"/>
        </w:rPr>
        <w:t>Rwanda</w:t>
      </w:r>
      <w:r w:rsidR="00B927EC" w:rsidRPr="00D45CDF">
        <w:rPr>
          <w:rFonts w:asciiTheme="minorHAnsi" w:hAnsiTheme="minorHAnsi"/>
          <w:b/>
          <w:bCs/>
          <w:sz w:val="24"/>
          <w:szCs w:val="24"/>
        </w:rPr>
        <w:t>n</w:t>
      </w:r>
      <w:r w:rsidR="00FB7D00" w:rsidRPr="00D45CDF">
        <w:rPr>
          <w:rFonts w:asciiTheme="minorHAnsi" w:hAnsiTheme="minorHAnsi"/>
          <w:b/>
          <w:bCs/>
          <w:sz w:val="24"/>
          <w:szCs w:val="24"/>
        </w:rPr>
        <w:t xml:space="preserve"> Legislation</w:t>
      </w:r>
    </w:p>
    <w:p w14:paraId="5E93760F" w14:textId="77777777" w:rsidR="007C5C58" w:rsidRPr="00D45CDF" w:rsidRDefault="007C5C58" w:rsidP="00D45CDF">
      <w:pPr>
        <w:spacing w:line="240" w:lineRule="auto"/>
        <w:rPr>
          <w:rFonts w:asciiTheme="minorHAnsi" w:hAnsiTheme="minorHAnsi"/>
          <w:sz w:val="24"/>
          <w:szCs w:val="24"/>
          <w:lang w:val="en-US"/>
        </w:rPr>
      </w:pPr>
      <w:r w:rsidRPr="00D45CDF">
        <w:rPr>
          <w:rFonts w:asciiTheme="minorHAnsi" w:hAnsiTheme="minorHAnsi"/>
          <w:sz w:val="24"/>
          <w:szCs w:val="24"/>
          <w:lang w:val="en-US"/>
        </w:rPr>
        <w:lastRenderedPageBreak/>
        <w:t>Constitution of Rwanda as modified in 2015</w:t>
      </w:r>
    </w:p>
    <w:p w14:paraId="5A24FBB5" w14:textId="77777777" w:rsidR="00FB7D00" w:rsidRPr="00D45CDF" w:rsidRDefault="00FB7D00" w:rsidP="00D45CDF">
      <w:pPr>
        <w:spacing w:line="240" w:lineRule="auto"/>
        <w:rPr>
          <w:rFonts w:asciiTheme="minorHAnsi" w:hAnsiTheme="minorHAnsi"/>
          <w:sz w:val="24"/>
          <w:szCs w:val="24"/>
        </w:rPr>
      </w:pPr>
      <w:r w:rsidRPr="00D45CDF">
        <w:rPr>
          <w:rFonts w:asciiTheme="minorHAnsi" w:hAnsiTheme="minorHAnsi"/>
          <w:sz w:val="24"/>
          <w:szCs w:val="24"/>
          <w:lang w:val="en-US"/>
        </w:rPr>
        <w:t>Law No. 027/2019 of 19/09/2019 relating to the criminal procedure</w:t>
      </w:r>
    </w:p>
    <w:p w14:paraId="57D93BEC" w14:textId="77777777" w:rsidR="00FB7D00" w:rsidRPr="00D45CDF" w:rsidRDefault="00FB7D00" w:rsidP="00D45CDF">
      <w:pPr>
        <w:spacing w:line="240" w:lineRule="auto"/>
        <w:rPr>
          <w:rFonts w:asciiTheme="minorHAnsi" w:hAnsiTheme="minorHAnsi"/>
          <w:sz w:val="24"/>
          <w:szCs w:val="24"/>
        </w:rPr>
      </w:pPr>
      <w:r w:rsidRPr="00D45CDF">
        <w:rPr>
          <w:rFonts w:asciiTheme="minorHAnsi" w:hAnsiTheme="minorHAnsi"/>
          <w:sz w:val="24"/>
          <w:szCs w:val="24"/>
          <w:lang w:val="en-US"/>
        </w:rPr>
        <w:t>Law No. 83/2013 of 11/09/2013 establishing the Bar Association in Rwanda and determining its organization and functioning</w:t>
      </w:r>
    </w:p>
    <w:sectPr w:rsidR="00FB7D00" w:rsidRPr="00D45CDF" w:rsidSect="00504D19">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F5400" w14:textId="77777777" w:rsidR="00821CAC" w:rsidRDefault="00821CAC" w:rsidP="00FB28F6">
      <w:pPr>
        <w:spacing w:after="0" w:line="240" w:lineRule="auto"/>
      </w:pPr>
      <w:r>
        <w:separator/>
      </w:r>
    </w:p>
  </w:endnote>
  <w:endnote w:type="continuationSeparator" w:id="0">
    <w:p w14:paraId="3DFA81E9" w14:textId="77777777" w:rsidR="00821CAC" w:rsidRDefault="00821CAC" w:rsidP="00FB2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j-ea">
    <w:panose1 w:val="00000000000000000000"/>
    <w:charset w:val="00"/>
    <w:family w:val="roman"/>
    <w:notTrueType/>
    <w:pitch w:val="default"/>
  </w:font>
  <w:font w:name="AdvPS8585">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437028"/>
      <w:docPartObj>
        <w:docPartGallery w:val="Page Numbers (Bottom of Page)"/>
        <w:docPartUnique/>
      </w:docPartObj>
    </w:sdtPr>
    <w:sdtEndPr/>
    <w:sdtContent>
      <w:p w14:paraId="2F53394B" w14:textId="77777777" w:rsidR="00E43136" w:rsidRDefault="00E43136">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14:paraId="26C9C0B3" w14:textId="77777777" w:rsidR="00E43136" w:rsidRDefault="00E43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68FC1" w14:textId="77777777" w:rsidR="00821CAC" w:rsidRDefault="00821CAC" w:rsidP="00FB28F6">
      <w:pPr>
        <w:spacing w:after="0" w:line="240" w:lineRule="auto"/>
      </w:pPr>
      <w:r>
        <w:separator/>
      </w:r>
    </w:p>
  </w:footnote>
  <w:footnote w:type="continuationSeparator" w:id="0">
    <w:p w14:paraId="7F3CBBCE" w14:textId="77777777" w:rsidR="00821CAC" w:rsidRDefault="00821CAC" w:rsidP="00FB28F6">
      <w:pPr>
        <w:spacing w:after="0" w:line="240" w:lineRule="auto"/>
      </w:pPr>
      <w:r>
        <w:continuationSeparator/>
      </w:r>
    </w:p>
  </w:footnote>
  <w:footnote w:id="1">
    <w:p w14:paraId="6675BEEA" w14:textId="77777777" w:rsidR="00E43136" w:rsidRPr="008A47B4" w:rsidRDefault="00E43136" w:rsidP="008A47B4">
      <w:pPr>
        <w:spacing w:after="0" w:line="240" w:lineRule="auto"/>
        <w:rPr>
          <w:rFonts w:asciiTheme="minorHAnsi" w:hAnsiTheme="minorHAnsi"/>
          <w:sz w:val="20"/>
          <w:szCs w:val="20"/>
        </w:rPr>
      </w:pPr>
      <w:r w:rsidRPr="008A47B4">
        <w:rPr>
          <w:rStyle w:val="FootnoteReference"/>
          <w:sz w:val="20"/>
          <w:szCs w:val="20"/>
        </w:rPr>
        <w:footnoteRef/>
      </w:r>
      <w:r w:rsidRPr="008A47B4">
        <w:rPr>
          <w:sz w:val="20"/>
          <w:szCs w:val="20"/>
        </w:rPr>
        <w:t xml:space="preserve"> </w:t>
      </w:r>
      <w:r w:rsidRPr="008A47B4">
        <w:rPr>
          <w:rFonts w:asciiTheme="minorHAnsi" w:hAnsiTheme="minorHAnsi"/>
          <w:sz w:val="20"/>
          <w:szCs w:val="20"/>
        </w:rPr>
        <w:t>Protocol on the Establishment of the East African Community Common Market (Common Market Protocol)</w:t>
      </w:r>
    </w:p>
    <w:p w14:paraId="4E2A08E6" w14:textId="77777777" w:rsidR="00E43136" w:rsidRDefault="00E43136">
      <w:pPr>
        <w:pStyle w:val="FootnoteText"/>
      </w:pPr>
    </w:p>
  </w:footnote>
  <w:footnote w:id="2">
    <w:p w14:paraId="3DA43CFE" w14:textId="77777777" w:rsidR="00E43136" w:rsidRPr="001B0A06" w:rsidRDefault="00E43136" w:rsidP="00C86335">
      <w:pPr>
        <w:spacing w:after="0" w:line="240" w:lineRule="auto"/>
        <w:rPr>
          <w:rFonts w:asciiTheme="minorHAnsi" w:hAnsiTheme="minorHAnsi" w:cstheme="minorHAnsi"/>
          <w:sz w:val="20"/>
          <w:szCs w:val="20"/>
        </w:rPr>
      </w:pPr>
      <w:r w:rsidRPr="001B0A06">
        <w:rPr>
          <w:rStyle w:val="FootnoteReference"/>
          <w:rFonts w:asciiTheme="minorHAnsi" w:hAnsiTheme="minorHAnsi" w:cstheme="minorHAnsi"/>
          <w:sz w:val="20"/>
          <w:szCs w:val="20"/>
        </w:rPr>
        <w:footnoteRef/>
      </w:r>
      <w:r w:rsidRPr="001B0A06">
        <w:rPr>
          <w:rFonts w:asciiTheme="minorHAnsi" w:hAnsiTheme="minorHAnsi" w:cstheme="minorHAnsi"/>
          <w:sz w:val="20"/>
          <w:szCs w:val="20"/>
        </w:rPr>
        <w:t xml:space="preserve"> </w:t>
      </w:r>
      <w:r>
        <w:rPr>
          <w:rFonts w:asciiTheme="minorHAnsi" w:hAnsiTheme="minorHAnsi" w:cstheme="minorHAnsi"/>
          <w:sz w:val="20"/>
          <w:szCs w:val="20"/>
        </w:rPr>
        <w:t xml:space="preserve">G. </w:t>
      </w:r>
      <w:r>
        <w:rPr>
          <w:rFonts w:asciiTheme="minorHAnsi" w:hAnsiTheme="minorHAnsi" w:cstheme="minorHAnsi"/>
          <w:sz w:val="20"/>
          <w:szCs w:val="20"/>
          <w:lang w:eastAsia="en-GB"/>
        </w:rPr>
        <w:t>Muller, “</w:t>
      </w:r>
      <w:r w:rsidRPr="00EB20F8">
        <w:rPr>
          <w:rFonts w:asciiTheme="minorHAnsi" w:hAnsiTheme="minorHAnsi" w:cstheme="minorHAnsi"/>
          <w:sz w:val="20"/>
          <w:szCs w:val="20"/>
          <w:lang w:eastAsia="en-GB"/>
        </w:rPr>
        <w:t>Free Movement of Lawyer</w:t>
      </w:r>
      <w:r>
        <w:rPr>
          <w:rFonts w:asciiTheme="minorHAnsi" w:hAnsiTheme="minorHAnsi" w:cstheme="minorHAnsi"/>
          <w:sz w:val="20"/>
          <w:szCs w:val="20"/>
          <w:lang w:eastAsia="en-GB"/>
        </w:rPr>
        <w:t>s Within the EU Internal Market</w:t>
      </w:r>
      <w:r w:rsidRPr="00EB20F8">
        <w:rPr>
          <w:rFonts w:asciiTheme="minorHAnsi" w:hAnsiTheme="minorHAnsi" w:cstheme="minorHAnsi"/>
          <w:sz w:val="20"/>
          <w:szCs w:val="20"/>
          <w:lang w:eastAsia="en-GB"/>
        </w:rPr>
        <w:t>.</w:t>
      </w:r>
      <w:r>
        <w:rPr>
          <w:rFonts w:asciiTheme="minorHAnsi" w:hAnsiTheme="minorHAnsi" w:cstheme="minorHAnsi"/>
          <w:sz w:val="20"/>
          <w:szCs w:val="20"/>
          <w:lang w:eastAsia="en-GB"/>
        </w:rPr>
        <w:t>”</w:t>
      </w:r>
      <w:r w:rsidRPr="00EB20F8">
        <w:rPr>
          <w:rFonts w:asciiTheme="minorHAnsi" w:hAnsiTheme="minorHAnsi" w:cstheme="minorHAnsi"/>
          <w:sz w:val="20"/>
          <w:szCs w:val="20"/>
          <w:lang w:eastAsia="en-GB"/>
        </w:rPr>
        <w:t xml:space="preserve"> 26 (3) </w:t>
      </w:r>
      <w:r w:rsidRPr="00EB20F8">
        <w:rPr>
          <w:rFonts w:asciiTheme="minorHAnsi" w:hAnsiTheme="minorHAnsi" w:cstheme="minorHAnsi"/>
          <w:i/>
          <w:sz w:val="20"/>
          <w:szCs w:val="20"/>
        </w:rPr>
        <w:t>European Business Law Review</w:t>
      </w:r>
      <w:r w:rsidRPr="00EB20F8">
        <w:rPr>
          <w:rFonts w:asciiTheme="minorHAnsi" w:hAnsiTheme="minorHAnsi" w:cstheme="minorHAnsi"/>
          <w:sz w:val="20"/>
          <w:szCs w:val="20"/>
        </w:rPr>
        <w:t xml:space="preserve"> </w:t>
      </w:r>
      <w:r>
        <w:rPr>
          <w:rFonts w:asciiTheme="minorHAnsi" w:hAnsiTheme="minorHAnsi" w:cstheme="minorHAnsi"/>
          <w:sz w:val="20"/>
          <w:szCs w:val="20"/>
          <w:lang w:eastAsia="en-GB"/>
        </w:rPr>
        <w:t xml:space="preserve">(2015): </w:t>
      </w:r>
      <w:r w:rsidRPr="00EB20F8">
        <w:rPr>
          <w:rFonts w:asciiTheme="minorHAnsi" w:hAnsiTheme="minorHAnsi" w:cstheme="minorHAnsi"/>
          <w:sz w:val="20"/>
          <w:szCs w:val="20"/>
          <w:lang w:eastAsia="en-GB"/>
        </w:rPr>
        <w:t xml:space="preserve"> 355-390, at 355.</w:t>
      </w:r>
    </w:p>
  </w:footnote>
  <w:footnote w:id="3">
    <w:p w14:paraId="60C4A327" w14:textId="77777777" w:rsidR="00E43136" w:rsidRPr="001B0A06" w:rsidRDefault="00E43136" w:rsidP="005105DE">
      <w:pPr>
        <w:autoSpaceDE w:val="0"/>
        <w:autoSpaceDN w:val="0"/>
        <w:adjustRightInd w:val="0"/>
        <w:spacing w:after="0" w:line="240" w:lineRule="auto"/>
        <w:rPr>
          <w:rFonts w:asciiTheme="minorHAnsi" w:hAnsiTheme="minorHAnsi" w:cstheme="minorHAnsi"/>
          <w:sz w:val="20"/>
          <w:szCs w:val="20"/>
        </w:rPr>
      </w:pPr>
      <w:r w:rsidRPr="00EB20F8">
        <w:rPr>
          <w:rStyle w:val="FootnoteReference"/>
          <w:rFonts w:asciiTheme="minorHAnsi" w:hAnsiTheme="minorHAnsi" w:cstheme="minorHAnsi"/>
          <w:sz w:val="20"/>
          <w:szCs w:val="20"/>
        </w:rPr>
        <w:footnoteRef/>
      </w:r>
      <w:r w:rsidRPr="00EB20F8">
        <w:rPr>
          <w:rFonts w:asciiTheme="minorHAnsi" w:hAnsiTheme="minorHAnsi" w:cstheme="minorHAnsi"/>
          <w:sz w:val="20"/>
          <w:szCs w:val="20"/>
        </w:rPr>
        <w:t xml:space="preserve"> </w:t>
      </w:r>
      <w:r w:rsidRPr="005105DE">
        <w:rPr>
          <w:rFonts w:asciiTheme="minorHAnsi" w:hAnsiTheme="minorHAnsi"/>
          <w:sz w:val="20"/>
          <w:szCs w:val="20"/>
        </w:rPr>
        <w:t xml:space="preserve">May, A., “Globalised Law and Best Friends Networks,” </w:t>
      </w:r>
      <w:r w:rsidRPr="005105DE">
        <w:rPr>
          <w:rFonts w:asciiTheme="minorHAnsi" w:hAnsiTheme="minorHAnsi"/>
          <w:i/>
          <w:sz w:val="20"/>
          <w:szCs w:val="20"/>
        </w:rPr>
        <w:t>The Principle.</w:t>
      </w:r>
      <w:r w:rsidRPr="005105DE">
        <w:rPr>
          <w:rFonts w:asciiTheme="minorHAnsi" w:hAnsiTheme="minorHAnsi"/>
          <w:sz w:val="20"/>
          <w:szCs w:val="20"/>
        </w:rPr>
        <w:t xml:space="preserve"> (2019</w:t>
      </w:r>
      <w:proofErr w:type="gramStart"/>
      <w:r w:rsidRPr="005105DE">
        <w:rPr>
          <w:rFonts w:asciiTheme="minorHAnsi" w:hAnsiTheme="minorHAnsi"/>
          <w:sz w:val="20"/>
          <w:szCs w:val="20"/>
        </w:rPr>
        <w:t xml:space="preserve">) </w:t>
      </w:r>
      <w:r w:rsidRPr="005105DE">
        <w:rPr>
          <w:rFonts w:asciiTheme="minorHAnsi" w:hAnsiTheme="minorHAnsi"/>
          <w:i/>
          <w:sz w:val="20"/>
          <w:szCs w:val="20"/>
        </w:rPr>
        <w:t xml:space="preserve"> </w:t>
      </w:r>
      <w:r w:rsidRPr="005105DE">
        <w:rPr>
          <w:rFonts w:asciiTheme="minorHAnsi" w:hAnsiTheme="minorHAnsi"/>
          <w:sz w:val="20"/>
          <w:szCs w:val="20"/>
        </w:rPr>
        <w:t>Available</w:t>
      </w:r>
      <w:proofErr w:type="gramEnd"/>
      <w:r w:rsidRPr="005105DE">
        <w:rPr>
          <w:rFonts w:asciiTheme="minorHAnsi" w:hAnsiTheme="minorHAnsi"/>
          <w:sz w:val="20"/>
          <w:szCs w:val="20"/>
        </w:rPr>
        <w:t xml:space="preserve"> at &lt;https://www.allaboutlaw.co.uk/commercial-awareness/commercial-insights/globalised-law-and-best-friends-networks-&gt; Accessed 24 June 2019.</w:t>
      </w:r>
    </w:p>
  </w:footnote>
  <w:footnote w:id="4">
    <w:p w14:paraId="72B408EC" w14:textId="77777777" w:rsidR="00E43136" w:rsidRPr="001B0A06" w:rsidRDefault="00E43136" w:rsidP="00BF32C1">
      <w:pPr>
        <w:spacing w:after="0" w:line="240" w:lineRule="auto"/>
        <w:rPr>
          <w:rFonts w:asciiTheme="minorHAnsi" w:hAnsiTheme="minorHAnsi" w:cstheme="minorHAnsi"/>
          <w:i/>
          <w:iCs/>
          <w:color w:val="FF0000"/>
          <w:sz w:val="20"/>
          <w:szCs w:val="20"/>
        </w:rPr>
      </w:pPr>
      <w:r w:rsidRPr="00EB20F8">
        <w:rPr>
          <w:rStyle w:val="FootnoteReference"/>
          <w:rFonts w:asciiTheme="minorHAnsi" w:hAnsiTheme="minorHAnsi" w:cstheme="minorHAnsi"/>
          <w:sz w:val="20"/>
          <w:szCs w:val="20"/>
        </w:rPr>
        <w:footnoteRef/>
      </w:r>
      <w:r w:rsidRPr="00EB20F8">
        <w:rPr>
          <w:rFonts w:asciiTheme="minorHAnsi" w:hAnsiTheme="minorHAnsi" w:cstheme="minorHAnsi"/>
          <w:sz w:val="20"/>
          <w:szCs w:val="20"/>
        </w:rPr>
        <w:t xml:space="preserve"> </w:t>
      </w:r>
      <w:r w:rsidRPr="001B0A06">
        <w:rPr>
          <w:rFonts w:asciiTheme="minorHAnsi" w:hAnsiTheme="minorHAnsi" w:cstheme="minorHAnsi"/>
          <w:sz w:val="20"/>
          <w:szCs w:val="20"/>
        </w:rPr>
        <w:t>See, for example, the frequen</w:t>
      </w:r>
      <w:r w:rsidRPr="00EB20F8">
        <w:rPr>
          <w:rFonts w:asciiTheme="minorHAnsi" w:hAnsiTheme="minorHAnsi" w:cstheme="minorHAnsi"/>
          <w:sz w:val="20"/>
          <w:szCs w:val="20"/>
        </w:rPr>
        <w:t xml:space="preserve">tly cited </w:t>
      </w:r>
      <w:proofErr w:type="spellStart"/>
      <w:r w:rsidRPr="00EB20F8">
        <w:rPr>
          <w:rFonts w:asciiTheme="minorHAnsi" w:hAnsiTheme="minorHAnsi" w:cstheme="minorHAnsi"/>
          <w:i/>
          <w:sz w:val="20"/>
          <w:szCs w:val="20"/>
          <w:shd w:val="clear" w:color="auto" w:fill="FFFFFF"/>
        </w:rPr>
        <w:t>Gebhard</w:t>
      </w:r>
      <w:proofErr w:type="spellEnd"/>
      <w:r w:rsidRPr="00EB20F8">
        <w:rPr>
          <w:rFonts w:asciiTheme="minorHAnsi" w:hAnsiTheme="minorHAnsi" w:cstheme="minorHAnsi"/>
          <w:i/>
          <w:sz w:val="20"/>
          <w:szCs w:val="20"/>
          <w:shd w:val="clear" w:color="auto" w:fill="FFFFFF"/>
        </w:rPr>
        <w:t xml:space="preserve"> v </w:t>
      </w:r>
      <w:proofErr w:type="spellStart"/>
      <w:r w:rsidRPr="00EB20F8">
        <w:rPr>
          <w:rFonts w:asciiTheme="minorHAnsi" w:hAnsiTheme="minorHAnsi" w:cstheme="minorHAnsi"/>
          <w:i/>
          <w:sz w:val="20"/>
          <w:szCs w:val="20"/>
          <w:shd w:val="clear" w:color="auto" w:fill="FFFFFF"/>
        </w:rPr>
        <w:t>Consiglio</w:t>
      </w:r>
      <w:proofErr w:type="spellEnd"/>
      <w:r w:rsidRPr="00EB20F8">
        <w:rPr>
          <w:rFonts w:asciiTheme="minorHAnsi" w:hAnsiTheme="minorHAnsi" w:cstheme="minorHAnsi"/>
          <w:i/>
          <w:sz w:val="20"/>
          <w:szCs w:val="20"/>
          <w:shd w:val="clear" w:color="auto" w:fill="FFFFFF"/>
        </w:rPr>
        <w:t xml:space="preserve"> </w:t>
      </w:r>
      <w:proofErr w:type="spellStart"/>
      <w:r w:rsidRPr="00EB20F8">
        <w:rPr>
          <w:rFonts w:asciiTheme="minorHAnsi" w:hAnsiTheme="minorHAnsi" w:cstheme="minorHAnsi"/>
          <w:i/>
          <w:sz w:val="20"/>
          <w:szCs w:val="20"/>
          <w:shd w:val="clear" w:color="auto" w:fill="FFFFFF"/>
        </w:rPr>
        <w:t>dell’Ordine</w:t>
      </w:r>
      <w:proofErr w:type="spellEnd"/>
      <w:r w:rsidRPr="00EB20F8">
        <w:rPr>
          <w:rFonts w:asciiTheme="minorHAnsi" w:hAnsiTheme="minorHAnsi" w:cstheme="minorHAnsi"/>
          <w:i/>
          <w:sz w:val="20"/>
          <w:szCs w:val="20"/>
          <w:shd w:val="clear" w:color="auto" w:fill="FFFFFF"/>
        </w:rPr>
        <w:t xml:space="preserve"> </w:t>
      </w:r>
      <w:proofErr w:type="spellStart"/>
      <w:r w:rsidRPr="00EB20F8">
        <w:rPr>
          <w:rFonts w:asciiTheme="minorHAnsi" w:hAnsiTheme="minorHAnsi" w:cstheme="minorHAnsi"/>
          <w:i/>
          <w:sz w:val="20"/>
          <w:szCs w:val="20"/>
          <w:shd w:val="clear" w:color="auto" w:fill="FFFFFF"/>
        </w:rPr>
        <w:t>degli</w:t>
      </w:r>
      <w:proofErr w:type="spellEnd"/>
      <w:r w:rsidRPr="00EB20F8">
        <w:rPr>
          <w:rFonts w:asciiTheme="minorHAnsi" w:hAnsiTheme="minorHAnsi" w:cstheme="minorHAnsi"/>
          <w:i/>
          <w:sz w:val="20"/>
          <w:szCs w:val="20"/>
          <w:shd w:val="clear" w:color="auto" w:fill="FFFFFF"/>
        </w:rPr>
        <w:t xml:space="preserve"> </w:t>
      </w:r>
      <w:proofErr w:type="spellStart"/>
      <w:r w:rsidRPr="00EB20F8">
        <w:rPr>
          <w:rFonts w:asciiTheme="minorHAnsi" w:hAnsiTheme="minorHAnsi" w:cstheme="minorHAnsi"/>
          <w:i/>
          <w:sz w:val="20"/>
          <w:szCs w:val="20"/>
          <w:shd w:val="clear" w:color="auto" w:fill="FFFFFF"/>
        </w:rPr>
        <w:t>Avvocati</w:t>
      </w:r>
      <w:proofErr w:type="spellEnd"/>
      <w:r w:rsidRPr="00EB20F8">
        <w:rPr>
          <w:rFonts w:asciiTheme="minorHAnsi" w:hAnsiTheme="minorHAnsi" w:cstheme="minorHAnsi"/>
          <w:i/>
          <w:sz w:val="20"/>
          <w:szCs w:val="20"/>
          <w:shd w:val="clear" w:color="auto" w:fill="FFFFFF"/>
        </w:rPr>
        <w:t xml:space="preserve"> e </w:t>
      </w:r>
      <w:proofErr w:type="spellStart"/>
      <w:r w:rsidRPr="00EB20F8">
        <w:rPr>
          <w:rFonts w:asciiTheme="minorHAnsi" w:hAnsiTheme="minorHAnsi" w:cstheme="minorHAnsi"/>
          <w:i/>
          <w:sz w:val="20"/>
          <w:szCs w:val="20"/>
          <w:shd w:val="clear" w:color="auto" w:fill="FFFFFF"/>
        </w:rPr>
        <w:t>Procurati</w:t>
      </w:r>
      <w:proofErr w:type="spellEnd"/>
      <w:r w:rsidRPr="00EB20F8">
        <w:rPr>
          <w:rFonts w:asciiTheme="minorHAnsi" w:hAnsiTheme="minorHAnsi" w:cstheme="minorHAnsi"/>
          <w:i/>
          <w:sz w:val="20"/>
          <w:szCs w:val="20"/>
          <w:shd w:val="clear" w:color="auto" w:fill="FFFFFF"/>
        </w:rPr>
        <w:t xml:space="preserve"> di Milano</w:t>
      </w:r>
      <w:r w:rsidRPr="00EB20F8">
        <w:rPr>
          <w:rFonts w:asciiTheme="minorHAnsi" w:hAnsiTheme="minorHAnsi" w:cstheme="minorHAnsi"/>
          <w:sz w:val="20"/>
          <w:szCs w:val="20"/>
        </w:rPr>
        <w:t xml:space="preserve"> (Case C-55/94) [1995] </w:t>
      </w:r>
      <w:r w:rsidRPr="00EB20F8">
        <w:rPr>
          <w:rFonts w:asciiTheme="minorHAnsi" w:hAnsiTheme="minorHAnsi" w:cstheme="minorHAnsi"/>
          <w:iCs/>
          <w:sz w:val="20"/>
          <w:szCs w:val="20"/>
          <w:shd w:val="clear" w:color="auto" w:fill="FFFFFF"/>
        </w:rPr>
        <w:t>ECR I-4165</w:t>
      </w:r>
      <w:bookmarkStart w:id="0" w:name="_Hlk25431755"/>
      <w:r w:rsidRPr="00EB20F8">
        <w:rPr>
          <w:rFonts w:asciiTheme="minorHAnsi" w:hAnsiTheme="minorHAnsi" w:cstheme="minorHAnsi"/>
          <w:sz w:val="20"/>
          <w:szCs w:val="20"/>
        </w:rPr>
        <w:t xml:space="preserve">; </w:t>
      </w:r>
      <w:proofErr w:type="spellStart"/>
      <w:r w:rsidRPr="00EB20F8">
        <w:rPr>
          <w:rFonts w:asciiTheme="minorHAnsi" w:eastAsia="Times New Roman" w:hAnsiTheme="minorHAnsi" w:cstheme="minorHAnsi"/>
          <w:i/>
          <w:sz w:val="20"/>
          <w:szCs w:val="20"/>
          <w:lang w:eastAsia="en-GB"/>
        </w:rPr>
        <w:t>Thieffry</w:t>
      </w:r>
      <w:proofErr w:type="spellEnd"/>
      <w:r w:rsidRPr="00EB20F8">
        <w:rPr>
          <w:rFonts w:asciiTheme="minorHAnsi" w:eastAsia="Times New Roman" w:hAnsiTheme="minorHAnsi" w:cstheme="minorHAnsi"/>
          <w:i/>
          <w:sz w:val="20"/>
          <w:szCs w:val="20"/>
          <w:lang w:eastAsia="en-GB"/>
        </w:rPr>
        <w:t xml:space="preserve"> v Conseil de </w:t>
      </w:r>
      <w:proofErr w:type="spellStart"/>
      <w:r w:rsidRPr="00EB20F8">
        <w:rPr>
          <w:rFonts w:asciiTheme="minorHAnsi" w:eastAsia="Times New Roman" w:hAnsiTheme="minorHAnsi" w:cstheme="minorHAnsi"/>
          <w:i/>
          <w:sz w:val="20"/>
          <w:szCs w:val="20"/>
          <w:lang w:eastAsia="en-GB"/>
        </w:rPr>
        <w:t>l’Ordre</w:t>
      </w:r>
      <w:proofErr w:type="spellEnd"/>
      <w:r w:rsidRPr="00EB20F8">
        <w:rPr>
          <w:rFonts w:asciiTheme="minorHAnsi" w:eastAsia="Times New Roman" w:hAnsiTheme="minorHAnsi" w:cstheme="minorHAnsi"/>
          <w:i/>
          <w:sz w:val="20"/>
          <w:szCs w:val="20"/>
          <w:lang w:eastAsia="en-GB"/>
        </w:rPr>
        <w:t xml:space="preserve"> des avocats à la </w:t>
      </w:r>
      <w:proofErr w:type="spellStart"/>
      <w:r w:rsidRPr="00EB20F8">
        <w:rPr>
          <w:rFonts w:asciiTheme="minorHAnsi" w:eastAsia="Times New Roman" w:hAnsiTheme="minorHAnsi" w:cstheme="minorHAnsi"/>
          <w:i/>
          <w:sz w:val="20"/>
          <w:szCs w:val="20"/>
          <w:lang w:eastAsia="en-GB"/>
        </w:rPr>
        <w:t>Cour</w:t>
      </w:r>
      <w:proofErr w:type="spellEnd"/>
      <w:r w:rsidRPr="00EB20F8">
        <w:rPr>
          <w:rFonts w:asciiTheme="minorHAnsi" w:eastAsia="Times New Roman" w:hAnsiTheme="minorHAnsi" w:cstheme="minorHAnsi"/>
          <w:i/>
          <w:sz w:val="20"/>
          <w:szCs w:val="20"/>
          <w:lang w:eastAsia="en-GB"/>
        </w:rPr>
        <w:t xml:space="preserve"> de Paris</w:t>
      </w:r>
      <w:r w:rsidRPr="00EB20F8">
        <w:rPr>
          <w:rFonts w:asciiTheme="minorHAnsi" w:eastAsia="Times New Roman" w:hAnsiTheme="minorHAnsi" w:cstheme="minorHAnsi"/>
          <w:iCs/>
          <w:sz w:val="20"/>
          <w:szCs w:val="20"/>
          <w:lang w:eastAsia="en-GB"/>
        </w:rPr>
        <w:t xml:space="preserve"> (Case 71/76) [</w:t>
      </w:r>
      <w:r w:rsidRPr="00EB20F8">
        <w:rPr>
          <w:rFonts w:asciiTheme="minorHAnsi" w:hAnsiTheme="minorHAnsi" w:cstheme="minorHAnsi"/>
          <w:sz w:val="20"/>
          <w:szCs w:val="20"/>
          <w:shd w:val="clear" w:color="auto" w:fill="FFFFFF"/>
        </w:rPr>
        <w:t xml:space="preserve">1977] ECR </w:t>
      </w:r>
      <w:r w:rsidRPr="00EB20F8">
        <w:rPr>
          <w:rStyle w:val="Emphasis"/>
          <w:rFonts w:asciiTheme="minorHAnsi" w:hAnsiTheme="minorHAnsi" w:cstheme="minorHAnsi"/>
          <w:i w:val="0"/>
          <w:iCs w:val="0"/>
          <w:sz w:val="20"/>
          <w:szCs w:val="20"/>
          <w:shd w:val="clear" w:color="auto" w:fill="FFFFFF"/>
        </w:rPr>
        <w:t>00765</w:t>
      </w:r>
      <w:r w:rsidRPr="00EB20F8">
        <w:rPr>
          <w:rFonts w:asciiTheme="minorHAnsi" w:hAnsiTheme="minorHAnsi" w:cstheme="minorHAnsi"/>
          <w:sz w:val="20"/>
          <w:szCs w:val="20"/>
        </w:rPr>
        <w:t xml:space="preserve">; </w:t>
      </w:r>
      <w:r w:rsidRPr="00EB20F8">
        <w:rPr>
          <w:rFonts w:asciiTheme="minorHAnsi" w:hAnsiTheme="minorHAnsi" w:cstheme="minorHAnsi"/>
          <w:i/>
          <w:iCs/>
          <w:sz w:val="20"/>
          <w:szCs w:val="20"/>
          <w:lang w:eastAsia="en-GB"/>
        </w:rPr>
        <w:t xml:space="preserve">Van </w:t>
      </w:r>
      <w:proofErr w:type="spellStart"/>
      <w:r w:rsidRPr="00EB20F8">
        <w:rPr>
          <w:rFonts w:asciiTheme="minorHAnsi" w:hAnsiTheme="minorHAnsi" w:cstheme="minorHAnsi"/>
          <w:i/>
          <w:iCs/>
          <w:sz w:val="20"/>
          <w:szCs w:val="20"/>
          <w:lang w:eastAsia="en-GB"/>
        </w:rPr>
        <w:t>Binsbergen</w:t>
      </w:r>
      <w:proofErr w:type="spellEnd"/>
      <w:r w:rsidRPr="00EB20F8">
        <w:rPr>
          <w:rFonts w:asciiTheme="minorHAnsi" w:hAnsiTheme="minorHAnsi" w:cstheme="minorHAnsi"/>
          <w:i/>
          <w:iCs/>
          <w:sz w:val="20"/>
          <w:szCs w:val="20"/>
          <w:lang w:eastAsia="en-GB"/>
        </w:rPr>
        <w:t xml:space="preserve"> v </w:t>
      </w:r>
      <w:proofErr w:type="spellStart"/>
      <w:r w:rsidRPr="00EB20F8">
        <w:rPr>
          <w:rFonts w:asciiTheme="minorHAnsi" w:hAnsiTheme="minorHAnsi" w:cstheme="minorHAnsi"/>
          <w:i/>
          <w:iCs/>
          <w:sz w:val="20"/>
          <w:szCs w:val="20"/>
          <w:lang w:eastAsia="en-GB"/>
        </w:rPr>
        <w:t>Bestuur</w:t>
      </w:r>
      <w:proofErr w:type="spellEnd"/>
      <w:r w:rsidRPr="00EB20F8">
        <w:rPr>
          <w:rFonts w:asciiTheme="minorHAnsi" w:hAnsiTheme="minorHAnsi" w:cstheme="minorHAnsi"/>
          <w:i/>
          <w:iCs/>
          <w:sz w:val="20"/>
          <w:szCs w:val="20"/>
          <w:lang w:eastAsia="en-GB"/>
        </w:rPr>
        <w:t xml:space="preserve"> van de </w:t>
      </w:r>
      <w:proofErr w:type="spellStart"/>
      <w:r w:rsidRPr="00EB20F8">
        <w:rPr>
          <w:rFonts w:asciiTheme="minorHAnsi" w:hAnsiTheme="minorHAnsi" w:cstheme="minorHAnsi"/>
          <w:i/>
          <w:iCs/>
          <w:sz w:val="20"/>
          <w:szCs w:val="20"/>
          <w:lang w:eastAsia="en-GB"/>
        </w:rPr>
        <w:t>Bedrijfsvereniging</w:t>
      </w:r>
      <w:proofErr w:type="spellEnd"/>
      <w:r w:rsidRPr="00EB20F8">
        <w:rPr>
          <w:rFonts w:asciiTheme="minorHAnsi" w:hAnsiTheme="minorHAnsi" w:cstheme="minorHAnsi"/>
          <w:i/>
          <w:iCs/>
          <w:sz w:val="20"/>
          <w:szCs w:val="20"/>
          <w:lang w:eastAsia="en-GB"/>
        </w:rPr>
        <w:t xml:space="preserve"> </w:t>
      </w:r>
      <w:proofErr w:type="spellStart"/>
      <w:r w:rsidRPr="00EB20F8">
        <w:rPr>
          <w:rFonts w:asciiTheme="minorHAnsi" w:hAnsiTheme="minorHAnsi" w:cstheme="minorHAnsi"/>
          <w:i/>
          <w:iCs/>
          <w:sz w:val="20"/>
          <w:szCs w:val="20"/>
          <w:lang w:eastAsia="en-GB"/>
        </w:rPr>
        <w:t>Voor</w:t>
      </w:r>
      <w:proofErr w:type="spellEnd"/>
      <w:r w:rsidRPr="00EB20F8">
        <w:rPr>
          <w:rFonts w:asciiTheme="minorHAnsi" w:hAnsiTheme="minorHAnsi" w:cstheme="minorHAnsi"/>
          <w:i/>
          <w:iCs/>
          <w:sz w:val="20"/>
          <w:szCs w:val="20"/>
          <w:lang w:eastAsia="en-GB"/>
        </w:rPr>
        <w:t xml:space="preserve"> de </w:t>
      </w:r>
      <w:proofErr w:type="spellStart"/>
      <w:r w:rsidRPr="00EB20F8">
        <w:rPr>
          <w:rFonts w:asciiTheme="minorHAnsi" w:hAnsiTheme="minorHAnsi" w:cstheme="minorHAnsi"/>
          <w:i/>
          <w:iCs/>
          <w:sz w:val="20"/>
          <w:szCs w:val="20"/>
          <w:lang w:eastAsia="en-GB"/>
        </w:rPr>
        <w:t>Metaalnijverheid</w:t>
      </w:r>
      <w:proofErr w:type="spellEnd"/>
      <w:r w:rsidRPr="00EB20F8">
        <w:rPr>
          <w:rFonts w:asciiTheme="minorHAnsi" w:hAnsiTheme="minorHAnsi" w:cstheme="minorHAnsi"/>
          <w:i/>
          <w:iCs/>
          <w:sz w:val="20"/>
          <w:szCs w:val="20"/>
          <w:lang w:eastAsia="en-GB"/>
        </w:rPr>
        <w:t xml:space="preserve"> </w:t>
      </w:r>
      <w:r w:rsidRPr="00EB20F8">
        <w:rPr>
          <w:rFonts w:asciiTheme="minorHAnsi" w:hAnsiTheme="minorHAnsi" w:cstheme="minorHAnsi"/>
          <w:sz w:val="20"/>
          <w:szCs w:val="20"/>
          <w:lang w:eastAsia="en-GB"/>
        </w:rPr>
        <w:t>(Case 33/74) [1974] ECR 1299</w:t>
      </w:r>
      <w:r w:rsidRPr="00EB20F8">
        <w:rPr>
          <w:rFonts w:asciiTheme="minorHAnsi" w:hAnsiTheme="minorHAnsi" w:cstheme="minorHAnsi"/>
          <w:sz w:val="20"/>
          <w:szCs w:val="20"/>
        </w:rPr>
        <w:t xml:space="preserve">; </w:t>
      </w:r>
      <w:proofErr w:type="spellStart"/>
      <w:r w:rsidRPr="00EB20F8">
        <w:rPr>
          <w:rFonts w:asciiTheme="minorHAnsi" w:eastAsia="Times New Roman" w:hAnsiTheme="minorHAnsi" w:cstheme="minorHAnsi"/>
          <w:i/>
          <w:sz w:val="20"/>
          <w:szCs w:val="20"/>
          <w:lang w:eastAsia="en-GB"/>
        </w:rPr>
        <w:t>Vlassopoulou</w:t>
      </w:r>
      <w:proofErr w:type="spellEnd"/>
      <w:r w:rsidRPr="00EB20F8">
        <w:rPr>
          <w:rFonts w:asciiTheme="minorHAnsi" w:eastAsia="Times New Roman" w:hAnsiTheme="minorHAnsi" w:cstheme="minorHAnsi"/>
          <w:i/>
          <w:sz w:val="20"/>
          <w:szCs w:val="20"/>
          <w:lang w:eastAsia="en-GB"/>
        </w:rPr>
        <w:t xml:space="preserve"> v Ministerium </w:t>
      </w:r>
      <w:proofErr w:type="spellStart"/>
      <w:r w:rsidRPr="00EB20F8">
        <w:rPr>
          <w:rFonts w:asciiTheme="minorHAnsi" w:eastAsia="Times New Roman" w:hAnsiTheme="minorHAnsi" w:cstheme="minorHAnsi"/>
          <w:i/>
          <w:sz w:val="20"/>
          <w:szCs w:val="20"/>
          <w:lang w:eastAsia="en-GB"/>
        </w:rPr>
        <w:t>für</w:t>
      </w:r>
      <w:proofErr w:type="spellEnd"/>
      <w:r w:rsidRPr="00EB20F8">
        <w:rPr>
          <w:rFonts w:asciiTheme="minorHAnsi" w:eastAsia="Times New Roman" w:hAnsiTheme="minorHAnsi" w:cstheme="minorHAnsi"/>
          <w:i/>
          <w:sz w:val="20"/>
          <w:szCs w:val="20"/>
          <w:lang w:eastAsia="en-GB"/>
        </w:rPr>
        <w:t xml:space="preserve"> </w:t>
      </w:r>
      <w:proofErr w:type="spellStart"/>
      <w:r w:rsidRPr="00EB20F8">
        <w:rPr>
          <w:rFonts w:asciiTheme="minorHAnsi" w:eastAsia="Times New Roman" w:hAnsiTheme="minorHAnsi" w:cstheme="minorHAnsi"/>
          <w:i/>
          <w:sz w:val="20"/>
          <w:szCs w:val="20"/>
          <w:lang w:eastAsia="en-GB"/>
        </w:rPr>
        <w:t>Justiz</w:t>
      </w:r>
      <w:proofErr w:type="spellEnd"/>
      <w:r w:rsidRPr="00EB20F8">
        <w:rPr>
          <w:rFonts w:asciiTheme="minorHAnsi" w:eastAsia="Times New Roman" w:hAnsiTheme="minorHAnsi" w:cstheme="minorHAnsi"/>
          <w:i/>
          <w:sz w:val="20"/>
          <w:szCs w:val="20"/>
          <w:lang w:eastAsia="en-GB"/>
        </w:rPr>
        <w:t xml:space="preserve">, </w:t>
      </w:r>
      <w:proofErr w:type="spellStart"/>
      <w:r w:rsidRPr="00EB20F8">
        <w:rPr>
          <w:rFonts w:asciiTheme="minorHAnsi" w:eastAsia="Times New Roman" w:hAnsiTheme="minorHAnsi" w:cstheme="minorHAnsi"/>
          <w:i/>
          <w:sz w:val="20"/>
          <w:szCs w:val="20"/>
          <w:lang w:eastAsia="en-GB"/>
        </w:rPr>
        <w:t>Bundes</w:t>
      </w:r>
      <w:proofErr w:type="spellEnd"/>
      <w:r w:rsidRPr="00EB20F8">
        <w:rPr>
          <w:rFonts w:asciiTheme="minorHAnsi" w:eastAsia="Times New Roman" w:hAnsiTheme="minorHAnsi" w:cstheme="minorHAnsi"/>
          <w:i/>
          <w:sz w:val="20"/>
          <w:szCs w:val="20"/>
          <w:lang w:eastAsia="en-GB"/>
        </w:rPr>
        <w:t xml:space="preserve"> und </w:t>
      </w:r>
      <w:proofErr w:type="spellStart"/>
      <w:r w:rsidRPr="00EB20F8">
        <w:rPr>
          <w:rFonts w:asciiTheme="minorHAnsi" w:eastAsia="Times New Roman" w:hAnsiTheme="minorHAnsi" w:cstheme="minorHAnsi"/>
          <w:i/>
          <w:sz w:val="20"/>
          <w:szCs w:val="20"/>
          <w:lang w:eastAsia="en-GB"/>
        </w:rPr>
        <w:t>Europaangelegenheiten</w:t>
      </w:r>
      <w:proofErr w:type="spellEnd"/>
      <w:r w:rsidRPr="00EB20F8">
        <w:rPr>
          <w:rFonts w:asciiTheme="minorHAnsi" w:eastAsia="Times New Roman" w:hAnsiTheme="minorHAnsi" w:cstheme="minorHAnsi"/>
          <w:i/>
          <w:sz w:val="20"/>
          <w:szCs w:val="20"/>
          <w:lang w:eastAsia="en-GB"/>
        </w:rPr>
        <w:t xml:space="preserve"> Baden-Württemberg</w:t>
      </w:r>
      <w:r w:rsidRPr="00EB20F8">
        <w:rPr>
          <w:rFonts w:asciiTheme="minorHAnsi" w:eastAsia="Times New Roman" w:hAnsiTheme="minorHAnsi" w:cstheme="minorHAnsi"/>
          <w:iCs/>
          <w:sz w:val="20"/>
          <w:szCs w:val="20"/>
          <w:lang w:eastAsia="en-GB"/>
        </w:rPr>
        <w:t xml:space="preserve"> (Case C-340/89) [1991] ECR2357</w:t>
      </w:r>
      <w:r w:rsidRPr="00EB20F8">
        <w:rPr>
          <w:rFonts w:asciiTheme="minorHAnsi" w:hAnsiTheme="minorHAnsi" w:cstheme="minorHAnsi"/>
          <w:sz w:val="20"/>
          <w:szCs w:val="20"/>
        </w:rPr>
        <w:t xml:space="preserve">; </w:t>
      </w:r>
      <w:proofErr w:type="spellStart"/>
      <w:r w:rsidRPr="00EB20F8">
        <w:rPr>
          <w:rFonts w:asciiTheme="minorHAnsi" w:eastAsiaTheme="minorHAnsi" w:hAnsiTheme="minorHAnsi" w:cstheme="minorHAnsi"/>
          <w:i/>
          <w:iCs/>
          <w:sz w:val="20"/>
          <w:szCs w:val="20"/>
          <w:lang w:eastAsia="en-US"/>
        </w:rPr>
        <w:t>Jany</w:t>
      </w:r>
      <w:proofErr w:type="spellEnd"/>
      <w:r w:rsidRPr="00EB20F8">
        <w:rPr>
          <w:rFonts w:asciiTheme="minorHAnsi" w:eastAsiaTheme="minorHAnsi" w:hAnsiTheme="minorHAnsi" w:cstheme="minorHAnsi"/>
          <w:sz w:val="20"/>
          <w:szCs w:val="20"/>
          <w:lang w:eastAsia="en-US"/>
        </w:rPr>
        <w:t xml:space="preserve"> (Case C-268/99) [2001] </w:t>
      </w:r>
      <w:r w:rsidRPr="00EB20F8">
        <w:rPr>
          <w:rFonts w:asciiTheme="minorHAnsi" w:hAnsiTheme="minorHAnsi" w:cstheme="minorHAnsi"/>
          <w:sz w:val="20"/>
          <w:szCs w:val="20"/>
          <w:shd w:val="clear" w:color="auto" w:fill="FFFFFF"/>
        </w:rPr>
        <w:t xml:space="preserve">ECR I-8615 </w:t>
      </w:r>
      <w:r w:rsidRPr="00EB20F8">
        <w:rPr>
          <w:rFonts w:asciiTheme="minorHAnsi" w:hAnsiTheme="minorHAnsi" w:cstheme="minorHAnsi"/>
          <w:sz w:val="20"/>
          <w:szCs w:val="20"/>
        </w:rPr>
        <w:t xml:space="preserve">and recent case of </w:t>
      </w:r>
      <w:proofErr w:type="spellStart"/>
      <w:r w:rsidRPr="00EB20F8">
        <w:rPr>
          <w:rFonts w:asciiTheme="minorHAnsi" w:eastAsiaTheme="minorHAnsi" w:hAnsiTheme="minorHAnsi" w:cstheme="minorHAnsi"/>
          <w:bCs/>
          <w:i/>
          <w:sz w:val="20"/>
          <w:szCs w:val="20"/>
          <w:lang w:eastAsia="en-US"/>
        </w:rPr>
        <w:t>Monachos</w:t>
      </w:r>
      <w:proofErr w:type="spellEnd"/>
      <w:r w:rsidRPr="00EB20F8">
        <w:rPr>
          <w:rFonts w:asciiTheme="minorHAnsi" w:eastAsiaTheme="minorHAnsi" w:hAnsiTheme="minorHAnsi" w:cstheme="minorHAnsi"/>
          <w:bCs/>
          <w:i/>
          <w:sz w:val="20"/>
          <w:szCs w:val="20"/>
          <w:lang w:eastAsia="en-US"/>
        </w:rPr>
        <w:t xml:space="preserve"> </w:t>
      </w:r>
      <w:proofErr w:type="spellStart"/>
      <w:r w:rsidRPr="00EB20F8">
        <w:rPr>
          <w:rFonts w:asciiTheme="minorHAnsi" w:eastAsiaTheme="minorHAnsi" w:hAnsiTheme="minorHAnsi" w:cstheme="minorHAnsi"/>
          <w:bCs/>
          <w:i/>
          <w:sz w:val="20"/>
          <w:szCs w:val="20"/>
          <w:lang w:eastAsia="en-US"/>
        </w:rPr>
        <w:t>Eirinaios</w:t>
      </w:r>
      <w:proofErr w:type="spellEnd"/>
      <w:r w:rsidRPr="00EB20F8">
        <w:rPr>
          <w:rFonts w:asciiTheme="minorHAnsi" w:eastAsiaTheme="minorHAnsi" w:hAnsiTheme="minorHAnsi" w:cstheme="minorHAnsi"/>
          <w:bCs/>
          <w:i/>
          <w:sz w:val="20"/>
          <w:szCs w:val="20"/>
          <w:lang w:eastAsia="en-US"/>
        </w:rPr>
        <w:t xml:space="preserve"> v </w:t>
      </w:r>
      <w:proofErr w:type="spellStart"/>
      <w:r w:rsidRPr="00EB20F8">
        <w:rPr>
          <w:rFonts w:asciiTheme="minorHAnsi" w:eastAsiaTheme="minorHAnsi" w:hAnsiTheme="minorHAnsi" w:cstheme="minorHAnsi"/>
          <w:bCs/>
          <w:i/>
          <w:sz w:val="20"/>
          <w:szCs w:val="20"/>
          <w:lang w:eastAsia="en-US"/>
        </w:rPr>
        <w:t>Dikigorikos</w:t>
      </w:r>
      <w:proofErr w:type="spellEnd"/>
      <w:r w:rsidRPr="00EB20F8">
        <w:rPr>
          <w:rFonts w:asciiTheme="minorHAnsi" w:eastAsiaTheme="minorHAnsi" w:hAnsiTheme="minorHAnsi" w:cstheme="minorHAnsi"/>
          <w:bCs/>
          <w:i/>
          <w:sz w:val="20"/>
          <w:szCs w:val="20"/>
          <w:lang w:eastAsia="en-US"/>
        </w:rPr>
        <w:t xml:space="preserve"> </w:t>
      </w:r>
      <w:proofErr w:type="spellStart"/>
      <w:r w:rsidRPr="00EB20F8">
        <w:rPr>
          <w:rFonts w:asciiTheme="minorHAnsi" w:eastAsiaTheme="minorHAnsi" w:hAnsiTheme="minorHAnsi" w:cstheme="minorHAnsi"/>
          <w:bCs/>
          <w:i/>
          <w:sz w:val="20"/>
          <w:szCs w:val="20"/>
          <w:lang w:eastAsia="en-US"/>
        </w:rPr>
        <w:t>Syllogos</w:t>
      </w:r>
      <w:proofErr w:type="spellEnd"/>
      <w:r w:rsidRPr="00EB20F8">
        <w:rPr>
          <w:rFonts w:asciiTheme="minorHAnsi" w:eastAsiaTheme="minorHAnsi" w:hAnsiTheme="minorHAnsi" w:cstheme="minorHAnsi"/>
          <w:bCs/>
          <w:i/>
          <w:sz w:val="20"/>
          <w:szCs w:val="20"/>
          <w:lang w:eastAsia="en-US"/>
        </w:rPr>
        <w:t xml:space="preserve"> </w:t>
      </w:r>
      <w:proofErr w:type="spellStart"/>
      <w:r w:rsidRPr="00EB20F8">
        <w:rPr>
          <w:rFonts w:asciiTheme="minorHAnsi" w:eastAsiaTheme="minorHAnsi" w:hAnsiTheme="minorHAnsi" w:cstheme="minorHAnsi"/>
          <w:bCs/>
          <w:i/>
          <w:sz w:val="20"/>
          <w:szCs w:val="20"/>
          <w:lang w:eastAsia="en-US"/>
        </w:rPr>
        <w:t>Athinon</w:t>
      </w:r>
      <w:proofErr w:type="spellEnd"/>
      <w:r w:rsidRPr="00EB20F8">
        <w:rPr>
          <w:rFonts w:asciiTheme="minorHAnsi" w:hAnsiTheme="minorHAnsi" w:cstheme="minorHAnsi"/>
          <w:b/>
          <w:bCs/>
          <w:color w:val="5F5F5F"/>
          <w:sz w:val="20"/>
          <w:szCs w:val="20"/>
        </w:rPr>
        <w:t xml:space="preserve"> (</w:t>
      </w:r>
      <w:r w:rsidRPr="00EB20F8">
        <w:rPr>
          <w:rFonts w:asciiTheme="minorHAnsi" w:hAnsiTheme="minorHAnsi" w:cstheme="minorHAnsi"/>
          <w:sz w:val="20"/>
          <w:szCs w:val="20"/>
        </w:rPr>
        <w:t>Case C-431/17) [2019] ECR 00000.</w:t>
      </w:r>
      <w:bookmarkEnd w:id="0"/>
    </w:p>
  </w:footnote>
  <w:footnote w:id="5">
    <w:p w14:paraId="7FC74C4D" w14:textId="77777777" w:rsidR="00E43136" w:rsidRPr="001B0A06" w:rsidRDefault="00E43136">
      <w:pPr>
        <w:pStyle w:val="FootnoteText"/>
        <w:rPr>
          <w:rFonts w:asciiTheme="minorHAnsi" w:hAnsiTheme="minorHAnsi" w:cstheme="minorHAnsi"/>
        </w:rPr>
      </w:pPr>
      <w:r w:rsidRPr="001B0A06">
        <w:rPr>
          <w:rStyle w:val="FootnoteReference"/>
          <w:rFonts w:asciiTheme="minorHAnsi" w:hAnsiTheme="minorHAnsi" w:cstheme="minorHAnsi"/>
        </w:rPr>
        <w:footnoteRef/>
      </w:r>
      <w:r>
        <w:rPr>
          <w:rFonts w:asciiTheme="minorHAnsi" w:hAnsiTheme="minorHAnsi" w:cstheme="minorHAnsi"/>
        </w:rPr>
        <w:t xml:space="preserve"> </w:t>
      </w:r>
      <w:r w:rsidRPr="001B0A06">
        <w:rPr>
          <w:rFonts w:asciiTheme="minorHAnsi" w:hAnsiTheme="minorHAnsi" w:cstheme="minorHAnsi"/>
        </w:rPr>
        <w:t xml:space="preserve"> </w:t>
      </w:r>
      <w:r>
        <w:rPr>
          <w:rFonts w:asciiTheme="minorHAnsi" w:hAnsiTheme="minorHAnsi" w:cstheme="minorHAnsi"/>
          <w:lang w:eastAsia="en-GB"/>
        </w:rPr>
        <w:t>Muller, “</w:t>
      </w:r>
      <w:r w:rsidRPr="00EB20F8">
        <w:rPr>
          <w:rFonts w:asciiTheme="minorHAnsi" w:hAnsiTheme="minorHAnsi" w:cstheme="minorHAnsi"/>
          <w:lang w:eastAsia="en-GB"/>
        </w:rPr>
        <w:t>Free Movement of Lawyer</w:t>
      </w:r>
      <w:r>
        <w:rPr>
          <w:rFonts w:asciiTheme="minorHAnsi" w:hAnsiTheme="minorHAnsi" w:cstheme="minorHAnsi"/>
          <w:lang w:eastAsia="en-GB"/>
        </w:rPr>
        <w:t xml:space="preserve">s Within the EU Internal Market,” </w:t>
      </w:r>
      <w:r w:rsidRPr="001B0A06">
        <w:rPr>
          <w:rFonts w:asciiTheme="minorHAnsi" w:hAnsiTheme="minorHAnsi" w:cstheme="minorHAnsi"/>
        </w:rPr>
        <w:t>356-7.</w:t>
      </w:r>
    </w:p>
  </w:footnote>
  <w:footnote w:id="6">
    <w:p w14:paraId="1BC72EDF" w14:textId="77777777" w:rsidR="00E43136" w:rsidRPr="001B0A06" w:rsidRDefault="00E43136" w:rsidP="00E620E6">
      <w:pPr>
        <w:autoSpaceDE w:val="0"/>
        <w:autoSpaceDN w:val="0"/>
        <w:adjustRightInd w:val="0"/>
        <w:spacing w:after="0" w:line="240" w:lineRule="auto"/>
        <w:rPr>
          <w:rFonts w:asciiTheme="minorHAnsi" w:hAnsiTheme="minorHAnsi" w:cstheme="minorHAnsi"/>
          <w:sz w:val="20"/>
          <w:szCs w:val="20"/>
        </w:rPr>
      </w:pPr>
      <w:r w:rsidRPr="001B0A06">
        <w:rPr>
          <w:rStyle w:val="FootnoteReference"/>
          <w:rFonts w:asciiTheme="minorHAnsi" w:hAnsiTheme="minorHAnsi" w:cstheme="minorHAnsi"/>
          <w:sz w:val="20"/>
          <w:szCs w:val="20"/>
        </w:rPr>
        <w:footnoteRef/>
      </w:r>
      <w:r w:rsidRPr="001B0A06">
        <w:rPr>
          <w:rFonts w:asciiTheme="minorHAnsi" w:hAnsiTheme="minorHAnsi" w:cstheme="minorHAnsi"/>
          <w:sz w:val="20"/>
          <w:szCs w:val="20"/>
        </w:rPr>
        <w:t xml:space="preserve"> </w:t>
      </w:r>
      <w:r w:rsidRPr="00EB20F8">
        <w:rPr>
          <w:rFonts w:asciiTheme="minorHAnsi" w:hAnsiTheme="minorHAnsi" w:cstheme="minorHAnsi"/>
          <w:sz w:val="20"/>
          <w:szCs w:val="20"/>
        </w:rPr>
        <w:t xml:space="preserve">The legal sector </w:t>
      </w:r>
      <w:r w:rsidRPr="00EB20F8">
        <w:rPr>
          <w:rFonts w:asciiTheme="minorHAnsi" w:eastAsiaTheme="minorHAnsi" w:hAnsiTheme="minorHAnsi" w:cstheme="minorHAnsi"/>
          <w:sz w:val="20"/>
          <w:szCs w:val="20"/>
          <w:lang w:eastAsia="en-US"/>
        </w:rPr>
        <w:t>contributed over £26 billion to the</w:t>
      </w:r>
      <w:r>
        <w:rPr>
          <w:rFonts w:asciiTheme="minorHAnsi" w:eastAsiaTheme="minorHAnsi" w:hAnsiTheme="minorHAnsi" w:cstheme="minorHAnsi"/>
          <w:sz w:val="20"/>
          <w:szCs w:val="20"/>
          <w:lang w:eastAsia="en-US"/>
        </w:rPr>
        <w:t xml:space="preserve"> UK economy in 2016 (</w:t>
      </w:r>
      <w:proofErr w:type="spellStart"/>
      <w:r>
        <w:rPr>
          <w:rFonts w:asciiTheme="minorHAnsi" w:eastAsiaTheme="minorHAnsi" w:hAnsiTheme="minorHAnsi" w:cstheme="minorHAnsi"/>
          <w:sz w:val="20"/>
          <w:szCs w:val="20"/>
          <w:lang w:eastAsia="en-US"/>
        </w:rPr>
        <w:t>TheCityUK</w:t>
      </w:r>
      <w:proofErr w:type="spellEnd"/>
      <w:r>
        <w:rPr>
          <w:rFonts w:asciiTheme="minorHAnsi" w:eastAsiaTheme="minorHAnsi" w:hAnsiTheme="minorHAnsi" w:cstheme="minorHAnsi"/>
          <w:sz w:val="20"/>
          <w:szCs w:val="20"/>
          <w:lang w:eastAsia="en-US"/>
        </w:rPr>
        <w:t>, “</w:t>
      </w:r>
      <w:r w:rsidRPr="00EB20F8">
        <w:rPr>
          <w:rFonts w:asciiTheme="minorHAnsi" w:eastAsiaTheme="minorHAnsi" w:hAnsiTheme="minorHAnsi" w:cstheme="minorHAnsi"/>
          <w:sz w:val="20"/>
          <w:szCs w:val="20"/>
          <w:lang w:eastAsia="en-US"/>
        </w:rPr>
        <w:t xml:space="preserve">Legal Excellence, Internationally </w:t>
      </w:r>
      <w:r>
        <w:rPr>
          <w:rFonts w:asciiTheme="minorHAnsi" w:eastAsiaTheme="minorHAnsi" w:hAnsiTheme="minorHAnsi" w:cstheme="minorHAnsi"/>
          <w:sz w:val="20"/>
          <w:szCs w:val="20"/>
          <w:lang w:eastAsia="en-US"/>
        </w:rPr>
        <w:t>Renowned UK Legal Services 2018</w:t>
      </w:r>
      <w:r w:rsidRPr="00EB20F8">
        <w:rPr>
          <w:rFonts w:asciiTheme="minorHAnsi" w:eastAsiaTheme="minorHAnsi" w:hAnsiTheme="minorHAnsi" w:cstheme="minorHAnsi"/>
          <w:sz w:val="20"/>
          <w:szCs w:val="20"/>
          <w:lang w:eastAsia="en-US"/>
        </w:rPr>
        <w:t>.</w:t>
      </w:r>
      <w:r>
        <w:rPr>
          <w:rFonts w:asciiTheme="minorHAnsi" w:eastAsiaTheme="minorHAnsi" w:hAnsiTheme="minorHAnsi" w:cstheme="minorHAnsi"/>
          <w:sz w:val="20"/>
          <w:szCs w:val="20"/>
          <w:lang w:eastAsia="en-US"/>
        </w:rPr>
        <w:t>”</w:t>
      </w:r>
      <w:r w:rsidRPr="00EB20F8">
        <w:rPr>
          <w:rFonts w:asciiTheme="minorHAnsi" w:eastAsiaTheme="minorHAnsi" w:hAnsiTheme="minorHAnsi" w:cstheme="minorHAnsi"/>
          <w:sz w:val="20"/>
          <w:szCs w:val="20"/>
          <w:lang w:eastAsia="en-US"/>
        </w:rPr>
        <w:t xml:space="preserve"> November 2018. Available at &lt; https://www.thecityuk.com/assets/2018/Reports-PDF/86e1b87840/Legal-excellence-internationally-renowned-UK-legal-services-2018.pdf &gt; Accessed 21 June 2019, p4) and represented the equivalent of 1.5% of the UK’s GDP in 2017 (J. </w:t>
      </w:r>
      <w:proofErr w:type="spellStart"/>
      <w:r w:rsidRPr="00EB20F8">
        <w:rPr>
          <w:rFonts w:asciiTheme="minorHAnsi" w:eastAsiaTheme="minorHAnsi" w:hAnsiTheme="minorHAnsi" w:cstheme="minorHAnsi"/>
          <w:sz w:val="20"/>
          <w:szCs w:val="20"/>
          <w:lang w:eastAsia="en-US"/>
        </w:rPr>
        <w:t>Djanogly</w:t>
      </w:r>
      <w:proofErr w:type="spellEnd"/>
      <w:r w:rsidRPr="00EB20F8">
        <w:rPr>
          <w:rFonts w:asciiTheme="minorHAnsi" w:eastAsiaTheme="minorHAnsi" w:hAnsiTheme="minorHAnsi" w:cstheme="minorHAnsi"/>
          <w:sz w:val="20"/>
          <w:szCs w:val="20"/>
          <w:lang w:eastAsia="en-US"/>
        </w:rPr>
        <w:t xml:space="preserve"> MP, in </w:t>
      </w:r>
      <w:r w:rsidRPr="00EB20F8">
        <w:rPr>
          <w:rFonts w:asciiTheme="minorHAnsi" w:hAnsiTheme="minorHAnsi" w:cstheme="minorHAnsi"/>
          <w:sz w:val="20"/>
          <w:szCs w:val="20"/>
        </w:rPr>
        <w:t>Westminster Hall Debates</w:t>
      </w:r>
      <w:r>
        <w:rPr>
          <w:rFonts w:asciiTheme="minorHAnsi" w:hAnsiTheme="minorHAnsi" w:cstheme="minorHAnsi"/>
          <w:sz w:val="20"/>
          <w:szCs w:val="20"/>
        </w:rPr>
        <w:t>, “</w:t>
      </w:r>
      <w:r w:rsidRPr="00EB20F8">
        <w:rPr>
          <w:rFonts w:asciiTheme="minorHAnsi" w:hAnsiTheme="minorHAnsi" w:cstheme="minorHAnsi"/>
          <w:sz w:val="20"/>
          <w:szCs w:val="20"/>
        </w:rPr>
        <w:t>Leaving the EU: Legal Services.</w:t>
      </w:r>
      <w:r>
        <w:rPr>
          <w:rFonts w:asciiTheme="minorHAnsi" w:hAnsiTheme="minorHAnsi" w:cstheme="minorHAnsi"/>
          <w:sz w:val="20"/>
          <w:szCs w:val="20"/>
        </w:rPr>
        <w:t>”</w:t>
      </w:r>
      <w:r w:rsidRPr="00EB20F8">
        <w:rPr>
          <w:rFonts w:asciiTheme="minorHAnsi" w:hAnsiTheme="minorHAnsi" w:cstheme="minorHAnsi"/>
          <w:sz w:val="20"/>
          <w:szCs w:val="20"/>
        </w:rPr>
        <w:t xml:space="preserve"> </w:t>
      </w:r>
      <w:r w:rsidRPr="00EB20F8">
        <w:rPr>
          <w:rFonts w:asciiTheme="minorHAnsi" w:hAnsiTheme="minorHAnsi" w:cstheme="minorHAnsi"/>
          <w:sz w:val="20"/>
          <w:szCs w:val="20"/>
          <w:shd w:val="clear" w:color="auto" w:fill="FFFFFF"/>
        </w:rPr>
        <w:t>HC Deb, 21 November 2018, c381WH. Available at</w:t>
      </w:r>
      <w:r w:rsidRPr="00EB20F8">
        <w:rPr>
          <w:rFonts w:asciiTheme="minorHAnsi" w:hAnsiTheme="minorHAnsi" w:cstheme="minorHAnsi"/>
          <w:color w:val="B5ACAF"/>
          <w:sz w:val="20"/>
          <w:szCs w:val="20"/>
          <w:shd w:val="clear" w:color="auto" w:fill="FFFFFF"/>
        </w:rPr>
        <w:t xml:space="preserve"> </w:t>
      </w:r>
      <w:r w:rsidRPr="00EB20F8">
        <w:rPr>
          <w:rFonts w:asciiTheme="minorHAnsi" w:hAnsiTheme="minorHAnsi" w:cstheme="minorHAnsi"/>
          <w:sz w:val="20"/>
          <w:szCs w:val="20"/>
          <w:shd w:val="clear" w:color="auto" w:fill="FFFFFF"/>
        </w:rPr>
        <w:t xml:space="preserve">&lt; </w:t>
      </w:r>
      <w:r w:rsidRPr="00EB20F8">
        <w:rPr>
          <w:rFonts w:asciiTheme="minorHAnsi" w:hAnsiTheme="minorHAnsi" w:cstheme="minorHAnsi"/>
          <w:sz w:val="20"/>
          <w:szCs w:val="20"/>
        </w:rPr>
        <w:t>https://www.theyworkforyou.com/whall/?id=2018-11-21b.380.0 &gt; Accessed 15 July 2019, p 2).</w:t>
      </w:r>
    </w:p>
  </w:footnote>
  <w:footnote w:id="7">
    <w:p w14:paraId="435DCF18" w14:textId="77777777" w:rsidR="00E43136" w:rsidRPr="00EB20F8" w:rsidRDefault="00E43136" w:rsidP="004331E4">
      <w:pPr>
        <w:spacing w:after="0" w:line="240" w:lineRule="auto"/>
        <w:rPr>
          <w:rFonts w:asciiTheme="minorHAnsi" w:hAnsiTheme="minorHAnsi" w:cstheme="minorHAnsi"/>
          <w:sz w:val="20"/>
          <w:szCs w:val="20"/>
        </w:rPr>
      </w:pPr>
      <w:r w:rsidRPr="001B0A06">
        <w:rPr>
          <w:rStyle w:val="FootnoteReference"/>
          <w:rFonts w:asciiTheme="minorHAnsi" w:hAnsiTheme="minorHAnsi" w:cstheme="minorHAnsi"/>
          <w:sz w:val="20"/>
          <w:szCs w:val="20"/>
        </w:rPr>
        <w:footnoteRef/>
      </w:r>
      <w:r w:rsidRPr="001B0A06">
        <w:rPr>
          <w:rFonts w:asciiTheme="minorHAnsi" w:hAnsiTheme="minorHAnsi" w:cstheme="minorHAnsi"/>
          <w:sz w:val="20"/>
          <w:szCs w:val="20"/>
        </w:rPr>
        <w:t xml:space="preserve"> </w:t>
      </w:r>
      <w:r w:rsidRPr="001B0A06">
        <w:rPr>
          <w:rFonts w:asciiTheme="minorHAnsi" w:eastAsiaTheme="minorHAnsi" w:hAnsiTheme="minorHAnsi" w:cstheme="minorHAnsi"/>
          <w:sz w:val="20"/>
          <w:szCs w:val="20"/>
          <w:lang w:eastAsia="en-US"/>
        </w:rPr>
        <w:t xml:space="preserve">Over 380,000 people are trained and employed in the UK legal services market, which is the second largest in the world after the United States, and the largest legal services sector in the EU. In addition, </w:t>
      </w:r>
      <w:r>
        <w:rPr>
          <w:rFonts w:asciiTheme="minorHAnsi" w:eastAsiaTheme="minorHAnsi" w:hAnsiTheme="minorHAnsi" w:cstheme="minorHAnsi"/>
          <w:sz w:val="20"/>
          <w:szCs w:val="20"/>
          <w:lang w:eastAsia="en-US"/>
        </w:rPr>
        <w:t>t</w:t>
      </w:r>
      <w:r w:rsidRPr="00EB20F8">
        <w:rPr>
          <w:rFonts w:asciiTheme="minorHAnsi" w:hAnsiTheme="minorHAnsi" w:cstheme="minorHAnsi"/>
          <w:sz w:val="20"/>
          <w:szCs w:val="20"/>
        </w:rPr>
        <w:t>he UK legal services sector was</w:t>
      </w:r>
      <w:r w:rsidRPr="00EB20F8">
        <w:rPr>
          <w:rFonts w:asciiTheme="minorHAnsi" w:eastAsiaTheme="minorHAnsi" w:hAnsiTheme="minorHAnsi" w:cstheme="minorHAnsi"/>
          <w:sz w:val="20"/>
          <w:szCs w:val="20"/>
          <w:lang w:eastAsia="en-US"/>
        </w:rPr>
        <w:t xml:space="preserve"> responsible for a net export of £4 billion in 2017: see </w:t>
      </w:r>
      <w:r w:rsidRPr="00EB20F8">
        <w:rPr>
          <w:rFonts w:asciiTheme="minorHAnsi" w:hAnsiTheme="minorHAnsi" w:cstheme="minorHAnsi"/>
          <w:sz w:val="20"/>
          <w:szCs w:val="20"/>
        </w:rPr>
        <w:t xml:space="preserve">APPG on Legal and Constitutional Affairs, </w:t>
      </w:r>
      <w:r w:rsidRPr="00EB20F8">
        <w:rPr>
          <w:rFonts w:asciiTheme="minorHAnsi" w:hAnsiTheme="minorHAnsi" w:cstheme="minorHAnsi"/>
          <w:i/>
          <w:sz w:val="20"/>
          <w:szCs w:val="20"/>
        </w:rPr>
        <w:t xml:space="preserve">The effect of Brexit on legal services. </w:t>
      </w:r>
      <w:r w:rsidRPr="00EB20F8">
        <w:rPr>
          <w:rFonts w:asciiTheme="minorHAnsi" w:hAnsiTheme="minorHAnsi" w:cstheme="minorHAnsi"/>
          <w:sz w:val="20"/>
          <w:szCs w:val="20"/>
        </w:rPr>
        <w:t>October 2018. Law Society of England and Wales. Available at &lt; https://www.lawsociety.org.uk/policy-campaigns/articles/appg-legal-consitutional-affairs-effect-of-brexit-on-legal-services/ &gt; Accessed 21 June 2019, p 3.</w:t>
      </w:r>
    </w:p>
  </w:footnote>
  <w:footnote w:id="8">
    <w:p w14:paraId="00DE9A66" w14:textId="77777777" w:rsidR="00E43136" w:rsidRPr="00D36B41" w:rsidRDefault="00E43136" w:rsidP="009C51ED">
      <w:pPr>
        <w:spacing w:after="0" w:line="240" w:lineRule="auto"/>
        <w:rPr>
          <w:rFonts w:asciiTheme="minorHAnsi" w:hAnsiTheme="minorHAnsi" w:cstheme="minorHAnsi"/>
          <w:sz w:val="20"/>
          <w:szCs w:val="20"/>
        </w:rPr>
      </w:pPr>
      <w:r w:rsidRPr="00EB20F8">
        <w:rPr>
          <w:rStyle w:val="FootnoteReference"/>
          <w:rFonts w:asciiTheme="minorHAnsi" w:hAnsiTheme="minorHAnsi" w:cstheme="minorHAnsi"/>
          <w:sz w:val="20"/>
          <w:szCs w:val="20"/>
        </w:rPr>
        <w:footnoteRef/>
      </w:r>
      <w:r w:rsidRPr="00EB20F8">
        <w:rPr>
          <w:rFonts w:asciiTheme="minorHAnsi" w:hAnsiTheme="minorHAnsi" w:cstheme="minorHAnsi"/>
          <w:sz w:val="20"/>
          <w:szCs w:val="20"/>
        </w:rPr>
        <w:t xml:space="preserve"> </w:t>
      </w:r>
      <w:r w:rsidRPr="001B0A06">
        <w:rPr>
          <w:rFonts w:asciiTheme="minorHAnsi" w:eastAsiaTheme="minorHAnsi" w:hAnsiTheme="minorHAnsi" w:cstheme="minorHAnsi"/>
          <w:sz w:val="20"/>
          <w:szCs w:val="20"/>
          <w:lang w:eastAsia="en-US"/>
        </w:rPr>
        <w:t>In 2017, three quarters of cases before the London Commercial Court were international in character</w:t>
      </w:r>
      <w:r>
        <w:rPr>
          <w:rFonts w:asciiTheme="minorHAnsi" w:eastAsiaTheme="minorHAnsi" w:hAnsiTheme="minorHAnsi" w:cstheme="minorHAnsi"/>
          <w:sz w:val="20"/>
          <w:szCs w:val="20"/>
          <w:lang w:eastAsia="en-US"/>
        </w:rPr>
        <w:t>: see</w:t>
      </w:r>
      <w:r w:rsidRPr="001B0A06">
        <w:rPr>
          <w:rFonts w:asciiTheme="minorHAnsi" w:eastAsiaTheme="minorHAnsi" w:hAnsiTheme="minorHAnsi" w:cstheme="minorHAnsi"/>
          <w:sz w:val="20"/>
          <w:szCs w:val="20"/>
          <w:lang w:eastAsia="en-US"/>
        </w:rPr>
        <w:t xml:space="preserve"> </w:t>
      </w:r>
      <w:r w:rsidRPr="00EB20F8">
        <w:rPr>
          <w:rFonts w:asciiTheme="minorHAnsi" w:hAnsiTheme="minorHAnsi" w:cstheme="minorHAnsi"/>
          <w:sz w:val="20"/>
          <w:szCs w:val="20"/>
        </w:rPr>
        <w:t xml:space="preserve">Queen Mary University London and White &amp; </w:t>
      </w:r>
      <w:r>
        <w:rPr>
          <w:rFonts w:asciiTheme="minorHAnsi" w:hAnsiTheme="minorHAnsi" w:cstheme="minorHAnsi"/>
          <w:sz w:val="20"/>
          <w:szCs w:val="20"/>
        </w:rPr>
        <w:t>Case,</w:t>
      </w:r>
      <w:r w:rsidRPr="001B0A06">
        <w:rPr>
          <w:rFonts w:asciiTheme="minorHAnsi" w:hAnsiTheme="minorHAnsi" w:cstheme="minorHAnsi"/>
          <w:sz w:val="20"/>
          <w:szCs w:val="20"/>
        </w:rPr>
        <w:t xml:space="preserve"> </w:t>
      </w:r>
      <w:r>
        <w:rPr>
          <w:rFonts w:asciiTheme="minorHAnsi" w:hAnsiTheme="minorHAnsi" w:cstheme="minorHAnsi"/>
          <w:sz w:val="20"/>
          <w:szCs w:val="20"/>
        </w:rPr>
        <w:t>“</w:t>
      </w:r>
      <w:r w:rsidRPr="001B0A06">
        <w:rPr>
          <w:rFonts w:asciiTheme="minorHAnsi" w:hAnsiTheme="minorHAnsi" w:cstheme="minorHAnsi"/>
          <w:sz w:val="20"/>
          <w:szCs w:val="20"/>
        </w:rPr>
        <w:t>2018 International Arbitration Survey: The Evoluti</w:t>
      </w:r>
      <w:r>
        <w:rPr>
          <w:rFonts w:asciiTheme="minorHAnsi" w:hAnsiTheme="minorHAnsi" w:cstheme="minorHAnsi"/>
          <w:sz w:val="20"/>
          <w:szCs w:val="20"/>
        </w:rPr>
        <w:t>on of International Arbitration</w:t>
      </w:r>
      <w:r w:rsidRPr="001B0A06">
        <w:rPr>
          <w:rFonts w:asciiTheme="minorHAnsi" w:hAnsiTheme="minorHAnsi" w:cstheme="minorHAnsi"/>
          <w:sz w:val="20"/>
          <w:szCs w:val="20"/>
        </w:rPr>
        <w:t>.</w:t>
      </w:r>
      <w:r>
        <w:rPr>
          <w:rFonts w:asciiTheme="minorHAnsi" w:hAnsiTheme="minorHAnsi" w:cstheme="minorHAnsi"/>
          <w:sz w:val="20"/>
          <w:szCs w:val="20"/>
        </w:rPr>
        <w:t>”</w:t>
      </w:r>
      <w:r w:rsidRPr="001B0A06">
        <w:rPr>
          <w:rFonts w:asciiTheme="minorHAnsi" w:hAnsiTheme="minorHAnsi" w:cstheme="minorHAnsi"/>
          <w:sz w:val="20"/>
          <w:szCs w:val="20"/>
        </w:rPr>
        <w:t xml:space="preserve"> Available at &lt;http://www.arbitration.qmul.ac.uk/media/arbitration/docs/2018-International-Arbitration-Survey---The-Evolution-of-International-Arbitration-(2).PDF&gt; Accessed 24 June 2019, p. 5. </w:t>
      </w:r>
      <w:r w:rsidRPr="001B0A06">
        <w:rPr>
          <w:rFonts w:asciiTheme="minorHAnsi" w:eastAsiaTheme="minorHAnsi" w:hAnsiTheme="minorHAnsi" w:cstheme="minorHAnsi"/>
          <w:sz w:val="20"/>
          <w:szCs w:val="20"/>
          <w:lang w:eastAsia="en-US"/>
        </w:rPr>
        <w:t>I</w:t>
      </w:r>
      <w:r w:rsidRPr="001B0A06">
        <w:rPr>
          <w:rFonts w:asciiTheme="minorHAnsi" w:hAnsiTheme="minorHAnsi" w:cstheme="minorHAnsi"/>
          <w:sz w:val="20"/>
          <w:szCs w:val="20"/>
        </w:rPr>
        <w:t>n an international arbitration at t</w:t>
      </w:r>
      <w:r w:rsidRPr="001B0A06">
        <w:rPr>
          <w:rFonts w:asciiTheme="minorHAnsi" w:eastAsiaTheme="minorHAnsi" w:hAnsiTheme="minorHAnsi" w:cstheme="minorHAnsi"/>
          <w:sz w:val="20"/>
          <w:szCs w:val="20"/>
          <w:lang w:eastAsia="en-US"/>
        </w:rPr>
        <w:t xml:space="preserve">he </w:t>
      </w:r>
      <w:r w:rsidRPr="001B0A06">
        <w:rPr>
          <w:rFonts w:asciiTheme="minorHAnsi" w:hAnsiTheme="minorHAnsi" w:cstheme="minorHAnsi"/>
          <w:sz w:val="20"/>
          <w:szCs w:val="20"/>
        </w:rPr>
        <w:t xml:space="preserve">London Court of International Arbitration and the International Chamber of Commerce, it is not uncommon to find that neither of the parties are English, and that none of the legal </w:t>
      </w:r>
      <w:r w:rsidRPr="00D36B41">
        <w:rPr>
          <w:rFonts w:asciiTheme="minorHAnsi" w:hAnsiTheme="minorHAnsi" w:cstheme="minorHAnsi"/>
          <w:sz w:val="20"/>
          <w:szCs w:val="20"/>
        </w:rPr>
        <w:t xml:space="preserve">representatives are London-based, but clients will be represented by London-based lawyers from international law firms, or English barristers instructed from overseas. </w:t>
      </w:r>
      <w:r w:rsidRPr="00D36B41">
        <w:rPr>
          <w:rFonts w:asciiTheme="minorHAnsi" w:eastAsiaTheme="minorHAnsi" w:hAnsiTheme="minorHAnsi" w:cstheme="minorHAnsi"/>
          <w:sz w:val="20"/>
          <w:szCs w:val="20"/>
          <w:lang w:eastAsia="en-US"/>
        </w:rPr>
        <w:t xml:space="preserve">Over 200 foreign law firms now have their offices in the UK, and employ over 10,000 people: see </w:t>
      </w:r>
      <w:proofErr w:type="spellStart"/>
      <w:r w:rsidRPr="00D36B41">
        <w:rPr>
          <w:rFonts w:asciiTheme="minorHAnsi" w:eastAsiaTheme="minorHAnsi" w:hAnsiTheme="minorHAnsi" w:cstheme="minorHAnsi"/>
          <w:sz w:val="20"/>
          <w:szCs w:val="20"/>
          <w:lang w:eastAsia="en-US"/>
        </w:rPr>
        <w:t>TheCityUK</w:t>
      </w:r>
      <w:proofErr w:type="spellEnd"/>
      <w:r w:rsidRPr="00D36B41">
        <w:rPr>
          <w:rFonts w:asciiTheme="minorHAnsi" w:eastAsiaTheme="minorHAnsi" w:hAnsiTheme="minorHAnsi" w:cstheme="minorHAnsi"/>
          <w:sz w:val="20"/>
          <w:szCs w:val="20"/>
          <w:lang w:eastAsia="en-US"/>
        </w:rPr>
        <w:t>, pp. 7-8.</w:t>
      </w:r>
    </w:p>
  </w:footnote>
  <w:footnote w:id="9">
    <w:p w14:paraId="76D5E3E3" w14:textId="77777777" w:rsidR="00E43136" w:rsidRPr="001B0A06" w:rsidRDefault="00E43136" w:rsidP="0002008C">
      <w:pPr>
        <w:spacing w:after="0" w:line="240" w:lineRule="auto"/>
        <w:rPr>
          <w:rFonts w:asciiTheme="minorHAnsi" w:hAnsiTheme="minorHAnsi" w:cstheme="minorHAnsi"/>
          <w:sz w:val="20"/>
          <w:szCs w:val="20"/>
        </w:rPr>
      </w:pPr>
      <w:r w:rsidRPr="00D36B41">
        <w:rPr>
          <w:rStyle w:val="FootnoteReference"/>
          <w:rFonts w:asciiTheme="minorHAnsi" w:hAnsiTheme="minorHAnsi" w:cstheme="minorHAnsi"/>
          <w:sz w:val="20"/>
          <w:szCs w:val="20"/>
        </w:rPr>
        <w:footnoteRef/>
      </w:r>
      <w:r w:rsidRPr="00D36B41">
        <w:rPr>
          <w:rFonts w:asciiTheme="minorHAnsi" w:hAnsiTheme="minorHAnsi" w:cstheme="minorHAnsi"/>
          <w:sz w:val="20"/>
          <w:szCs w:val="20"/>
        </w:rPr>
        <w:t xml:space="preserve"> </w:t>
      </w:r>
      <w:bookmarkStart w:id="1" w:name="_Hlk25332091"/>
      <w:r w:rsidRPr="00D36B41">
        <w:rPr>
          <w:rFonts w:asciiTheme="minorHAnsi" w:hAnsiTheme="minorHAnsi" w:cstheme="minorHAnsi"/>
          <w:sz w:val="20"/>
          <w:szCs w:val="20"/>
        </w:rPr>
        <w:t>Statistics from the London Court of International Arbitration show that up to twenty-five per cent of the arbitrations referred to this Court in 2015</w:t>
      </w:r>
      <w:r w:rsidRPr="001B0A06">
        <w:rPr>
          <w:rFonts w:asciiTheme="minorHAnsi" w:hAnsiTheme="minorHAnsi" w:cstheme="minorHAnsi"/>
          <w:sz w:val="20"/>
          <w:szCs w:val="20"/>
        </w:rPr>
        <w:t xml:space="preserve"> were from the EU</w:t>
      </w:r>
      <w:r>
        <w:rPr>
          <w:rFonts w:asciiTheme="minorHAnsi" w:hAnsiTheme="minorHAnsi" w:cstheme="minorHAnsi"/>
          <w:sz w:val="20"/>
          <w:szCs w:val="20"/>
        </w:rPr>
        <w:t>, a</w:t>
      </w:r>
      <w:r w:rsidRPr="00EB20F8">
        <w:rPr>
          <w:rFonts w:asciiTheme="minorHAnsi" w:hAnsiTheme="minorHAnsi" w:cstheme="minorHAnsi"/>
          <w:sz w:val="20"/>
          <w:szCs w:val="20"/>
        </w:rPr>
        <w:t xml:space="preserve">s compared to 15.6 per cent from the UK, 14.8 per cent from Russia and the Commonwealth of Independent States, and </w:t>
      </w:r>
      <w:r>
        <w:rPr>
          <w:rFonts w:asciiTheme="minorHAnsi" w:hAnsiTheme="minorHAnsi" w:cstheme="minorHAnsi"/>
          <w:sz w:val="20"/>
          <w:szCs w:val="20"/>
        </w:rPr>
        <w:t>12</w:t>
      </w:r>
      <w:r w:rsidRPr="00EB20F8">
        <w:rPr>
          <w:rFonts w:asciiTheme="minorHAnsi" w:hAnsiTheme="minorHAnsi" w:cstheme="minorHAnsi"/>
          <w:sz w:val="20"/>
          <w:szCs w:val="20"/>
        </w:rPr>
        <w:t xml:space="preserve"> per cent from Asia and the Caribbean. The London Maritime Arbitrators’ Association estimated that in 2015, European lawyers were involved in fifty per cent of arbitrations dealt with by documents only:</w:t>
      </w:r>
      <w:r>
        <w:rPr>
          <w:rFonts w:asciiTheme="minorHAnsi" w:hAnsiTheme="minorHAnsi" w:cstheme="minorHAnsi"/>
          <w:sz w:val="20"/>
          <w:szCs w:val="20"/>
        </w:rPr>
        <w:t xml:space="preserve"> see</w:t>
      </w:r>
      <w:r w:rsidRPr="00EB20F8">
        <w:rPr>
          <w:rFonts w:asciiTheme="minorHAnsi" w:hAnsiTheme="minorHAnsi" w:cstheme="minorHAnsi"/>
          <w:sz w:val="20"/>
          <w:szCs w:val="20"/>
        </w:rPr>
        <w:t xml:space="preserve"> Bar Council Brexit Working Group </w:t>
      </w:r>
      <w:bookmarkEnd w:id="1"/>
      <w:r w:rsidRPr="00EB20F8">
        <w:rPr>
          <w:rFonts w:asciiTheme="minorHAnsi" w:hAnsiTheme="minorHAnsi" w:cstheme="minorHAnsi"/>
          <w:i/>
          <w:sz w:val="20"/>
          <w:szCs w:val="20"/>
        </w:rPr>
        <w:t>International Arbitration</w:t>
      </w:r>
      <w:r w:rsidRPr="00EB20F8">
        <w:rPr>
          <w:rFonts w:asciiTheme="minorHAnsi" w:hAnsiTheme="minorHAnsi" w:cstheme="minorHAnsi"/>
          <w:sz w:val="20"/>
          <w:szCs w:val="20"/>
        </w:rPr>
        <w:t>. March 2017. Paper Two. The General Council of the Bar, pp 3-5.</w:t>
      </w:r>
    </w:p>
  </w:footnote>
  <w:footnote w:id="10">
    <w:p w14:paraId="06947B73" w14:textId="77777777" w:rsidR="00E43136" w:rsidRPr="00EB20F8" w:rsidRDefault="00E43136" w:rsidP="008926E9">
      <w:pPr>
        <w:pStyle w:val="FootnoteText"/>
        <w:rPr>
          <w:rFonts w:asciiTheme="minorHAnsi" w:hAnsiTheme="minorHAnsi" w:cstheme="minorHAnsi"/>
        </w:rPr>
      </w:pPr>
      <w:r w:rsidRPr="001B0A06">
        <w:rPr>
          <w:rStyle w:val="FootnoteReference"/>
          <w:rFonts w:asciiTheme="minorHAnsi" w:hAnsiTheme="minorHAnsi" w:cstheme="minorHAnsi"/>
        </w:rPr>
        <w:footnoteRef/>
      </w:r>
      <w:r w:rsidRPr="001B0A06">
        <w:rPr>
          <w:rFonts w:asciiTheme="minorHAnsi" w:hAnsiTheme="minorHAnsi" w:cstheme="minorHAnsi"/>
        </w:rPr>
        <w:t xml:space="preserve"> </w:t>
      </w:r>
      <w:r w:rsidRPr="00EB20F8">
        <w:rPr>
          <w:rFonts w:asciiTheme="minorHAnsi" w:hAnsiTheme="minorHAnsi" w:cstheme="minorHAnsi"/>
        </w:rPr>
        <w:t xml:space="preserve">Bar Council Brexit Working Group </w:t>
      </w:r>
      <w:r>
        <w:rPr>
          <w:rFonts w:asciiTheme="minorHAnsi" w:hAnsiTheme="minorHAnsi" w:cstheme="minorHAnsi"/>
        </w:rPr>
        <w:t>“</w:t>
      </w:r>
      <w:r w:rsidRPr="00CF5625">
        <w:rPr>
          <w:rFonts w:asciiTheme="minorHAnsi" w:hAnsiTheme="minorHAnsi" w:cstheme="minorHAnsi"/>
        </w:rPr>
        <w:t>Legal Services</w:t>
      </w:r>
      <w:r w:rsidRPr="00EB20F8">
        <w:rPr>
          <w:rFonts w:asciiTheme="minorHAnsi" w:hAnsiTheme="minorHAnsi" w:cstheme="minorHAnsi"/>
        </w:rPr>
        <w:t>.</w:t>
      </w:r>
      <w:r>
        <w:rPr>
          <w:rFonts w:asciiTheme="minorHAnsi" w:hAnsiTheme="minorHAnsi" w:cstheme="minorHAnsi"/>
        </w:rPr>
        <w:t>”</w:t>
      </w:r>
      <w:r w:rsidRPr="00EB20F8">
        <w:rPr>
          <w:rFonts w:asciiTheme="minorHAnsi" w:hAnsiTheme="minorHAnsi" w:cstheme="minorHAnsi"/>
        </w:rPr>
        <w:t xml:space="preserve"> June 2017. Paper One. The General Council of the Bar, 3.</w:t>
      </w:r>
    </w:p>
  </w:footnote>
  <w:footnote w:id="11">
    <w:p w14:paraId="09508CB9" w14:textId="77777777" w:rsidR="00E43136" w:rsidRPr="001B0A06" w:rsidRDefault="00E43136" w:rsidP="008926E9">
      <w:pPr>
        <w:autoSpaceDE w:val="0"/>
        <w:autoSpaceDN w:val="0"/>
        <w:adjustRightInd w:val="0"/>
        <w:spacing w:after="0" w:line="240" w:lineRule="auto"/>
        <w:rPr>
          <w:rFonts w:asciiTheme="minorHAnsi" w:hAnsiTheme="minorHAnsi" w:cstheme="minorHAnsi"/>
          <w:sz w:val="20"/>
          <w:szCs w:val="20"/>
        </w:rPr>
      </w:pPr>
      <w:r w:rsidRPr="00EB20F8">
        <w:rPr>
          <w:rStyle w:val="FootnoteReference"/>
          <w:rFonts w:asciiTheme="minorHAnsi" w:hAnsiTheme="minorHAnsi" w:cstheme="minorHAnsi"/>
          <w:sz w:val="20"/>
          <w:szCs w:val="20"/>
        </w:rPr>
        <w:footnoteRef/>
      </w:r>
      <w:r w:rsidRPr="00EB20F8">
        <w:rPr>
          <w:rFonts w:asciiTheme="minorHAnsi" w:hAnsiTheme="minorHAnsi" w:cstheme="minorHAnsi"/>
          <w:sz w:val="20"/>
          <w:szCs w:val="20"/>
        </w:rPr>
        <w:t xml:space="preserve"> </w:t>
      </w:r>
      <w:r w:rsidRPr="00EB20F8">
        <w:rPr>
          <w:rFonts w:asciiTheme="minorHAnsi" w:eastAsiaTheme="minorHAnsi" w:hAnsiTheme="minorHAnsi" w:cstheme="minorHAnsi"/>
          <w:sz w:val="20"/>
          <w:szCs w:val="20"/>
          <w:lang w:eastAsia="en-US"/>
        </w:rPr>
        <w:t xml:space="preserve">2.1 per cent of practising solicitors in England and Wales in July 2017 were non-UK European lawyers. </w:t>
      </w:r>
      <w:r w:rsidRPr="00EB20F8">
        <w:rPr>
          <w:rFonts w:asciiTheme="minorHAnsi" w:hAnsiTheme="minorHAnsi" w:cstheme="minorHAnsi"/>
          <w:sz w:val="20"/>
          <w:szCs w:val="20"/>
        </w:rPr>
        <w:t xml:space="preserve">There were </w:t>
      </w:r>
      <w:r w:rsidRPr="00EB20F8">
        <w:rPr>
          <w:rFonts w:asciiTheme="minorHAnsi" w:eastAsiaTheme="minorHAnsi" w:hAnsiTheme="minorHAnsi" w:cstheme="minorHAnsi"/>
          <w:sz w:val="20"/>
          <w:szCs w:val="20"/>
          <w:lang w:eastAsia="en-US"/>
        </w:rPr>
        <w:t xml:space="preserve">661 Registered European Lawyers and 2,364 Exempt European Lawyers in July 2017: see </w:t>
      </w:r>
      <w:proofErr w:type="spellStart"/>
      <w:r w:rsidRPr="00EB20F8">
        <w:rPr>
          <w:rFonts w:asciiTheme="minorHAnsi" w:hAnsiTheme="minorHAnsi" w:cstheme="minorHAnsi"/>
          <w:sz w:val="20"/>
          <w:szCs w:val="20"/>
        </w:rPr>
        <w:t>Beqiraj</w:t>
      </w:r>
      <w:proofErr w:type="spellEnd"/>
      <w:r w:rsidRPr="00EB20F8">
        <w:rPr>
          <w:rFonts w:asciiTheme="minorHAnsi" w:hAnsiTheme="minorHAnsi" w:cstheme="minorHAnsi"/>
          <w:sz w:val="20"/>
          <w:szCs w:val="20"/>
        </w:rPr>
        <w:t xml:space="preserve">, J. </w:t>
      </w:r>
      <w:r>
        <w:rPr>
          <w:rFonts w:asciiTheme="minorHAnsi" w:hAnsiTheme="minorHAnsi" w:cstheme="minorHAnsi"/>
          <w:sz w:val="20"/>
          <w:szCs w:val="20"/>
        </w:rPr>
        <w:t>“</w:t>
      </w:r>
      <w:r w:rsidRPr="00EB20F8">
        <w:rPr>
          <w:rFonts w:asciiTheme="minorHAnsi" w:hAnsiTheme="minorHAnsi" w:cstheme="minorHAnsi"/>
          <w:sz w:val="20"/>
          <w:szCs w:val="20"/>
        </w:rPr>
        <w:t>FAQ: Professional Qualifications after Brexit.</w:t>
      </w:r>
      <w:r>
        <w:rPr>
          <w:rFonts w:asciiTheme="minorHAnsi" w:hAnsiTheme="minorHAnsi" w:cstheme="minorHAnsi"/>
          <w:sz w:val="20"/>
          <w:szCs w:val="20"/>
        </w:rPr>
        <w:t>”</w:t>
      </w:r>
      <w:r w:rsidRPr="00EB20F8">
        <w:rPr>
          <w:rFonts w:asciiTheme="minorHAnsi" w:hAnsiTheme="minorHAnsi" w:cstheme="minorHAnsi"/>
          <w:sz w:val="20"/>
          <w:szCs w:val="20"/>
        </w:rPr>
        <w:t xml:space="preserve"> (October 2017). </w:t>
      </w:r>
      <w:r w:rsidRPr="00EB20F8">
        <w:rPr>
          <w:rFonts w:asciiTheme="minorHAnsi" w:hAnsiTheme="minorHAnsi" w:cstheme="minorHAnsi"/>
          <w:i/>
          <w:iCs/>
          <w:sz w:val="20"/>
          <w:szCs w:val="20"/>
        </w:rPr>
        <w:t>British Institute of International and Comparative Law</w:t>
      </w:r>
      <w:r w:rsidRPr="00EB20F8">
        <w:rPr>
          <w:rFonts w:asciiTheme="minorHAnsi" w:hAnsiTheme="minorHAnsi" w:cstheme="minorHAnsi"/>
          <w:sz w:val="20"/>
          <w:szCs w:val="20"/>
        </w:rPr>
        <w:t xml:space="preserve">, 3. These rose to </w:t>
      </w:r>
      <w:r w:rsidRPr="00EB20F8">
        <w:rPr>
          <w:rFonts w:asciiTheme="minorHAnsi" w:eastAsiaTheme="minorHAnsi" w:hAnsiTheme="minorHAnsi" w:cstheme="minorHAnsi"/>
          <w:sz w:val="20"/>
          <w:szCs w:val="20"/>
          <w:lang w:eastAsia="en-US"/>
        </w:rPr>
        <w:t xml:space="preserve">741 and 3,548 respectively in September 2019: see </w:t>
      </w:r>
      <w:r w:rsidRPr="00EB20F8">
        <w:rPr>
          <w:rFonts w:asciiTheme="minorHAnsi" w:hAnsiTheme="minorHAnsi" w:cstheme="minorHAnsi"/>
          <w:sz w:val="20"/>
          <w:szCs w:val="20"/>
        </w:rPr>
        <w:t>SRA</w:t>
      </w:r>
      <w:r>
        <w:rPr>
          <w:rFonts w:asciiTheme="minorHAnsi" w:hAnsiTheme="minorHAnsi" w:cstheme="minorHAnsi"/>
          <w:sz w:val="20"/>
          <w:szCs w:val="20"/>
        </w:rPr>
        <w:t>,</w:t>
      </w:r>
      <w:r w:rsidRPr="00EB20F8">
        <w:rPr>
          <w:rFonts w:asciiTheme="minorHAnsi" w:hAnsiTheme="minorHAnsi" w:cstheme="minorHAnsi"/>
          <w:sz w:val="20"/>
          <w:szCs w:val="20"/>
        </w:rPr>
        <w:t xml:space="preserve"> </w:t>
      </w:r>
      <w:r>
        <w:rPr>
          <w:rFonts w:asciiTheme="minorHAnsi" w:hAnsiTheme="minorHAnsi" w:cstheme="minorHAnsi"/>
          <w:sz w:val="20"/>
          <w:szCs w:val="20"/>
        </w:rPr>
        <w:t>“</w:t>
      </w:r>
      <w:r w:rsidRPr="00EB20F8">
        <w:rPr>
          <w:rFonts w:asciiTheme="minorHAnsi" w:hAnsiTheme="minorHAnsi" w:cstheme="minorHAnsi"/>
          <w:sz w:val="20"/>
          <w:szCs w:val="20"/>
        </w:rPr>
        <w:t>Population of Solicitors in England and Wales.</w:t>
      </w:r>
      <w:r>
        <w:rPr>
          <w:rFonts w:asciiTheme="minorHAnsi" w:hAnsiTheme="minorHAnsi" w:cstheme="minorHAnsi"/>
          <w:sz w:val="20"/>
          <w:szCs w:val="20"/>
        </w:rPr>
        <w:t xml:space="preserve">” 2019. </w:t>
      </w:r>
      <w:r w:rsidRPr="00EB20F8">
        <w:rPr>
          <w:rFonts w:asciiTheme="minorHAnsi" w:hAnsiTheme="minorHAnsi" w:cstheme="minorHAnsi"/>
          <w:sz w:val="20"/>
          <w:szCs w:val="20"/>
        </w:rPr>
        <w:t xml:space="preserve"> Available at &lt;https://www.sra.org.uk/sra/how-we-work/reports/statistics/regulated-community-statistics/data/population_solicitors/&gt; Accessed 2 November 2019.</w:t>
      </w:r>
    </w:p>
  </w:footnote>
  <w:footnote w:id="12">
    <w:p w14:paraId="7233538B" w14:textId="77777777" w:rsidR="00E43136" w:rsidRPr="00EB20F8" w:rsidRDefault="00E43136" w:rsidP="002F58C3">
      <w:pPr>
        <w:spacing w:after="0" w:line="240" w:lineRule="auto"/>
        <w:rPr>
          <w:rFonts w:asciiTheme="minorHAnsi" w:hAnsiTheme="minorHAnsi" w:cstheme="minorHAnsi"/>
          <w:sz w:val="20"/>
          <w:szCs w:val="20"/>
        </w:rPr>
      </w:pPr>
      <w:r w:rsidRPr="00EB20F8">
        <w:rPr>
          <w:rStyle w:val="FootnoteReference"/>
          <w:rFonts w:asciiTheme="minorHAnsi" w:hAnsiTheme="minorHAnsi" w:cstheme="minorHAnsi"/>
          <w:sz w:val="20"/>
          <w:szCs w:val="20"/>
        </w:rPr>
        <w:footnoteRef/>
      </w:r>
      <w:r>
        <w:rPr>
          <w:rFonts w:asciiTheme="minorHAnsi" w:hAnsiTheme="minorHAnsi" w:cstheme="minorHAnsi"/>
          <w:sz w:val="20"/>
          <w:szCs w:val="20"/>
        </w:rPr>
        <w:t xml:space="preserve"> T</w:t>
      </w:r>
      <w:r w:rsidRPr="00EB20F8">
        <w:rPr>
          <w:rFonts w:asciiTheme="minorHAnsi" w:hAnsiTheme="minorHAnsi" w:cstheme="minorHAnsi"/>
          <w:sz w:val="20"/>
          <w:szCs w:val="20"/>
        </w:rPr>
        <w:t xml:space="preserve">here were 2,731 solicitors practising in the other EU </w:t>
      </w:r>
      <w:r>
        <w:rPr>
          <w:rFonts w:asciiTheme="minorHAnsi" w:hAnsiTheme="minorHAnsi" w:cstheme="minorHAnsi"/>
          <w:sz w:val="20"/>
          <w:szCs w:val="20"/>
        </w:rPr>
        <w:t>Member States</w:t>
      </w:r>
      <w:r w:rsidRPr="00EB20F8">
        <w:rPr>
          <w:rFonts w:asciiTheme="minorHAnsi" w:hAnsiTheme="minorHAnsi" w:cstheme="minorHAnsi"/>
          <w:sz w:val="20"/>
          <w:szCs w:val="20"/>
        </w:rPr>
        <w:t xml:space="preserve">, and thirty-six of the top UK law firms had at least one office in one of the twenty-seven other EU </w:t>
      </w:r>
      <w:r>
        <w:rPr>
          <w:rFonts w:asciiTheme="minorHAnsi" w:hAnsiTheme="minorHAnsi" w:cstheme="minorHAnsi"/>
          <w:sz w:val="20"/>
          <w:szCs w:val="20"/>
        </w:rPr>
        <w:t>Member States</w:t>
      </w:r>
      <w:r w:rsidRPr="00EB20F8">
        <w:rPr>
          <w:rFonts w:asciiTheme="minorHAnsi" w:hAnsiTheme="minorHAnsi" w:cstheme="minorHAnsi"/>
          <w:sz w:val="20"/>
          <w:szCs w:val="20"/>
        </w:rPr>
        <w:t xml:space="preserve"> in 2016:</w:t>
      </w:r>
      <w:r>
        <w:rPr>
          <w:rFonts w:asciiTheme="minorHAnsi" w:hAnsiTheme="minorHAnsi" w:cstheme="minorHAnsi"/>
          <w:sz w:val="20"/>
          <w:szCs w:val="20"/>
        </w:rPr>
        <w:t xml:space="preserve"> see </w:t>
      </w:r>
      <w:r w:rsidRPr="00EB20F8">
        <w:rPr>
          <w:rFonts w:asciiTheme="minorHAnsi" w:hAnsiTheme="minorHAnsi" w:cstheme="minorHAnsi"/>
          <w:sz w:val="20"/>
          <w:szCs w:val="20"/>
        </w:rPr>
        <w:t>The Law Society of England and Wales</w:t>
      </w:r>
      <w:r>
        <w:rPr>
          <w:rFonts w:asciiTheme="minorHAnsi" w:hAnsiTheme="minorHAnsi" w:cstheme="minorHAnsi"/>
          <w:sz w:val="20"/>
          <w:szCs w:val="20"/>
        </w:rPr>
        <w:t xml:space="preserve">, </w:t>
      </w:r>
      <w:r w:rsidRPr="00EB20F8">
        <w:rPr>
          <w:rFonts w:asciiTheme="minorHAnsi" w:hAnsiTheme="minorHAnsi" w:cstheme="minorHAnsi"/>
          <w:sz w:val="20"/>
          <w:szCs w:val="20"/>
        </w:rPr>
        <w:t xml:space="preserve"> </w:t>
      </w:r>
      <w:r>
        <w:rPr>
          <w:rFonts w:asciiTheme="minorHAnsi" w:hAnsiTheme="minorHAnsi" w:cstheme="minorHAnsi"/>
          <w:sz w:val="20"/>
          <w:szCs w:val="20"/>
        </w:rPr>
        <w:t>“</w:t>
      </w:r>
      <w:r w:rsidRPr="00EB20F8">
        <w:rPr>
          <w:rFonts w:asciiTheme="minorHAnsi" w:hAnsiTheme="minorHAnsi" w:cstheme="minorHAnsi"/>
          <w:sz w:val="20"/>
          <w:szCs w:val="20"/>
        </w:rPr>
        <w:t xml:space="preserve">House of </w:t>
      </w:r>
      <w:r>
        <w:rPr>
          <w:rFonts w:asciiTheme="minorHAnsi" w:hAnsiTheme="minorHAnsi" w:cstheme="minorHAnsi"/>
          <w:sz w:val="20"/>
          <w:szCs w:val="20"/>
        </w:rPr>
        <w:t>Lords call for evidence,”</w:t>
      </w:r>
      <w:r w:rsidRPr="00EB20F8">
        <w:rPr>
          <w:rFonts w:asciiTheme="minorHAnsi" w:hAnsiTheme="minorHAnsi" w:cstheme="minorHAnsi"/>
          <w:sz w:val="20"/>
          <w:szCs w:val="20"/>
        </w:rPr>
        <w:t xml:space="preserve"> </w:t>
      </w:r>
      <w:r w:rsidRPr="00CF5625">
        <w:rPr>
          <w:rFonts w:asciiTheme="minorHAnsi" w:hAnsiTheme="minorHAnsi" w:cstheme="minorHAnsi"/>
          <w:i/>
          <w:sz w:val="20"/>
          <w:szCs w:val="20"/>
        </w:rPr>
        <w:t xml:space="preserve">Internal </w:t>
      </w:r>
      <w:r w:rsidRPr="00EB20F8">
        <w:rPr>
          <w:rFonts w:asciiTheme="minorHAnsi" w:hAnsiTheme="minorHAnsi" w:cstheme="minorHAnsi"/>
          <w:i/>
          <w:sz w:val="20"/>
          <w:szCs w:val="20"/>
        </w:rPr>
        <w:t>Market Sub Committee Submission of evidence</w:t>
      </w:r>
      <w:r>
        <w:rPr>
          <w:rFonts w:asciiTheme="minorHAnsi" w:hAnsiTheme="minorHAnsi" w:cstheme="minorHAnsi"/>
          <w:sz w:val="20"/>
          <w:szCs w:val="20"/>
        </w:rPr>
        <w:t xml:space="preserve">. 5 </w:t>
      </w:r>
      <w:proofErr w:type="gramStart"/>
      <w:r>
        <w:rPr>
          <w:rFonts w:asciiTheme="minorHAnsi" w:hAnsiTheme="minorHAnsi" w:cstheme="minorHAnsi"/>
          <w:sz w:val="20"/>
          <w:szCs w:val="20"/>
        </w:rPr>
        <w:t>October,</w:t>
      </w:r>
      <w:proofErr w:type="gramEnd"/>
      <w:r>
        <w:rPr>
          <w:rFonts w:asciiTheme="minorHAnsi" w:hAnsiTheme="minorHAnsi" w:cstheme="minorHAnsi"/>
          <w:sz w:val="20"/>
          <w:szCs w:val="20"/>
        </w:rPr>
        <w:t xml:space="preserve"> 2016,</w:t>
      </w:r>
      <w:r w:rsidRPr="00EB20F8">
        <w:rPr>
          <w:rFonts w:asciiTheme="minorHAnsi" w:hAnsiTheme="minorHAnsi" w:cstheme="minorHAnsi"/>
          <w:sz w:val="20"/>
          <w:szCs w:val="20"/>
        </w:rPr>
        <w:t xml:space="preserve"> 4.</w:t>
      </w:r>
    </w:p>
  </w:footnote>
  <w:footnote w:id="13">
    <w:p w14:paraId="3619007F" w14:textId="77777777" w:rsidR="00E43136" w:rsidRPr="001B0A06" w:rsidRDefault="00E43136" w:rsidP="004879EA">
      <w:pPr>
        <w:autoSpaceDE w:val="0"/>
        <w:autoSpaceDN w:val="0"/>
        <w:adjustRightInd w:val="0"/>
        <w:spacing w:after="0" w:line="240" w:lineRule="auto"/>
        <w:rPr>
          <w:rFonts w:asciiTheme="minorHAnsi" w:hAnsiTheme="minorHAnsi" w:cstheme="minorHAnsi"/>
          <w:sz w:val="20"/>
          <w:szCs w:val="20"/>
        </w:rPr>
      </w:pPr>
      <w:r w:rsidRPr="00EB20F8">
        <w:rPr>
          <w:rStyle w:val="FootnoteReference"/>
          <w:rFonts w:asciiTheme="minorHAnsi" w:hAnsiTheme="minorHAnsi" w:cstheme="minorHAnsi"/>
          <w:sz w:val="20"/>
          <w:szCs w:val="20"/>
        </w:rPr>
        <w:footnoteRef/>
      </w:r>
      <w:r w:rsidRPr="00EB20F8">
        <w:rPr>
          <w:rFonts w:asciiTheme="minorHAnsi" w:hAnsiTheme="minorHAnsi" w:cstheme="minorHAnsi"/>
          <w:sz w:val="20"/>
          <w:szCs w:val="20"/>
        </w:rPr>
        <w:t xml:space="preserve"> </w:t>
      </w:r>
      <w:r>
        <w:rPr>
          <w:rFonts w:asciiTheme="minorHAnsi" w:hAnsiTheme="minorHAnsi" w:cstheme="minorHAnsi"/>
          <w:sz w:val="20"/>
          <w:szCs w:val="20"/>
        </w:rPr>
        <w:t xml:space="preserve">M. </w:t>
      </w:r>
      <w:proofErr w:type="spellStart"/>
      <w:r w:rsidRPr="00EB20F8">
        <w:rPr>
          <w:rFonts w:asciiTheme="minorHAnsi" w:hAnsiTheme="minorHAnsi" w:cstheme="minorHAnsi"/>
          <w:sz w:val="20"/>
          <w:szCs w:val="20"/>
        </w:rPr>
        <w:t>Hennsler</w:t>
      </w:r>
      <w:proofErr w:type="spellEnd"/>
      <w:r w:rsidRPr="00EB20F8">
        <w:rPr>
          <w:rFonts w:asciiTheme="minorHAnsi" w:hAnsiTheme="minorHAnsi" w:cstheme="minorHAnsi"/>
          <w:sz w:val="20"/>
          <w:szCs w:val="20"/>
        </w:rPr>
        <w:t xml:space="preserve">, and Terry, L. S. </w:t>
      </w:r>
      <w:r>
        <w:rPr>
          <w:rFonts w:asciiTheme="minorHAnsi" w:hAnsiTheme="minorHAnsi" w:cstheme="minorHAnsi"/>
          <w:sz w:val="20"/>
          <w:szCs w:val="20"/>
        </w:rPr>
        <w:t>“</w:t>
      </w:r>
      <w:r w:rsidRPr="00EB20F8">
        <w:rPr>
          <w:rFonts w:asciiTheme="minorHAnsi" w:hAnsiTheme="minorHAnsi" w:cstheme="minorHAnsi"/>
          <w:sz w:val="20"/>
          <w:szCs w:val="20"/>
        </w:rPr>
        <w:t>Lawyers without Frontiers - A View from Germany.</w:t>
      </w:r>
      <w:r>
        <w:rPr>
          <w:rFonts w:asciiTheme="minorHAnsi" w:hAnsiTheme="minorHAnsi" w:cstheme="minorHAnsi"/>
          <w:sz w:val="20"/>
          <w:szCs w:val="20"/>
        </w:rPr>
        <w:t>”</w:t>
      </w:r>
      <w:r w:rsidRPr="00EB20F8">
        <w:rPr>
          <w:rFonts w:asciiTheme="minorHAnsi" w:hAnsiTheme="minorHAnsi" w:cstheme="minorHAnsi"/>
          <w:sz w:val="20"/>
          <w:szCs w:val="20"/>
        </w:rPr>
        <w:t xml:space="preserve"> </w:t>
      </w:r>
      <w:r w:rsidRPr="00EB20F8">
        <w:rPr>
          <w:rFonts w:asciiTheme="minorHAnsi" w:hAnsiTheme="minorHAnsi" w:cstheme="minorHAnsi"/>
          <w:i/>
          <w:sz w:val="20"/>
          <w:szCs w:val="20"/>
        </w:rPr>
        <w:t>Dickinson Journal of International Law,</w:t>
      </w:r>
      <w:r w:rsidRPr="00EB20F8">
        <w:rPr>
          <w:rFonts w:asciiTheme="minorHAnsi" w:hAnsiTheme="minorHAnsi" w:cstheme="minorHAnsi"/>
          <w:sz w:val="20"/>
          <w:szCs w:val="20"/>
        </w:rPr>
        <w:t xml:space="preserve"> 19</w:t>
      </w:r>
      <w:r>
        <w:rPr>
          <w:rFonts w:asciiTheme="minorHAnsi" w:hAnsiTheme="minorHAnsi" w:cstheme="minorHAnsi"/>
          <w:sz w:val="20"/>
          <w:szCs w:val="20"/>
        </w:rPr>
        <w:t>,</w:t>
      </w:r>
      <w:r w:rsidRPr="00EB20F8">
        <w:rPr>
          <w:rFonts w:asciiTheme="minorHAnsi" w:hAnsiTheme="minorHAnsi" w:cstheme="minorHAnsi"/>
          <w:sz w:val="20"/>
          <w:szCs w:val="20"/>
        </w:rPr>
        <w:t xml:space="preserve"> 2 (2001)</w:t>
      </w:r>
      <w:r>
        <w:rPr>
          <w:rFonts w:asciiTheme="minorHAnsi" w:hAnsiTheme="minorHAnsi" w:cstheme="minorHAnsi"/>
          <w:sz w:val="20"/>
          <w:szCs w:val="20"/>
        </w:rPr>
        <w:t>:</w:t>
      </w:r>
      <w:r w:rsidRPr="00EB20F8">
        <w:rPr>
          <w:rFonts w:asciiTheme="minorHAnsi" w:hAnsiTheme="minorHAnsi" w:cstheme="minorHAnsi"/>
          <w:sz w:val="20"/>
          <w:szCs w:val="20"/>
        </w:rPr>
        <w:t xml:space="preserve"> 269-299, p. 272.</w:t>
      </w:r>
    </w:p>
  </w:footnote>
  <w:footnote w:id="14">
    <w:p w14:paraId="7834CB7F" w14:textId="77777777" w:rsidR="00E43136" w:rsidRPr="003B019E" w:rsidRDefault="00E43136" w:rsidP="006325ED">
      <w:pPr>
        <w:pStyle w:val="FootnoteText"/>
        <w:jc w:val="both"/>
        <w:rPr>
          <w:rFonts w:asciiTheme="minorHAnsi" w:eastAsiaTheme="minorHAnsi" w:hAnsiTheme="minorHAnsi" w:cstheme="minorHAnsi"/>
          <w:lang w:eastAsia="en-US"/>
        </w:rPr>
      </w:pPr>
      <w:r w:rsidRPr="00925570">
        <w:rPr>
          <w:rStyle w:val="FootnoteReference"/>
          <w:rFonts w:asciiTheme="minorHAnsi" w:hAnsiTheme="minorHAnsi" w:cstheme="minorHAnsi"/>
        </w:rPr>
        <w:footnoteRef/>
      </w:r>
      <w:r w:rsidRPr="00925570">
        <w:rPr>
          <w:rFonts w:asciiTheme="minorHAnsi" w:hAnsiTheme="minorHAnsi" w:cstheme="minorHAnsi"/>
        </w:rPr>
        <w:t xml:space="preserve"> The loss of freedom of movement may affect London’s central role in international arbitrations and its potential to generate income from legal services across borders within the EU and EEA</w:t>
      </w:r>
      <w:r>
        <w:rPr>
          <w:rFonts w:asciiTheme="minorHAnsi" w:hAnsiTheme="minorHAnsi" w:cstheme="minorHAnsi"/>
        </w:rPr>
        <w:t xml:space="preserve">: see </w:t>
      </w:r>
      <w:r w:rsidRPr="00EB20F8">
        <w:rPr>
          <w:rFonts w:asciiTheme="minorHAnsi" w:hAnsiTheme="minorHAnsi" w:cstheme="minorHAnsi"/>
        </w:rPr>
        <w:t>Bar Council Brexit Working Group,</w:t>
      </w:r>
      <w:r w:rsidRPr="00EB20F8">
        <w:rPr>
          <w:rFonts w:asciiTheme="minorHAnsi" w:eastAsiaTheme="minorHAnsi" w:hAnsiTheme="minorHAnsi" w:cstheme="minorHAnsi"/>
          <w:lang w:eastAsia="en-US"/>
        </w:rPr>
        <w:t xml:space="preserve"> op. cit</w:t>
      </w:r>
      <w:r w:rsidRPr="00EB20F8">
        <w:rPr>
          <w:rFonts w:asciiTheme="minorHAnsi" w:eastAsiaTheme="minorHAnsi" w:hAnsiTheme="minorHAnsi" w:cstheme="minorHAnsi"/>
          <w:i/>
          <w:iCs/>
          <w:lang w:eastAsia="en-US"/>
        </w:rPr>
        <w:t>. supra</w:t>
      </w:r>
      <w:r w:rsidRPr="00EB20F8">
        <w:rPr>
          <w:rFonts w:asciiTheme="minorHAnsi" w:eastAsiaTheme="minorHAnsi" w:hAnsiTheme="minorHAnsi" w:cstheme="minorHAnsi"/>
          <w:lang w:eastAsia="en-US"/>
        </w:rPr>
        <w:t xml:space="preserve">, note 14, p. 3. </w:t>
      </w:r>
      <w:r w:rsidRPr="00925570">
        <w:rPr>
          <w:rFonts w:asciiTheme="minorHAnsi" w:hAnsiTheme="minorHAnsi" w:cstheme="minorHAnsi"/>
        </w:rPr>
        <w:t>Legal professionals fear that international firms will in future prefer to have recourse to EU courts, where they will be able to appeal decisions to the Court of Justice of the European Union (CJEU).</w:t>
      </w:r>
      <w:r w:rsidRPr="00EB20F8">
        <w:rPr>
          <w:rFonts w:asciiTheme="minorHAnsi" w:hAnsiTheme="minorHAnsi" w:cstheme="minorHAnsi"/>
        </w:rPr>
        <w:t xml:space="preserve"> A small majority of respondents in a survey of just under a thousand private practitioners, arbitrators, in-house counsel, academics, experts and other stakeholders carried out by Queen Mary University London and White &amp; Case on international arbitration seats felt that Brexit was unlikely to affect the choice of London as a seat for arbitration. However, a significant number (thirty-seven per cent) were less optimistic, and seventy per cent of those questioned speculated that Paris would be the seat to benefit the most from any negative impact of Brexit on London: Queen Mary University London and White &amp; </w:t>
      </w:r>
      <w:r w:rsidRPr="00925570">
        <w:rPr>
          <w:rFonts w:asciiTheme="minorHAnsi" w:hAnsiTheme="minorHAnsi" w:cstheme="minorHAnsi"/>
        </w:rPr>
        <w:t>Case,</w:t>
      </w:r>
      <w:r w:rsidRPr="00EB20F8">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“2018Internatioanl Arbitration Survey,”</w:t>
      </w:r>
      <w:r w:rsidRPr="00EB20F8">
        <w:rPr>
          <w:rFonts w:asciiTheme="minorHAnsi" w:eastAsiaTheme="minorHAnsi" w:hAnsiTheme="minorHAnsi" w:cstheme="minorHAnsi"/>
          <w:lang w:eastAsia="en-US"/>
        </w:rPr>
        <w:t xml:space="preserve"> 11. </w:t>
      </w:r>
    </w:p>
  </w:footnote>
  <w:footnote w:id="15">
    <w:p w14:paraId="1C6FAC4B" w14:textId="77777777" w:rsidR="00E43136" w:rsidRDefault="00E43136" w:rsidP="006325ED">
      <w:pPr>
        <w:pStyle w:val="FootnoteText"/>
        <w:jc w:val="both"/>
      </w:pPr>
      <w:r>
        <w:rPr>
          <w:rStyle w:val="FootnoteReference"/>
        </w:rPr>
        <w:footnoteRef/>
      </w:r>
      <w:r>
        <w:t xml:space="preserve"> </w:t>
      </w:r>
      <w:r w:rsidRPr="00925570">
        <w:rPr>
          <w:rFonts w:asciiTheme="minorHAnsi" w:hAnsiTheme="minorHAnsi" w:cstheme="minorHAnsi"/>
        </w:rPr>
        <w:t>In an attempt to preserve these rights, some Anglo-Welsh lawyers are registering with the Irish professional bodies.</w:t>
      </w:r>
      <w:r w:rsidRPr="00EB20F8">
        <w:rPr>
          <w:rFonts w:asciiTheme="minorHAnsi" w:hAnsiTheme="minorHAnsi" w:cstheme="minorHAnsi"/>
        </w:rPr>
        <w:t xml:space="preserve"> Barristers whose work currently involves work with the CJEU are registering with the Irish Bar in an attempt to preserve their rights of audience before the EU courts, or </w:t>
      </w:r>
      <w:r w:rsidRPr="00EB20F8">
        <w:rPr>
          <w:rFonts w:asciiTheme="minorHAnsi" w:hAnsiTheme="minorHAnsi" w:cstheme="minorHAnsi"/>
          <w:shd w:val="clear" w:color="auto" w:fill="FFFFFF"/>
        </w:rPr>
        <w:t xml:space="preserve">give privileged legal advice on EU competition law to clients: </w:t>
      </w:r>
      <w:r>
        <w:rPr>
          <w:rFonts w:asciiTheme="minorHAnsi" w:hAnsiTheme="minorHAnsi" w:cstheme="minorHAnsi"/>
          <w:shd w:val="clear" w:color="auto" w:fill="FFFFFF"/>
        </w:rPr>
        <w:t xml:space="preserve">G. </w:t>
      </w:r>
      <w:proofErr w:type="spellStart"/>
      <w:r>
        <w:rPr>
          <w:rFonts w:asciiTheme="minorHAnsi" w:hAnsiTheme="minorHAnsi" w:cstheme="minorHAnsi"/>
          <w:lang w:eastAsia="en-GB"/>
        </w:rPr>
        <w:t>Peretz</w:t>
      </w:r>
      <w:proofErr w:type="spellEnd"/>
      <w:r>
        <w:rPr>
          <w:rFonts w:asciiTheme="minorHAnsi" w:hAnsiTheme="minorHAnsi" w:cstheme="minorHAnsi"/>
          <w:lang w:eastAsia="en-GB"/>
        </w:rPr>
        <w:t>, “</w:t>
      </w:r>
      <w:r w:rsidRPr="00EB20F8">
        <w:rPr>
          <w:rFonts w:asciiTheme="minorHAnsi" w:eastAsia="Times New Roman" w:hAnsiTheme="minorHAnsi" w:cstheme="minorHAnsi"/>
          <w:kern w:val="36"/>
          <w:lang w:eastAsia="en-GB"/>
        </w:rPr>
        <w:t>Make mine a Guinness:</w:t>
      </w:r>
      <w:r>
        <w:rPr>
          <w:rFonts w:asciiTheme="minorHAnsi" w:eastAsia="Times New Roman" w:hAnsiTheme="minorHAnsi" w:cstheme="minorHAnsi"/>
          <w:kern w:val="36"/>
          <w:lang w:eastAsia="en-GB"/>
        </w:rPr>
        <w:t xml:space="preserve"> why I’ve joined the Irish Bar.”</w:t>
      </w:r>
      <w:r w:rsidRPr="00EB20F8">
        <w:rPr>
          <w:rFonts w:asciiTheme="minorHAnsi" w:eastAsia="Times New Roman" w:hAnsiTheme="minorHAnsi" w:cstheme="minorHAnsi"/>
          <w:kern w:val="36"/>
          <w:lang w:eastAsia="en-GB"/>
        </w:rPr>
        <w:t xml:space="preserve"> </w:t>
      </w:r>
      <w:r w:rsidRPr="00EB20F8">
        <w:rPr>
          <w:rFonts w:asciiTheme="minorHAnsi" w:eastAsia="Times New Roman" w:hAnsiTheme="minorHAnsi" w:cstheme="minorHAnsi"/>
          <w:i/>
          <w:iCs/>
          <w:kern w:val="36"/>
          <w:lang w:eastAsia="en-GB"/>
        </w:rPr>
        <w:t>The Times</w:t>
      </w:r>
      <w:r w:rsidRPr="00EB20F8">
        <w:rPr>
          <w:rFonts w:asciiTheme="minorHAnsi" w:eastAsia="Times New Roman" w:hAnsiTheme="minorHAnsi" w:cstheme="minorHAnsi"/>
          <w:kern w:val="36"/>
          <w:lang w:eastAsia="en-GB"/>
        </w:rPr>
        <w:t>, 26 J</w:t>
      </w:r>
      <w:r w:rsidRPr="00EB20F8">
        <w:rPr>
          <w:rFonts w:asciiTheme="minorHAnsi" w:hAnsiTheme="minorHAnsi" w:cstheme="minorHAnsi"/>
          <w:shd w:val="clear" w:color="auto" w:fill="FFFFFF"/>
        </w:rPr>
        <w:t xml:space="preserve">uly, 2018. Available at &lt; </w:t>
      </w:r>
      <w:hyperlink r:id="rId1" w:history="1">
        <w:r w:rsidRPr="00EB20F8">
          <w:rPr>
            <w:rStyle w:val="Hyperlink"/>
            <w:rFonts w:asciiTheme="minorHAnsi" w:hAnsiTheme="minorHAnsi" w:cstheme="minorHAnsi"/>
            <w:color w:val="auto"/>
            <w:u w:val="none"/>
          </w:rPr>
          <w:t>https://www.thetimes.co.uk/article/make-mine-a-guinness-why-i-ve-joined-the-irish-bar-rfwln2tsc</w:t>
        </w:r>
      </w:hyperlink>
      <w:r w:rsidRPr="00EB20F8">
        <w:rPr>
          <w:rFonts w:asciiTheme="minorHAnsi" w:hAnsiTheme="minorHAnsi" w:cstheme="minorHAnsi"/>
        </w:rPr>
        <w:t>&gt; Accessed 15 Ju</w:t>
      </w:r>
      <w:r>
        <w:rPr>
          <w:rFonts w:asciiTheme="minorHAnsi" w:hAnsiTheme="minorHAnsi" w:cstheme="minorHAnsi"/>
        </w:rPr>
        <w:t xml:space="preserve">ly 2019; since the referendum, </w:t>
      </w:r>
      <w:r w:rsidRPr="00EB20F8">
        <w:rPr>
          <w:rFonts w:asciiTheme="minorHAnsi" w:hAnsiTheme="minorHAnsi" w:cstheme="minorHAnsi"/>
        </w:rPr>
        <w:t xml:space="preserve">2,722 solicitors have registered in Ireland. Lawyers from England and Wales now represent one in every seven lawyers on the roll in Ireland as opposed to about 100 per year pre-2016:  </w:t>
      </w:r>
      <w:r>
        <w:rPr>
          <w:rFonts w:asciiTheme="minorHAnsi" w:hAnsiTheme="minorHAnsi" w:cstheme="minorHAnsi"/>
        </w:rPr>
        <w:t xml:space="preserve">J. </w:t>
      </w:r>
      <w:r w:rsidRPr="00EB20F8">
        <w:rPr>
          <w:rFonts w:asciiTheme="minorHAnsi" w:hAnsiTheme="minorHAnsi" w:cstheme="minorHAnsi"/>
        </w:rPr>
        <w:t xml:space="preserve">Hyde, </w:t>
      </w:r>
      <w:r>
        <w:rPr>
          <w:rFonts w:asciiTheme="minorHAnsi" w:hAnsiTheme="minorHAnsi" w:cstheme="minorHAnsi"/>
        </w:rPr>
        <w:t>“</w:t>
      </w:r>
      <w:r w:rsidRPr="00EB20F8">
        <w:rPr>
          <w:rFonts w:asciiTheme="minorHAnsi" w:hAnsiTheme="minorHAnsi" w:cstheme="minorHAnsi"/>
        </w:rPr>
        <w:t>Brexit hitch as firms e</w:t>
      </w:r>
      <w:r>
        <w:rPr>
          <w:rFonts w:asciiTheme="minorHAnsi" w:hAnsiTheme="minorHAnsi" w:cstheme="minorHAnsi"/>
        </w:rPr>
        <w:t>ye Ireland</w:t>
      </w:r>
      <w:r w:rsidRPr="00EB20F8">
        <w:rPr>
          <w:rFonts w:asciiTheme="minorHAnsi" w:hAnsiTheme="minorHAnsi" w:cstheme="minorHAnsi"/>
        </w:rPr>
        <w:t>.</w:t>
      </w:r>
      <w:r>
        <w:rPr>
          <w:rFonts w:asciiTheme="minorHAnsi" w:hAnsiTheme="minorHAnsi" w:cstheme="minorHAnsi"/>
        </w:rPr>
        <w:t>”</w:t>
      </w:r>
      <w:r w:rsidRPr="00EB20F8">
        <w:rPr>
          <w:rFonts w:asciiTheme="minorHAnsi" w:hAnsiTheme="minorHAnsi" w:cstheme="minorHAnsi"/>
        </w:rPr>
        <w:t xml:space="preserve"> </w:t>
      </w:r>
      <w:r w:rsidRPr="00EB20F8">
        <w:rPr>
          <w:rFonts w:asciiTheme="minorHAnsi" w:hAnsiTheme="minorHAnsi" w:cstheme="minorHAnsi"/>
          <w:i/>
        </w:rPr>
        <w:t xml:space="preserve">Law Society Gazette, </w:t>
      </w:r>
      <w:r w:rsidRPr="00EB20F8">
        <w:rPr>
          <w:rFonts w:asciiTheme="minorHAnsi" w:hAnsiTheme="minorHAnsi" w:cstheme="minorHAnsi"/>
        </w:rPr>
        <w:t>20</w:t>
      </w:r>
      <w:r w:rsidRPr="00EB20F8">
        <w:rPr>
          <w:rFonts w:asciiTheme="minorHAnsi" w:hAnsiTheme="minorHAnsi" w:cstheme="minorHAnsi"/>
          <w:i/>
        </w:rPr>
        <w:t xml:space="preserve"> </w:t>
      </w:r>
      <w:proofErr w:type="gramStart"/>
      <w:r w:rsidRPr="00EB20F8">
        <w:rPr>
          <w:rFonts w:asciiTheme="minorHAnsi" w:hAnsiTheme="minorHAnsi" w:cstheme="minorHAnsi"/>
        </w:rPr>
        <w:t>May,</w:t>
      </w:r>
      <w:proofErr w:type="gramEnd"/>
      <w:r w:rsidRPr="00EB20F8">
        <w:rPr>
          <w:rFonts w:asciiTheme="minorHAnsi" w:hAnsiTheme="minorHAnsi" w:cstheme="minorHAnsi"/>
        </w:rPr>
        <w:t xml:space="preserve"> 2019</w:t>
      </w:r>
      <w:r>
        <w:rPr>
          <w:rFonts w:asciiTheme="minorHAnsi" w:hAnsiTheme="minorHAnsi" w:cstheme="minorHAnsi"/>
        </w:rPr>
        <w:t>,</w:t>
      </w:r>
      <w:r w:rsidRPr="00EB20F8">
        <w:rPr>
          <w:rFonts w:asciiTheme="minorHAnsi" w:hAnsiTheme="minorHAnsi" w:cstheme="minorHAnsi"/>
        </w:rPr>
        <w:t xml:space="preserve"> 3.</w:t>
      </w:r>
    </w:p>
  </w:footnote>
  <w:footnote w:id="16">
    <w:p w14:paraId="0331751E" w14:textId="77777777" w:rsidR="00E43136" w:rsidRPr="00925570" w:rsidRDefault="00E43136" w:rsidP="006325ED">
      <w:pPr>
        <w:pStyle w:val="Heading1"/>
        <w:spacing w:before="0" w:line="240" w:lineRule="auto"/>
        <w:jc w:val="both"/>
        <w:rPr>
          <w:rFonts w:asciiTheme="minorHAnsi" w:hAnsiTheme="minorHAnsi" w:cstheme="minorHAnsi"/>
          <w:sz w:val="20"/>
          <w:szCs w:val="20"/>
        </w:rPr>
      </w:pPr>
      <w:r w:rsidRPr="00EB20F8">
        <w:rPr>
          <w:rStyle w:val="FootnoteReference"/>
          <w:rFonts w:asciiTheme="minorHAnsi" w:hAnsiTheme="minorHAnsi" w:cstheme="minorHAnsi"/>
          <w:color w:val="auto"/>
          <w:sz w:val="20"/>
          <w:szCs w:val="20"/>
        </w:rPr>
        <w:footnoteRef/>
      </w:r>
      <w:r w:rsidRPr="00EB20F8">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S. </w:t>
      </w:r>
      <w:proofErr w:type="spellStart"/>
      <w:r w:rsidRPr="00EB20F8">
        <w:rPr>
          <w:rFonts w:asciiTheme="minorHAnsi" w:eastAsia="Times New Roman" w:hAnsiTheme="minorHAnsi" w:cstheme="minorHAnsi"/>
          <w:color w:val="auto"/>
          <w:kern w:val="36"/>
          <w:sz w:val="20"/>
          <w:szCs w:val="20"/>
          <w:lang w:eastAsia="en-GB"/>
        </w:rPr>
        <w:t>Kahmann</w:t>
      </w:r>
      <w:proofErr w:type="spellEnd"/>
      <w:r w:rsidRPr="00EB20F8">
        <w:rPr>
          <w:rFonts w:asciiTheme="minorHAnsi" w:eastAsia="Times New Roman" w:hAnsiTheme="minorHAnsi" w:cstheme="minorHAnsi"/>
          <w:color w:val="auto"/>
          <w:kern w:val="36"/>
          <w:sz w:val="20"/>
          <w:szCs w:val="20"/>
          <w:lang w:eastAsia="en-GB"/>
        </w:rPr>
        <w:t xml:space="preserve">, </w:t>
      </w:r>
      <w:r>
        <w:rPr>
          <w:rFonts w:asciiTheme="minorHAnsi" w:eastAsia="Times New Roman" w:hAnsiTheme="minorHAnsi" w:cstheme="minorHAnsi"/>
          <w:color w:val="auto"/>
          <w:kern w:val="36"/>
          <w:sz w:val="20"/>
          <w:szCs w:val="20"/>
          <w:lang w:eastAsia="en-GB"/>
        </w:rPr>
        <w:t>“</w:t>
      </w:r>
      <w:r w:rsidRPr="00EB20F8">
        <w:rPr>
          <w:rFonts w:asciiTheme="minorHAnsi" w:eastAsia="Times New Roman" w:hAnsiTheme="minorHAnsi" w:cstheme="minorHAnsi"/>
          <w:color w:val="auto"/>
          <w:kern w:val="36"/>
          <w:sz w:val="20"/>
          <w:szCs w:val="20"/>
          <w:lang w:eastAsia="en-GB"/>
        </w:rPr>
        <w:t>British young lawyers’ practising rights: how will Brexit impact the</w:t>
      </w:r>
      <w:r>
        <w:rPr>
          <w:rFonts w:asciiTheme="minorHAnsi" w:eastAsia="Times New Roman" w:hAnsiTheme="minorHAnsi" w:cstheme="minorHAnsi"/>
          <w:color w:val="auto"/>
          <w:kern w:val="36"/>
          <w:sz w:val="20"/>
          <w:szCs w:val="20"/>
          <w:lang w:eastAsia="en-GB"/>
        </w:rPr>
        <w:t xml:space="preserve"> future in Brussels and beyond?”</w:t>
      </w:r>
      <w:r w:rsidRPr="00EB20F8">
        <w:rPr>
          <w:rFonts w:asciiTheme="minorHAnsi" w:eastAsia="Times New Roman" w:hAnsiTheme="minorHAnsi" w:cstheme="minorHAnsi"/>
          <w:color w:val="auto"/>
          <w:kern w:val="36"/>
          <w:sz w:val="20"/>
          <w:szCs w:val="20"/>
          <w:lang w:eastAsia="en-GB"/>
        </w:rPr>
        <w:t xml:space="preserve"> </w:t>
      </w:r>
      <w:r w:rsidRPr="00EB20F8">
        <w:rPr>
          <w:rFonts w:asciiTheme="minorHAnsi" w:eastAsia="Times New Roman" w:hAnsiTheme="minorHAnsi" w:cstheme="minorHAnsi"/>
          <w:i/>
          <w:iCs/>
          <w:color w:val="auto"/>
          <w:kern w:val="36"/>
          <w:sz w:val="20"/>
          <w:szCs w:val="20"/>
          <w:lang w:eastAsia="en-GB"/>
        </w:rPr>
        <w:t>The UK Law Societies’ Joint Brussels Office</w:t>
      </w:r>
      <w:r>
        <w:rPr>
          <w:rFonts w:asciiTheme="minorHAnsi" w:eastAsia="Times New Roman" w:hAnsiTheme="minorHAnsi" w:cstheme="minorHAnsi"/>
          <w:i/>
          <w:iCs/>
          <w:color w:val="auto"/>
          <w:kern w:val="36"/>
          <w:sz w:val="20"/>
          <w:szCs w:val="20"/>
          <w:lang w:eastAsia="en-GB"/>
        </w:rPr>
        <w:t xml:space="preserve">, </w:t>
      </w:r>
      <w:r w:rsidRPr="00EB20F8">
        <w:rPr>
          <w:rFonts w:asciiTheme="minorHAnsi" w:eastAsia="Times New Roman" w:hAnsiTheme="minorHAnsi" w:cstheme="minorHAnsi"/>
          <w:color w:val="auto"/>
          <w:kern w:val="36"/>
          <w:sz w:val="20"/>
          <w:szCs w:val="20"/>
          <w:lang w:eastAsia="en-GB"/>
        </w:rPr>
        <w:t>30 October 2019</w:t>
      </w:r>
      <w:r w:rsidRPr="00EB20F8">
        <w:rPr>
          <w:rFonts w:asciiTheme="minorHAnsi" w:eastAsia="Times New Roman" w:hAnsiTheme="minorHAnsi" w:cstheme="minorHAnsi"/>
          <w:i/>
          <w:iCs/>
          <w:color w:val="auto"/>
          <w:kern w:val="36"/>
          <w:sz w:val="20"/>
          <w:szCs w:val="20"/>
          <w:lang w:eastAsia="en-GB"/>
        </w:rPr>
        <w:t>.</w:t>
      </w:r>
      <w:r w:rsidRPr="00EB20F8">
        <w:rPr>
          <w:rFonts w:asciiTheme="minorHAnsi" w:eastAsia="Times New Roman" w:hAnsiTheme="minorHAnsi" w:cstheme="minorHAnsi"/>
          <w:color w:val="auto"/>
          <w:kern w:val="36"/>
          <w:sz w:val="20"/>
          <w:szCs w:val="20"/>
          <w:lang w:eastAsia="en-GB"/>
        </w:rPr>
        <w:t xml:space="preserve"> Available at &lt;</w:t>
      </w:r>
      <w:hyperlink r:id="rId2" w:history="1">
        <w:r w:rsidRPr="00EB20F8">
          <w:rPr>
            <w:rStyle w:val="Hyperlink"/>
            <w:rFonts w:asciiTheme="minorHAnsi" w:eastAsia="SimSun" w:hAnsiTheme="minorHAnsi" w:cstheme="minorHAnsi"/>
            <w:color w:val="auto"/>
            <w:sz w:val="20"/>
            <w:szCs w:val="20"/>
            <w:u w:val="none"/>
          </w:rPr>
          <w:t>https://www.lawsocieties.eu/viewpoint/british-young-lawyers-practising-rights-how-will-brexit-impact-the-future-in-brussels-and-beyond-by-siobhan-kahmann/6000484.article</w:t>
        </w:r>
      </w:hyperlink>
      <w:r w:rsidRPr="00EB20F8">
        <w:rPr>
          <w:rFonts w:asciiTheme="minorHAnsi" w:eastAsia="Times New Roman" w:hAnsiTheme="minorHAnsi" w:cstheme="minorHAnsi"/>
          <w:color w:val="auto"/>
          <w:kern w:val="36"/>
          <w:sz w:val="20"/>
          <w:szCs w:val="20"/>
          <w:lang w:eastAsia="en-GB"/>
        </w:rPr>
        <w:t xml:space="preserve">&gt; accessed 24 November 2019. </w:t>
      </w:r>
    </w:p>
  </w:footnote>
  <w:footnote w:id="17">
    <w:p w14:paraId="1B66B866" w14:textId="77777777" w:rsidR="00E43136" w:rsidRPr="00925570" w:rsidRDefault="00E43136" w:rsidP="006325ED">
      <w:pPr>
        <w:autoSpaceDE w:val="0"/>
        <w:autoSpaceDN w:val="0"/>
        <w:adjustRightInd w:val="0"/>
        <w:spacing w:after="0" w:line="240" w:lineRule="auto"/>
        <w:jc w:val="both"/>
        <w:rPr>
          <w:rFonts w:asciiTheme="minorHAnsi" w:hAnsiTheme="minorHAnsi" w:cstheme="minorHAnsi"/>
          <w:sz w:val="20"/>
          <w:szCs w:val="20"/>
        </w:rPr>
      </w:pPr>
      <w:r w:rsidRPr="00925570">
        <w:rPr>
          <w:rStyle w:val="FootnoteReference"/>
          <w:rFonts w:asciiTheme="minorHAnsi" w:hAnsiTheme="minorHAnsi" w:cstheme="minorHAnsi"/>
          <w:sz w:val="20"/>
          <w:szCs w:val="20"/>
        </w:rPr>
        <w:footnoteRef/>
      </w:r>
      <w:r w:rsidRPr="00925570">
        <w:rPr>
          <w:rFonts w:asciiTheme="minorHAnsi" w:hAnsiTheme="minorHAnsi" w:cstheme="minorHAnsi"/>
          <w:sz w:val="20"/>
          <w:szCs w:val="20"/>
        </w:rPr>
        <w:t xml:space="preserve"> </w:t>
      </w:r>
      <w:r w:rsidRPr="00EB20F8">
        <w:rPr>
          <w:rFonts w:asciiTheme="minorHAnsi" w:eastAsiaTheme="minorHAnsi" w:hAnsiTheme="minorHAnsi" w:cstheme="minorHAnsi"/>
          <w:sz w:val="20"/>
          <w:szCs w:val="20"/>
          <w:lang w:eastAsia="en-US"/>
        </w:rPr>
        <w:t xml:space="preserve">The Law Society of England and Wales </w:t>
      </w:r>
      <w:r w:rsidRPr="00EB20F8">
        <w:rPr>
          <w:rFonts w:asciiTheme="minorHAnsi" w:eastAsiaTheme="minorHAnsi" w:hAnsiTheme="minorHAnsi" w:cstheme="minorHAnsi"/>
          <w:i/>
          <w:sz w:val="20"/>
          <w:szCs w:val="20"/>
          <w:lang w:eastAsia="en-US"/>
        </w:rPr>
        <w:t>Legal Services Sector Forecasts 2017-2025.</w:t>
      </w:r>
      <w:r w:rsidRPr="00EB20F8">
        <w:rPr>
          <w:rFonts w:asciiTheme="minorHAnsi" w:eastAsiaTheme="minorHAnsi" w:hAnsiTheme="minorHAnsi" w:cstheme="minorHAnsi"/>
          <w:sz w:val="20"/>
          <w:szCs w:val="20"/>
          <w:lang w:eastAsia="en-US"/>
        </w:rPr>
        <w:t xml:space="preserve"> (2018) Available at &lt;https://www.lawsociety.org.uk/support-services/research-trends/legal-services-sector-forecasts/&gt; Accessed 24 June 2019, pp. 4 and 22.</w:t>
      </w:r>
      <w:r w:rsidRPr="00925570">
        <w:rPr>
          <w:rFonts w:asciiTheme="minorHAnsi" w:eastAsiaTheme="minorHAnsi" w:hAnsiTheme="minorHAnsi" w:cstheme="minorHAnsi"/>
          <w:sz w:val="20"/>
          <w:szCs w:val="20"/>
          <w:lang w:eastAsia="en-US"/>
        </w:rPr>
        <w:t xml:space="preserve"> </w:t>
      </w:r>
    </w:p>
  </w:footnote>
  <w:footnote w:id="18">
    <w:p w14:paraId="4EBCD2E2" w14:textId="77777777" w:rsidR="00E43136" w:rsidRPr="00EB20F8" w:rsidRDefault="00E43136" w:rsidP="006325ED">
      <w:pPr>
        <w:pStyle w:val="FootnoteText"/>
        <w:jc w:val="both"/>
        <w:rPr>
          <w:rFonts w:asciiTheme="minorHAnsi" w:hAnsiTheme="minorHAnsi" w:cstheme="minorHAnsi"/>
        </w:rPr>
      </w:pPr>
      <w:r w:rsidRPr="00D04912">
        <w:rPr>
          <w:rStyle w:val="FootnoteReference"/>
          <w:rFonts w:asciiTheme="minorHAnsi" w:hAnsiTheme="minorHAnsi" w:cstheme="minorHAnsi"/>
        </w:rPr>
        <w:footnoteRef/>
      </w:r>
      <w:r w:rsidRPr="00D04912">
        <w:rPr>
          <w:rFonts w:asciiTheme="minorHAnsi" w:hAnsiTheme="minorHAnsi" w:cstheme="minorHAnsi"/>
        </w:rPr>
        <w:t xml:space="preserve"> </w:t>
      </w:r>
      <w:r w:rsidRPr="00EB20F8">
        <w:rPr>
          <w:rFonts w:asciiTheme="minorHAnsi" w:hAnsiTheme="minorHAnsi" w:cstheme="minorHAnsi"/>
        </w:rPr>
        <w:t xml:space="preserve">Article 13 Single European Act </w:t>
      </w:r>
      <w:r w:rsidRPr="00EB20F8">
        <w:rPr>
          <w:rStyle w:val="Emphasis"/>
          <w:rFonts w:asciiTheme="minorHAnsi" w:hAnsiTheme="minorHAnsi" w:cstheme="minorHAnsi"/>
          <w:i w:val="0"/>
          <w:iCs w:val="0"/>
          <w:shd w:val="clear" w:color="auto" w:fill="FFFFFF"/>
        </w:rPr>
        <w:t>OJ L 169, 29.6.1987</w:t>
      </w:r>
      <w:r w:rsidRPr="00EB20F8">
        <w:rPr>
          <w:rFonts w:asciiTheme="minorHAnsi" w:hAnsiTheme="minorHAnsi" w:cstheme="minorHAnsi"/>
        </w:rPr>
        <w:t>, now enshrined in Art 26 TFEU: ‘</w:t>
      </w:r>
      <w:r w:rsidRPr="00D04912">
        <w:rPr>
          <w:rFonts w:asciiTheme="minorHAnsi" w:hAnsiTheme="minorHAnsi" w:cstheme="minorHAnsi"/>
        </w:rPr>
        <w:t xml:space="preserve">The Community shall adopt measures with the aim of progressively establishing the internal market over a period expiring on 31 December 1992... The internal market shall comprise an area without internal frontiers in which the free </w:t>
      </w:r>
      <w:r w:rsidRPr="00EB20F8">
        <w:rPr>
          <w:rFonts w:asciiTheme="minorHAnsi" w:hAnsiTheme="minorHAnsi" w:cstheme="minorHAnsi"/>
        </w:rPr>
        <w:t>movement of goods, persons, services and capital is ensured in accordance with the provisions of this Treaty. '</w:t>
      </w:r>
    </w:p>
  </w:footnote>
  <w:footnote w:id="19">
    <w:p w14:paraId="3CF310ED" w14:textId="77777777" w:rsidR="00E43136" w:rsidRPr="00EB20F8" w:rsidRDefault="00E43136" w:rsidP="000F734C">
      <w:pPr>
        <w:spacing w:after="0" w:line="240" w:lineRule="auto"/>
        <w:outlineLvl w:val="0"/>
        <w:rPr>
          <w:rFonts w:asciiTheme="minorHAnsi" w:hAnsiTheme="minorHAnsi" w:cstheme="minorHAnsi"/>
          <w:sz w:val="20"/>
          <w:szCs w:val="20"/>
        </w:rPr>
      </w:pPr>
      <w:r w:rsidRPr="00EB20F8">
        <w:rPr>
          <w:rStyle w:val="FootnoteReference"/>
          <w:rFonts w:asciiTheme="minorHAnsi" w:hAnsiTheme="minorHAnsi" w:cstheme="minorHAnsi"/>
          <w:sz w:val="20"/>
          <w:szCs w:val="20"/>
        </w:rPr>
        <w:footnoteRef/>
      </w:r>
      <w:r w:rsidRPr="00EB20F8">
        <w:rPr>
          <w:rFonts w:asciiTheme="minorHAnsi" w:hAnsiTheme="minorHAnsi" w:cstheme="minorHAnsi"/>
          <w:sz w:val="20"/>
          <w:szCs w:val="20"/>
        </w:rPr>
        <w:t xml:space="preserve"> Jan</w:t>
      </w:r>
      <w:r>
        <w:t xml:space="preserve"> </w:t>
      </w:r>
      <w:hyperlink r:id="rId3" w:anchor="!" w:history="1">
        <w:r w:rsidRPr="00EB20F8">
          <w:rPr>
            <w:rStyle w:val="text"/>
            <w:rFonts w:asciiTheme="minorHAnsi" w:hAnsiTheme="minorHAnsi" w:cstheme="minorHAnsi"/>
            <w:sz w:val="20"/>
            <w:szCs w:val="20"/>
          </w:rPr>
          <w:t>in ’t Veld</w:t>
        </w:r>
      </w:hyperlink>
      <w:r w:rsidRPr="00EB20F8">
        <w:rPr>
          <w:rFonts w:asciiTheme="minorHAnsi" w:hAnsiTheme="minorHAnsi" w:cstheme="minorHAnsi"/>
          <w:sz w:val="20"/>
          <w:szCs w:val="20"/>
        </w:rPr>
        <w:t xml:space="preserve">, </w:t>
      </w:r>
      <w:r>
        <w:rPr>
          <w:rFonts w:asciiTheme="minorHAnsi" w:eastAsia="Times New Roman" w:hAnsiTheme="minorHAnsi" w:cstheme="minorHAnsi"/>
          <w:kern w:val="36"/>
          <w:sz w:val="20"/>
          <w:szCs w:val="20"/>
          <w:lang w:eastAsia="en-GB"/>
        </w:rPr>
        <w:t>“</w:t>
      </w:r>
      <w:r w:rsidRPr="00EB20F8">
        <w:rPr>
          <w:rFonts w:asciiTheme="minorHAnsi" w:eastAsia="Times New Roman" w:hAnsiTheme="minorHAnsi" w:cstheme="minorHAnsi"/>
          <w:kern w:val="36"/>
          <w:sz w:val="20"/>
          <w:szCs w:val="20"/>
          <w:lang w:eastAsia="en-GB"/>
        </w:rPr>
        <w:t>The economic benefits of the EU Single Market in goods and services</w:t>
      </w:r>
      <w:r>
        <w:rPr>
          <w:rFonts w:asciiTheme="minorHAnsi" w:eastAsia="Times New Roman" w:hAnsiTheme="minorHAnsi" w:cstheme="minorHAnsi"/>
          <w:kern w:val="36"/>
          <w:sz w:val="20"/>
          <w:szCs w:val="20"/>
          <w:lang w:eastAsia="en-GB"/>
        </w:rPr>
        <w:t>,"</w:t>
      </w:r>
      <w:r w:rsidRPr="00EB20F8">
        <w:rPr>
          <w:rFonts w:asciiTheme="minorHAnsi" w:eastAsia="Times New Roman" w:hAnsiTheme="minorHAnsi" w:cstheme="minorHAnsi"/>
          <w:kern w:val="36"/>
          <w:sz w:val="20"/>
          <w:szCs w:val="20"/>
          <w:lang w:eastAsia="en-GB"/>
        </w:rPr>
        <w:t xml:space="preserve"> </w:t>
      </w:r>
      <w:hyperlink r:id="rId4" w:tooltip="Go to Journal of Policy Modeling on ScienceDirect" w:history="1">
        <w:r w:rsidRPr="00EB20F8">
          <w:rPr>
            <w:rFonts w:asciiTheme="minorHAnsi" w:eastAsia="Times New Roman" w:hAnsiTheme="minorHAnsi" w:cstheme="minorHAnsi"/>
            <w:i/>
            <w:iCs/>
            <w:sz w:val="20"/>
            <w:szCs w:val="20"/>
            <w:lang w:eastAsia="en-GB"/>
          </w:rPr>
          <w:t xml:space="preserve">Journal of Policy </w:t>
        </w:r>
        <w:proofErr w:type="spellStart"/>
        <w:r w:rsidRPr="00EB20F8">
          <w:rPr>
            <w:rFonts w:asciiTheme="minorHAnsi" w:eastAsia="Times New Roman" w:hAnsiTheme="minorHAnsi" w:cstheme="minorHAnsi"/>
            <w:i/>
            <w:iCs/>
            <w:sz w:val="20"/>
            <w:szCs w:val="20"/>
            <w:lang w:eastAsia="en-GB"/>
          </w:rPr>
          <w:t>Modeling</w:t>
        </w:r>
        <w:proofErr w:type="spellEnd"/>
      </w:hyperlink>
      <w:r w:rsidRPr="00EB20F8">
        <w:rPr>
          <w:rFonts w:asciiTheme="minorHAnsi" w:eastAsia="Times New Roman" w:hAnsiTheme="minorHAnsi" w:cstheme="minorHAnsi"/>
          <w:sz w:val="20"/>
          <w:szCs w:val="20"/>
          <w:lang w:eastAsia="en-GB"/>
        </w:rPr>
        <w:t xml:space="preserve">, </w:t>
      </w:r>
      <w:hyperlink r:id="rId5" w:tooltip="Go to table of contents for this volume/issue" w:history="1">
        <w:r w:rsidRPr="00EB20F8">
          <w:rPr>
            <w:rFonts w:asciiTheme="minorHAnsi" w:eastAsia="Times New Roman" w:hAnsiTheme="minorHAnsi" w:cstheme="minorHAnsi"/>
            <w:sz w:val="20"/>
            <w:szCs w:val="20"/>
            <w:lang w:eastAsia="en-GB"/>
          </w:rPr>
          <w:t>41, 5</w:t>
        </w:r>
      </w:hyperlink>
      <w:r w:rsidRPr="00EB20F8">
        <w:rPr>
          <w:rFonts w:asciiTheme="minorHAnsi" w:hAnsiTheme="minorHAnsi" w:cstheme="minorHAnsi"/>
          <w:sz w:val="20"/>
          <w:szCs w:val="20"/>
        </w:rPr>
        <w:t>(2019)</w:t>
      </w:r>
      <w:r>
        <w:rPr>
          <w:rFonts w:asciiTheme="minorHAnsi" w:hAnsiTheme="minorHAnsi" w:cstheme="minorHAnsi"/>
          <w:sz w:val="20"/>
          <w:szCs w:val="20"/>
        </w:rPr>
        <w:t>:</w:t>
      </w:r>
      <w:r w:rsidRPr="00EB20F8">
        <w:rPr>
          <w:rFonts w:asciiTheme="minorHAnsi" w:eastAsia="Times New Roman" w:hAnsiTheme="minorHAnsi" w:cstheme="minorHAnsi"/>
          <w:sz w:val="20"/>
          <w:szCs w:val="20"/>
          <w:lang w:eastAsia="en-GB"/>
        </w:rPr>
        <w:t xml:space="preserve"> 803-818, 803.</w:t>
      </w:r>
    </w:p>
  </w:footnote>
  <w:footnote w:id="20">
    <w:p w14:paraId="53DD325B" w14:textId="77777777" w:rsidR="00E43136" w:rsidRPr="00D04912" w:rsidRDefault="00E43136" w:rsidP="000F734C">
      <w:pPr>
        <w:pStyle w:val="FootnoteText"/>
        <w:rPr>
          <w:rFonts w:asciiTheme="minorHAnsi" w:hAnsiTheme="minorHAnsi" w:cstheme="minorHAnsi"/>
        </w:rPr>
      </w:pPr>
      <w:r w:rsidRPr="00EB20F8">
        <w:rPr>
          <w:rStyle w:val="FootnoteReference"/>
          <w:rFonts w:asciiTheme="minorHAnsi" w:hAnsiTheme="minorHAnsi" w:cstheme="minorHAnsi"/>
        </w:rPr>
        <w:footnoteRef/>
      </w:r>
      <w:r w:rsidRPr="00EB20F8">
        <w:rPr>
          <w:rFonts w:asciiTheme="minorHAnsi" w:hAnsiTheme="minorHAnsi" w:cstheme="minorHAnsi"/>
        </w:rPr>
        <w:t xml:space="preserve"> Art 20 TFEU.</w:t>
      </w:r>
    </w:p>
  </w:footnote>
  <w:footnote w:id="21">
    <w:p w14:paraId="67E1BA3A" w14:textId="77777777" w:rsidR="00E43136" w:rsidRDefault="00E43136" w:rsidP="00011815">
      <w:pPr>
        <w:pStyle w:val="FootnoteText"/>
      </w:pPr>
      <w:r w:rsidRPr="00CC4FFB">
        <w:rPr>
          <w:rStyle w:val="FootnoteReference"/>
        </w:rPr>
        <w:footnoteRef/>
      </w:r>
      <w:r w:rsidRPr="00CC4FFB">
        <w:t xml:space="preserve"> Mancini, G </w:t>
      </w:r>
      <w:r w:rsidRPr="00CC4FFB">
        <w:rPr>
          <w:i/>
          <w:iCs/>
        </w:rPr>
        <w:t>Democracy and Constitutionalism in the European Union</w:t>
      </w:r>
      <w:r w:rsidRPr="00CC4FFB">
        <w:t xml:space="preserve">, </w:t>
      </w:r>
      <w:r>
        <w:t>(</w:t>
      </w:r>
      <w:r w:rsidRPr="00CC4FFB">
        <w:t>Hart Publishing</w:t>
      </w:r>
      <w:r>
        <w:t xml:space="preserve"> </w:t>
      </w:r>
      <w:r w:rsidRPr="00CC4FFB">
        <w:t>2000)</w:t>
      </w:r>
      <w:r>
        <w:t>:</w:t>
      </w:r>
      <w:r w:rsidRPr="00CC4FFB">
        <w:t xml:space="preserve"> 100, 127.</w:t>
      </w:r>
    </w:p>
  </w:footnote>
  <w:footnote w:id="22">
    <w:p w14:paraId="59B235DC" w14:textId="77777777" w:rsidR="00E43136" w:rsidRPr="00D04912" w:rsidRDefault="00E43136">
      <w:pPr>
        <w:pStyle w:val="FootnoteText"/>
        <w:rPr>
          <w:rFonts w:asciiTheme="minorHAnsi" w:hAnsiTheme="minorHAnsi" w:cstheme="minorHAnsi"/>
        </w:rPr>
      </w:pPr>
      <w:r w:rsidRPr="00D04912">
        <w:rPr>
          <w:rStyle w:val="FootnoteReference"/>
          <w:rFonts w:asciiTheme="minorHAnsi" w:hAnsiTheme="minorHAnsi" w:cstheme="minorHAnsi"/>
        </w:rPr>
        <w:footnoteRef/>
      </w:r>
      <w:r w:rsidRPr="00D04912">
        <w:rPr>
          <w:rFonts w:asciiTheme="minorHAnsi" w:hAnsiTheme="minorHAnsi" w:cstheme="minorHAnsi"/>
        </w:rPr>
        <w:t xml:space="preserve"> Art 45 (2) TFEU.</w:t>
      </w:r>
    </w:p>
  </w:footnote>
  <w:footnote w:id="23">
    <w:p w14:paraId="24C91D41" w14:textId="77777777" w:rsidR="00E43136" w:rsidRPr="00CC4FFB" w:rsidRDefault="00E43136" w:rsidP="006325ED">
      <w:pPr>
        <w:pStyle w:val="FootnoteText"/>
        <w:jc w:val="both"/>
      </w:pPr>
      <w:r>
        <w:rPr>
          <w:rStyle w:val="FootnoteReference"/>
        </w:rPr>
        <w:footnoteRef/>
      </w:r>
      <w:r>
        <w:t xml:space="preserve"> See </w:t>
      </w:r>
      <w:r w:rsidRPr="00CC4FFB">
        <w:t xml:space="preserve">reflection by </w:t>
      </w:r>
      <w:proofErr w:type="spellStart"/>
      <w:r w:rsidRPr="00CC4FFB">
        <w:rPr>
          <w:rFonts w:asciiTheme="minorHAnsi" w:hAnsiTheme="minorHAnsi" w:cstheme="minorHAnsi"/>
        </w:rPr>
        <w:t>Kountouris</w:t>
      </w:r>
      <w:proofErr w:type="spellEnd"/>
      <w:r w:rsidRPr="00CC4FFB">
        <w:rPr>
          <w:rFonts w:asciiTheme="minorHAnsi" w:hAnsiTheme="minorHAnsi" w:cstheme="minorHAnsi"/>
        </w:rPr>
        <w:t>:</w:t>
      </w:r>
      <w:r w:rsidRPr="00CC4FFB">
        <w:t xml:space="preserve"> ‘Some provisions, especially in secondary instruments regulating working conditions, appear to reserve the role of defining terms such as “employee” or “contract of employment or employment relationship” exclusively to national law.’ </w:t>
      </w:r>
      <w:r>
        <w:t xml:space="preserve">N. </w:t>
      </w:r>
      <w:proofErr w:type="spellStart"/>
      <w:r>
        <w:rPr>
          <w:rFonts w:asciiTheme="minorHAnsi" w:hAnsiTheme="minorHAnsi" w:cstheme="minorHAnsi"/>
        </w:rPr>
        <w:t>Kountouris</w:t>
      </w:r>
      <w:proofErr w:type="spellEnd"/>
      <w:r>
        <w:rPr>
          <w:rFonts w:asciiTheme="minorHAnsi" w:hAnsiTheme="minorHAnsi" w:cstheme="minorHAnsi"/>
        </w:rPr>
        <w:t>, N., “</w:t>
      </w:r>
      <w:r w:rsidRPr="00CC4FFB">
        <w:rPr>
          <w:rFonts w:asciiTheme="minorHAnsi" w:hAnsiTheme="minorHAnsi" w:cstheme="minorHAnsi"/>
        </w:rPr>
        <w:t xml:space="preserve">The concept of ‘worker’ in European Labour Law – Fragmentation, Autonomy, and </w:t>
      </w:r>
      <w:r w:rsidRPr="00CC27AB">
        <w:rPr>
          <w:rFonts w:asciiTheme="minorHAnsi" w:hAnsiTheme="minorHAnsi" w:cstheme="minorHAnsi"/>
        </w:rPr>
        <w:t xml:space="preserve">Scope,” </w:t>
      </w:r>
      <w:r w:rsidRPr="00CC27AB">
        <w:rPr>
          <w:rStyle w:val="Emphasis"/>
          <w:rFonts w:asciiTheme="minorHAnsi" w:hAnsiTheme="minorHAnsi" w:cstheme="minorHAnsi"/>
          <w:bdr w:val="none" w:sz="0" w:space="0" w:color="auto" w:frame="1"/>
          <w:shd w:val="clear" w:color="auto" w:fill="FFFFFF"/>
        </w:rPr>
        <w:t>Industrial Law Journal</w:t>
      </w:r>
      <w:r w:rsidRPr="00CC27AB">
        <w:rPr>
          <w:rFonts w:asciiTheme="minorHAnsi" w:hAnsiTheme="minorHAnsi" w:cstheme="minorHAnsi"/>
          <w:shd w:val="clear" w:color="auto" w:fill="FFFFFF"/>
        </w:rPr>
        <w:t xml:space="preserve">, 47, 2, (2018): </w:t>
      </w:r>
      <w:r w:rsidRPr="00CC27AB">
        <w:rPr>
          <w:rFonts w:asciiTheme="minorHAnsi" w:hAnsiTheme="minorHAnsi" w:cstheme="minorHAnsi"/>
        </w:rPr>
        <w:t>193</w:t>
      </w:r>
      <w:r w:rsidRPr="00CC4FFB">
        <w:rPr>
          <w:rFonts w:asciiTheme="minorHAnsi" w:hAnsiTheme="minorHAnsi" w:cstheme="minorHAnsi"/>
        </w:rPr>
        <w:t>.</w:t>
      </w:r>
    </w:p>
  </w:footnote>
  <w:footnote w:id="24">
    <w:p w14:paraId="52740268" w14:textId="77777777" w:rsidR="00E43136" w:rsidRPr="00CC4FFB" w:rsidRDefault="00E43136" w:rsidP="006325ED">
      <w:pPr>
        <w:pStyle w:val="FootnoteText"/>
        <w:jc w:val="both"/>
      </w:pPr>
      <w:r w:rsidRPr="00CC4FFB">
        <w:rPr>
          <w:rStyle w:val="FootnoteReference"/>
        </w:rPr>
        <w:footnoteRef/>
      </w:r>
      <w:r w:rsidRPr="00CC4FFB">
        <w:t xml:space="preserve"> </w:t>
      </w:r>
      <w:r w:rsidRPr="00CC4FFB">
        <w:rPr>
          <w:i/>
          <w:iCs/>
        </w:rPr>
        <w:t xml:space="preserve">Hoekstra v </w:t>
      </w:r>
      <w:proofErr w:type="spellStart"/>
      <w:r w:rsidRPr="00CC4FFB">
        <w:rPr>
          <w:i/>
          <w:iCs/>
        </w:rPr>
        <w:t>Bestuur</w:t>
      </w:r>
      <w:proofErr w:type="spellEnd"/>
      <w:r w:rsidRPr="00CC4FFB">
        <w:rPr>
          <w:i/>
          <w:iCs/>
        </w:rPr>
        <w:t xml:space="preserve"> der </w:t>
      </w:r>
      <w:proofErr w:type="spellStart"/>
      <w:r w:rsidRPr="00CC4FFB">
        <w:rPr>
          <w:i/>
          <w:iCs/>
        </w:rPr>
        <w:t>Bedrijfsvereniging</w:t>
      </w:r>
      <w:proofErr w:type="spellEnd"/>
      <w:r w:rsidRPr="00CC4FFB">
        <w:rPr>
          <w:i/>
          <w:iCs/>
        </w:rPr>
        <w:t xml:space="preserve"> </w:t>
      </w:r>
      <w:proofErr w:type="spellStart"/>
      <w:r w:rsidRPr="00CC4FFB">
        <w:rPr>
          <w:i/>
          <w:iCs/>
        </w:rPr>
        <w:t>voor</w:t>
      </w:r>
      <w:proofErr w:type="spellEnd"/>
      <w:r w:rsidRPr="00CC4FFB">
        <w:rPr>
          <w:i/>
          <w:iCs/>
        </w:rPr>
        <w:t xml:space="preserve"> </w:t>
      </w:r>
      <w:proofErr w:type="spellStart"/>
      <w:r w:rsidRPr="00CC4FFB">
        <w:rPr>
          <w:i/>
          <w:iCs/>
        </w:rPr>
        <w:t>Detailhandel</w:t>
      </w:r>
      <w:proofErr w:type="spellEnd"/>
      <w:r w:rsidRPr="00CC4FFB">
        <w:rPr>
          <w:i/>
          <w:iCs/>
        </w:rPr>
        <w:t xml:space="preserve"> </w:t>
      </w:r>
      <w:proofErr w:type="spellStart"/>
      <w:r w:rsidRPr="00CC4FFB">
        <w:rPr>
          <w:i/>
          <w:iCs/>
        </w:rPr>
        <w:t>en</w:t>
      </w:r>
      <w:proofErr w:type="spellEnd"/>
      <w:r w:rsidRPr="00CC4FFB">
        <w:rPr>
          <w:i/>
          <w:iCs/>
        </w:rPr>
        <w:t xml:space="preserve"> </w:t>
      </w:r>
      <w:proofErr w:type="spellStart"/>
      <w:r w:rsidRPr="00CC4FFB">
        <w:rPr>
          <w:i/>
          <w:iCs/>
        </w:rPr>
        <w:t>Ambachten</w:t>
      </w:r>
      <w:proofErr w:type="spellEnd"/>
      <w:r w:rsidRPr="00CC4FFB">
        <w:t xml:space="preserve"> (Case 75/63) [1964] ECR 177, para 1.</w:t>
      </w:r>
    </w:p>
  </w:footnote>
  <w:footnote w:id="25">
    <w:p w14:paraId="478D27AC" w14:textId="77777777" w:rsidR="00E43136" w:rsidRPr="00CC4FFB" w:rsidRDefault="00E43136" w:rsidP="006325ED">
      <w:pPr>
        <w:pStyle w:val="FootnoteText"/>
        <w:jc w:val="both"/>
      </w:pPr>
      <w:r w:rsidRPr="00CC4FFB">
        <w:rPr>
          <w:rStyle w:val="FootnoteReference"/>
        </w:rPr>
        <w:footnoteRef/>
      </w:r>
      <w:r w:rsidRPr="00CC4FFB">
        <w:t xml:space="preserve"> Mancini, </w:t>
      </w:r>
      <w:r w:rsidRPr="00CC4FFB">
        <w:rPr>
          <w:i/>
          <w:iCs/>
        </w:rPr>
        <w:t>Democracy and Constitutionalism in the European Union</w:t>
      </w:r>
      <w:r w:rsidRPr="00CC4FFB">
        <w:t>, 124</w:t>
      </w:r>
      <w:r>
        <w:t>.</w:t>
      </w:r>
    </w:p>
  </w:footnote>
  <w:footnote w:id="26">
    <w:p w14:paraId="0D37CDCD" w14:textId="77777777" w:rsidR="00E43136" w:rsidRDefault="00E43136" w:rsidP="006325ED">
      <w:pPr>
        <w:pStyle w:val="FootnoteText"/>
        <w:jc w:val="both"/>
      </w:pPr>
      <w:r w:rsidRPr="00CC4FFB">
        <w:rPr>
          <w:rStyle w:val="FootnoteReference"/>
        </w:rPr>
        <w:footnoteRef/>
      </w:r>
      <w:r w:rsidRPr="00CC4FFB">
        <w:t xml:space="preserve"> </w:t>
      </w:r>
      <w:r>
        <w:t xml:space="preserve">P. </w:t>
      </w:r>
      <w:r w:rsidRPr="00CC4FFB">
        <w:t xml:space="preserve">Craig, and de </w:t>
      </w:r>
      <w:proofErr w:type="spellStart"/>
      <w:r w:rsidRPr="00CC4FFB">
        <w:t>B</w:t>
      </w:r>
      <w:r w:rsidRPr="00CC4FFB">
        <w:rPr>
          <w:rFonts w:cs="Calibri"/>
        </w:rPr>
        <w:t>ú</w:t>
      </w:r>
      <w:r w:rsidRPr="00CC4FFB">
        <w:t>rca</w:t>
      </w:r>
      <w:proofErr w:type="spellEnd"/>
      <w:r w:rsidRPr="00CC4FFB">
        <w:t xml:space="preserve">, G </w:t>
      </w:r>
      <w:r w:rsidRPr="002E21AF">
        <w:rPr>
          <w:i/>
        </w:rPr>
        <w:t>EU Law</w:t>
      </w:r>
      <w:r w:rsidRPr="00CC4FFB">
        <w:t xml:space="preserve">, </w:t>
      </w:r>
      <w:r>
        <w:t>(</w:t>
      </w:r>
      <w:r w:rsidRPr="00CC4FFB">
        <w:t>6</w:t>
      </w:r>
      <w:r w:rsidRPr="00CC4FFB">
        <w:rPr>
          <w:vertAlign w:val="superscript"/>
        </w:rPr>
        <w:t>th</w:t>
      </w:r>
      <w:r w:rsidRPr="00CC4FFB">
        <w:t xml:space="preserve"> edition, OUP,</w:t>
      </w:r>
      <w:r w:rsidRPr="002E21AF">
        <w:t xml:space="preserve"> </w:t>
      </w:r>
      <w:r w:rsidRPr="00CC4FFB">
        <w:t>2015)</w:t>
      </w:r>
      <w:r>
        <w:t>:</w:t>
      </w:r>
      <w:r w:rsidRPr="00CC4FFB">
        <w:t xml:space="preserve"> 749.</w:t>
      </w:r>
    </w:p>
  </w:footnote>
  <w:footnote w:id="27">
    <w:p w14:paraId="30DEDC8F" w14:textId="77777777" w:rsidR="00E43136" w:rsidRPr="00EB20F8" w:rsidRDefault="00E43136" w:rsidP="006325ED">
      <w:pPr>
        <w:spacing w:after="0" w:line="240" w:lineRule="auto"/>
        <w:jc w:val="both"/>
        <w:rPr>
          <w:rFonts w:asciiTheme="minorHAnsi" w:hAnsiTheme="minorHAnsi" w:cstheme="minorHAnsi"/>
          <w:sz w:val="20"/>
          <w:szCs w:val="20"/>
          <w:shd w:val="clear" w:color="auto" w:fill="FFFFFF"/>
        </w:rPr>
      </w:pPr>
      <w:r w:rsidRPr="00EB20F8">
        <w:rPr>
          <w:rStyle w:val="FootnoteReference"/>
          <w:rFonts w:asciiTheme="minorHAnsi" w:hAnsiTheme="minorHAnsi" w:cstheme="minorHAnsi"/>
          <w:sz w:val="20"/>
          <w:szCs w:val="20"/>
        </w:rPr>
        <w:footnoteRef/>
      </w:r>
      <w:r w:rsidRPr="00EB20F8">
        <w:rPr>
          <w:rFonts w:asciiTheme="minorHAnsi" w:hAnsiTheme="minorHAnsi" w:cstheme="minorHAnsi"/>
          <w:sz w:val="20"/>
          <w:szCs w:val="20"/>
        </w:rPr>
        <w:t xml:space="preserve"> </w:t>
      </w:r>
      <w:r w:rsidRPr="00EB20F8">
        <w:rPr>
          <w:rFonts w:asciiTheme="minorHAnsi" w:hAnsiTheme="minorHAnsi" w:cstheme="minorHAnsi"/>
          <w:i/>
          <w:iCs/>
          <w:sz w:val="20"/>
          <w:szCs w:val="20"/>
          <w:shd w:val="clear" w:color="auto" w:fill="FFFFFF"/>
        </w:rPr>
        <w:t>Lawrie-Blum v Land Baden-Württemberg</w:t>
      </w:r>
      <w:r w:rsidRPr="00EB20F8">
        <w:rPr>
          <w:rFonts w:asciiTheme="minorHAnsi" w:hAnsiTheme="minorHAnsi" w:cstheme="minorHAnsi"/>
          <w:sz w:val="20"/>
          <w:szCs w:val="20"/>
          <w:shd w:val="clear" w:color="auto" w:fill="FFFFFF"/>
        </w:rPr>
        <w:t xml:space="preserve"> (Case C66/85) [1985] ECR 02121</w:t>
      </w:r>
      <w:r w:rsidRPr="00EB20F8">
        <w:rPr>
          <w:rFonts w:asciiTheme="minorHAnsi" w:hAnsiTheme="minorHAnsi" w:cstheme="minorHAnsi"/>
          <w:sz w:val="20"/>
          <w:szCs w:val="20"/>
        </w:rPr>
        <w:t>, para 16.</w:t>
      </w:r>
    </w:p>
  </w:footnote>
  <w:footnote w:id="28">
    <w:p w14:paraId="70C01E6E" w14:textId="77777777" w:rsidR="00E43136" w:rsidRPr="002E21AF" w:rsidRDefault="00E43136" w:rsidP="006325ED">
      <w:pPr>
        <w:pStyle w:val="FootnoteText"/>
        <w:jc w:val="both"/>
        <w:rPr>
          <w:rFonts w:cs="Calibri"/>
        </w:rPr>
      </w:pPr>
      <w:r w:rsidRPr="002E21AF">
        <w:rPr>
          <w:rStyle w:val="FootnoteReference"/>
          <w:rFonts w:cs="Calibri"/>
        </w:rPr>
        <w:footnoteRef/>
      </w:r>
      <w:r w:rsidRPr="002E21AF">
        <w:rPr>
          <w:rFonts w:cs="Calibri"/>
        </w:rPr>
        <w:t xml:space="preserve"> </w:t>
      </w:r>
      <w:proofErr w:type="spellStart"/>
      <w:r w:rsidRPr="002E21AF">
        <w:rPr>
          <w:rFonts w:cs="Calibri"/>
        </w:rPr>
        <w:t>Kountouris</w:t>
      </w:r>
      <w:proofErr w:type="spellEnd"/>
      <w:r w:rsidRPr="002E21AF">
        <w:rPr>
          <w:rFonts w:cs="Calibri"/>
        </w:rPr>
        <w:t xml:space="preserve">, </w:t>
      </w:r>
      <w:r>
        <w:rPr>
          <w:rFonts w:cs="Calibri"/>
        </w:rPr>
        <w:t>“</w:t>
      </w:r>
      <w:r w:rsidRPr="002E21AF">
        <w:rPr>
          <w:rFonts w:cs="Calibri"/>
        </w:rPr>
        <w:t>The concept of ‘worker’ in European Labour Law – Fragmentation, Autonomy, and Scope</w:t>
      </w:r>
      <w:r>
        <w:rPr>
          <w:rFonts w:cs="Calibri"/>
        </w:rPr>
        <w:t xml:space="preserve">,” </w:t>
      </w:r>
      <w:r w:rsidRPr="002E21AF">
        <w:rPr>
          <w:rFonts w:cs="Calibri"/>
        </w:rPr>
        <w:t>199.</w:t>
      </w:r>
    </w:p>
  </w:footnote>
  <w:footnote w:id="29">
    <w:p w14:paraId="155C62EA" w14:textId="77777777" w:rsidR="00E43136" w:rsidRPr="00D21CC8" w:rsidRDefault="00E43136" w:rsidP="006325ED">
      <w:pPr>
        <w:pStyle w:val="FootnoteText"/>
        <w:jc w:val="both"/>
        <w:rPr>
          <w:rFonts w:cs="Calibri"/>
        </w:rPr>
      </w:pPr>
      <w:r w:rsidRPr="00D21CC8">
        <w:rPr>
          <w:rStyle w:val="FootnoteReference"/>
          <w:rFonts w:cs="Calibri"/>
        </w:rPr>
        <w:footnoteRef/>
      </w:r>
      <w:r w:rsidRPr="00D21CC8">
        <w:rPr>
          <w:rFonts w:cs="Calibri"/>
        </w:rPr>
        <w:t xml:space="preserve"> </w:t>
      </w:r>
      <w:r w:rsidRPr="00D21CC8">
        <w:rPr>
          <w:rFonts w:cs="Calibri"/>
          <w:i/>
          <w:iCs/>
          <w:shd w:val="clear" w:color="auto" w:fill="FFFFFF"/>
        </w:rPr>
        <w:t xml:space="preserve">Levin v </w:t>
      </w:r>
      <w:proofErr w:type="spellStart"/>
      <w:r w:rsidRPr="00D21CC8">
        <w:rPr>
          <w:rFonts w:cs="Calibri"/>
          <w:i/>
          <w:iCs/>
          <w:shd w:val="clear" w:color="auto" w:fill="FFFFFF"/>
        </w:rPr>
        <w:t>Staatssecretaris</w:t>
      </w:r>
      <w:proofErr w:type="spellEnd"/>
      <w:r w:rsidRPr="00D21CC8">
        <w:rPr>
          <w:rFonts w:cs="Calibri"/>
          <w:i/>
          <w:iCs/>
          <w:shd w:val="clear" w:color="auto" w:fill="FFFFFF"/>
        </w:rPr>
        <w:t xml:space="preserve"> van </w:t>
      </w:r>
      <w:proofErr w:type="spellStart"/>
      <w:r w:rsidRPr="00D21CC8">
        <w:rPr>
          <w:rFonts w:cs="Calibri"/>
          <w:i/>
          <w:iCs/>
          <w:shd w:val="clear" w:color="auto" w:fill="FFFFFF"/>
        </w:rPr>
        <w:t>Justitie</w:t>
      </w:r>
      <w:proofErr w:type="spellEnd"/>
      <w:r w:rsidRPr="00D21CC8">
        <w:rPr>
          <w:rFonts w:cs="Calibri"/>
          <w:shd w:val="clear" w:color="auto" w:fill="FFFFFF"/>
        </w:rPr>
        <w:t xml:space="preserve"> (Case 53/81) [1982] ECR 1035, para 17.</w:t>
      </w:r>
    </w:p>
  </w:footnote>
  <w:footnote w:id="30">
    <w:p w14:paraId="144B75B7" w14:textId="77777777" w:rsidR="00E43136" w:rsidRPr="00D21CC8" w:rsidRDefault="00E43136" w:rsidP="006325ED">
      <w:pPr>
        <w:pStyle w:val="FootnoteText"/>
        <w:jc w:val="both"/>
        <w:rPr>
          <w:rFonts w:cs="Calibri"/>
        </w:rPr>
      </w:pPr>
      <w:r w:rsidRPr="00D21CC8">
        <w:rPr>
          <w:rStyle w:val="FootnoteReference"/>
          <w:rFonts w:cs="Calibri"/>
        </w:rPr>
        <w:footnoteRef/>
      </w:r>
      <w:r w:rsidRPr="00D21CC8">
        <w:rPr>
          <w:rFonts w:cs="Calibri"/>
        </w:rPr>
        <w:t xml:space="preserve"> </w:t>
      </w:r>
      <w:proofErr w:type="spellStart"/>
      <w:r w:rsidRPr="00D21CC8">
        <w:rPr>
          <w:rFonts w:eastAsiaTheme="minorHAnsi" w:cs="Calibri"/>
          <w:i/>
          <w:iCs/>
          <w:lang w:eastAsia="en-US"/>
        </w:rPr>
        <w:t>Jany</w:t>
      </w:r>
      <w:proofErr w:type="spellEnd"/>
      <w:r w:rsidRPr="00D21CC8">
        <w:rPr>
          <w:rFonts w:eastAsiaTheme="minorHAnsi" w:cs="Calibri"/>
          <w:lang w:eastAsia="en-US"/>
        </w:rPr>
        <w:t xml:space="preserve"> (Case C-268/99) [2001] </w:t>
      </w:r>
      <w:r w:rsidRPr="00D21CC8">
        <w:rPr>
          <w:rFonts w:cs="Calibri"/>
          <w:shd w:val="clear" w:color="auto" w:fill="FFFFFF"/>
        </w:rPr>
        <w:t>ECR I-8615</w:t>
      </w:r>
      <w:r w:rsidRPr="00D21CC8">
        <w:rPr>
          <w:rFonts w:eastAsiaTheme="minorHAnsi" w:cs="Calibri"/>
          <w:lang w:eastAsia="en-US"/>
        </w:rPr>
        <w:t>, para 34.</w:t>
      </w:r>
    </w:p>
  </w:footnote>
  <w:footnote w:id="31">
    <w:p w14:paraId="2DEFA4A1" w14:textId="77777777" w:rsidR="00E43136" w:rsidRPr="00D21CC8" w:rsidRDefault="00E43136" w:rsidP="006325ED">
      <w:pPr>
        <w:spacing w:after="0" w:line="240" w:lineRule="auto"/>
        <w:jc w:val="both"/>
        <w:rPr>
          <w:rFonts w:eastAsiaTheme="minorHAnsi" w:cs="Calibri"/>
          <w:sz w:val="20"/>
          <w:szCs w:val="20"/>
          <w:lang w:eastAsia="en-US"/>
        </w:rPr>
      </w:pPr>
      <w:r w:rsidRPr="00D21CC8">
        <w:rPr>
          <w:rStyle w:val="FootnoteReference"/>
          <w:rFonts w:cs="Calibri"/>
          <w:sz w:val="20"/>
          <w:szCs w:val="20"/>
        </w:rPr>
        <w:footnoteRef/>
      </w:r>
      <w:r w:rsidRPr="00D21CC8">
        <w:rPr>
          <w:rFonts w:cs="Calibri"/>
          <w:sz w:val="20"/>
          <w:szCs w:val="20"/>
        </w:rPr>
        <w:t xml:space="preserve"> </w:t>
      </w:r>
      <w:proofErr w:type="spellStart"/>
      <w:r w:rsidRPr="00D21CC8">
        <w:rPr>
          <w:rFonts w:cs="Calibri"/>
          <w:i/>
          <w:iCs/>
          <w:sz w:val="20"/>
          <w:szCs w:val="20"/>
        </w:rPr>
        <w:t>Gebhard</w:t>
      </w:r>
      <w:proofErr w:type="spellEnd"/>
      <w:r w:rsidRPr="00D21CC8">
        <w:rPr>
          <w:rFonts w:cs="Calibri"/>
          <w:i/>
          <w:iCs/>
          <w:sz w:val="20"/>
          <w:szCs w:val="20"/>
        </w:rPr>
        <w:t xml:space="preserve"> v </w:t>
      </w:r>
      <w:proofErr w:type="spellStart"/>
      <w:r w:rsidRPr="00D21CC8">
        <w:rPr>
          <w:rFonts w:cs="Calibri"/>
          <w:i/>
          <w:iCs/>
          <w:sz w:val="20"/>
          <w:szCs w:val="20"/>
        </w:rPr>
        <w:t>Consiglio</w:t>
      </w:r>
      <w:proofErr w:type="spellEnd"/>
      <w:r w:rsidRPr="00D21CC8">
        <w:rPr>
          <w:rFonts w:cs="Calibri"/>
          <w:i/>
          <w:iCs/>
          <w:sz w:val="20"/>
          <w:szCs w:val="20"/>
        </w:rPr>
        <w:t xml:space="preserve"> </w:t>
      </w:r>
      <w:proofErr w:type="spellStart"/>
      <w:r w:rsidRPr="00D21CC8">
        <w:rPr>
          <w:rFonts w:cs="Calibri"/>
          <w:i/>
          <w:iCs/>
          <w:sz w:val="20"/>
          <w:szCs w:val="20"/>
        </w:rPr>
        <w:t>dell’Ordine</w:t>
      </w:r>
      <w:proofErr w:type="spellEnd"/>
      <w:r w:rsidRPr="00D21CC8">
        <w:rPr>
          <w:rFonts w:cs="Calibri"/>
          <w:i/>
          <w:iCs/>
          <w:sz w:val="20"/>
          <w:szCs w:val="20"/>
        </w:rPr>
        <w:t xml:space="preserve"> </w:t>
      </w:r>
      <w:proofErr w:type="spellStart"/>
      <w:r w:rsidRPr="00D21CC8">
        <w:rPr>
          <w:rFonts w:cs="Calibri"/>
          <w:i/>
          <w:iCs/>
          <w:sz w:val="20"/>
          <w:szCs w:val="20"/>
        </w:rPr>
        <w:t>degli</w:t>
      </w:r>
      <w:proofErr w:type="spellEnd"/>
      <w:r w:rsidRPr="00D21CC8">
        <w:rPr>
          <w:rFonts w:cs="Calibri"/>
          <w:i/>
          <w:iCs/>
          <w:sz w:val="20"/>
          <w:szCs w:val="20"/>
        </w:rPr>
        <w:t xml:space="preserve"> </w:t>
      </w:r>
      <w:proofErr w:type="spellStart"/>
      <w:r w:rsidRPr="00D21CC8">
        <w:rPr>
          <w:rFonts w:cs="Calibri"/>
          <w:i/>
          <w:iCs/>
          <w:sz w:val="20"/>
          <w:szCs w:val="20"/>
        </w:rPr>
        <w:t>Avvocati</w:t>
      </w:r>
      <w:proofErr w:type="spellEnd"/>
      <w:r w:rsidRPr="00D21CC8">
        <w:rPr>
          <w:rFonts w:cs="Calibri"/>
          <w:i/>
          <w:iCs/>
          <w:sz w:val="20"/>
          <w:szCs w:val="20"/>
        </w:rPr>
        <w:t xml:space="preserve"> e </w:t>
      </w:r>
      <w:proofErr w:type="spellStart"/>
      <w:r w:rsidRPr="00D21CC8">
        <w:rPr>
          <w:rFonts w:cs="Calibri"/>
          <w:i/>
          <w:iCs/>
          <w:sz w:val="20"/>
          <w:szCs w:val="20"/>
        </w:rPr>
        <w:t>Procurati</w:t>
      </w:r>
      <w:proofErr w:type="spellEnd"/>
      <w:r w:rsidRPr="00D21CC8">
        <w:rPr>
          <w:rFonts w:cs="Calibri"/>
          <w:i/>
          <w:iCs/>
          <w:sz w:val="20"/>
          <w:szCs w:val="20"/>
        </w:rPr>
        <w:t xml:space="preserve"> di Milano</w:t>
      </w:r>
      <w:r w:rsidRPr="00D21CC8">
        <w:rPr>
          <w:rFonts w:cs="Calibri"/>
          <w:sz w:val="20"/>
          <w:szCs w:val="20"/>
        </w:rPr>
        <w:t xml:space="preserve"> (Case C-55/94) [1995] ECR I-4165, para 25. </w:t>
      </w:r>
      <w:proofErr w:type="spellStart"/>
      <w:r w:rsidRPr="00D21CC8">
        <w:rPr>
          <w:rFonts w:cs="Calibri"/>
          <w:i/>
          <w:iCs/>
          <w:sz w:val="20"/>
          <w:szCs w:val="20"/>
        </w:rPr>
        <w:t>Gebhard</w:t>
      </w:r>
      <w:proofErr w:type="spellEnd"/>
      <w:r w:rsidRPr="00D21CC8">
        <w:rPr>
          <w:rFonts w:cs="Calibri"/>
          <w:sz w:val="20"/>
          <w:szCs w:val="20"/>
        </w:rPr>
        <w:t xml:space="preserve"> concerned a German lawyer who set up his own chambers in Italy.</w:t>
      </w:r>
    </w:p>
  </w:footnote>
  <w:footnote w:id="32">
    <w:p w14:paraId="5D8B8256" w14:textId="77777777" w:rsidR="00E43136" w:rsidRDefault="00E43136" w:rsidP="006325ED">
      <w:pPr>
        <w:pStyle w:val="FootnoteText"/>
        <w:jc w:val="both"/>
      </w:pPr>
      <w:r w:rsidRPr="00D21CC8">
        <w:rPr>
          <w:rStyle w:val="FootnoteReference"/>
          <w:rFonts w:cs="Calibri"/>
        </w:rPr>
        <w:footnoteRef/>
      </w:r>
      <w:r w:rsidRPr="00D21CC8">
        <w:rPr>
          <w:rFonts w:cs="Calibri"/>
        </w:rPr>
        <w:t xml:space="preserve"> </w:t>
      </w:r>
      <w:proofErr w:type="spellStart"/>
      <w:r w:rsidRPr="00D21CC8">
        <w:rPr>
          <w:rFonts w:cs="Calibri"/>
          <w:i/>
          <w:iCs/>
        </w:rPr>
        <w:t>Reyners</w:t>
      </w:r>
      <w:proofErr w:type="spellEnd"/>
      <w:r w:rsidRPr="00D21CC8">
        <w:rPr>
          <w:rFonts w:cs="Calibri"/>
          <w:i/>
          <w:iCs/>
        </w:rPr>
        <w:t xml:space="preserve"> v </w:t>
      </w:r>
      <w:proofErr w:type="gramStart"/>
      <w:r w:rsidRPr="00D21CC8">
        <w:rPr>
          <w:rFonts w:cs="Calibri"/>
          <w:i/>
          <w:iCs/>
        </w:rPr>
        <w:t>Belgium</w:t>
      </w:r>
      <w:r w:rsidRPr="00D21CC8">
        <w:rPr>
          <w:rFonts w:cs="Calibri"/>
        </w:rPr>
        <w:t xml:space="preserve">  (</w:t>
      </w:r>
      <w:proofErr w:type="gramEnd"/>
      <w:r w:rsidRPr="00D21CC8">
        <w:rPr>
          <w:rFonts w:cs="Calibri"/>
        </w:rPr>
        <w:t>Case 2/74) [1974] ECR 631, paras 24-30.</w:t>
      </w:r>
    </w:p>
  </w:footnote>
  <w:footnote w:id="33">
    <w:p w14:paraId="4C1412E1" w14:textId="77777777" w:rsidR="00E43136" w:rsidRPr="00EB20F8" w:rsidRDefault="00E43136" w:rsidP="006325ED">
      <w:pPr>
        <w:spacing w:after="0" w:line="240" w:lineRule="auto"/>
        <w:jc w:val="both"/>
        <w:rPr>
          <w:rFonts w:asciiTheme="minorHAnsi" w:hAnsiTheme="minorHAnsi" w:cstheme="minorHAnsi"/>
          <w:sz w:val="20"/>
          <w:szCs w:val="20"/>
        </w:rPr>
      </w:pPr>
      <w:r w:rsidRPr="00EB20F8">
        <w:rPr>
          <w:rFonts w:asciiTheme="minorHAnsi" w:hAnsiTheme="minorHAnsi" w:cstheme="minorHAnsi"/>
          <w:sz w:val="20"/>
          <w:szCs w:val="20"/>
        </w:rPr>
        <w:t xml:space="preserve"> </w:t>
      </w:r>
      <w:r w:rsidRPr="00EB20F8">
        <w:rPr>
          <w:rStyle w:val="FootnoteReference"/>
          <w:rFonts w:asciiTheme="minorHAnsi" w:hAnsiTheme="minorHAnsi" w:cstheme="minorHAnsi"/>
          <w:sz w:val="20"/>
          <w:szCs w:val="20"/>
        </w:rPr>
        <w:footnoteRef/>
      </w:r>
      <w:r>
        <w:rPr>
          <w:rFonts w:asciiTheme="minorHAnsi" w:hAnsiTheme="minorHAnsi" w:cstheme="minorHAnsi"/>
          <w:sz w:val="20"/>
          <w:szCs w:val="20"/>
        </w:rPr>
        <w:t xml:space="preserve"> A. </w:t>
      </w:r>
      <w:proofErr w:type="spellStart"/>
      <w:r w:rsidRPr="00EB20F8">
        <w:rPr>
          <w:rFonts w:asciiTheme="minorHAnsi" w:hAnsiTheme="minorHAnsi" w:cstheme="minorHAnsi"/>
          <w:sz w:val="20"/>
          <w:szCs w:val="20"/>
        </w:rPr>
        <w:t>Cuyvers</w:t>
      </w:r>
      <w:proofErr w:type="spellEnd"/>
      <w:r w:rsidRPr="00EB20F8">
        <w:rPr>
          <w:rFonts w:asciiTheme="minorHAnsi" w:hAnsiTheme="minorHAnsi" w:cstheme="minorHAnsi"/>
          <w:sz w:val="20"/>
          <w:szCs w:val="20"/>
        </w:rPr>
        <w:t xml:space="preserve">, </w:t>
      </w:r>
      <w:r>
        <w:rPr>
          <w:rFonts w:asciiTheme="minorHAnsi" w:hAnsiTheme="minorHAnsi" w:cstheme="minorHAnsi"/>
          <w:sz w:val="20"/>
          <w:szCs w:val="20"/>
        </w:rPr>
        <w:t>“</w:t>
      </w:r>
      <w:r w:rsidRPr="00EB20F8">
        <w:rPr>
          <w:rFonts w:asciiTheme="minorHAnsi" w:hAnsiTheme="minorHAnsi" w:cstheme="minorHAnsi"/>
          <w:sz w:val="20"/>
          <w:szCs w:val="20"/>
        </w:rPr>
        <w:t xml:space="preserve">Freedom of establishment and the freedom to provide services in the </w:t>
      </w:r>
      <w:proofErr w:type="gramStart"/>
      <w:r w:rsidRPr="00EB20F8">
        <w:rPr>
          <w:rFonts w:asciiTheme="minorHAnsi" w:hAnsiTheme="minorHAnsi" w:cstheme="minorHAnsi"/>
          <w:sz w:val="20"/>
          <w:szCs w:val="20"/>
        </w:rPr>
        <w:t>EU</w:t>
      </w:r>
      <w:r>
        <w:rPr>
          <w:rFonts w:asciiTheme="minorHAnsi" w:hAnsiTheme="minorHAnsi" w:cstheme="minorHAnsi"/>
          <w:sz w:val="20"/>
          <w:szCs w:val="20"/>
        </w:rPr>
        <w:t xml:space="preserve">” </w:t>
      </w:r>
      <w:r w:rsidRPr="00EB20F8">
        <w:rPr>
          <w:rFonts w:asciiTheme="minorHAnsi" w:hAnsiTheme="minorHAnsi" w:cstheme="minorHAnsi"/>
          <w:sz w:val="20"/>
          <w:szCs w:val="20"/>
        </w:rPr>
        <w:t xml:space="preserve"> in</w:t>
      </w:r>
      <w:proofErr w:type="gramEnd"/>
      <w:r w:rsidRPr="00EB20F8">
        <w:rPr>
          <w:rFonts w:asciiTheme="minorHAnsi" w:hAnsiTheme="minorHAnsi" w:cstheme="minorHAnsi"/>
          <w:sz w:val="20"/>
          <w:szCs w:val="20"/>
        </w:rPr>
        <w:t xml:space="preserve"> </w:t>
      </w:r>
      <w:r w:rsidRPr="00EB20F8">
        <w:rPr>
          <w:rFonts w:asciiTheme="minorHAnsi" w:hAnsiTheme="minorHAnsi" w:cstheme="minorHAnsi"/>
          <w:i/>
          <w:iCs/>
          <w:sz w:val="20"/>
          <w:szCs w:val="20"/>
        </w:rPr>
        <w:t>East African Community Law</w:t>
      </w:r>
      <w:r w:rsidRPr="00EB20F8">
        <w:rPr>
          <w:rFonts w:asciiTheme="minorHAnsi" w:hAnsiTheme="minorHAnsi" w:cstheme="minorHAnsi"/>
          <w:sz w:val="20"/>
          <w:szCs w:val="20"/>
        </w:rPr>
        <w:t xml:space="preserve"> eds</w:t>
      </w:r>
      <w:r>
        <w:rPr>
          <w:rFonts w:asciiTheme="minorHAnsi" w:hAnsiTheme="minorHAnsi" w:cstheme="minorHAnsi"/>
          <w:sz w:val="20"/>
          <w:szCs w:val="20"/>
        </w:rPr>
        <w:t>.</w:t>
      </w:r>
      <w:r w:rsidRPr="00EB20F8">
        <w:rPr>
          <w:rFonts w:asciiTheme="minorHAnsi" w:hAnsiTheme="minorHAnsi" w:cstheme="minorHAnsi"/>
          <w:sz w:val="20"/>
          <w:szCs w:val="20"/>
        </w:rPr>
        <w:t xml:space="preserve"> </w:t>
      </w:r>
      <w:proofErr w:type="spellStart"/>
      <w:r w:rsidRPr="00EB20F8">
        <w:rPr>
          <w:rFonts w:asciiTheme="minorHAnsi" w:hAnsiTheme="minorHAnsi" w:cstheme="minorHAnsi"/>
          <w:sz w:val="20"/>
          <w:szCs w:val="20"/>
        </w:rPr>
        <w:t>Ugirashebuja</w:t>
      </w:r>
      <w:proofErr w:type="spellEnd"/>
      <w:r w:rsidRPr="00EB20F8">
        <w:rPr>
          <w:rFonts w:asciiTheme="minorHAnsi" w:hAnsiTheme="minorHAnsi" w:cstheme="minorHAnsi"/>
          <w:sz w:val="20"/>
          <w:szCs w:val="20"/>
        </w:rPr>
        <w:t xml:space="preserve">, E., </w:t>
      </w:r>
      <w:proofErr w:type="spellStart"/>
      <w:r w:rsidRPr="00EB20F8">
        <w:rPr>
          <w:rFonts w:asciiTheme="minorHAnsi" w:hAnsiTheme="minorHAnsi" w:cstheme="minorHAnsi"/>
          <w:sz w:val="20"/>
          <w:szCs w:val="20"/>
        </w:rPr>
        <w:t>Ruhangisa</w:t>
      </w:r>
      <w:proofErr w:type="spellEnd"/>
      <w:r w:rsidRPr="00EB20F8">
        <w:rPr>
          <w:rFonts w:asciiTheme="minorHAnsi" w:hAnsiTheme="minorHAnsi" w:cstheme="minorHAnsi"/>
          <w:sz w:val="20"/>
          <w:szCs w:val="20"/>
        </w:rPr>
        <w:t xml:space="preserve">, J.E., </w:t>
      </w:r>
      <w:proofErr w:type="spellStart"/>
      <w:r w:rsidRPr="00EB20F8">
        <w:rPr>
          <w:rFonts w:asciiTheme="minorHAnsi" w:hAnsiTheme="minorHAnsi" w:cstheme="minorHAnsi"/>
          <w:sz w:val="20"/>
          <w:szCs w:val="20"/>
        </w:rPr>
        <w:t>Ottervanger</w:t>
      </w:r>
      <w:proofErr w:type="spellEnd"/>
      <w:r w:rsidRPr="00EB20F8">
        <w:rPr>
          <w:rFonts w:asciiTheme="minorHAnsi" w:hAnsiTheme="minorHAnsi" w:cstheme="minorHAnsi"/>
          <w:sz w:val="20"/>
          <w:szCs w:val="20"/>
        </w:rPr>
        <w:t xml:space="preserve">, T. and </w:t>
      </w:r>
      <w:proofErr w:type="spellStart"/>
      <w:r w:rsidRPr="00EB20F8">
        <w:rPr>
          <w:rFonts w:asciiTheme="minorHAnsi" w:hAnsiTheme="minorHAnsi" w:cstheme="minorHAnsi"/>
          <w:sz w:val="20"/>
          <w:szCs w:val="20"/>
        </w:rPr>
        <w:t>Cuyvers</w:t>
      </w:r>
      <w:proofErr w:type="spellEnd"/>
      <w:r w:rsidRPr="00EB20F8">
        <w:rPr>
          <w:rFonts w:asciiTheme="minorHAnsi" w:hAnsiTheme="minorHAnsi" w:cstheme="minorHAnsi"/>
          <w:sz w:val="20"/>
          <w:szCs w:val="20"/>
        </w:rPr>
        <w:t xml:space="preserve">, A.. </w:t>
      </w:r>
      <w:r>
        <w:rPr>
          <w:rFonts w:asciiTheme="minorHAnsi" w:hAnsiTheme="minorHAnsi" w:cstheme="minorHAnsi"/>
          <w:sz w:val="20"/>
          <w:szCs w:val="20"/>
        </w:rPr>
        <w:t xml:space="preserve">(Leiden. Brill </w:t>
      </w:r>
      <w:proofErr w:type="spellStart"/>
      <w:r>
        <w:rPr>
          <w:rFonts w:asciiTheme="minorHAnsi" w:hAnsiTheme="minorHAnsi" w:cstheme="minorHAnsi"/>
          <w:sz w:val="20"/>
          <w:szCs w:val="20"/>
        </w:rPr>
        <w:t>Nijhoff</w:t>
      </w:r>
      <w:proofErr w:type="spellEnd"/>
      <w:r>
        <w:rPr>
          <w:rFonts w:asciiTheme="minorHAnsi" w:hAnsiTheme="minorHAnsi" w:cstheme="minorHAnsi"/>
          <w:sz w:val="20"/>
          <w:szCs w:val="20"/>
        </w:rPr>
        <w:t xml:space="preserve">, </w:t>
      </w:r>
      <w:r w:rsidRPr="00EB20F8">
        <w:rPr>
          <w:rFonts w:asciiTheme="minorHAnsi" w:hAnsiTheme="minorHAnsi" w:cstheme="minorHAnsi"/>
          <w:sz w:val="20"/>
          <w:szCs w:val="20"/>
        </w:rPr>
        <w:t>2017)</w:t>
      </w:r>
      <w:r>
        <w:rPr>
          <w:rFonts w:asciiTheme="minorHAnsi" w:hAnsiTheme="minorHAnsi" w:cstheme="minorHAnsi"/>
          <w:sz w:val="20"/>
          <w:szCs w:val="20"/>
        </w:rPr>
        <w:t>:</w:t>
      </w:r>
      <w:r w:rsidRPr="00EB20F8">
        <w:rPr>
          <w:rFonts w:asciiTheme="minorHAnsi" w:hAnsiTheme="minorHAnsi" w:cstheme="minorHAnsi"/>
          <w:sz w:val="20"/>
          <w:szCs w:val="20"/>
        </w:rPr>
        <w:t xml:space="preserve"> 391.</w:t>
      </w:r>
    </w:p>
  </w:footnote>
  <w:footnote w:id="34">
    <w:p w14:paraId="39252252" w14:textId="77777777" w:rsidR="00E43136" w:rsidRPr="00EB20F8" w:rsidRDefault="00E43136" w:rsidP="006325ED">
      <w:pPr>
        <w:spacing w:after="0" w:line="240" w:lineRule="auto"/>
        <w:jc w:val="both"/>
        <w:rPr>
          <w:rFonts w:asciiTheme="minorHAnsi" w:hAnsiTheme="minorHAnsi" w:cstheme="minorHAnsi"/>
          <w:sz w:val="20"/>
          <w:szCs w:val="20"/>
        </w:rPr>
      </w:pPr>
      <w:r w:rsidRPr="00EB20F8">
        <w:rPr>
          <w:rStyle w:val="FootnoteReference"/>
          <w:rFonts w:asciiTheme="minorHAnsi" w:hAnsiTheme="minorHAnsi" w:cstheme="minorHAnsi"/>
          <w:sz w:val="20"/>
          <w:szCs w:val="20"/>
        </w:rPr>
        <w:footnoteRef/>
      </w:r>
      <w:r w:rsidRPr="00EB20F8">
        <w:rPr>
          <w:rFonts w:asciiTheme="minorHAnsi" w:hAnsiTheme="minorHAnsi" w:cstheme="minorHAnsi"/>
          <w:sz w:val="20"/>
          <w:szCs w:val="20"/>
        </w:rPr>
        <w:t xml:space="preserve"> </w:t>
      </w:r>
      <w:r>
        <w:rPr>
          <w:rFonts w:asciiTheme="minorHAnsi" w:hAnsiTheme="minorHAnsi" w:cstheme="minorHAnsi"/>
          <w:sz w:val="20"/>
          <w:szCs w:val="20"/>
        </w:rPr>
        <w:t xml:space="preserve">Ibid, </w:t>
      </w:r>
      <w:r w:rsidRPr="00EB20F8">
        <w:rPr>
          <w:rFonts w:asciiTheme="minorHAnsi" w:hAnsiTheme="minorHAnsi" w:cstheme="minorHAnsi"/>
          <w:sz w:val="20"/>
          <w:szCs w:val="20"/>
        </w:rPr>
        <w:t>376.</w:t>
      </w:r>
    </w:p>
  </w:footnote>
  <w:footnote w:id="35">
    <w:p w14:paraId="60A282CC" w14:textId="77777777" w:rsidR="00E43136" w:rsidRPr="00D04912" w:rsidRDefault="00E43136" w:rsidP="006325ED">
      <w:pPr>
        <w:pStyle w:val="FootnoteText"/>
        <w:jc w:val="both"/>
        <w:rPr>
          <w:rFonts w:asciiTheme="minorHAnsi" w:hAnsiTheme="minorHAnsi" w:cstheme="minorHAnsi"/>
        </w:rPr>
      </w:pPr>
      <w:r w:rsidRPr="00D04912">
        <w:rPr>
          <w:rStyle w:val="FootnoteReference"/>
          <w:rFonts w:asciiTheme="minorHAnsi" w:hAnsiTheme="minorHAnsi" w:cstheme="minorHAnsi"/>
        </w:rPr>
        <w:footnoteRef/>
      </w:r>
      <w:r w:rsidRPr="00D04912">
        <w:rPr>
          <w:rFonts w:asciiTheme="minorHAnsi" w:hAnsiTheme="minorHAnsi" w:cstheme="minorHAnsi"/>
        </w:rPr>
        <w:t xml:space="preserve"> </w:t>
      </w:r>
      <w:proofErr w:type="spellStart"/>
      <w:r w:rsidRPr="00EB20F8">
        <w:rPr>
          <w:rFonts w:asciiTheme="minorHAnsi" w:hAnsiTheme="minorHAnsi" w:cstheme="minorHAnsi"/>
          <w:i/>
          <w:shd w:val="clear" w:color="auto" w:fill="FFFFFF"/>
        </w:rPr>
        <w:t>Gebhard</w:t>
      </w:r>
      <w:proofErr w:type="spellEnd"/>
      <w:r w:rsidRPr="00EB20F8">
        <w:rPr>
          <w:rFonts w:asciiTheme="minorHAnsi" w:hAnsiTheme="minorHAnsi" w:cstheme="minorHAnsi"/>
          <w:i/>
          <w:shd w:val="clear" w:color="auto" w:fill="FFFFFF"/>
        </w:rPr>
        <w:t xml:space="preserve"> v </w:t>
      </w:r>
      <w:proofErr w:type="spellStart"/>
      <w:r w:rsidRPr="00EB20F8">
        <w:rPr>
          <w:rFonts w:asciiTheme="minorHAnsi" w:hAnsiTheme="minorHAnsi" w:cstheme="minorHAnsi"/>
          <w:i/>
          <w:shd w:val="clear" w:color="auto" w:fill="FFFFFF"/>
        </w:rPr>
        <w:t>Consiglio</w:t>
      </w:r>
      <w:proofErr w:type="spellEnd"/>
      <w:r w:rsidRPr="00EB20F8">
        <w:rPr>
          <w:rFonts w:asciiTheme="minorHAnsi" w:hAnsiTheme="minorHAnsi" w:cstheme="minorHAnsi"/>
          <w:i/>
          <w:shd w:val="clear" w:color="auto" w:fill="FFFFFF"/>
        </w:rPr>
        <w:t xml:space="preserve"> </w:t>
      </w:r>
      <w:proofErr w:type="spellStart"/>
      <w:r w:rsidRPr="00EB20F8">
        <w:rPr>
          <w:rFonts w:asciiTheme="minorHAnsi" w:hAnsiTheme="minorHAnsi" w:cstheme="minorHAnsi"/>
          <w:i/>
          <w:shd w:val="clear" w:color="auto" w:fill="FFFFFF"/>
        </w:rPr>
        <w:t>dell’Ordine</w:t>
      </w:r>
      <w:proofErr w:type="spellEnd"/>
      <w:r w:rsidRPr="00EB20F8">
        <w:rPr>
          <w:rFonts w:asciiTheme="minorHAnsi" w:hAnsiTheme="minorHAnsi" w:cstheme="minorHAnsi"/>
          <w:i/>
          <w:shd w:val="clear" w:color="auto" w:fill="FFFFFF"/>
        </w:rPr>
        <w:t xml:space="preserve"> </w:t>
      </w:r>
      <w:proofErr w:type="spellStart"/>
      <w:r w:rsidRPr="00EB20F8">
        <w:rPr>
          <w:rFonts w:asciiTheme="minorHAnsi" w:hAnsiTheme="minorHAnsi" w:cstheme="minorHAnsi"/>
          <w:i/>
          <w:shd w:val="clear" w:color="auto" w:fill="FFFFFF"/>
        </w:rPr>
        <w:t>degli</w:t>
      </w:r>
      <w:proofErr w:type="spellEnd"/>
      <w:r w:rsidRPr="00EB20F8">
        <w:rPr>
          <w:rFonts w:asciiTheme="minorHAnsi" w:hAnsiTheme="minorHAnsi" w:cstheme="minorHAnsi"/>
          <w:i/>
          <w:shd w:val="clear" w:color="auto" w:fill="FFFFFF"/>
        </w:rPr>
        <w:t xml:space="preserve"> </w:t>
      </w:r>
      <w:proofErr w:type="spellStart"/>
      <w:r w:rsidRPr="00EB20F8">
        <w:rPr>
          <w:rFonts w:asciiTheme="minorHAnsi" w:hAnsiTheme="minorHAnsi" w:cstheme="minorHAnsi"/>
          <w:i/>
          <w:shd w:val="clear" w:color="auto" w:fill="FFFFFF"/>
        </w:rPr>
        <w:t>Avvocati</w:t>
      </w:r>
      <w:proofErr w:type="spellEnd"/>
      <w:r w:rsidRPr="00EB20F8">
        <w:rPr>
          <w:rFonts w:asciiTheme="minorHAnsi" w:hAnsiTheme="minorHAnsi" w:cstheme="minorHAnsi"/>
          <w:i/>
          <w:shd w:val="clear" w:color="auto" w:fill="FFFFFF"/>
        </w:rPr>
        <w:t xml:space="preserve"> e </w:t>
      </w:r>
      <w:proofErr w:type="spellStart"/>
      <w:r w:rsidRPr="00EB20F8">
        <w:rPr>
          <w:rFonts w:asciiTheme="minorHAnsi" w:hAnsiTheme="minorHAnsi" w:cstheme="minorHAnsi"/>
          <w:i/>
          <w:shd w:val="clear" w:color="auto" w:fill="FFFFFF"/>
        </w:rPr>
        <w:t>Procurati</w:t>
      </w:r>
      <w:proofErr w:type="spellEnd"/>
      <w:r w:rsidRPr="00EB20F8">
        <w:rPr>
          <w:rFonts w:asciiTheme="minorHAnsi" w:hAnsiTheme="minorHAnsi" w:cstheme="minorHAnsi"/>
          <w:i/>
          <w:shd w:val="clear" w:color="auto" w:fill="FFFFFF"/>
        </w:rPr>
        <w:t xml:space="preserve"> di Milano</w:t>
      </w:r>
      <w:r w:rsidRPr="00EB20F8">
        <w:rPr>
          <w:rFonts w:asciiTheme="minorHAnsi" w:hAnsiTheme="minorHAnsi" w:cstheme="minorHAnsi"/>
        </w:rPr>
        <w:t xml:space="preserve"> (Case C-55/94) [1995] </w:t>
      </w:r>
      <w:r w:rsidRPr="00EB20F8">
        <w:rPr>
          <w:rFonts w:asciiTheme="minorHAnsi" w:hAnsiTheme="minorHAnsi" w:cstheme="minorHAnsi"/>
          <w:iCs/>
          <w:shd w:val="clear" w:color="auto" w:fill="FFFFFF"/>
        </w:rPr>
        <w:t xml:space="preserve">ECR I-4165, </w:t>
      </w:r>
      <w:r w:rsidRPr="00EB20F8">
        <w:rPr>
          <w:rFonts w:asciiTheme="minorHAnsi" w:hAnsiTheme="minorHAnsi" w:cstheme="minorHAnsi"/>
        </w:rPr>
        <w:t>para 22.</w:t>
      </w:r>
    </w:p>
  </w:footnote>
  <w:footnote w:id="36">
    <w:p w14:paraId="5580B23C" w14:textId="77777777" w:rsidR="00E43136" w:rsidRPr="00D04912" w:rsidRDefault="00E43136" w:rsidP="006325ED">
      <w:pPr>
        <w:autoSpaceDE w:val="0"/>
        <w:autoSpaceDN w:val="0"/>
        <w:adjustRightInd w:val="0"/>
        <w:spacing w:after="0" w:line="240" w:lineRule="auto"/>
        <w:jc w:val="both"/>
        <w:rPr>
          <w:rFonts w:asciiTheme="minorHAnsi" w:hAnsiTheme="minorHAnsi" w:cstheme="minorHAnsi"/>
          <w:sz w:val="20"/>
          <w:szCs w:val="20"/>
        </w:rPr>
      </w:pPr>
      <w:r w:rsidRPr="00D04912">
        <w:rPr>
          <w:rStyle w:val="FootnoteReference"/>
          <w:rFonts w:asciiTheme="minorHAnsi" w:hAnsiTheme="minorHAnsi" w:cstheme="minorHAnsi"/>
          <w:sz w:val="20"/>
          <w:szCs w:val="20"/>
        </w:rPr>
        <w:footnoteRef/>
      </w:r>
      <w:r w:rsidRPr="00D04912">
        <w:rPr>
          <w:rFonts w:asciiTheme="minorHAnsi" w:hAnsiTheme="minorHAnsi" w:cstheme="minorHAnsi"/>
          <w:sz w:val="20"/>
          <w:szCs w:val="20"/>
        </w:rPr>
        <w:t xml:space="preserve"> ‘</w:t>
      </w:r>
      <w:r w:rsidRPr="00EB20F8">
        <w:rPr>
          <w:rFonts w:asciiTheme="minorHAnsi" w:eastAsiaTheme="minorHAnsi" w:hAnsiTheme="minorHAnsi" w:cstheme="minorHAnsi"/>
          <w:sz w:val="20"/>
          <w:szCs w:val="20"/>
          <w:lang w:eastAsia="en-US"/>
        </w:rPr>
        <w:t xml:space="preserve">It follows that the mere fact that a business established in one Member State supplies identical or similar services with a greater or lesser degree of frequency or regularity in a second Member State, without having an infrastructure there enabling it to pursue a professional activity there on a stable and continuous basis and, from the infrastructure, to hold itself out to, amongst others, nationals of the second Member State, is not sufficient for it to be regarded as established in the second Member State.’ </w:t>
      </w:r>
      <w:r w:rsidRPr="00EB20F8">
        <w:rPr>
          <w:rFonts w:asciiTheme="minorHAnsi" w:hAnsiTheme="minorHAnsi" w:cstheme="minorHAnsi"/>
          <w:i/>
          <w:iCs/>
          <w:sz w:val="20"/>
          <w:szCs w:val="20"/>
        </w:rPr>
        <w:t>Schnitzer</w:t>
      </w:r>
      <w:r w:rsidRPr="00EB20F8">
        <w:rPr>
          <w:rFonts w:asciiTheme="minorHAnsi" w:hAnsiTheme="minorHAnsi" w:cstheme="minorHAnsi"/>
          <w:sz w:val="20"/>
          <w:szCs w:val="20"/>
        </w:rPr>
        <w:t xml:space="preserve"> (Case C-215/01) [2003] ECR I-14847, para 32.</w:t>
      </w:r>
    </w:p>
  </w:footnote>
  <w:footnote w:id="37">
    <w:p w14:paraId="454297BD" w14:textId="77777777" w:rsidR="00E43136" w:rsidRPr="00D04912" w:rsidRDefault="00E43136" w:rsidP="006325ED">
      <w:pPr>
        <w:pStyle w:val="FootnoteText"/>
        <w:jc w:val="both"/>
        <w:rPr>
          <w:rFonts w:asciiTheme="minorHAnsi" w:hAnsiTheme="minorHAnsi" w:cstheme="minorHAnsi"/>
        </w:rPr>
      </w:pPr>
      <w:r w:rsidRPr="00D04912">
        <w:rPr>
          <w:rStyle w:val="FootnoteReference"/>
          <w:rFonts w:asciiTheme="minorHAnsi" w:hAnsiTheme="minorHAnsi" w:cstheme="minorHAnsi"/>
        </w:rPr>
        <w:footnoteRef/>
      </w:r>
      <w:r w:rsidRPr="00D04912">
        <w:rPr>
          <w:rFonts w:asciiTheme="minorHAnsi" w:hAnsiTheme="minorHAnsi" w:cstheme="minorHAnsi"/>
        </w:rPr>
        <w:t xml:space="preserve"> Luisi and Carbone (Cases 286/82 and 26/83) [1984] ECR 377. </w:t>
      </w:r>
    </w:p>
  </w:footnote>
  <w:footnote w:id="38">
    <w:p w14:paraId="26C415BD" w14:textId="77777777" w:rsidR="00E43136" w:rsidRPr="00D04912" w:rsidRDefault="00E43136" w:rsidP="006325ED">
      <w:pPr>
        <w:spacing w:after="0" w:line="240" w:lineRule="auto"/>
        <w:jc w:val="both"/>
        <w:rPr>
          <w:rFonts w:asciiTheme="minorHAnsi" w:hAnsiTheme="minorHAnsi" w:cstheme="minorHAnsi"/>
          <w:sz w:val="20"/>
          <w:szCs w:val="20"/>
        </w:rPr>
      </w:pPr>
      <w:r w:rsidRPr="00D04912">
        <w:rPr>
          <w:rStyle w:val="FootnoteReference"/>
          <w:rFonts w:asciiTheme="minorHAnsi" w:hAnsiTheme="minorHAnsi" w:cstheme="minorHAnsi"/>
          <w:sz w:val="20"/>
          <w:szCs w:val="20"/>
        </w:rPr>
        <w:footnoteRef/>
      </w:r>
      <w:r w:rsidRPr="00D04912">
        <w:rPr>
          <w:rFonts w:asciiTheme="minorHAnsi" w:hAnsiTheme="minorHAnsi" w:cstheme="minorHAnsi"/>
          <w:sz w:val="20"/>
          <w:szCs w:val="20"/>
        </w:rPr>
        <w:t xml:space="preserve"> </w:t>
      </w:r>
      <w:proofErr w:type="spellStart"/>
      <w:r w:rsidRPr="00EB20F8">
        <w:rPr>
          <w:rFonts w:asciiTheme="minorHAnsi" w:hAnsiTheme="minorHAnsi" w:cstheme="minorHAnsi"/>
          <w:sz w:val="20"/>
          <w:szCs w:val="20"/>
        </w:rPr>
        <w:t>Cuyvers</w:t>
      </w:r>
      <w:proofErr w:type="spellEnd"/>
      <w:r w:rsidRPr="00EB20F8">
        <w:rPr>
          <w:rFonts w:asciiTheme="minorHAnsi" w:hAnsiTheme="minorHAnsi" w:cstheme="minorHAnsi"/>
          <w:sz w:val="20"/>
          <w:szCs w:val="20"/>
        </w:rPr>
        <w:t xml:space="preserve">, </w:t>
      </w:r>
      <w:r>
        <w:rPr>
          <w:rFonts w:asciiTheme="minorHAnsi" w:hAnsiTheme="minorHAnsi" w:cstheme="minorHAnsi"/>
          <w:sz w:val="20"/>
          <w:szCs w:val="20"/>
        </w:rPr>
        <w:t>“</w:t>
      </w:r>
      <w:r w:rsidRPr="00EB20F8">
        <w:rPr>
          <w:rFonts w:asciiTheme="minorHAnsi" w:hAnsiTheme="minorHAnsi" w:cstheme="minorHAnsi"/>
          <w:sz w:val="20"/>
          <w:szCs w:val="20"/>
        </w:rPr>
        <w:t>Freedom of establishment and the freedom to provide services in the EU</w:t>
      </w:r>
      <w:r>
        <w:rPr>
          <w:rFonts w:asciiTheme="minorHAnsi" w:hAnsiTheme="minorHAnsi" w:cstheme="minorHAnsi"/>
          <w:sz w:val="20"/>
          <w:szCs w:val="20"/>
        </w:rPr>
        <w:t>,”</w:t>
      </w:r>
      <w:r w:rsidRPr="00EB20F8">
        <w:rPr>
          <w:rFonts w:asciiTheme="minorHAnsi" w:hAnsiTheme="minorHAnsi" w:cstheme="minorHAnsi"/>
          <w:sz w:val="20"/>
          <w:szCs w:val="20"/>
        </w:rPr>
        <w:t xml:space="preserve"> 384.</w:t>
      </w:r>
    </w:p>
  </w:footnote>
  <w:footnote w:id="39">
    <w:p w14:paraId="4B82B299" w14:textId="77777777" w:rsidR="00E43136" w:rsidRPr="00D04912" w:rsidRDefault="00E43136" w:rsidP="006325ED">
      <w:pPr>
        <w:autoSpaceDE w:val="0"/>
        <w:autoSpaceDN w:val="0"/>
        <w:adjustRightInd w:val="0"/>
        <w:spacing w:after="0" w:line="240" w:lineRule="auto"/>
        <w:jc w:val="both"/>
        <w:rPr>
          <w:rFonts w:asciiTheme="minorHAnsi" w:hAnsiTheme="minorHAnsi" w:cstheme="minorHAnsi"/>
          <w:sz w:val="20"/>
          <w:szCs w:val="20"/>
        </w:rPr>
      </w:pPr>
      <w:r w:rsidRPr="00EB20F8">
        <w:rPr>
          <w:rStyle w:val="FootnoteReference"/>
          <w:rFonts w:asciiTheme="minorHAnsi" w:hAnsiTheme="minorHAnsi" w:cstheme="minorHAnsi"/>
          <w:sz w:val="20"/>
          <w:szCs w:val="20"/>
        </w:rPr>
        <w:footnoteRef/>
      </w:r>
      <w:r w:rsidRPr="00EB20F8">
        <w:rPr>
          <w:rFonts w:asciiTheme="minorHAnsi" w:hAnsiTheme="minorHAnsi" w:cstheme="minorHAnsi"/>
          <w:sz w:val="20"/>
          <w:szCs w:val="20"/>
        </w:rPr>
        <w:t xml:space="preserve"> </w:t>
      </w:r>
      <w:r>
        <w:rPr>
          <w:rFonts w:asciiTheme="minorHAnsi" w:hAnsiTheme="minorHAnsi" w:cstheme="minorHAnsi"/>
          <w:sz w:val="20"/>
          <w:szCs w:val="20"/>
        </w:rPr>
        <w:t xml:space="preserve">J. </w:t>
      </w:r>
      <w:proofErr w:type="spellStart"/>
      <w:r w:rsidRPr="00EB20F8">
        <w:rPr>
          <w:rFonts w:asciiTheme="minorHAnsi" w:eastAsiaTheme="minorHAnsi" w:hAnsiTheme="minorHAnsi" w:cstheme="minorHAnsi"/>
          <w:sz w:val="20"/>
          <w:szCs w:val="20"/>
          <w:lang w:eastAsia="en-US"/>
        </w:rPr>
        <w:t>Lonbay</w:t>
      </w:r>
      <w:proofErr w:type="spellEnd"/>
      <w:r w:rsidRPr="00EB20F8">
        <w:rPr>
          <w:rFonts w:asciiTheme="minorHAnsi" w:eastAsiaTheme="minorHAnsi" w:hAnsiTheme="minorHAnsi" w:cstheme="minorHAnsi"/>
          <w:sz w:val="20"/>
          <w:szCs w:val="20"/>
          <w:lang w:eastAsia="en-US"/>
        </w:rPr>
        <w:t xml:space="preserve">, </w:t>
      </w:r>
      <w:r>
        <w:rPr>
          <w:rFonts w:asciiTheme="minorHAnsi" w:eastAsiaTheme="minorHAnsi" w:hAnsiTheme="minorHAnsi" w:cstheme="minorHAnsi"/>
          <w:sz w:val="20"/>
          <w:szCs w:val="20"/>
          <w:lang w:eastAsia="en-US"/>
        </w:rPr>
        <w:t>“</w:t>
      </w:r>
      <w:r w:rsidRPr="00EB20F8">
        <w:rPr>
          <w:rFonts w:asciiTheme="minorHAnsi" w:eastAsiaTheme="minorHAnsi" w:hAnsiTheme="minorHAnsi" w:cstheme="minorHAnsi"/>
          <w:sz w:val="20"/>
          <w:szCs w:val="20"/>
          <w:lang w:eastAsia="en-US"/>
        </w:rPr>
        <w:t>Assessing the European Market for Legal Services: Developments in the Free Movement of Lawyers in the European Union.</w:t>
      </w:r>
      <w:r>
        <w:rPr>
          <w:rFonts w:asciiTheme="minorHAnsi" w:eastAsiaTheme="minorHAnsi" w:hAnsiTheme="minorHAnsi" w:cstheme="minorHAnsi"/>
          <w:sz w:val="20"/>
          <w:szCs w:val="20"/>
          <w:lang w:eastAsia="en-US"/>
        </w:rPr>
        <w:t>”</w:t>
      </w:r>
      <w:r w:rsidRPr="00EB20F8">
        <w:rPr>
          <w:rFonts w:asciiTheme="minorHAnsi" w:eastAsiaTheme="minorHAnsi" w:hAnsiTheme="minorHAnsi" w:cstheme="minorHAnsi"/>
          <w:sz w:val="20"/>
          <w:szCs w:val="20"/>
          <w:lang w:eastAsia="en-US"/>
        </w:rPr>
        <w:t xml:space="preserve"> </w:t>
      </w:r>
      <w:r w:rsidRPr="00EB20F8">
        <w:rPr>
          <w:rFonts w:asciiTheme="minorHAnsi" w:eastAsiaTheme="minorHAnsi" w:hAnsiTheme="minorHAnsi" w:cstheme="minorHAnsi"/>
          <w:i/>
          <w:sz w:val="20"/>
          <w:szCs w:val="20"/>
          <w:lang w:eastAsia="en-US"/>
        </w:rPr>
        <w:t>Fordham International Law Journal</w:t>
      </w:r>
      <w:r w:rsidRPr="00EB20F8">
        <w:rPr>
          <w:rFonts w:asciiTheme="minorHAnsi" w:eastAsiaTheme="minorHAnsi" w:hAnsiTheme="minorHAnsi" w:cstheme="minorHAnsi"/>
          <w:sz w:val="20"/>
          <w:szCs w:val="20"/>
          <w:lang w:eastAsia="en-US"/>
        </w:rPr>
        <w:t>. 33, (2010)</w:t>
      </w:r>
      <w:r>
        <w:rPr>
          <w:rFonts w:asciiTheme="minorHAnsi" w:eastAsiaTheme="minorHAnsi" w:hAnsiTheme="minorHAnsi" w:cstheme="minorHAnsi"/>
          <w:sz w:val="20"/>
          <w:szCs w:val="20"/>
          <w:lang w:eastAsia="en-US"/>
        </w:rPr>
        <w:t>:</w:t>
      </w:r>
      <w:r w:rsidRPr="00EB20F8">
        <w:rPr>
          <w:rFonts w:asciiTheme="minorHAnsi" w:eastAsiaTheme="minorHAnsi" w:hAnsiTheme="minorHAnsi" w:cstheme="minorHAnsi"/>
          <w:sz w:val="20"/>
          <w:szCs w:val="20"/>
          <w:lang w:eastAsia="en-US"/>
        </w:rPr>
        <w:t xml:space="preserve"> 1640.</w:t>
      </w:r>
    </w:p>
  </w:footnote>
  <w:footnote w:id="40">
    <w:p w14:paraId="700A8799" w14:textId="77777777" w:rsidR="00E43136" w:rsidRPr="00D04912" w:rsidRDefault="00E43136" w:rsidP="006325ED">
      <w:pPr>
        <w:spacing w:after="0" w:line="240" w:lineRule="auto"/>
        <w:jc w:val="both"/>
        <w:rPr>
          <w:rFonts w:asciiTheme="minorHAnsi" w:hAnsiTheme="minorHAnsi" w:cstheme="minorHAnsi"/>
          <w:sz w:val="20"/>
          <w:szCs w:val="20"/>
        </w:rPr>
      </w:pPr>
      <w:r w:rsidRPr="00D04912">
        <w:rPr>
          <w:rStyle w:val="FootnoteReference"/>
          <w:rFonts w:asciiTheme="minorHAnsi" w:hAnsiTheme="minorHAnsi" w:cstheme="minorHAnsi"/>
          <w:sz w:val="20"/>
          <w:szCs w:val="20"/>
        </w:rPr>
        <w:footnoteRef/>
      </w:r>
      <w:r w:rsidRPr="00D04912">
        <w:rPr>
          <w:rFonts w:asciiTheme="minorHAnsi" w:hAnsiTheme="minorHAnsi" w:cstheme="minorHAnsi"/>
          <w:sz w:val="20"/>
          <w:szCs w:val="20"/>
        </w:rPr>
        <w:t xml:space="preserve"> </w:t>
      </w:r>
      <w:r>
        <w:rPr>
          <w:rFonts w:asciiTheme="minorHAnsi" w:hAnsiTheme="minorHAnsi" w:cstheme="minorHAnsi"/>
          <w:sz w:val="20"/>
          <w:szCs w:val="20"/>
        </w:rPr>
        <w:t xml:space="preserve">V. </w:t>
      </w:r>
      <w:hyperlink r:id="rId6" w:history="1">
        <w:proofErr w:type="spellStart"/>
        <w:r w:rsidRPr="00EB20F8">
          <w:rPr>
            <w:rFonts w:asciiTheme="minorHAnsi" w:eastAsia="Times New Roman" w:hAnsiTheme="minorHAnsi" w:cstheme="minorHAnsi"/>
            <w:sz w:val="20"/>
            <w:szCs w:val="20"/>
            <w:lang w:eastAsia="en-GB"/>
          </w:rPr>
          <w:t>Višinskis</w:t>
        </w:r>
        <w:proofErr w:type="spellEnd"/>
      </w:hyperlink>
      <w:r w:rsidRPr="00EB20F8">
        <w:rPr>
          <w:rFonts w:asciiTheme="minorHAnsi" w:eastAsia="Times New Roman" w:hAnsiTheme="minorHAnsi" w:cstheme="minorHAnsi"/>
          <w:sz w:val="20"/>
          <w:szCs w:val="20"/>
          <w:lang w:eastAsia="en-GB"/>
        </w:rPr>
        <w:t xml:space="preserve">, </w:t>
      </w:r>
      <w:hyperlink r:id="rId7" w:history="1">
        <w:r w:rsidRPr="00EB20F8">
          <w:rPr>
            <w:rFonts w:asciiTheme="minorHAnsi" w:eastAsia="Times New Roman" w:hAnsiTheme="minorHAnsi" w:cstheme="minorHAnsi"/>
            <w:sz w:val="20"/>
            <w:szCs w:val="20"/>
            <w:lang w:eastAsia="en-GB"/>
          </w:rPr>
          <w:t xml:space="preserve"> </w:t>
        </w:r>
        <w:proofErr w:type="spellStart"/>
        <w:r w:rsidRPr="00EB20F8">
          <w:rPr>
            <w:rFonts w:asciiTheme="minorHAnsi" w:eastAsia="Times New Roman" w:hAnsiTheme="minorHAnsi" w:cstheme="minorHAnsi"/>
            <w:sz w:val="20"/>
            <w:szCs w:val="20"/>
            <w:lang w:eastAsia="en-GB"/>
          </w:rPr>
          <w:t>Žalėnienė</w:t>
        </w:r>
        <w:proofErr w:type="spellEnd"/>
      </w:hyperlink>
      <w:r w:rsidRPr="00EB20F8">
        <w:rPr>
          <w:rFonts w:asciiTheme="minorHAnsi" w:eastAsia="Times New Roman" w:hAnsiTheme="minorHAnsi" w:cstheme="minorHAnsi"/>
          <w:sz w:val="20"/>
          <w:szCs w:val="20"/>
          <w:lang w:eastAsia="en-GB"/>
        </w:rPr>
        <w:t>, I. and</w:t>
      </w:r>
      <w:hyperlink r:id="rId8" w:history="1">
        <w:r w:rsidRPr="00EB20F8">
          <w:rPr>
            <w:rFonts w:asciiTheme="minorHAnsi" w:eastAsia="Times New Roman" w:hAnsiTheme="minorHAnsi" w:cstheme="minorHAnsi"/>
            <w:sz w:val="20"/>
            <w:szCs w:val="20"/>
            <w:lang w:eastAsia="en-GB"/>
          </w:rPr>
          <w:t xml:space="preserve"> </w:t>
        </w:r>
        <w:proofErr w:type="spellStart"/>
        <w:r w:rsidRPr="00EB20F8">
          <w:rPr>
            <w:rFonts w:asciiTheme="minorHAnsi" w:eastAsia="Times New Roman" w:hAnsiTheme="minorHAnsi" w:cstheme="minorHAnsi"/>
            <w:sz w:val="20"/>
            <w:szCs w:val="20"/>
            <w:lang w:eastAsia="en-GB"/>
          </w:rPr>
          <w:t>Tvaronavičienė</w:t>
        </w:r>
        <w:proofErr w:type="spellEnd"/>
      </w:hyperlink>
      <w:r w:rsidRPr="00EB20F8">
        <w:rPr>
          <w:rFonts w:asciiTheme="minorHAnsi" w:eastAsia="Times New Roman" w:hAnsiTheme="minorHAnsi" w:cstheme="minorHAnsi"/>
          <w:sz w:val="20"/>
          <w:szCs w:val="20"/>
          <w:lang w:eastAsia="en-GB"/>
        </w:rPr>
        <w:t>, A</w:t>
      </w:r>
      <w:r w:rsidRPr="00EB20F8">
        <w:rPr>
          <w:rFonts w:asciiTheme="minorHAnsi" w:hAnsiTheme="minorHAnsi" w:cstheme="minorHAnsi"/>
          <w:sz w:val="20"/>
          <w:szCs w:val="20"/>
        </w:rPr>
        <w:t>.</w:t>
      </w:r>
      <w:r>
        <w:rPr>
          <w:rFonts w:asciiTheme="minorHAnsi" w:hAnsiTheme="minorHAnsi" w:cstheme="minorHAnsi"/>
          <w:sz w:val="20"/>
          <w:szCs w:val="20"/>
        </w:rPr>
        <w:t>.</w:t>
      </w:r>
      <w:r w:rsidRPr="00EB20F8">
        <w:rPr>
          <w:rFonts w:asciiTheme="minorHAnsi" w:hAnsiTheme="minorHAnsi" w:cstheme="minorHAnsi"/>
          <w:sz w:val="20"/>
          <w:szCs w:val="20"/>
        </w:rPr>
        <w:t xml:space="preserve"> </w:t>
      </w:r>
      <w:r>
        <w:rPr>
          <w:rFonts w:asciiTheme="minorHAnsi" w:hAnsiTheme="minorHAnsi" w:cstheme="minorHAnsi"/>
          <w:sz w:val="20"/>
          <w:szCs w:val="20"/>
        </w:rPr>
        <w:t xml:space="preserve">“Legal environment </w:t>
      </w:r>
      <w:r w:rsidRPr="00D04912">
        <w:rPr>
          <w:rFonts w:asciiTheme="minorHAnsi" w:hAnsiTheme="minorHAnsi" w:cstheme="minorHAnsi"/>
          <w:sz w:val="20"/>
          <w:szCs w:val="20"/>
        </w:rPr>
        <w:t>within the EU: free movement of lawyers and legal services</w:t>
      </w:r>
      <w:r>
        <w:rPr>
          <w:rFonts w:asciiTheme="minorHAnsi" w:hAnsiTheme="minorHAnsi" w:cstheme="minorHAnsi"/>
          <w:sz w:val="20"/>
          <w:szCs w:val="20"/>
        </w:rPr>
        <w:t>,”</w:t>
      </w:r>
      <w:r w:rsidRPr="00D04912">
        <w:rPr>
          <w:rFonts w:asciiTheme="minorHAnsi" w:hAnsiTheme="minorHAnsi" w:cstheme="minorHAnsi"/>
          <w:sz w:val="20"/>
          <w:szCs w:val="20"/>
        </w:rPr>
        <w:t xml:space="preserve"> </w:t>
      </w:r>
      <w:r w:rsidRPr="00D04912">
        <w:rPr>
          <w:rFonts w:asciiTheme="minorHAnsi" w:hAnsiTheme="minorHAnsi" w:cstheme="minorHAnsi"/>
          <w:i/>
          <w:iCs/>
          <w:sz w:val="20"/>
          <w:szCs w:val="20"/>
        </w:rPr>
        <w:t>Business: Theory and Practice</w:t>
      </w:r>
      <w:r>
        <w:rPr>
          <w:rFonts w:asciiTheme="minorHAnsi" w:hAnsiTheme="minorHAnsi" w:cstheme="minorHAnsi"/>
          <w:i/>
          <w:iCs/>
          <w:sz w:val="20"/>
          <w:szCs w:val="20"/>
        </w:rPr>
        <w:t xml:space="preserve">. </w:t>
      </w:r>
      <w:r w:rsidRPr="00D04912">
        <w:rPr>
          <w:rFonts w:asciiTheme="minorHAnsi" w:hAnsiTheme="minorHAnsi" w:cstheme="minorHAnsi"/>
          <w:sz w:val="20"/>
          <w:szCs w:val="20"/>
        </w:rPr>
        <w:t xml:space="preserve"> 10, 1 </w:t>
      </w:r>
      <w:r w:rsidRPr="00EB20F8">
        <w:rPr>
          <w:rFonts w:asciiTheme="minorHAnsi" w:hAnsiTheme="minorHAnsi" w:cstheme="minorHAnsi"/>
          <w:sz w:val="20"/>
          <w:szCs w:val="20"/>
        </w:rPr>
        <w:t>(2009</w:t>
      </w:r>
      <w:r w:rsidRPr="00D04912">
        <w:rPr>
          <w:rFonts w:asciiTheme="minorHAnsi" w:hAnsiTheme="minorHAnsi" w:cstheme="minorHAnsi"/>
          <w:sz w:val="20"/>
          <w:szCs w:val="20"/>
        </w:rPr>
        <w:t>)</w:t>
      </w:r>
      <w:r>
        <w:rPr>
          <w:rFonts w:asciiTheme="minorHAnsi" w:hAnsiTheme="minorHAnsi" w:cstheme="minorHAnsi"/>
          <w:sz w:val="20"/>
          <w:szCs w:val="20"/>
        </w:rPr>
        <w:t>:</w:t>
      </w:r>
      <w:r w:rsidRPr="00D04912">
        <w:rPr>
          <w:rFonts w:asciiTheme="minorHAnsi" w:hAnsiTheme="minorHAnsi" w:cstheme="minorHAnsi"/>
          <w:sz w:val="20"/>
          <w:szCs w:val="20"/>
        </w:rPr>
        <w:t xml:space="preserve"> 30-37, 31. </w:t>
      </w:r>
    </w:p>
  </w:footnote>
  <w:footnote w:id="41">
    <w:p w14:paraId="5F00E7A0" w14:textId="77777777" w:rsidR="00E43136" w:rsidRPr="00D04912" w:rsidRDefault="00E43136" w:rsidP="006325ED">
      <w:pPr>
        <w:pStyle w:val="FootnoteText"/>
        <w:jc w:val="both"/>
        <w:rPr>
          <w:rFonts w:asciiTheme="minorHAnsi" w:hAnsiTheme="minorHAnsi" w:cstheme="minorHAnsi"/>
        </w:rPr>
      </w:pPr>
      <w:r w:rsidRPr="00D04912">
        <w:rPr>
          <w:rStyle w:val="FootnoteReference"/>
          <w:rFonts w:asciiTheme="minorHAnsi" w:hAnsiTheme="minorHAnsi" w:cstheme="minorHAnsi"/>
        </w:rPr>
        <w:footnoteRef/>
      </w:r>
      <w:r w:rsidRPr="00D04912">
        <w:rPr>
          <w:rFonts w:asciiTheme="minorHAnsi" w:hAnsiTheme="minorHAnsi" w:cstheme="minorHAnsi"/>
        </w:rPr>
        <w:t xml:space="preserve"> See Articles 45 and 51, TFEU.</w:t>
      </w:r>
    </w:p>
  </w:footnote>
  <w:footnote w:id="42">
    <w:p w14:paraId="40C2C675" w14:textId="77777777" w:rsidR="00E43136" w:rsidRPr="004A3E14" w:rsidRDefault="00E43136" w:rsidP="006325ED">
      <w:pPr>
        <w:pStyle w:val="FootnoteText"/>
        <w:jc w:val="both"/>
        <w:rPr>
          <w:rFonts w:asciiTheme="minorHAnsi" w:hAnsiTheme="minorHAnsi" w:cstheme="minorHAnsi"/>
          <w:i/>
          <w:iCs/>
        </w:rPr>
      </w:pPr>
      <w:r w:rsidRPr="00CC4FFB">
        <w:rPr>
          <w:rStyle w:val="FootnoteReference"/>
        </w:rPr>
        <w:footnoteRef/>
      </w:r>
      <w:r w:rsidRPr="00CC4FFB">
        <w:t xml:space="preserve"> </w:t>
      </w:r>
      <w:proofErr w:type="spellStart"/>
      <w:r w:rsidRPr="00CC4FFB">
        <w:rPr>
          <w:i/>
          <w:iCs/>
        </w:rPr>
        <w:t>Reyners</w:t>
      </w:r>
      <w:proofErr w:type="spellEnd"/>
      <w:r w:rsidRPr="00CC4FFB">
        <w:rPr>
          <w:i/>
          <w:iCs/>
        </w:rPr>
        <w:t xml:space="preserve"> v Belgium</w:t>
      </w:r>
      <w:r w:rsidRPr="00CC4FFB">
        <w:t> (Case 2/74) [1974]</w:t>
      </w:r>
      <w:r w:rsidRPr="00CC4FFB">
        <w:rPr>
          <w:rFonts w:ascii="Segoe UI" w:hAnsi="Segoe UI" w:cs="Segoe UI"/>
          <w:color w:val="444444"/>
          <w:sz w:val="21"/>
          <w:szCs w:val="21"/>
          <w:shd w:val="clear" w:color="auto" w:fill="FFFFFF"/>
        </w:rPr>
        <w:t xml:space="preserve"> </w:t>
      </w:r>
      <w:r w:rsidRPr="00CC4FFB">
        <w:rPr>
          <w:rStyle w:val="Emphasis"/>
          <w:rFonts w:asciiTheme="minorHAnsi" w:hAnsiTheme="minorHAnsi" w:cstheme="minorHAnsi"/>
          <w:i w:val="0"/>
          <w:iCs w:val="0"/>
          <w:shd w:val="clear" w:color="auto" w:fill="FFFFFF"/>
        </w:rPr>
        <w:t>ECR 631, para</w:t>
      </w:r>
      <w:r>
        <w:rPr>
          <w:rStyle w:val="Emphasis"/>
          <w:rFonts w:asciiTheme="minorHAnsi" w:hAnsiTheme="minorHAnsi" w:cstheme="minorHAnsi"/>
          <w:i w:val="0"/>
          <w:iCs w:val="0"/>
          <w:shd w:val="clear" w:color="auto" w:fill="FFFFFF"/>
        </w:rPr>
        <w:t xml:space="preserve"> 52. </w:t>
      </w:r>
    </w:p>
  </w:footnote>
  <w:footnote w:id="43">
    <w:p w14:paraId="0B444E79" w14:textId="77777777" w:rsidR="00E43136" w:rsidRPr="00EB20F8" w:rsidRDefault="00E43136" w:rsidP="006325ED">
      <w:pPr>
        <w:pStyle w:val="NormalWeb"/>
        <w:shd w:val="clear" w:color="auto" w:fill="FFFFFF"/>
        <w:spacing w:before="0" w:beforeAutospacing="0" w:after="0" w:afterAutospacing="0"/>
        <w:jc w:val="both"/>
        <w:rPr>
          <w:rFonts w:asciiTheme="minorHAnsi" w:hAnsiTheme="minorHAnsi" w:cstheme="minorHAnsi"/>
          <w:sz w:val="20"/>
          <w:szCs w:val="20"/>
        </w:rPr>
      </w:pPr>
      <w:r w:rsidRPr="00EB20F8">
        <w:rPr>
          <w:rStyle w:val="FootnoteReference"/>
          <w:rFonts w:asciiTheme="minorHAnsi" w:hAnsiTheme="minorHAnsi" w:cstheme="minorHAnsi"/>
          <w:sz w:val="20"/>
          <w:szCs w:val="20"/>
        </w:rPr>
        <w:footnoteRef/>
      </w:r>
      <w:r w:rsidRPr="00EB20F8">
        <w:rPr>
          <w:rFonts w:asciiTheme="minorHAnsi" w:hAnsiTheme="minorHAnsi" w:cstheme="minorHAnsi"/>
          <w:sz w:val="20"/>
          <w:szCs w:val="20"/>
        </w:rPr>
        <w:t xml:space="preserve"> Directive 77/249/EEC of 22 March 1977 to facilitate the effective exercise by lawyers of freedom to provide services, </w:t>
      </w:r>
      <w:r w:rsidRPr="00D04912">
        <w:rPr>
          <w:rStyle w:val="Emphasis"/>
          <w:rFonts w:asciiTheme="minorHAnsi" w:hAnsiTheme="minorHAnsi" w:cstheme="minorHAnsi"/>
          <w:i w:val="0"/>
          <w:iCs w:val="0"/>
          <w:sz w:val="20"/>
          <w:szCs w:val="20"/>
        </w:rPr>
        <w:t>OJ L 78, 26.3.1977, p. 17–18</w:t>
      </w:r>
      <w:r w:rsidRPr="00D04912">
        <w:rPr>
          <w:rFonts w:asciiTheme="minorHAnsi" w:eastAsiaTheme="minorHAnsi" w:hAnsiTheme="minorHAnsi" w:cstheme="minorHAnsi"/>
          <w:i/>
          <w:iCs/>
          <w:sz w:val="20"/>
          <w:szCs w:val="20"/>
          <w:lang w:eastAsia="en-US"/>
        </w:rPr>
        <w:t>.</w:t>
      </w:r>
    </w:p>
  </w:footnote>
  <w:footnote w:id="44">
    <w:p w14:paraId="568334DF" w14:textId="77777777" w:rsidR="00E43136" w:rsidRPr="00EB20F8" w:rsidRDefault="00E43136" w:rsidP="006325ED">
      <w:pPr>
        <w:pStyle w:val="NormalWeb"/>
        <w:shd w:val="clear" w:color="auto" w:fill="FFFFFF"/>
        <w:spacing w:before="0" w:beforeAutospacing="0" w:after="0" w:afterAutospacing="0"/>
        <w:jc w:val="both"/>
        <w:rPr>
          <w:rFonts w:asciiTheme="minorHAnsi" w:hAnsiTheme="minorHAnsi" w:cstheme="minorHAnsi"/>
          <w:sz w:val="20"/>
          <w:szCs w:val="20"/>
        </w:rPr>
      </w:pPr>
      <w:r w:rsidRPr="00EB20F8">
        <w:rPr>
          <w:rStyle w:val="FootnoteReference"/>
          <w:rFonts w:asciiTheme="minorHAnsi" w:hAnsiTheme="minorHAnsi" w:cstheme="minorHAnsi"/>
          <w:sz w:val="20"/>
          <w:szCs w:val="20"/>
        </w:rPr>
        <w:footnoteRef/>
      </w:r>
      <w:r w:rsidRPr="00EB20F8">
        <w:rPr>
          <w:rFonts w:asciiTheme="minorHAnsi" w:hAnsiTheme="minorHAnsi" w:cstheme="minorHAnsi"/>
          <w:sz w:val="20"/>
          <w:szCs w:val="20"/>
        </w:rPr>
        <w:t xml:space="preserve"> Directive 2005/36/EC on the recognition of professional qualifications </w:t>
      </w:r>
      <w:r w:rsidRPr="00D04912">
        <w:rPr>
          <w:rStyle w:val="Emphasis"/>
          <w:rFonts w:asciiTheme="minorHAnsi" w:hAnsiTheme="minorHAnsi" w:cstheme="minorHAnsi"/>
          <w:i w:val="0"/>
          <w:iCs w:val="0"/>
          <w:sz w:val="20"/>
          <w:szCs w:val="20"/>
        </w:rPr>
        <w:t>OJ L 255, 30.9.2005, p. 22–142</w:t>
      </w:r>
      <w:r w:rsidRPr="00D04912">
        <w:rPr>
          <w:rFonts w:asciiTheme="minorHAnsi" w:eastAsiaTheme="minorHAnsi" w:hAnsiTheme="minorHAnsi" w:cstheme="minorHAnsi"/>
          <w:i/>
          <w:iCs/>
          <w:sz w:val="20"/>
          <w:szCs w:val="20"/>
          <w:lang w:eastAsia="en-US"/>
        </w:rPr>
        <w:t>,</w:t>
      </w:r>
      <w:r w:rsidRPr="00EB20F8">
        <w:rPr>
          <w:rFonts w:asciiTheme="minorHAnsi" w:eastAsiaTheme="minorHAnsi" w:hAnsiTheme="minorHAnsi" w:cstheme="minorHAnsi"/>
          <w:sz w:val="20"/>
          <w:szCs w:val="20"/>
          <w:lang w:eastAsia="en-US"/>
        </w:rPr>
        <w:t xml:space="preserve"> recently amended by Directive 2013/55/EU</w:t>
      </w:r>
      <w:r w:rsidRPr="00EB20F8">
        <w:rPr>
          <w:rFonts w:asciiTheme="minorHAnsi" w:hAnsiTheme="minorHAnsi" w:cstheme="minorHAnsi"/>
          <w:sz w:val="20"/>
          <w:szCs w:val="20"/>
        </w:rPr>
        <w:t xml:space="preserve"> </w:t>
      </w:r>
      <w:r w:rsidRPr="00EB20F8">
        <w:rPr>
          <w:rFonts w:asciiTheme="minorHAnsi" w:hAnsiTheme="minorHAnsi" w:cstheme="minorHAnsi"/>
          <w:sz w:val="20"/>
          <w:szCs w:val="20"/>
          <w:shd w:val="clear" w:color="auto" w:fill="FFFFFF"/>
        </w:rPr>
        <w:t>amending Directive 2005/36/EC on the</w:t>
      </w:r>
      <w:r w:rsidRPr="00EB20F8">
        <w:rPr>
          <w:rFonts w:asciiTheme="minorHAnsi" w:hAnsiTheme="minorHAnsi" w:cstheme="minorHAnsi"/>
          <w:sz w:val="20"/>
          <w:szCs w:val="20"/>
        </w:rPr>
        <w:t xml:space="preserve"> on the recognition of professional qualifications and Regulation (EU) No 1024/2012 on administrative cooperation through the Internal Market Information System (‘the IMI Regulation’) Text with EEA relevance </w:t>
      </w:r>
      <w:r w:rsidRPr="00D04912">
        <w:rPr>
          <w:rStyle w:val="Emphasis"/>
          <w:rFonts w:asciiTheme="minorHAnsi" w:hAnsiTheme="minorHAnsi" w:cstheme="minorHAnsi"/>
          <w:i w:val="0"/>
          <w:iCs w:val="0"/>
          <w:sz w:val="20"/>
          <w:szCs w:val="20"/>
        </w:rPr>
        <w:t>OJ L 354, 28.12.2013, p. 132–170</w:t>
      </w:r>
      <w:r w:rsidRPr="00D04912">
        <w:rPr>
          <w:rFonts w:asciiTheme="minorHAnsi" w:eastAsiaTheme="minorHAnsi" w:hAnsiTheme="minorHAnsi" w:cstheme="minorHAnsi"/>
          <w:i/>
          <w:iCs/>
          <w:sz w:val="20"/>
          <w:szCs w:val="20"/>
          <w:lang w:eastAsia="en-US"/>
        </w:rPr>
        <w:t>.</w:t>
      </w:r>
      <w:r w:rsidRPr="00D04912">
        <w:rPr>
          <w:rFonts w:asciiTheme="minorHAnsi" w:hAnsiTheme="minorHAnsi" w:cstheme="minorHAnsi"/>
          <w:i/>
          <w:iCs/>
          <w:sz w:val="20"/>
          <w:szCs w:val="20"/>
        </w:rPr>
        <w:t xml:space="preserve"> </w:t>
      </w:r>
      <w:r w:rsidRPr="00EB20F8">
        <w:rPr>
          <w:rFonts w:asciiTheme="minorHAnsi" w:hAnsiTheme="minorHAnsi" w:cstheme="minorHAnsi"/>
          <w:sz w:val="20"/>
          <w:szCs w:val="20"/>
        </w:rPr>
        <w:t>Directive 2005/36/EC consolidates and replaces Directives 89/48/EEC, 92/51/EEC and 99/42/EC.</w:t>
      </w:r>
    </w:p>
  </w:footnote>
  <w:footnote w:id="45">
    <w:p w14:paraId="029042B4" w14:textId="77777777" w:rsidR="00E43136" w:rsidRPr="00EB20F8" w:rsidRDefault="00E43136" w:rsidP="006325ED">
      <w:pPr>
        <w:pStyle w:val="NormalWeb"/>
        <w:shd w:val="clear" w:color="auto" w:fill="FFFFFF"/>
        <w:spacing w:before="0" w:beforeAutospacing="0" w:after="0" w:afterAutospacing="0"/>
        <w:jc w:val="both"/>
        <w:rPr>
          <w:rFonts w:asciiTheme="minorHAnsi" w:hAnsiTheme="minorHAnsi" w:cstheme="minorHAnsi"/>
          <w:sz w:val="20"/>
          <w:szCs w:val="20"/>
        </w:rPr>
      </w:pPr>
      <w:r w:rsidRPr="00EB20F8">
        <w:rPr>
          <w:rStyle w:val="FootnoteReference"/>
          <w:rFonts w:asciiTheme="minorHAnsi" w:hAnsiTheme="minorHAnsi" w:cstheme="minorHAnsi"/>
          <w:sz w:val="20"/>
          <w:szCs w:val="20"/>
        </w:rPr>
        <w:footnoteRef/>
      </w:r>
      <w:r w:rsidRPr="00EB20F8">
        <w:rPr>
          <w:rFonts w:asciiTheme="minorHAnsi" w:hAnsiTheme="minorHAnsi" w:cstheme="minorHAnsi"/>
          <w:sz w:val="20"/>
          <w:szCs w:val="20"/>
        </w:rPr>
        <w:t xml:space="preserve"> Directive 98/5/EC to facilitate practice of the profession of lawyer on a permanent basis in a Member State other than that in which the qualification was obtained </w:t>
      </w:r>
      <w:r w:rsidRPr="00D04912">
        <w:rPr>
          <w:rStyle w:val="Emphasis"/>
          <w:rFonts w:asciiTheme="minorHAnsi" w:hAnsiTheme="minorHAnsi" w:cstheme="minorHAnsi"/>
          <w:i w:val="0"/>
          <w:iCs w:val="0"/>
          <w:sz w:val="20"/>
          <w:szCs w:val="20"/>
        </w:rPr>
        <w:t>OJ L 77, 14.3.1998, p. 36–43</w:t>
      </w:r>
      <w:r w:rsidRPr="00D04912">
        <w:rPr>
          <w:rFonts w:asciiTheme="minorHAnsi" w:eastAsiaTheme="minorHAnsi" w:hAnsiTheme="minorHAnsi" w:cstheme="minorHAnsi"/>
          <w:i/>
          <w:iCs/>
          <w:sz w:val="20"/>
          <w:szCs w:val="20"/>
          <w:lang w:eastAsia="en-US"/>
        </w:rPr>
        <w:t>.</w:t>
      </w:r>
    </w:p>
  </w:footnote>
  <w:footnote w:id="46">
    <w:p w14:paraId="735BB83F" w14:textId="77777777" w:rsidR="00E43136" w:rsidRDefault="00E43136" w:rsidP="006325ED">
      <w:pPr>
        <w:pStyle w:val="FootnoteText"/>
        <w:jc w:val="both"/>
      </w:pPr>
      <w:r>
        <w:rPr>
          <w:rStyle w:val="FootnoteReference"/>
        </w:rPr>
        <w:footnoteRef/>
      </w:r>
      <w:r>
        <w:t xml:space="preserve"> </w:t>
      </w:r>
      <w:proofErr w:type="spellStart"/>
      <w:r w:rsidRPr="00CC4FFB">
        <w:rPr>
          <w:i/>
          <w:iCs/>
        </w:rPr>
        <w:t>Reyners</w:t>
      </w:r>
      <w:proofErr w:type="spellEnd"/>
      <w:r w:rsidRPr="00CC4FFB">
        <w:rPr>
          <w:i/>
          <w:iCs/>
        </w:rPr>
        <w:t xml:space="preserve"> v Belgium</w:t>
      </w:r>
      <w:r w:rsidRPr="00CC4FFB">
        <w:t> (Case 2/74) [1974]</w:t>
      </w:r>
      <w:r w:rsidRPr="00CC4FFB">
        <w:rPr>
          <w:rFonts w:ascii="Segoe UI" w:hAnsi="Segoe UI" w:cs="Segoe UI"/>
          <w:color w:val="444444"/>
          <w:sz w:val="21"/>
          <w:szCs w:val="21"/>
          <w:shd w:val="clear" w:color="auto" w:fill="FFFFFF"/>
        </w:rPr>
        <w:t xml:space="preserve"> </w:t>
      </w:r>
      <w:r w:rsidRPr="00CC4FFB">
        <w:rPr>
          <w:rStyle w:val="Emphasis"/>
          <w:rFonts w:asciiTheme="minorHAnsi" w:hAnsiTheme="minorHAnsi" w:cstheme="minorHAnsi"/>
          <w:i w:val="0"/>
          <w:iCs w:val="0"/>
          <w:shd w:val="clear" w:color="auto" w:fill="FFFFFF"/>
        </w:rPr>
        <w:t>ECR 631.</w:t>
      </w:r>
    </w:p>
  </w:footnote>
  <w:footnote w:id="47">
    <w:p w14:paraId="20B84652" w14:textId="77777777" w:rsidR="00E43136" w:rsidRPr="00326FD9" w:rsidRDefault="00E43136" w:rsidP="006325ED">
      <w:pPr>
        <w:pStyle w:val="FootnoteText"/>
        <w:jc w:val="both"/>
        <w:rPr>
          <w:rFonts w:asciiTheme="minorHAnsi" w:hAnsiTheme="minorHAnsi" w:cstheme="minorHAnsi"/>
          <w:lang w:val="fr-FR"/>
        </w:rPr>
      </w:pPr>
      <w:r w:rsidRPr="00D04912">
        <w:rPr>
          <w:rStyle w:val="FootnoteReference"/>
          <w:rFonts w:asciiTheme="minorHAnsi" w:hAnsiTheme="minorHAnsi" w:cstheme="minorHAnsi"/>
        </w:rPr>
        <w:footnoteRef/>
      </w:r>
      <w:r w:rsidRPr="00326FD9">
        <w:rPr>
          <w:rFonts w:asciiTheme="minorHAnsi" w:hAnsiTheme="minorHAnsi" w:cstheme="minorHAnsi"/>
          <w:lang w:val="fr-FR"/>
        </w:rPr>
        <w:t xml:space="preserve"> </w:t>
      </w:r>
      <w:proofErr w:type="spellStart"/>
      <w:r w:rsidRPr="00326FD9">
        <w:rPr>
          <w:rFonts w:asciiTheme="minorHAnsi" w:hAnsiTheme="minorHAnsi" w:cstheme="minorHAnsi"/>
          <w:lang w:val="fr-FR"/>
        </w:rPr>
        <w:t>Preamble</w:t>
      </w:r>
      <w:proofErr w:type="spellEnd"/>
      <w:r w:rsidRPr="00326FD9">
        <w:rPr>
          <w:rFonts w:asciiTheme="minorHAnsi" w:hAnsiTheme="minorHAnsi" w:cstheme="minorHAnsi"/>
          <w:lang w:val="fr-FR"/>
        </w:rPr>
        <w:t>, Directive 77/249/EEC.</w:t>
      </w:r>
    </w:p>
  </w:footnote>
  <w:footnote w:id="48">
    <w:p w14:paraId="586E84E4" w14:textId="77777777" w:rsidR="00E43136" w:rsidRPr="00326FD9" w:rsidRDefault="00E43136" w:rsidP="006325ED">
      <w:pPr>
        <w:pStyle w:val="FootnoteText"/>
        <w:jc w:val="both"/>
        <w:rPr>
          <w:rFonts w:asciiTheme="minorHAnsi" w:hAnsiTheme="minorHAnsi" w:cstheme="minorHAnsi"/>
          <w:lang w:val="fr-FR"/>
        </w:rPr>
      </w:pPr>
      <w:r w:rsidRPr="00D04912">
        <w:rPr>
          <w:rStyle w:val="FootnoteReference"/>
          <w:rFonts w:asciiTheme="minorHAnsi" w:hAnsiTheme="minorHAnsi" w:cstheme="minorHAnsi"/>
        </w:rPr>
        <w:footnoteRef/>
      </w:r>
      <w:r w:rsidRPr="00326FD9">
        <w:rPr>
          <w:rFonts w:asciiTheme="minorHAnsi" w:hAnsiTheme="minorHAnsi" w:cstheme="minorHAnsi"/>
          <w:lang w:val="fr-FR"/>
        </w:rPr>
        <w:t xml:space="preserve"> Article 4(2) Directive 77/249/EEC.</w:t>
      </w:r>
    </w:p>
  </w:footnote>
  <w:footnote w:id="49">
    <w:p w14:paraId="22ECF526" w14:textId="77777777" w:rsidR="00E43136" w:rsidRPr="00D04912" w:rsidRDefault="00E43136" w:rsidP="006325ED">
      <w:pPr>
        <w:pStyle w:val="FootnoteText"/>
        <w:jc w:val="both"/>
        <w:rPr>
          <w:rFonts w:asciiTheme="minorHAnsi" w:hAnsiTheme="minorHAnsi" w:cstheme="minorHAnsi"/>
        </w:rPr>
      </w:pPr>
      <w:r w:rsidRPr="00D04912">
        <w:rPr>
          <w:rStyle w:val="FootnoteReference"/>
          <w:rFonts w:asciiTheme="minorHAnsi" w:hAnsiTheme="minorHAnsi" w:cstheme="minorHAnsi"/>
        </w:rPr>
        <w:footnoteRef/>
      </w:r>
      <w:r w:rsidRPr="00D04912">
        <w:rPr>
          <w:rFonts w:asciiTheme="minorHAnsi" w:hAnsiTheme="minorHAnsi" w:cstheme="minorHAnsi"/>
        </w:rPr>
        <w:t xml:space="preserve"> Article 5 </w:t>
      </w:r>
      <w:r w:rsidRPr="00EB20F8">
        <w:rPr>
          <w:rFonts w:asciiTheme="minorHAnsi" w:hAnsiTheme="minorHAnsi" w:cstheme="minorHAnsi"/>
        </w:rPr>
        <w:t>Directive 77/249/EEC.</w:t>
      </w:r>
    </w:p>
  </w:footnote>
  <w:footnote w:id="50">
    <w:p w14:paraId="77856FDE" w14:textId="77777777" w:rsidR="00E43136" w:rsidRPr="00D04912" w:rsidRDefault="00E43136" w:rsidP="006325ED">
      <w:pPr>
        <w:pStyle w:val="FootnoteText"/>
        <w:jc w:val="both"/>
        <w:rPr>
          <w:rFonts w:asciiTheme="minorHAnsi" w:hAnsiTheme="minorHAnsi" w:cstheme="minorHAnsi"/>
        </w:rPr>
      </w:pPr>
      <w:r w:rsidRPr="00D04912">
        <w:rPr>
          <w:rStyle w:val="FootnoteReference"/>
          <w:rFonts w:asciiTheme="minorHAnsi" w:hAnsiTheme="minorHAnsi" w:cstheme="minorHAnsi"/>
        </w:rPr>
        <w:footnoteRef/>
      </w:r>
      <w:r w:rsidRPr="00D04912">
        <w:rPr>
          <w:rFonts w:asciiTheme="minorHAnsi" w:hAnsiTheme="minorHAnsi" w:cstheme="minorHAnsi"/>
        </w:rPr>
        <w:t xml:space="preserve"> </w:t>
      </w:r>
      <w:r w:rsidRPr="00EB20F8">
        <w:rPr>
          <w:rFonts w:asciiTheme="minorHAnsi" w:hAnsiTheme="minorHAnsi" w:cstheme="minorHAnsi"/>
        </w:rPr>
        <w:t>Directive 2005/36/EC on the recognition of professional qualifications, which replaced Directive 89/48 on a General System for the Recognition of Higher Education Diplomas Awarded on Completion of Professional Education and Training of at Least Three Years’ Duration O.J 19/16</w:t>
      </w:r>
      <w:r w:rsidRPr="00446637">
        <w:rPr>
          <w:rFonts w:asciiTheme="minorHAnsi" w:hAnsiTheme="minorHAnsi" w:cstheme="minorHAnsi"/>
        </w:rPr>
        <w:t>; amended by Directive 2013/55/EU</w:t>
      </w:r>
      <w:r w:rsidRPr="00EB20F8">
        <w:rPr>
          <w:rFonts w:asciiTheme="minorHAnsi" w:hAnsiTheme="minorHAnsi" w:cstheme="minorHAnsi"/>
        </w:rPr>
        <w:t>.</w:t>
      </w:r>
    </w:p>
  </w:footnote>
  <w:footnote w:id="51">
    <w:p w14:paraId="55219946" w14:textId="77777777" w:rsidR="00E43136" w:rsidRPr="00326FD9" w:rsidRDefault="00E43136" w:rsidP="006325ED">
      <w:pPr>
        <w:pStyle w:val="FootnoteText"/>
        <w:jc w:val="both"/>
        <w:rPr>
          <w:lang w:val="fr-FR"/>
        </w:rPr>
      </w:pPr>
      <w:r w:rsidRPr="00CC4FFB">
        <w:rPr>
          <w:rStyle w:val="FootnoteReference"/>
        </w:rPr>
        <w:footnoteRef/>
      </w:r>
      <w:r w:rsidRPr="00326FD9">
        <w:rPr>
          <w:lang w:val="fr-FR"/>
        </w:rPr>
        <w:t xml:space="preserve"> Article 53 TFEU (ex Article 47 TEC).</w:t>
      </w:r>
    </w:p>
  </w:footnote>
  <w:footnote w:id="52">
    <w:p w14:paraId="0501F590" w14:textId="77777777" w:rsidR="00E43136" w:rsidRPr="00446637" w:rsidRDefault="00E43136" w:rsidP="006325ED">
      <w:pPr>
        <w:pStyle w:val="FootnoteText"/>
        <w:jc w:val="both"/>
        <w:rPr>
          <w:rFonts w:asciiTheme="minorHAnsi" w:hAnsiTheme="minorHAnsi" w:cstheme="minorHAnsi"/>
        </w:rPr>
      </w:pPr>
      <w:r w:rsidRPr="00446637">
        <w:rPr>
          <w:rStyle w:val="FootnoteReference"/>
          <w:rFonts w:asciiTheme="minorHAnsi" w:hAnsiTheme="minorHAnsi" w:cstheme="minorHAnsi"/>
        </w:rPr>
        <w:footnoteRef/>
      </w:r>
      <w:r w:rsidRPr="00446637">
        <w:rPr>
          <w:rFonts w:asciiTheme="minorHAnsi" w:hAnsiTheme="minorHAnsi" w:cstheme="minorHAnsi"/>
        </w:rPr>
        <w:t xml:space="preserve"> </w:t>
      </w:r>
      <w:r>
        <w:rPr>
          <w:rFonts w:asciiTheme="minorHAnsi" w:hAnsiTheme="minorHAnsi" w:cstheme="minorHAnsi"/>
        </w:rPr>
        <w:t xml:space="preserve">L. </w:t>
      </w:r>
      <w:proofErr w:type="spellStart"/>
      <w:r w:rsidRPr="00446637">
        <w:rPr>
          <w:rFonts w:asciiTheme="minorHAnsi" w:hAnsiTheme="minorHAnsi" w:cstheme="minorHAnsi"/>
        </w:rPr>
        <w:t>Kortese</w:t>
      </w:r>
      <w:proofErr w:type="spellEnd"/>
      <w:r w:rsidRPr="00446637">
        <w:rPr>
          <w:rFonts w:asciiTheme="minorHAnsi" w:hAnsiTheme="minorHAnsi" w:cstheme="minorHAnsi"/>
        </w:rPr>
        <w:t>,</w:t>
      </w:r>
      <w:r>
        <w:rPr>
          <w:rFonts w:asciiTheme="minorHAnsi" w:hAnsiTheme="minorHAnsi" w:cstheme="minorHAnsi"/>
        </w:rPr>
        <w:t xml:space="preserve"> “</w:t>
      </w:r>
      <w:r w:rsidRPr="00446637">
        <w:rPr>
          <w:rFonts w:asciiTheme="minorHAnsi" w:hAnsiTheme="minorHAnsi" w:cstheme="minorHAnsi"/>
        </w:rPr>
        <w:t>Exploring professional recognition in the EU: a legal perspective</w:t>
      </w:r>
      <w:r>
        <w:rPr>
          <w:rFonts w:asciiTheme="minorHAnsi" w:hAnsiTheme="minorHAnsi" w:cstheme="minorHAnsi"/>
        </w:rPr>
        <w:t>,”</w:t>
      </w:r>
      <w:r w:rsidRPr="00446637">
        <w:rPr>
          <w:rFonts w:asciiTheme="minorHAnsi" w:hAnsiTheme="minorHAnsi" w:cstheme="minorHAnsi"/>
        </w:rPr>
        <w:t xml:space="preserve"> </w:t>
      </w:r>
      <w:r w:rsidRPr="00446637">
        <w:rPr>
          <w:rFonts w:asciiTheme="minorHAnsi" w:hAnsiTheme="minorHAnsi" w:cstheme="minorHAnsi"/>
          <w:i/>
          <w:iCs/>
        </w:rPr>
        <w:t xml:space="preserve">Journal of International </w:t>
      </w:r>
      <w:proofErr w:type="gramStart"/>
      <w:r w:rsidRPr="00446637">
        <w:rPr>
          <w:rFonts w:asciiTheme="minorHAnsi" w:hAnsiTheme="minorHAnsi" w:cstheme="minorHAnsi"/>
          <w:i/>
          <w:iCs/>
        </w:rPr>
        <w:t>Mobility</w:t>
      </w:r>
      <w:r w:rsidRPr="00446637">
        <w:rPr>
          <w:rFonts w:asciiTheme="minorHAnsi" w:hAnsiTheme="minorHAnsi" w:cstheme="minorHAnsi"/>
        </w:rPr>
        <w:t>,  1</w:t>
      </w:r>
      <w:proofErr w:type="gramEnd"/>
      <w:r w:rsidRPr="00446637">
        <w:rPr>
          <w:rFonts w:asciiTheme="minorHAnsi" w:hAnsiTheme="minorHAnsi" w:cstheme="minorHAnsi"/>
        </w:rPr>
        <w:t>, 4, (2016)</w:t>
      </w:r>
      <w:r>
        <w:rPr>
          <w:rFonts w:asciiTheme="minorHAnsi" w:hAnsiTheme="minorHAnsi" w:cstheme="minorHAnsi"/>
        </w:rPr>
        <w:t>:</w:t>
      </w:r>
      <w:r w:rsidRPr="00446637">
        <w:rPr>
          <w:rFonts w:asciiTheme="minorHAnsi" w:hAnsiTheme="minorHAnsi" w:cstheme="minorHAnsi"/>
        </w:rPr>
        <w:t xml:space="preserve"> 43-58, p. 46.</w:t>
      </w:r>
    </w:p>
  </w:footnote>
  <w:footnote w:id="53">
    <w:p w14:paraId="373654B4" w14:textId="77777777" w:rsidR="00E43136" w:rsidRPr="00326FD9" w:rsidRDefault="00E43136" w:rsidP="006325ED">
      <w:pPr>
        <w:pStyle w:val="FootnoteText"/>
        <w:jc w:val="both"/>
        <w:rPr>
          <w:rFonts w:asciiTheme="minorHAnsi" w:hAnsiTheme="minorHAnsi" w:cstheme="minorHAnsi"/>
          <w:lang w:val="fr-FR"/>
        </w:rPr>
      </w:pPr>
      <w:r w:rsidRPr="00446637">
        <w:rPr>
          <w:rStyle w:val="FootnoteReference"/>
          <w:rFonts w:asciiTheme="minorHAnsi" w:hAnsiTheme="minorHAnsi" w:cstheme="minorHAnsi"/>
        </w:rPr>
        <w:footnoteRef/>
      </w:r>
      <w:r w:rsidRPr="00326FD9">
        <w:rPr>
          <w:rFonts w:asciiTheme="minorHAnsi" w:hAnsiTheme="minorHAnsi" w:cstheme="minorHAnsi"/>
          <w:lang w:val="fr-FR"/>
        </w:rPr>
        <w:t xml:space="preserve"> Art 4 (1), Directive 2005/36.</w:t>
      </w:r>
    </w:p>
  </w:footnote>
  <w:footnote w:id="54">
    <w:p w14:paraId="3A5C4A7E" w14:textId="77777777" w:rsidR="00E43136" w:rsidRPr="00326FD9" w:rsidRDefault="00E43136" w:rsidP="006325ED">
      <w:pPr>
        <w:pStyle w:val="FootnoteText"/>
        <w:jc w:val="both"/>
        <w:rPr>
          <w:rFonts w:asciiTheme="minorHAnsi" w:hAnsiTheme="minorHAnsi" w:cstheme="minorHAnsi"/>
          <w:lang w:val="fr-FR"/>
        </w:rPr>
      </w:pPr>
      <w:r w:rsidRPr="00EB20F8">
        <w:rPr>
          <w:rStyle w:val="FootnoteReference"/>
          <w:rFonts w:asciiTheme="minorHAnsi" w:hAnsiTheme="minorHAnsi" w:cstheme="minorHAnsi"/>
        </w:rPr>
        <w:footnoteRef/>
      </w:r>
      <w:r w:rsidRPr="00326FD9">
        <w:rPr>
          <w:rFonts w:asciiTheme="minorHAnsi" w:hAnsiTheme="minorHAnsi" w:cstheme="minorHAnsi"/>
          <w:lang w:val="fr-FR"/>
        </w:rPr>
        <w:t xml:space="preserve"> Para 42, Directive 2005/36.</w:t>
      </w:r>
    </w:p>
  </w:footnote>
  <w:footnote w:id="55">
    <w:p w14:paraId="01A29A18" w14:textId="77777777" w:rsidR="00E43136" w:rsidRPr="00326FD9" w:rsidRDefault="00E43136" w:rsidP="006325ED">
      <w:pPr>
        <w:pStyle w:val="FootnoteText"/>
        <w:jc w:val="both"/>
        <w:rPr>
          <w:rFonts w:asciiTheme="minorHAnsi" w:hAnsiTheme="minorHAnsi" w:cstheme="minorHAnsi"/>
          <w:lang w:val="fr-FR"/>
        </w:rPr>
      </w:pPr>
      <w:r w:rsidRPr="00446637">
        <w:rPr>
          <w:rStyle w:val="FootnoteReference"/>
          <w:rFonts w:asciiTheme="minorHAnsi" w:hAnsiTheme="minorHAnsi" w:cstheme="minorHAnsi"/>
        </w:rPr>
        <w:footnoteRef/>
      </w:r>
      <w:r w:rsidRPr="00326FD9">
        <w:rPr>
          <w:rFonts w:asciiTheme="minorHAnsi" w:hAnsiTheme="minorHAnsi" w:cstheme="minorHAnsi"/>
          <w:lang w:val="fr-FR"/>
        </w:rPr>
        <w:t xml:space="preserve"> Article 11, Directive 2005/36/EC.</w:t>
      </w:r>
    </w:p>
  </w:footnote>
  <w:footnote w:id="56">
    <w:p w14:paraId="55FE47C9" w14:textId="77777777" w:rsidR="00E43136" w:rsidRPr="00326FD9" w:rsidRDefault="00E43136" w:rsidP="006325ED">
      <w:pPr>
        <w:pStyle w:val="FootnoteText"/>
        <w:jc w:val="both"/>
        <w:rPr>
          <w:rFonts w:asciiTheme="minorHAnsi" w:hAnsiTheme="minorHAnsi" w:cstheme="minorHAnsi"/>
          <w:lang w:val="fr-FR"/>
        </w:rPr>
      </w:pPr>
      <w:r w:rsidRPr="00446637">
        <w:rPr>
          <w:rStyle w:val="FootnoteReference"/>
          <w:rFonts w:asciiTheme="minorHAnsi" w:hAnsiTheme="minorHAnsi" w:cstheme="minorHAnsi"/>
        </w:rPr>
        <w:footnoteRef/>
      </w:r>
      <w:r w:rsidRPr="00326FD9">
        <w:rPr>
          <w:rFonts w:asciiTheme="minorHAnsi" w:hAnsiTheme="minorHAnsi" w:cstheme="minorHAnsi"/>
          <w:lang w:val="fr-FR"/>
        </w:rPr>
        <w:t xml:space="preserve"> Article 14, Directive 2005/36/EC.</w:t>
      </w:r>
    </w:p>
  </w:footnote>
  <w:footnote w:id="57">
    <w:p w14:paraId="1714C549" w14:textId="77777777" w:rsidR="00E43136" w:rsidRPr="00CC4FFB" w:rsidRDefault="00E43136" w:rsidP="006325ED">
      <w:pPr>
        <w:pStyle w:val="FootnoteText"/>
        <w:jc w:val="both"/>
      </w:pPr>
      <w:r w:rsidRPr="00CC4FFB">
        <w:rPr>
          <w:rStyle w:val="FootnoteReference"/>
        </w:rPr>
        <w:footnoteRef/>
      </w:r>
      <w:r w:rsidRPr="00CC4FFB">
        <w:rPr>
          <w:rFonts w:asciiTheme="minorHAnsi" w:eastAsia="Times New Roman" w:hAnsiTheme="minorHAnsi" w:cstheme="minorHAnsi"/>
          <w:i/>
          <w:lang w:eastAsia="en-GB"/>
        </w:rPr>
        <w:t xml:space="preserve"> </w:t>
      </w:r>
      <w:proofErr w:type="spellStart"/>
      <w:r w:rsidRPr="00CC4FFB">
        <w:rPr>
          <w:rFonts w:asciiTheme="minorHAnsi" w:eastAsia="Times New Roman" w:hAnsiTheme="minorHAnsi" w:cstheme="minorHAnsi"/>
          <w:i/>
          <w:lang w:eastAsia="en-GB"/>
        </w:rPr>
        <w:t>Vlassopoulou</w:t>
      </w:r>
      <w:proofErr w:type="spellEnd"/>
      <w:r w:rsidRPr="00CC4FFB">
        <w:t xml:space="preserve"> concerned a Greek lawyer who had practised at the Athens Bar. She subsequently gained a doctorate in law in Germany, and worked at the German Bar under the supervision of German lawyers. Her application to the German Bar was turned down on the grounds that she had not followed the traditional route to the Bar of German lawyers.</w:t>
      </w:r>
    </w:p>
  </w:footnote>
  <w:footnote w:id="58">
    <w:p w14:paraId="12E1499B" w14:textId="77777777" w:rsidR="00E43136" w:rsidRPr="00CC4FFB" w:rsidRDefault="00E43136" w:rsidP="006325ED">
      <w:pPr>
        <w:pStyle w:val="FootnoteText"/>
        <w:jc w:val="both"/>
        <w:rPr>
          <w:rFonts w:asciiTheme="minorHAnsi" w:hAnsiTheme="minorHAnsi" w:cstheme="minorHAnsi"/>
        </w:rPr>
      </w:pPr>
      <w:r w:rsidRPr="00CC4FFB">
        <w:rPr>
          <w:rStyle w:val="FootnoteReference"/>
          <w:rFonts w:asciiTheme="minorHAnsi" w:hAnsiTheme="minorHAnsi" w:cstheme="minorHAnsi"/>
        </w:rPr>
        <w:footnoteRef/>
      </w:r>
      <w:r w:rsidRPr="00CC4FFB">
        <w:rPr>
          <w:rFonts w:asciiTheme="minorHAnsi" w:hAnsiTheme="minorHAnsi" w:cstheme="minorHAnsi"/>
        </w:rPr>
        <w:t xml:space="preserve"> </w:t>
      </w:r>
      <w:proofErr w:type="spellStart"/>
      <w:r w:rsidRPr="00CC4FFB">
        <w:rPr>
          <w:rFonts w:asciiTheme="minorHAnsi" w:eastAsia="Times New Roman" w:hAnsiTheme="minorHAnsi" w:cstheme="minorHAnsi"/>
          <w:i/>
          <w:lang w:eastAsia="en-GB"/>
        </w:rPr>
        <w:t>Vlassopoulou</w:t>
      </w:r>
      <w:proofErr w:type="spellEnd"/>
      <w:r w:rsidRPr="00CC4FFB">
        <w:rPr>
          <w:rFonts w:asciiTheme="minorHAnsi" w:eastAsia="Times New Roman" w:hAnsiTheme="minorHAnsi" w:cstheme="minorHAnsi"/>
          <w:i/>
          <w:lang w:eastAsia="en-GB"/>
        </w:rPr>
        <w:t xml:space="preserve"> v Ministerium </w:t>
      </w:r>
      <w:proofErr w:type="spellStart"/>
      <w:r w:rsidRPr="00CC4FFB">
        <w:rPr>
          <w:rFonts w:asciiTheme="minorHAnsi" w:eastAsia="Times New Roman" w:hAnsiTheme="minorHAnsi" w:cstheme="minorHAnsi"/>
          <w:i/>
          <w:lang w:eastAsia="en-GB"/>
        </w:rPr>
        <w:t>für</w:t>
      </w:r>
      <w:proofErr w:type="spellEnd"/>
      <w:r w:rsidRPr="00CC4FFB">
        <w:rPr>
          <w:rFonts w:asciiTheme="minorHAnsi" w:eastAsia="Times New Roman" w:hAnsiTheme="minorHAnsi" w:cstheme="minorHAnsi"/>
          <w:i/>
          <w:lang w:eastAsia="en-GB"/>
        </w:rPr>
        <w:t xml:space="preserve"> </w:t>
      </w:r>
      <w:proofErr w:type="spellStart"/>
      <w:r w:rsidRPr="00CC4FFB">
        <w:rPr>
          <w:rFonts w:asciiTheme="minorHAnsi" w:eastAsia="Times New Roman" w:hAnsiTheme="minorHAnsi" w:cstheme="minorHAnsi"/>
          <w:i/>
          <w:lang w:eastAsia="en-GB"/>
        </w:rPr>
        <w:t>Justiz</w:t>
      </w:r>
      <w:proofErr w:type="spellEnd"/>
      <w:r w:rsidRPr="00CC4FFB">
        <w:rPr>
          <w:rFonts w:asciiTheme="minorHAnsi" w:eastAsia="Times New Roman" w:hAnsiTheme="minorHAnsi" w:cstheme="minorHAnsi"/>
          <w:i/>
          <w:lang w:eastAsia="en-GB"/>
        </w:rPr>
        <w:t xml:space="preserve">, </w:t>
      </w:r>
      <w:proofErr w:type="spellStart"/>
      <w:r w:rsidRPr="00CC4FFB">
        <w:rPr>
          <w:rFonts w:asciiTheme="minorHAnsi" w:eastAsia="Times New Roman" w:hAnsiTheme="minorHAnsi" w:cstheme="minorHAnsi"/>
          <w:i/>
          <w:lang w:eastAsia="en-GB"/>
        </w:rPr>
        <w:t>Bundes</w:t>
      </w:r>
      <w:proofErr w:type="spellEnd"/>
      <w:r w:rsidRPr="00CC4FFB">
        <w:rPr>
          <w:rFonts w:asciiTheme="minorHAnsi" w:eastAsia="Times New Roman" w:hAnsiTheme="minorHAnsi" w:cstheme="minorHAnsi"/>
          <w:i/>
          <w:lang w:eastAsia="en-GB"/>
        </w:rPr>
        <w:t xml:space="preserve"> und </w:t>
      </w:r>
      <w:proofErr w:type="spellStart"/>
      <w:r w:rsidRPr="00CC4FFB">
        <w:rPr>
          <w:rFonts w:asciiTheme="minorHAnsi" w:eastAsia="Times New Roman" w:hAnsiTheme="minorHAnsi" w:cstheme="minorHAnsi"/>
          <w:i/>
          <w:lang w:eastAsia="en-GB"/>
        </w:rPr>
        <w:t>Europaangelegenheiten</w:t>
      </w:r>
      <w:proofErr w:type="spellEnd"/>
      <w:r w:rsidRPr="00CC4FFB">
        <w:rPr>
          <w:rFonts w:asciiTheme="minorHAnsi" w:eastAsia="Times New Roman" w:hAnsiTheme="minorHAnsi" w:cstheme="minorHAnsi"/>
          <w:i/>
          <w:lang w:eastAsia="en-GB"/>
        </w:rPr>
        <w:t xml:space="preserve"> Baden-Württemberg</w:t>
      </w:r>
      <w:r w:rsidRPr="00CC4FFB">
        <w:rPr>
          <w:rFonts w:asciiTheme="minorHAnsi" w:eastAsia="Times New Roman" w:hAnsiTheme="minorHAnsi" w:cstheme="minorHAnsi"/>
          <w:iCs/>
          <w:lang w:eastAsia="en-GB"/>
        </w:rPr>
        <w:t xml:space="preserve"> (Case C-340/89) [1991] ECR2357.</w:t>
      </w:r>
    </w:p>
  </w:footnote>
  <w:footnote w:id="59">
    <w:p w14:paraId="67D168BE" w14:textId="77777777" w:rsidR="00E43136" w:rsidRPr="007C7528" w:rsidRDefault="00E43136" w:rsidP="006325ED">
      <w:pPr>
        <w:spacing w:after="0" w:line="240" w:lineRule="auto"/>
        <w:jc w:val="both"/>
        <w:rPr>
          <w:lang w:val="fr-FR"/>
        </w:rPr>
      </w:pPr>
      <w:r w:rsidRPr="00CC4FFB">
        <w:rPr>
          <w:rStyle w:val="FootnoteReference"/>
        </w:rPr>
        <w:footnoteRef/>
      </w:r>
      <w:r w:rsidRPr="007C7528">
        <w:rPr>
          <w:lang w:val="fr-FR"/>
        </w:rPr>
        <w:t xml:space="preserve"> </w:t>
      </w:r>
      <w:r w:rsidRPr="007C7528">
        <w:rPr>
          <w:sz w:val="20"/>
          <w:szCs w:val="20"/>
          <w:lang w:val="fr-FR"/>
        </w:rPr>
        <w:t xml:space="preserve">Craig and de Búrca, </w:t>
      </w:r>
      <w:r w:rsidRPr="007C7528">
        <w:rPr>
          <w:i/>
          <w:sz w:val="20"/>
          <w:szCs w:val="20"/>
          <w:lang w:val="fr-FR"/>
        </w:rPr>
        <w:t>EU Law</w:t>
      </w:r>
      <w:r w:rsidRPr="007C7528">
        <w:rPr>
          <w:sz w:val="20"/>
          <w:szCs w:val="20"/>
          <w:lang w:val="fr-FR"/>
        </w:rPr>
        <w:t xml:space="preserve">, </w:t>
      </w:r>
      <w:r w:rsidRPr="007C7528">
        <w:rPr>
          <w:rFonts w:asciiTheme="minorHAnsi" w:hAnsiTheme="minorHAnsi" w:cstheme="minorHAnsi"/>
          <w:sz w:val="20"/>
          <w:szCs w:val="20"/>
          <w:lang w:val="fr-FR"/>
        </w:rPr>
        <w:t>846.</w:t>
      </w:r>
    </w:p>
  </w:footnote>
  <w:footnote w:id="60">
    <w:p w14:paraId="67AC2C05" w14:textId="77777777" w:rsidR="00E43136" w:rsidRPr="00446637" w:rsidRDefault="00E43136" w:rsidP="006325ED">
      <w:pPr>
        <w:pStyle w:val="FootnoteText"/>
        <w:jc w:val="both"/>
        <w:rPr>
          <w:rFonts w:asciiTheme="minorHAnsi" w:hAnsiTheme="minorHAnsi" w:cstheme="minorHAnsi"/>
        </w:rPr>
      </w:pPr>
      <w:r w:rsidRPr="00446637">
        <w:rPr>
          <w:rStyle w:val="FootnoteReference"/>
          <w:rFonts w:asciiTheme="minorHAnsi" w:hAnsiTheme="minorHAnsi" w:cstheme="minorHAnsi"/>
        </w:rPr>
        <w:footnoteRef/>
      </w:r>
      <w:r w:rsidRPr="00446637">
        <w:rPr>
          <w:rFonts w:asciiTheme="minorHAnsi" w:hAnsiTheme="minorHAnsi" w:cstheme="minorHAnsi"/>
        </w:rPr>
        <w:t xml:space="preserve"> It should be noted that the Establishment Directive applies to both salaried and self-employed lawyers: Article 1 (3), </w:t>
      </w:r>
      <w:r w:rsidRPr="00EB20F8">
        <w:rPr>
          <w:rFonts w:asciiTheme="minorHAnsi" w:hAnsiTheme="minorHAnsi" w:cstheme="minorHAnsi"/>
        </w:rPr>
        <w:t>Directive 98/5/EC.</w:t>
      </w:r>
    </w:p>
  </w:footnote>
  <w:footnote w:id="61">
    <w:p w14:paraId="5321A457" w14:textId="77777777" w:rsidR="00E43136" w:rsidRPr="00446637" w:rsidRDefault="00E43136" w:rsidP="006325ED">
      <w:pPr>
        <w:spacing w:after="0" w:line="240" w:lineRule="auto"/>
        <w:jc w:val="both"/>
        <w:rPr>
          <w:rFonts w:asciiTheme="minorHAnsi" w:hAnsiTheme="minorHAnsi" w:cstheme="minorHAnsi"/>
          <w:sz w:val="20"/>
          <w:szCs w:val="20"/>
        </w:rPr>
      </w:pPr>
      <w:r w:rsidRPr="00CC4FFB">
        <w:rPr>
          <w:rStyle w:val="FootnoteReference"/>
          <w:rFonts w:asciiTheme="minorHAnsi" w:hAnsiTheme="minorHAnsi" w:cstheme="minorHAnsi"/>
          <w:sz w:val="20"/>
          <w:szCs w:val="20"/>
        </w:rPr>
        <w:footnoteRef/>
      </w:r>
      <w:r w:rsidRPr="00CC4FFB">
        <w:rPr>
          <w:rFonts w:asciiTheme="minorHAnsi" w:hAnsiTheme="minorHAnsi" w:cstheme="minorHAnsi"/>
          <w:sz w:val="20"/>
          <w:szCs w:val="20"/>
        </w:rPr>
        <w:t xml:space="preserve"> As defined in</w:t>
      </w:r>
      <w:r w:rsidRPr="00CC4FFB">
        <w:rPr>
          <w:rFonts w:asciiTheme="minorHAnsi" w:eastAsiaTheme="minorHAnsi" w:hAnsiTheme="minorHAnsi" w:cstheme="minorHAnsi"/>
          <w:i/>
          <w:iCs/>
          <w:sz w:val="20"/>
          <w:szCs w:val="20"/>
          <w:lang w:eastAsia="en-US"/>
        </w:rPr>
        <w:t xml:space="preserve"> </w:t>
      </w:r>
      <w:proofErr w:type="spellStart"/>
      <w:r w:rsidRPr="00CC4FFB">
        <w:rPr>
          <w:rFonts w:asciiTheme="minorHAnsi" w:eastAsiaTheme="minorHAnsi" w:hAnsiTheme="minorHAnsi" w:cstheme="minorHAnsi"/>
          <w:i/>
          <w:iCs/>
          <w:sz w:val="20"/>
          <w:szCs w:val="20"/>
          <w:lang w:eastAsia="en-US"/>
        </w:rPr>
        <w:t>Jany</w:t>
      </w:r>
      <w:proofErr w:type="spellEnd"/>
      <w:r w:rsidRPr="00CC4FFB">
        <w:rPr>
          <w:rFonts w:asciiTheme="minorHAnsi" w:eastAsiaTheme="minorHAnsi" w:hAnsiTheme="minorHAnsi" w:cstheme="minorHAnsi"/>
          <w:sz w:val="20"/>
          <w:szCs w:val="20"/>
          <w:lang w:eastAsia="en-US"/>
        </w:rPr>
        <w:t xml:space="preserve"> (Case C-268/99) [2001] </w:t>
      </w:r>
      <w:r w:rsidRPr="00CC4FFB">
        <w:rPr>
          <w:rFonts w:asciiTheme="minorHAnsi" w:hAnsiTheme="minorHAnsi" w:cstheme="minorHAnsi"/>
          <w:sz w:val="20"/>
          <w:szCs w:val="20"/>
          <w:shd w:val="clear" w:color="auto" w:fill="FFFFFF"/>
        </w:rPr>
        <w:t>ECR I-8615</w:t>
      </w:r>
      <w:r w:rsidRPr="00CC4FFB">
        <w:rPr>
          <w:rFonts w:asciiTheme="minorHAnsi" w:eastAsiaTheme="minorHAnsi" w:hAnsiTheme="minorHAnsi" w:cstheme="minorHAnsi"/>
          <w:sz w:val="20"/>
          <w:szCs w:val="20"/>
          <w:lang w:eastAsia="en-US"/>
        </w:rPr>
        <w:t>, para 71</w:t>
      </w:r>
      <w:r w:rsidRPr="00CC4FFB">
        <w:rPr>
          <w:rFonts w:asciiTheme="minorHAnsi" w:hAnsiTheme="minorHAnsi" w:cstheme="minorHAnsi"/>
          <w:sz w:val="20"/>
          <w:szCs w:val="20"/>
        </w:rPr>
        <w:t>.</w:t>
      </w:r>
    </w:p>
  </w:footnote>
  <w:footnote w:id="62">
    <w:p w14:paraId="4CAA865B" w14:textId="77777777" w:rsidR="00E43136" w:rsidRPr="00446637" w:rsidRDefault="00E43136" w:rsidP="006325ED">
      <w:pPr>
        <w:pStyle w:val="FootnoteText"/>
        <w:jc w:val="both"/>
        <w:rPr>
          <w:rFonts w:asciiTheme="minorHAnsi" w:hAnsiTheme="minorHAnsi" w:cstheme="minorHAnsi"/>
        </w:rPr>
      </w:pPr>
      <w:r w:rsidRPr="00446637">
        <w:rPr>
          <w:rStyle w:val="FootnoteReference"/>
          <w:rFonts w:asciiTheme="minorHAnsi" w:hAnsiTheme="minorHAnsi" w:cstheme="minorHAnsi"/>
        </w:rPr>
        <w:footnoteRef/>
      </w:r>
      <w:r w:rsidRPr="00446637">
        <w:rPr>
          <w:rFonts w:asciiTheme="minorHAnsi" w:hAnsiTheme="minorHAnsi" w:cstheme="minorHAnsi"/>
        </w:rPr>
        <w:t xml:space="preserve"> Article 4, </w:t>
      </w:r>
      <w:r w:rsidRPr="00EB20F8">
        <w:rPr>
          <w:rFonts w:asciiTheme="minorHAnsi" w:hAnsiTheme="minorHAnsi" w:cstheme="minorHAnsi"/>
        </w:rPr>
        <w:t>Directive 98/5/EC.</w:t>
      </w:r>
    </w:p>
  </w:footnote>
  <w:footnote w:id="63">
    <w:p w14:paraId="44F1285A" w14:textId="77777777" w:rsidR="00E43136" w:rsidRPr="00446637" w:rsidRDefault="00E43136" w:rsidP="006325ED">
      <w:pPr>
        <w:pStyle w:val="FootnoteText"/>
        <w:jc w:val="both"/>
        <w:rPr>
          <w:rFonts w:asciiTheme="minorHAnsi" w:hAnsiTheme="minorHAnsi" w:cstheme="minorHAnsi"/>
        </w:rPr>
      </w:pPr>
      <w:r w:rsidRPr="00446637">
        <w:rPr>
          <w:rStyle w:val="FootnoteReference"/>
          <w:rFonts w:asciiTheme="minorHAnsi" w:hAnsiTheme="minorHAnsi" w:cstheme="minorHAnsi"/>
        </w:rPr>
        <w:footnoteRef/>
      </w:r>
      <w:r w:rsidRPr="00446637">
        <w:rPr>
          <w:rFonts w:asciiTheme="minorHAnsi" w:hAnsiTheme="minorHAnsi" w:cstheme="minorHAnsi"/>
        </w:rPr>
        <w:t xml:space="preserve"> </w:t>
      </w:r>
      <w:bookmarkStart w:id="2" w:name="_Hlk42782301"/>
      <w:r w:rsidRPr="00446637">
        <w:rPr>
          <w:rFonts w:asciiTheme="minorHAnsi" w:hAnsiTheme="minorHAnsi" w:cstheme="minorHAnsi"/>
        </w:rPr>
        <w:t xml:space="preserve">Articles 10 and 14, </w:t>
      </w:r>
      <w:r w:rsidRPr="00EB20F8">
        <w:rPr>
          <w:rFonts w:asciiTheme="minorHAnsi" w:hAnsiTheme="minorHAnsi" w:cstheme="minorHAnsi"/>
        </w:rPr>
        <w:t>Directive 98/5/EC.</w:t>
      </w:r>
      <w:bookmarkEnd w:id="2"/>
    </w:p>
  </w:footnote>
  <w:footnote w:id="64">
    <w:p w14:paraId="72A5CF9F" w14:textId="77777777" w:rsidR="00E43136" w:rsidRPr="00446637" w:rsidRDefault="00E43136" w:rsidP="006325ED">
      <w:pPr>
        <w:spacing w:after="0" w:line="240" w:lineRule="auto"/>
        <w:jc w:val="both"/>
        <w:rPr>
          <w:rFonts w:asciiTheme="minorHAnsi" w:hAnsiTheme="minorHAnsi" w:cstheme="minorHAnsi"/>
          <w:sz w:val="20"/>
          <w:szCs w:val="20"/>
        </w:rPr>
      </w:pPr>
      <w:r w:rsidRPr="00446637">
        <w:rPr>
          <w:rStyle w:val="FootnoteReference"/>
          <w:rFonts w:asciiTheme="minorHAnsi" w:hAnsiTheme="minorHAnsi" w:cstheme="minorHAnsi"/>
          <w:sz w:val="20"/>
          <w:szCs w:val="20"/>
        </w:rPr>
        <w:footnoteRef/>
      </w:r>
      <w:r w:rsidRPr="00446637">
        <w:rPr>
          <w:rFonts w:asciiTheme="minorHAnsi" w:hAnsiTheme="minorHAnsi" w:cstheme="minorHAnsi"/>
          <w:sz w:val="20"/>
          <w:szCs w:val="20"/>
        </w:rPr>
        <w:t xml:space="preserve"> </w:t>
      </w:r>
      <w:r w:rsidRPr="00EB20F8">
        <w:rPr>
          <w:rFonts w:asciiTheme="minorHAnsi" w:eastAsiaTheme="minorHAnsi" w:hAnsiTheme="minorHAnsi" w:cstheme="minorHAnsi"/>
          <w:sz w:val="20"/>
          <w:szCs w:val="20"/>
          <w:lang w:eastAsia="en-US"/>
        </w:rPr>
        <w:t xml:space="preserve">In </w:t>
      </w:r>
      <w:r>
        <w:rPr>
          <w:rFonts w:asciiTheme="minorHAnsi" w:eastAsiaTheme="minorHAnsi" w:hAnsiTheme="minorHAnsi" w:cstheme="minorHAnsi"/>
          <w:sz w:val="20"/>
          <w:szCs w:val="20"/>
          <w:lang w:eastAsia="en-US"/>
        </w:rPr>
        <w:t xml:space="preserve">M. </w:t>
      </w:r>
      <w:proofErr w:type="spellStart"/>
      <w:r w:rsidRPr="00EB20F8">
        <w:rPr>
          <w:rFonts w:asciiTheme="minorHAnsi" w:hAnsiTheme="minorHAnsi" w:cstheme="minorHAnsi"/>
          <w:sz w:val="20"/>
          <w:szCs w:val="20"/>
        </w:rPr>
        <w:t>Schelkens</w:t>
      </w:r>
      <w:proofErr w:type="spellEnd"/>
      <w:r w:rsidRPr="00EB20F8">
        <w:rPr>
          <w:rFonts w:asciiTheme="minorHAnsi" w:hAnsiTheme="minorHAnsi" w:cstheme="minorHAnsi"/>
          <w:sz w:val="20"/>
          <w:szCs w:val="20"/>
        </w:rPr>
        <w:t xml:space="preserve">, </w:t>
      </w:r>
      <w:r>
        <w:rPr>
          <w:rFonts w:asciiTheme="minorHAnsi" w:hAnsiTheme="minorHAnsi" w:cstheme="minorHAnsi"/>
          <w:sz w:val="20"/>
          <w:szCs w:val="20"/>
        </w:rPr>
        <w:t>“</w:t>
      </w:r>
      <w:r w:rsidRPr="00EB20F8">
        <w:rPr>
          <w:rFonts w:asciiTheme="minorHAnsi" w:hAnsiTheme="minorHAnsi" w:cstheme="minorHAnsi"/>
          <w:sz w:val="20"/>
          <w:szCs w:val="20"/>
        </w:rPr>
        <w:t>The Freedom of Establishment of Lawyers in the European Union,</w:t>
      </w:r>
      <w:r>
        <w:rPr>
          <w:rFonts w:asciiTheme="minorHAnsi" w:hAnsiTheme="minorHAnsi" w:cstheme="minorHAnsi"/>
          <w:sz w:val="20"/>
          <w:szCs w:val="20"/>
        </w:rPr>
        <w:t>”</w:t>
      </w:r>
      <w:r w:rsidRPr="00EB20F8">
        <w:rPr>
          <w:rFonts w:asciiTheme="minorHAnsi" w:hAnsiTheme="minorHAnsi" w:cstheme="minorHAnsi"/>
          <w:sz w:val="20"/>
          <w:szCs w:val="20"/>
        </w:rPr>
        <w:t xml:space="preserve"> </w:t>
      </w:r>
      <w:r w:rsidRPr="00EB20F8">
        <w:rPr>
          <w:rFonts w:asciiTheme="minorHAnsi" w:hAnsiTheme="minorHAnsi" w:cstheme="minorHAnsi"/>
          <w:i/>
          <w:sz w:val="20"/>
          <w:szCs w:val="20"/>
        </w:rPr>
        <w:t xml:space="preserve">Jura </w:t>
      </w:r>
      <w:proofErr w:type="spellStart"/>
      <w:r w:rsidRPr="00EB20F8">
        <w:rPr>
          <w:rFonts w:asciiTheme="minorHAnsi" w:hAnsiTheme="minorHAnsi" w:cstheme="minorHAnsi"/>
          <w:i/>
          <w:sz w:val="20"/>
          <w:szCs w:val="20"/>
        </w:rPr>
        <w:t>Falconis</w:t>
      </w:r>
      <w:proofErr w:type="spellEnd"/>
      <w:r>
        <w:rPr>
          <w:rFonts w:asciiTheme="minorHAnsi" w:hAnsiTheme="minorHAnsi" w:cstheme="minorHAnsi"/>
          <w:i/>
          <w:sz w:val="20"/>
          <w:szCs w:val="20"/>
        </w:rPr>
        <w:t>,</w:t>
      </w:r>
      <w:r w:rsidRPr="00EB20F8">
        <w:rPr>
          <w:rFonts w:asciiTheme="minorHAnsi" w:hAnsiTheme="minorHAnsi" w:cstheme="minorHAnsi"/>
          <w:sz w:val="20"/>
          <w:szCs w:val="20"/>
        </w:rPr>
        <w:t xml:space="preserve"> 51</w:t>
      </w:r>
      <w:r>
        <w:rPr>
          <w:rFonts w:asciiTheme="minorHAnsi" w:hAnsiTheme="minorHAnsi" w:cstheme="minorHAnsi"/>
          <w:sz w:val="20"/>
          <w:szCs w:val="20"/>
        </w:rPr>
        <w:t xml:space="preserve">, </w:t>
      </w:r>
      <w:r w:rsidRPr="00EB20F8">
        <w:rPr>
          <w:rFonts w:asciiTheme="minorHAnsi" w:hAnsiTheme="minorHAnsi" w:cstheme="minorHAnsi"/>
          <w:sz w:val="20"/>
          <w:szCs w:val="20"/>
        </w:rPr>
        <w:t>2</w:t>
      </w:r>
      <w:r>
        <w:rPr>
          <w:rFonts w:asciiTheme="minorHAnsi" w:hAnsiTheme="minorHAnsi" w:cstheme="minorHAnsi"/>
          <w:sz w:val="20"/>
          <w:szCs w:val="20"/>
        </w:rPr>
        <w:t>,</w:t>
      </w:r>
      <w:r w:rsidRPr="00EB20F8">
        <w:rPr>
          <w:rFonts w:asciiTheme="minorHAnsi" w:hAnsiTheme="minorHAnsi" w:cstheme="minorHAnsi"/>
          <w:sz w:val="20"/>
          <w:szCs w:val="20"/>
        </w:rPr>
        <w:t xml:space="preserve"> (2014-15)</w:t>
      </w:r>
      <w:r>
        <w:rPr>
          <w:rFonts w:asciiTheme="minorHAnsi" w:hAnsiTheme="minorHAnsi" w:cstheme="minorHAnsi"/>
          <w:sz w:val="20"/>
          <w:szCs w:val="20"/>
        </w:rPr>
        <w:t>: 214-241,</w:t>
      </w:r>
      <w:r w:rsidRPr="00EB20F8">
        <w:rPr>
          <w:rFonts w:asciiTheme="minorHAnsi" w:hAnsiTheme="minorHAnsi" w:cstheme="minorHAnsi"/>
          <w:sz w:val="20"/>
          <w:szCs w:val="20"/>
        </w:rPr>
        <w:t xml:space="preserve"> 235.</w:t>
      </w:r>
    </w:p>
  </w:footnote>
  <w:footnote w:id="65">
    <w:p w14:paraId="5E1AF92D" w14:textId="77777777" w:rsidR="00E43136" w:rsidRPr="00446637" w:rsidRDefault="00E43136" w:rsidP="006325ED">
      <w:pPr>
        <w:pStyle w:val="FootnoteText"/>
        <w:jc w:val="both"/>
        <w:rPr>
          <w:rFonts w:asciiTheme="minorHAnsi" w:hAnsiTheme="minorHAnsi" w:cstheme="minorHAnsi"/>
        </w:rPr>
      </w:pPr>
      <w:r w:rsidRPr="00446637">
        <w:rPr>
          <w:rStyle w:val="FootnoteReference"/>
          <w:rFonts w:asciiTheme="minorHAnsi" w:hAnsiTheme="minorHAnsi" w:cstheme="minorHAnsi"/>
        </w:rPr>
        <w:footnoteRef/>
      </w:r>
      <w:r w:rsidRPr="00446637">
        <w:rPr>
          <w:rFonts w:asciiTheme="minorHAnsi" w:hAnsiTheme="minorHAnsi" w:cstheme="minorHAnsi"/>
        </w:rPr>
        <w:t xml:space="preserve"> See Council of Bars and Law Societies of Europe Code of Conduct, para 3.1.3: ‘A lawyer shall not handle a matter which the lawyer knows or ought to know he or she is not competent to handle, without cooperating with a lawyer who is competent to handle it.’</w:t>
      </w:r>
      <w:r w:rsidRPr="00EB20F8">
        <w:rPr>
          <w:rFonts w:asciiTheme="minorHAnsi" w:hAnsiTheme="minorHAnsi" w:cstheme="minorHAnsi"/>
        </w:rPr>
        <w:t xml:space="preserve"> </w:t>
      </w:r>
      <w:proofErr w:type="gramStart"/>
      <w:r w:rsidRPr="00EB20F8">
        <w:rPr>
          <w:rFonts w:asciiTheme="minorHAnsi" w:hAnsiTheme="minorHAnsi" w:cstheme="minorHAnsi"/>
        </w:rPr>
        <w:t>CCBE</w:t>
      </w:r>
      <w:r>
        <w:rPr>
          <w:rFonts w:asciiTheme="minorHAnsi" w:hAnsiTheme="minorHAnsi" w:cstheme="minorHAnsi"/>
        </w:rPr>
        <w:t xml:space="preserve">, </w:t>
      </w:r>
      <w:r w:rsidRPr="00EB20F8">
        <w:rPr>
          <w:rFonts w:asciiTheme="minorHAnsi" w:hAnsiTheme="minorHAnsi" w:cstheme="minorHAnsi"/>
        </w:rPr>
        <w:t xml:space="preserve"> </w:t>
      </w:r>
      <w:r>
        <w:rPr>
          <w:rFonts w:asciiTheme="minorHAnsi" w:hAnsiTheme="minorHAnsi" w:cstheme="minorHAnsi"/>
        </w:rPr>
        <w:t>“</w:t>
      </w:r>
      <w:proofErr w:type="gramEnd"/>
      <w:r w:rsidRPr="00446637">
        <w:rPr>
          <w:rFonts w:asciiTheme="minorHAnsi" w:hAnsiTheme="minorHAnsi" w:cstheme="minorHAnsi"/>
        </w:rPr>
        <w:t>Charter of core principles of the European legal profession &amp; Code of conduct for European lawyers</w:t>
      </w:r>
      <w:r>
        <w:rPr>
          <w:rFonts w:asciiTheme="minorHAnsi" w:hAnsiTheme="minorHAnsi" w:cstheme="minorHAnsi"/>
        </w:rPr>
        <w:t>.”</w:t>
      </w:r>
      <w:r w:rsidRPr="00EB20F8">
        <w:rPr>
          <w:rFonts w:asciiTheme="minorHAnsi" w:hAnsiTheme="minorHAnsi" w:cstheme="minorHAnsi"/>
        </w:rPr>
        <w:t xml:space="preserve"> Available at </w:t>
      </w:r>
      <w:r w:rsidRPr="00446637">
        <w:rPr>
          <w:rFonts w:asciiTheme="minorHAnsi" w:hAnsiTheme="minorHAnsi" w:cstheme="minorHAnsi"/>
        </w:rPr>
        <w:t>https://www.ccbe.eu/fileadmin/speciality_distribution/public/documents/DEONTOLOGY/DEON_CoC/EN_DEON_CoC.pdf</w:t>
      </w:r>
      <w:r w:rsidRPr="00EB20F8">
        <w:rPr>
          <w:rFonts w:asciiTheme="minorHAnsi" w:hAnsiTheme="minorHAnsi" w:cstheme="minorHAnsi"/>
        </w:rPr>
        <w:t>&gt; Accessed 11 June 2020.</w:t>
      </w:r>
    </w:p>
  </w:footnote>
  <w:footnote w:id="66">
    <w:p w14:paraId="4BD61B46" w14:textId="77777777" w:rsidR="00E43136" w:rsidRPr="00446637" w:rsidRDefault="00E43136" w:rsidP="006325ED">
      <w:pPr>
        <w:pStyle w:val="FootnoteText"/>
        <w:jc w:val="both"/>
        <w:rPr>
          <w:rFonts w:asciiTheme="minorHAnsi" w:hAnsiTheme="minorHAnsi" w:cstheme="minorHAnsi"/>
        </w:rPr>
      </w:pPr>
      <w:r w:rsidRPr="00446637">
        <w:rPr>
          <w:rStyle w:val="FootnoteReference"/>
          <w:rFonts w:asciiTheme="minorHAnsi" w:hAnsiTheme="minorHAnsi" w:cstheme="minorHAnsi"/>
        </w:rPr>
        <w:footnoteRef/>
      </w:r>
      <w:r w:rsidRPr="00446637">
        <w:rPr>
          <w:rFonts w:asciiTheme="minorHAnsi" w:hAnsiTheme="minorHAnsi" w:cstheme="minorHAnsi"/>
        </w:rPr>
        <w:t xml:space="preserve"> </w:t>
      </w:r>
      <w:r w:rsidRPr="00EB20F8">
        <w:rPr>
          <w:rFonts w:asciiTheme="minorHAnsi" w:hAnsiTheme="minorHAnsi" w:cstheme="minorHAnsi"/>
          <w:i/>
          <w:iCs/>
        </w:rPr>
        <w:t>Luxembourg v European Parliament</w:t>
      </w:r>
      <w:r w:rsidRPr="00EB20F8">
        <w:rPr>
          <w:rFonts w:asciiTheme="minorHAnsi" w:hAnsiTheme="minorHAnsi" w:cstheme="minorHAnsi"/>
        </w:rPr>
        <w:t xml:space="preserve"> (Case C-168/98)</w:t>
      </w:r>
      <w:r w:rsidRPr="00EB20F8">
        <w:rPr>
          <w:rFonts w:asciiTheme="minorHAnsi" w:hAnsiTheme="minorHAnsi" w:cstheme="minorHAnsi"/>
          <w:shd w:val="clear" w:color="auto" w:fill="FFFFFF"/>
        </w:rPr>
        <w:t xml:space="preserve"> [2000] </w:t>
      </w:r>
      <w:r w:rsidRPr="00EB20F8">
        <w:rPr>
          <w:rStyle w:val="Emphasis"/>
          <w:rFonts w:asciiTheme="minorHAnsi" w:hAnsiTheme="minorHAnsi" w:cstheme="minorHAnsi"/>
          <w:i w:val="0"/>
          <w:iCs w:val="0"/>
          <w:shd w:val="clear" w:color="auto" w:fill="FFFFFF"/>
        </w:rPr>
        <w:t>ECR I-09131, para 43.</w:t>
      </w:r>
    </w:p>
  </w:footnote>
  <w:footnote w:id="67">
    <w:p w14:paraId="6FE123CB" w14:textId="77777777" w:rsidR="00E43136" w:rsidRPr="00077B20" w:rsidRDefault="00E43136" w:rsidP="006325ED">
      <w:pPr>
        <w:pStyle w:val="NormalWeb"/>
        <w:shd w:val="clear" w:color="auto" w:fill="FFFFFF"/>
        <w:spacing w:before="0" w:beforeAutospacing="0" w:after="0" w:afterAutospacing="0"/>
        <w:jc w:val="both"/>
        <w:rPr>
          <w:rFonts w:asciiTheme="minorHAnsi" w:hAnsiTheme="minorHAnsi" w:cstheme="minorHAnsi"/>
          <w:sz w:val="20"/>
          <w:szCs w:val="20"/>
        </w:rPr>
      </w:pPr>
      <w:r w:rsidRPr="00EB20F8">
        <w:rPr>
          <w:rStyle w:val="FootnoteReference"/>
          <w:rFonts w:asciiTheme="minorHAnsi" w:hAnsiTheme="minorHAnsi" w:cstheme="minorHAnsi"/>
          <w:sz w:val="20"/>
          <w:szCs w:val="20"/>
        </w:rPr>
        <w:footnoteRef/>
      </w:r>
      <w:r w:rsidRPr="00EB20F8">
        <w:rPr>
          <w:rFonts w:asciiTheme="minorHAnsi" w:hAnsiTheme="minorHAnsi" w:cstheme="minorHAnsi"/>
          <w:sz w:val="20"/>
          <w:szCs w:val="20"/>
        </w:rPr>
        <w:t xml:space="preserve"> </w:t>
      </w:r>
      <w:proofErr w:type="spellStart"/>
      <w:r w:rsidRPr="00EB20F8">
        <w:rPr>
          <w:rFonts w:asciiTheme="minorHAnsi" w:hAnsiTheme="minorHAnsi" w:cstheme="minorHAnsi"/>
          <w:i/>
          <w:iCs/>
          <w:sz w:val="20"/>
          <w:szCs w:val="20"/>
        </w:rPr>
        <w:t>Morgenbesser</w:t>
      </w:r>
      <w:proofErr w:type="spellEnd"/>
      <w:r w:rsidRPr="00EB20F8">
        <w:rPr>
          <w:rFonts w:asciiTheme="minorHAnsi" w:hAnsiTheme="minorHAnsi" w:cstheme="minorHAnsi"/>
          <w:i/>
          <w:iCs/>
          <w:sz w:val="20"/>
          <w:szCs w:val="20"/>
        </w:rPr>
        <w:t xml:space="preserve"> v </w:t>
      </w:r>
      <w:proofErr w:type="spellStart"/>
      <w:r w:rsidRPr="00EB20F8">
        <w:rPr>
          <w:rFonts w:asciiTheme="minorHAnsi" w:hAnsiTheme="minorHAnsi" w:cstheme="minorHAnsi"/>
          <w:i/>
          <w:iCs/>
          <w:sz w:val="20"/>
          <w:szCs w:val="20"/>
        </w:rPr>
        <w:t>Consiglio</w:t>
      </w:r>
      <w:proofErr w:type="spellEnd"/>
      <w:r w:rsidRPr="00EB20F8">
        <w:rPr>
          <w:rFonts w:asciiTheme="minorHAnsi" w:hAnsiTheme="minorHAnsi" w:cstheme="minorHAnsi"/>
          <w:i/>
          <w:iCs/>
          <w:sz w:val="20"/>
          <w:szCs w:val="20"/>
        </w:rPr>
        <w:t xml:space="preserve"> </w:t>
      </w:r>
      <w:proofErr w:type="spellStart"/>
      <w:r w:rsidRPr="00EB20F8">
        <w:rPr>
          <w:rFonts w:asciiTheme="minorHAnsi" w:hAnsiTheme="minorHAnsi" w:cstheme="minorHAnsi"/>
          <w:i/>
          <w:iCs/>
          <w:sz w:val="20"/>
          <w:szCs w:val="20"/>
        </w:rPr>
        <w:t>dell'Ordine</w:t>
      </w:r>
      <w:proofErr w:type="spellEnd"/>
      <w:r w:rsidRPr="00EB20F8">
        <w:rPr>
          <w:rFonts w:asciiTheme="minorHAnsi" w:hAnsiTheme="minorHAnsi" w:cstheme="minorHAnsi"/>
          <w:i/>
          <w:iCs/>
          <w:sz w:val="20"/>
          <w:szCs w:val="20"/>
        </w:rPr>
        <w:t xml:space="preserve"> </w:t>
      </w:r>
      <w:proofErr w:type="spellStart"/>
      <w:r w:rsidRPr="00EB20F8">
        <w:rPr>
          <w:rFonts w:asciiTheme="minorHAnsi" w:hAnsiTheme="minorHAnsi" w:cstheme="minorHAnsi"/>
          <w:i/>
          <w:iCs/>
          <w:sz w:val="20"/>
          <w:szCs w:val="20"/>
        </w:rPr>
        <w:t>degli</w:t>
      </w:r>
      <w:proofErr w:type="spellEnd"/>
      <w:r w:rsidRPr="00EB20F8">
        <w:rPr>
          <w:rFonts w:asciiTheme="minorHAnsi" w:hAnsiTheme="minorHAnsi" w:cstheme="minorHAnsi"/>
          <w:i/>
          <w:iCs/>
          <w:sz w:val="20"/>
          <w:szCs w:val="20"/>
        </w:rPr>
        <w:t xml:space="preserve"> </w:t>
      </w:r>
      <w:proofErr w:type="spellStart"/>
      <w:r w:rsidRPr="00EB20F8">
        <w:rPr>
          <w:rFonts w:asciiTheme="minorHAnsi" w:hAnsiTheme="minorHAnsi" w:cstheme="minorHAnsi"/>
          <w:i/>
          <w:iCs/>
          <w:sz w:val="20"/>
          <w:szCs w:val="20"/>
        </w:rPr>
        <w:t>avvocati</w:t>
      </w:r>
      <w:proofErr w:type="spellEnd"/>
      <w:r w:rsidRPr="00EB20F8">
        <w:rPr>
          <w:rFonts w:asciiTheme="minorHAnsi" w:hAnsiTheme="minorHAnsi" w:cstheme="minorHAnsi"/>
          <w:i/>
          <w:iCs/>
          <w:sz w:val="20"/>
          <w:szCs w:val="20"/>
        </w:rPr>
        <w:t xml:space="preserve"> di Genova</w:t>
      </w:r>
      <w:r w:rsidRPr="00EB20F8">
        <w:rPr>
          <w:rFonts w:asciiTheme="minorHAnsi" w:hAnsiTheme="minorHAnsi" w:cstheme="minorHAnsi"/>
          <w:sz w:val="20"/>
          <w:szCs w:val="20"/>
        </w:rPr>
        <w:t xml:space="preserve"> (Case C-313/01) [2003] ECR </w:t>
      </w:r>
      <w:r w:rsidRPr="00EB20F8">
        <w:rPr>
          <w:rStyle w:val="Emphasis"/>
          <w:rFonts w:asciiTheme="minorHAnsi" w:hAnsiTheme="minorHAnsi" w:cstheme="minorHAnsi"/>
          <w:i w:val="0"/>
          <w:iCs w:val="0"/>
          <w:sz w:val="20"/>
          <w:szCs w:val="20"/>
        </w:rPr>
        <w:t>I-13467</w:t>
      </w:r>
      <w:r w:rsidRPr="00EB20F8">
        <w:rPr>
          <w:rStyle w:val="Emphasis"/>
          <w:rFonts w:asciiTheme="minorHAnsi" w:hAnsiTheme="minorHAnsi" w:cstheme="minorHAnsi"/>
          <w:sz w:val="20"/>
          <w:szCs w:val="20"/>
        </w:rPr>
        <w:t>.</w:t>
      </w:r>
    </w:p>
  </w:footnote>
  <w:footnote w:id="68">
    <w:p w14:paraId="2B271B02" w14:textId="77777777" w:rsidR="00E43136" w:rsidRPr="00446637" w:rsidRDefault="00E43136">
      <w:pPr>
        <w:pStyle w:val="FootnoteText"/>
        <w:rPr>
          <w:rFonts w:asciiTheme="minorHAnsi" w:hAnsiTheme="minorHAnsi" w:cstheme="minorHAnsi"/>
        </w:rPr>
      </w:pPr>
      <w:r w:rsidRPr="00446637">
        <w:rPr>
          <w:rStyle w:val="FootnoteReference"/>
          <w:rFonts w:asciiTheme="minorHAnsi" w:hAnsiTheme="minorHAnsi" w:cstheme="minorHAnsi"/>
        </w:rPr>
        <w:footnoteRef/>
      </w:r>
      <w:r w:rsidRPr="00446637">
        <w:rPr>
          <w:rFonts w:asciiTheme="minorHAnsi" w:hAnsiTheme="minorHAnsi" w:cstheme="minorHAnsi"/>
        </w:rPr>
        <w:t xml:space="preserve"> </w:t>
      </w:r>
      <w:r>
        <w:rPr>
          <w:rFonts w:asciiTheme="minorHAnsi" w:hAnsiTheme="minorHAnsi" w:cstheme="minorHAnsi"/>
        </w:rPr>
        <w:t xml:space="preserve">J. </w:t>
      </w:r>
      <w:proofErr w:type="spellStart"/>
      <w:r w:rsidRPr="00EB20F8">
        <w:rPr>
          <w:rFonts w:asciiTheme="minorHAnsi" w:eastAsiaTheme="minorHAnsi" w:hAnsiTheme="minorHAnsi" w:cstheme="minorHAnsi"/>
          <w:lang w:eastAsia="en-US"/>
        </w:rPr>
        <w:t>Lonbay</w:t>
      </w:r>
      <w:proofErr w:type="spellEnd"/>
      <w:r w:rsidRPr="00EB20F8">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w:t>
      </w:r>
      <w:r w:rsidRPr="00EB20F8">
        <w:rPr>
          <w:rFonts w:asciiTheme="minorHAnsi" w:eastAsiaTheme="minorHAnsi" w:hAnsiTheme="minorHAnsi" w:cstheme="minorHAnsi"/>
          <w:lang w:eastAsia="en-US"/>
        </w:rPr>
        <w:t>Assessing the European Market for Legal Services: Developments in the Free Movement of Lawyers in the European Union.</w:t>
      </w:r>
      <w:r>
        <w:rPr>
          <w:rFonts w:asciiTheme="minorHAnsi" w:eastAsiaTheme="minorHAnsi" w:hAnsiTheme="minorHAnsi" w:cstheme="minorHAnsi"/>
          <w:lang w:eastAsia="en-US"/>
        </w:rPr>
        <w:t>”</w:t>
      </w:r>
      <w:r w:rsidRPr="00EB20F8">
        <w:rPr>
          <w:rFonts w:asciiTheme="minorHAnsi" w:eastAsiaTheme="minorHAnsi" w:hAnsiTheme="minorHAnsi" w:cstheme="minorHAnsi"/>
          <w:lang w:eastAsia="en-US"/>
        </w:rPr>
        <w:t xml:space="preserve"> </w:t>
      </w:r>
      <w:r w:rsidRPr="00EB20F8">
        <w:rPr>
          <w:rFonts w:asciiTheme="minorHAnsi" w:eastAsiaTheme="minorHAnsi" w:hAnsiTheme="minorHAnsi" w:cstheme="minorHAnsi"/>
          <w:i/>
          <w:lang w:eastAsia="en-US"/>
        </w:rPr>
        <w:t>Fordham International Law Journal</w:t>
      </w:r>
      <w:r>
        <w:rPr>
          <w:rFonts w:asciiTheme="minorHAnsi" w:eastAsiaTheme="minorHAnsi" w:hAnsiTheme="minorHAnsi" w:cstheme="minorHAnsi"/>
          <w:lang w:eastAsia="en-US"/>
        </w:rPr>
        <w:t xml:space="preserve">. </w:t>
      </w:r>
      <w:r w:rsidRPr="00EB20F8">
        <w:rPr>
          <w:rFonts w:asciiTheme="minorHAnsi" w:eastAsiaTheme="minorHAnsi" w:hAnsiTheme="minorHAnsi" w:cstheme="minorHAnsi"/>
          <w:lang w:eastAsia="en-US"/>
        </w:rPr>
        <w:t>33, (2010)</w:t>
      </w:r>
      <w:r>
        <w:rPr>
          <w:rFonts w:asciiTheme="minorHAnsi" w:eastAsiaTheme="minorHAnsi" w:hAnsiTheme="minorHAnsi" w:cstheme="minorHAnsi"/>
          <w:lang w:eastAsia="en-US"/>
        </w:rPr>
        <w:t>:</w:t>
      </w:r>
      <w:r w:rsidRPr="00EB20F8">
        <w:rPr>
          <w:rFonts w:asciiTheme="minorHAnsi" w:eastAsiaTheme="minorHAnsi" w:hAnsiTheme="minorHAnsi" w:cstheme="minorHAnsi"/>
          <w:lang w:eastAsia="en-US"/>
        </w:rPr>
        <w:t xml:space="preserve"> 1629-1669, 1655.</w:t>
      </w:r>
    </w:p>
  </w:footnote>
  <w:footnote w:id="69">
    <w:p w14:paraId="1643E3BC" w14:textId="77777777" w:rsidR="00E43136" w:rsidRPr="00446637" w:rsidRDefault="00E43136" w:rsidP="00653C3D">
      <w:pPr>
        <w:autoSpaceDE w:val="0"/>
        <w:autoSpaceDN w:val="0"/>
        <w:adjustRightInd w:val="0"/>
        <w:spacing w:after="0" w:line="240" w:lineRule="auto"/>
        <w:rPr>
          <w:rFonts w:asciiTheme="minorHAnsi" w:eastAsiaTheme="minorHAnsi" w:hAnsiTheme="minorHAnsi" w:cstheme="minorHAnsi"/>
          <w:sz w:val="20"/>
          <w:szCs w:val="20"/>
          <w:lang w:eastAsia="en-US"/>
        </w:rPr>
      </w:pPr>
      <w:r w:rsidRPr="00EB20F8">
        <w:rPr>
          <w:rStyle w:val="FootnoteReference"/>
          <w:rFonts w:asciiTheme="minorHAnsi" w:hAnsiTheme="minorHAnsi" w:cstheme="minorHAnsi"/>
          <w:sz w:val="20"/>
          <w:szCs w:val="20"/>
        </w:rPr>
        <w:footnoteRef/>
      </w:r>
      <w:r w:rsidRPr="00EB20F8">
        <w:rPr>
          <w:rFonts w:asciiTheme="minorHAnsi" w:hAnsiTheme="minorHAnsi" w:cstheme="minorHAnsi"/>
          <w:sz w:val="20"/>
          <w:szCs w:val="20"/>
        </w:rPr>
        <w:t xml:space="preserve"> </w:t>
      </w:r>
      <w:r>
        <w:rPr>
          <w:rFonts w:asciiTheme="minorHAnsi" w:hAnsiTheme="minorHAnsi" w:cstheme="minorHAnsi"/>
          <w:sz w:val="20"/>
          <w:szCs w:val="20"/>
        </w:rPr>
        <w:t xml:space="preserve">J. </w:t>
      </w:r>
      <w:r w:rsidRPr="00EB20F8">
        <w:rPr>
          <w:rFonts w:asciiTheme="minorHAnsi" w:hAnsiTheme="minorHAnsi" w:cstheme="minorHAnsi"/>
          <w:sz w:val="20"/>
          <w:szCs w:val="20"/>
        </w:rPr>
        <w:t xml:space="preserve">Hyde, </w:t>
      </w:r>
      <w:r>
        <w:rPr>
          <w:rFonts w:asciiTheme="minorHAnsi" w:hAnsiTheme="minorHAnsi" w:cstheme="minorHAnsi"/>
          <w:sz w:val="20"/>
          <w:szCs w:val="20"/>
        </w:rPr>
        <w:t>“</w:t>
      </w:r>
      <w:r w:rsidRPr="00EB20F8">
        <w:rPr>
          <w:rFonts w:asciiTheme="minorHAnsi" w:hAnsiTheme="minorHAnsi" w:cstheme="minorHAnsi"/>
          <w:bCs/>
          <w:sz w:val="20"/>
          <w:szCs w:val="20"/>
        </w:rPr>
        <w:t>No-deal Brexit would halt European lawyer scheme overnight, says SRA</w:t>
      </w:r>
      <w:r>
        <w:rPr>
          <w:rFonts w:asciiTheme="minorHAnsi" w:hAnsiTheme="minorHAnsi" w:cstheme="minorHAnsi"/>
          <w:bCs/>
          <w:sz w:val="20"/>
          <w:szCs w:val="20"/>
        </w:rPr>
        <w:t>,”</w:t>
      </w:r>
      <w:r w:rsidRPr="00EB20F8">
        <w:rPr>
          <w:rFonts w:asciiTheme="minorHAnsi" w:hAnsiTheme="minorHAnsi" w:cstheme="minorHAnsi"/>
          <w:i/>
          <w:sz w:val="20"/>
          <w:szCs w:val="20"/>
        </w:rPr>
        <w:t xml:space="preserve"> Law Society Gazette, </w:t>
      </w:r>
      <w:r>
        <w:rPr>
          <w:rFonts w:asciiTheme="minorHAnsi" w:hAnsiTheme="minorHAnsi" w:cstheme="minorHAnsi"/>
          <w:sz w:val="20"/>
          <w:szCs w:val="20"/>
        </w:rPr>
        <w:t xml:space="preserve">12 October </w:t>
      </w:r>
      <w:r w:rsidRPr="00EB20F8">
        <w:rPr>
          <w:rFonts w:asciiTheme="minorHAnsi" w:hAnsiTheme="minorHAnsi" w:cstheme="minorHAnsi"/>
          <w:sz w:val="20"/>
          <w:szCs w:val="20"/>
        </w:rPr>
        <w:t>2018. Available at &lt;https://www.lawgazette.co.uk/no-deal-brexit-would-halt-european-lawyer-scheme-overnight-says-sra/5067954.article&gt;. Accessed 15 July 2019. There has been a steady increase in RELs. In 2008, there were in the region of 325 RELs in the UK (CCBE</w:t>
      </w:r>
      <w:r>
        <w:rPr>
          <w:rFonts w:asciiTheme="minorHAnsi" w:hAnsiTheme="minorHAnsi" w:cstheme="minorHAnsi"/>
          <w:sz w:val="20"/>
          <w:szCs w:val="20"/>
        </w:rPr>
        <w:t>,</w:t>
      </w:r>
      <w:r w:rsidRPr="00EB20F8">
        <w:rPr>
          <w:rFonts w:asciiTheme="minorHAnsi" w:hAnsiTheme="minorHAnsi" w:cstheme="minorHAnsi"/>
          <w:sz w:val="20"/>
          <w:szCs w:val="20"/>
        </w:rPr>
        <w:t xml:space="preserve"> </w:t>
      </w:r>
      <w:r>
        <w:rPr>
          <w:rFonts w:asciiTheme="minorHAnsi" w:hAnsiTheme="minorHAnsi" w:cstheme="minorHAnsi"/>
          <w:sz w:val="20"/>
          <w:szCs w:val="20"/>
        </w:rPr>
        <w:t>“</w:t>
      </w:r>
      <w:r w:rsidRPr="00EB20F8">
        <w:rPr>
          <w:rFonts w:asciiTheme="minorHAnsi" w:hAnsiTheme="minorHAnsi" w:cstheme="minorHAnsi"/>
          <w:sz w:val="20"/>
          <w:szCs w:val="20"/>
        </w:rPr>
        <w:t>CCBE Lawyers’ Statistics 2008</w:t>
      </w:r>
      <w:r>
        <w:rPr>
          <w:rFonts w:asciiTheme="minorHAnsi" w:hAnsiTheme="minorHAnsi" w:cstheme="minorHAnsi"/>
          <w:sz w:val="20"/>
          <w:szCs w:val="20"/>
        </w:rPr>
        <w:t>”</w:t>
      </w:r>
      <w:r w:rsidRPr="00EB20F8">
        <w:rPr>
          <w:rFonts w:asciiTheme="minorHAnsi" w:hAnsiTheme="minorHAnsi" w:cstheme="minorHAnsi"/>
          <w:sz w:val="20"/>
          <w:szCs w:val="20"/>
        </w:rPr>
        <w:t xml:space="preserve">. Available at https://www.ccbe.eu/fileadmin/speciality_distribution/public/documents/Statistics/EN_STAT_2008_Number_of_lawyers_in_European_countries.pdf&gt; Accessed 17 July 2019), and this had risen to 581 RELs registered as solicitors and 12 registered as barristers in 2016 (Bar Council of England and Wales, </w:t>
      </w:r>
      <w:r>
        <w:rPr>
          <w:rFonts w:asciiTheme="minorHAnsi" w:hAnsiTheme="minorHAnsi" w:cstheme="minorHAnsi"/>
          <w:sz w:val="20"/>
          <w:szCs w:val="20"/>
        </w:rPr>
        <w:t>“</w:t>
      </w:r>
      <w:r w:rsidRPr="00EB20F8">
        <w:rPr>
          <w:rFonts w:asciiTheme="minorHAnsi" w:hAnsiTheme="minorHAnsi" w:cstheme="minorHAnsi"/>
          <w:sz w:val="20"/>
          <w:szCs w:val="20"/>
        </w:rPr>
        <w:t>Response to the question from the House of Commons Justice Select Committee: What is the value that EU lawyers bring to this country, in particular to the City of London?</w:t>
      </w:r>
      <w:r>
        <w:rPr>
          <w:rFonts w:asciiTheme="minorHAnsi" w:hAnsiTheme="minorHAnsi" w:cstheme="minorHAnsi"/>
          <w:sz w:val="20"/>
          <w:szCs w:val="20"/>
        </w:rPr>
        <w:t>”</w:t>
      </w:r>
      <w:r w:rsidRPr="00EB20F8">
        <w:rPr>
          <w:rFonts w:asciiTheme="minorHAnsi" w:hAnsiTheme="minorHAnsi" w:cstheme="minorHAnsi"/>
          <w:sz w:val="20"/>
          <w:szCs w:val="20"/>
        </w:rPr>
        <w:t xml:space="preserve"> 20 July, 2016. Available at &lt;https://www.parliament.uk/documents/commons-committees/Justice/Further-evidence-from-Bar-Council-of-England-and-Wales-on-legal-services-regulation.pdf&gt; Accessed 17 July 2019).  In 2010, it was estimated that just under 4,000 EU lawyers were registered outside their home jurisdiction (</w:t>
      </w:r>
      <w:proofErr w:type="spellStart"/>
      <w:r w:rsidRPr="00EB20F8">
        <w:rPr>
          <w:rFonts w:asciiTheme="minorHAnsi" w:eastAsiaTheme="minorHAnsi" w:hAnsiTheme="minorHAnsi" w:cstheme="minorHAnsi"/>
          <w:sz w:val="20"/>
          <w:szCs w:val="20"/>
          <w:lang w:eastAsia="en-US"/>
        </w:rPr>
        <w:t>Lonbay</w:t>
      </w:r>
      <w:proofErr w:type="spellEnd"/>
      <w:r w:rsidRPr="00EB20F8">
        <w:rPr>
          <w:rFonts w:asciiTheme="minorHAnsi" w:eastAsiaTheme="minorHAnsi" w:hAnsiTheme="minorHAnsi" w:cstheme="minorHAnsi"/>
          <w:sz w:val="20"/>
          <w:szCs w:val="20"/>
          <w:lang w:eastAsia="en-US"/>
        </w:rPr>
        <w:t xml:space="preserve">, </w:t>
      </w:r>
      <w:r>
        <w:rPr>
          <w:rFonts w:asciiTheme="minorHAnsi" w:eastAsiaTheme="minorHAnsi" w:hAnsiTheme="minorHAnsi" w:cstheme="minorHAnsi"/>
          <w:sz w:val="20"/>
          <w:szCs w:val="20"/>
          <w:lang w:eastAsia="en-US"/>
        </w:rPr>
        <w:t>“</w:t>
      </w:r>
      <w:r w:rsidRPr="00EB20F8">
        <w:rPr>
          <w:rFonts w:asciiTheme="minorHAnsi" w:eastAsiaTheme="minorHAnsi" w:hAnsiTheme="minorHAnsi" w:cstheme="minorHAnsi"/>
          <w:sz w:val="20"/>
          <w:szCs w:val="20"/>
          <w:lang w:eastAsia="en-US"/>
        </w:rPr>
        <w:t>Assessing the European Market for Legal Services: Developments in the Free Movement o</w:t>
      </w:r>
      <w:r>
        <w:rPr>
          <w:rFonts w:asciiTheme="minorHAnsi" w:eastAsiaTheme="minorHAnsi" w:hAnsiTheme="minorHAnsi" w:cstheme="minorHAnsi"/>
          <w:sz w:val="20"/>
          <w:szCs w:val="20"/>
          <w:lang w:eastAsia="en-US"/>
        </w:rPr>
        <w:t xml:space="preserve">f Lawyers in the European Union,” </w:t>
      </w:r>
      <w:r w:rsidRPr="00EB20F8">
        <w:rPr>
          <w:rFonts w:asciiTheme="minorHAnsi" w:hAnsiTheme="minorHAnsi" w:cstheme="minorHAnsi"/>
          <w:sz w:val="20"/>
          <w:szCs w:val="20"/>
        </w:rPr>
        <w:t>1642).</w:t>
      </w:r>
    </w:p>
  </w:footnote>
  <w:footnote w:id="70">
    <w:p w14:paraId="45846C21" w14:textId="77777777" w:rsidR="00E43136" w:rsidRPr="00446637" w:rsidRDefault="00E43136" w:rsidP="00FB28F6">
      <w:pPr>
        <w:pStyle w:val="FootnoteText"/>
        <w:rPr>
          <w:rFonts w:asciiTheme="minorHAnsi" w:hAnsiTheme="minorHAnsi" w:cstheme="minorHAnsi"/>
        </w:rPr>
      </w:pPr>
      <w:r w:rsidRPr="00446637">
        <w:rPr>
          <w:rStyle w:val="FootnoteReference"/>
          <w:rFonts w:asciiTheme="minorHAnsi" w:hAnsiTheme="minorHAnsi" w:cstheme="minorHAnsi"/>
        </w:rPr>
        <w:footnoteRef/>
      </w:r>
      <w:r w:rsidRPr="00446637">
        <w:rPr>
          <w:rFonts w:asciiTheme="minorHAnsi" w:hAnsiTheme="minorHAnsi" w:cstheme="minorHAnsi"/>
        </w:rPr>
        <w:t xml:space="preserve"> </w:t>
      </w:r>
      <w:r w:rsidRPr="00EB20F8">
        <w:rPr>
          <w:rFonts w:asciiTheme="minorHAnsi" w:hAnsiTheme="minorHAnsi" w:cstheme="minorHAnsi"/>
          <w:shd w:val="clear" w:color="auto" w:fill="FFFFFF"/>
        </w:rPr>
        <w:t xml:space="preserve">Regulation 2.3(a)(iv), </w:t>
      </w:r>
      <w:r w:rsidRPr="00EB20F8">
        <w:rPr>
          <w:rFonts w:asciiTheme="minorHAnsi" w:hAnsiTheme="minorHAnsi" w:cstheme="minorHAnsi"/>
        </w:rPr>
        <w:t>Solicitors’ Regulation Authority (SRA) Practising Regulations 2011; SRA 2018, p.7; Bar Standards Board 2019, Section D.</w:t>
      </w:r>
    </w:p>
  </w:footnote>
  <w:footnote w:id="71">
    <w:p w14:paraId="0434F6BF" w14:textId="77777777" w:rsidR="00E43136" w:rsidRPr="00446637" w:rsidRDefault="00E43136" w:rsidP="00AF6662">
      <w:pPr>
        <w:autoSpaceDE w:val="0"/>
        <w:autoSpaceDN w:val="0"/>
        <w:adjustRightInd w:val="0"/>
        <w:spacing w:after="0" w:line="240" w:lineRule="auto"/>
        <w:jc w:val="both"/>
        <w:rPr>
          <w:rFonts w:asciiTheme="minorHAnsi" w:hAnsiTheme="minorHAnsi" w:cstheme="minorHAnsi"/>
          <w:sz w:val="20"/>
          <w:szCs w:val="20"/>
        </w:rPr>
      </w:pPr>
      <w:r w:rsidRPr="00EB20F8">
        <w:rPr>
          <w:rStyle w:val="FootnoteReference"/>
          <w:rFonts w:asciiTheme="minorHAnsi" w:hAnsiTheme="minorHAnsi" w:cstheme="minorHAnsi"/>
          <w:sz w:val="20"/>
          <w:szCs w:val="20"/>
        </w:rPr>
        <w:footnoteRef/>
      </w:r>
      <w:r w:rsidRPr="00EB20F8">
        <w:rPr>
          <w:rFonts w:asciiTheme="minorHAnsi" w:hAnsiTheme="minorHAnsi" w:cstheme="minorHAnsi"/>
          <w:sz w:val="20"/>
          <w:szCs w:val="20"/>
        </w:rPr>
        <w:t xml:space="preserve"> SRA, SRA Renewals Registered European Lawyers (REL) Guide October 2018. Available at &lt;</w:t>
      </w:r>
      <w:hyperlink r:id="rId9" w:history="1">
        <w:r w:rsidRPr="00EB20F8">
          <w:rPr>
            <w:rStyle w:val="Hyperlink"/>
            <w:rFonts w:asciiTheme="minorHAnsi" w:hAnsiTheme="minorHAnsi" w:cstheme="minorHAnsi"/>
            <w:color w:val="auto"/>
            <w:sz w:val="20"/>
            <w:szCs w:val="20"/>
            <w:u w:val="none"/>
          </w:rPr>
          <w:t>https://www.sra.org.uk/globalassets/documents/mysra/registered-european-lawyers-guide.pdf?version=4a1abe</w:t>
        </w:r>
      </w:hyperlink>
      <w:r w:rsidRPr="00EB20F8">
        <w:rPr>
          <w:rFonts w:asciiTheme="minorHAnsi" w:hAnsiTheme="minorHAnsi" w:cstheme="minorHAnsi"/>
          <w:sz w:val="20"/>
          <w:szCs w:val="20"/>
        </w:rPr>
        <w:t>&gt; Accessed 2 November 2019, p. 3.</w:t>
      </w:r>
    </w:p>
  </w:footnote>
  <w:footnote w:id="72">
    <w:p w14:paraId="7EEABF2C" w14:textId="77777777" w:rsidR="00E43136" w:rsidRPr="00EB20F8" w:rsidRDefault="00E43136" w:rsidP="00AF6662">
      <w:pPr>
        <w:pStyle w:val="FootnoteText"/>
        <w:jc w:val="both"/>
        <w:rPr>
          <w:rFonts w:asciiTheme="minorHAnsi" w:hAnsiTheme="minorHAnsi" w:cstheme="minorHAnsi"/>
        </w:rPr>
      </w:pPr>
      <w:r w:rsidRPr="00EB20F8">
        <w:rPr>
          <w:rStyle w:val="FootnoteReference"/>
          <w:rFonts w:asciiTheme="minorHAnsi" w:hAnsiTheme="minorHAnsi" w:cstheme="minorHAnsi"/>
        </w:rPr>
        <w:footnoteRef/>
      </w:r>
      <w:r w:rsidRPr="00EB20F8">
        <w:rPr>
          <w:rFonts w:asciiTheme="minorHAnsi" w:hAnsiTheme="minorHAnsi" w:cstheme="minorHAnsi"/>
        </w:rPr>
        <w:t xml:space="preserve"> </w:t>
      </w:r>
      <w:r w:rsidRPr="00EB20F8">
        <w:rPr>
          <w:rFonts w:asciiTheme="minorHAnsi" w:eastAsiaTheme="minorHAnsi" w:hAnsiTheme="minorHAnsi" w:cstheme="minorHAnsi"/>
          <w:lang w:eastAsia="en-US"/>
        </w:rPr>
        <w:t xml:space="preserve">Ss.6-7, </w:t>
      </w:r>
      <w:r w:rsidRPr="00EB20F8">
        <w:rPr>
          <w:rStyle w:val="Strong"/>
          <w:rFonts w:asciiTheme="minorHAnsi" w:hAnsiTheme="minorHAnsi" w:cstheme="minorHAnsi"/>
          <w:b w:val="0"/>
          <w:bCs w:val="0"/>
          <w:shd w:val="clear" w:color="auto" w:fill="FFFFFF"/>
        </w:rPr>
        <w:t>The European Communities (Lawyer's Practice) Regulations 2000;</w:t>
      </w:r>
      <w:r w:rsidRPr="00EB20F8">
        <w:rPr>
          <w:rFonts w:asciiTheme="minorHAnsi" w:hAnsiTheme="minorHAnsi" w:cstheme="minorHAnsi"/>
        </w:rPr>
        <w:t xml:space="preserve"> Article 2, </w:t>
      </w:r>
      <w:r w:rsidRPr="00EB20F8">
        <w:rPr>
          <w:rFonts w:asciiTheme="minorHAnsi" w:eastAsiaTheme="minorHAnsi" w:hAnsiTheme="minorHAnsi" w:cstheme="minorHAnsi"/>
          <w:lang w:eastAsia="en-US"/>
        </w:rPr>
        <w:t>Directive 98/5/EC.</w:t>
      </w:r>
    </w:p>
  </w:footnote>
  <w:footnote w:id="73">
    <w:p w14:paraId="0EB4E742" w14:textId="77777777" w:rsidR="00E43136" w:rsidRPr="00EB20F8" w:rsidRDefault="00E43136" w:rsidP="00AF6662">
      <w:pPr>
        <w:pStyle w:val="FootnoteText"/>
        <w:jc w:val="both"/>
        <w:rPr>
          <w:rFonts w:asciiTheme="minorHAnsi" w:hAnsiTheme="minorHAnsi" w:cstheme="minorHAnsi"/>
        </w:rPr>
      </w:pPr>
      <w:r w:rsidRPr="00EB20F8">
        <w:rPr>
          <w:rStyle w:val="FootnoteReference"/>
          <w:rFonts w:asciiTheme="minorHAnsi" w:hAnsiTheme="minorHAnsi" w:cstheme="minorHAnsi"/>
        </w:rPr>
        <w:footnoteRef/>
      </w:r>
      <w:r w:rsidRPr="00EB20F8">
        <w:rPr>
          <w:rFonts w:asciiTheme="minorHAnsi" w:hAnsiTheme="minorHAnsi" w:cstheme="minorHAnsi"/>
        </w:rPr>
        <w:t xml:space="preserve"> Para (9) </w:t>
      </w:r>
      <w:r w:rsidRPr="00EB20F8">
        <w:rPr>
          <w:rFonts w:asciiTheme="minorHAnsi" w:eastAsiaTheme="minorHAnsi" w:hAnsiTheme="minorHAnsi" w:cstheme="minorHAnsi"/>
          <w:lang w:eastAsia="en-US"/>
        </w:rPr>
        <w:t>Directive 98/5/EC.</w:t>
      </w:r>
    </w:p>
  </w:footnote>
  <w:footnote w:id="74">
    <w:p w14:paraId="4D189496" w14:textId="77777777" w:rsidR="00E43136" w:rsidRPr="00446637" w:rsidRDefault="00E43136" w:rsidP="00AF6662">
      <w:pPr>
        <w:pStyle w:val="FootnoteText"/>
        <w:jc w:val="both"/>
        <w:rPr>
          <w:rFonts w:asciiTheme="minorHAnsi" w:hAnsiTheme="minorHAnsi" w:cstheme="minorHAnsi"/>
        </w:rPr>
      </w:pPr>
      <w:r w:rsidRPr="00EB20F8">
        <w:rPr>
          <w:rStyle w:val="FootnoteReference"/>
          <w:rFonts w:asciiTheme="minorHAnsi" w:hAnsiTheme="minorHAnsi" w:cstheme="minorHAnsi"/>
        </w:rPr>
        <w:footnoteRef/>
      </w:r>
      <w:r w:rsidRPr="00EB20F8">
        <w:rPr>
          <w:rFonts w:asciiTheme="minorHAnsi" w:hAnsiTheme="minorHAnsi" w:cstheme="minorHAnsi"/>
        </w:rPr>
        <w:t xml:space="preserve"> </w:t>
      </w:r>
      <w:r w:rsidRPr="00EB20F8">
        <w:rPr>
          <w:rFonts w:asciiTheme="minorHAnsi" w:eastAsiaTheme="minorHAnsi" w:hAnsiTheme="minorHAnsi" w:cstheme="minorHAnsi"/>
          <w:lang w:eastAsia="en-US"/>
        </w:rPr>
        <w:t xml:space="preserve">S. 6, </w:t>
      </w:r>
      <w:r w:rsidRPr="00EB20F8">
        <w:rPr>
          <w:rStyle w:val="Strong"/>
          <w:rFonts w:asciiTheme="minorHAnsi" w:hAnsiTheme="minorHAnsi" w:cstheme="minorHAnsi"/>
          <w:b w:val="0"/>
          <w:bCs w:val="0"/>
          <w:shd w:val="clear" w:color="auto" w:fill="FFFFFF"/>
        </w:rPr>
        <w:t>The European Communities (Lawyer's Practice) Regulations 2000;</w:t>
      </w:r>
      <w:r w:rsidRPr="00EB20F8">
        <w:rPr>
          <w:rFonts w:asciiTheme="minorHAnsi" w:hAnsiTheme="minorHAnsi" w:cstheme="minorHAnsi"/>
        </w:rPr>
        <w:t xml:space="preserve"> A</w:t>
      </w:r>
      <w:r w:rsidRPr="00EB20F8">
        <w:rPr>
          <w:rFonts w:asciiTheme="minorHAnsi" w:eastAsiaTheme="minorHAnsi" w:hAnsiTheme="minorHAnsi" w:cstheme="minorHAnsi"/>
          <w:lang w:eastAsia="en-US"/>
        </w:rPr>
        <w:t>rticle 5, Directive 98/5/EC.</w:t>
      </w:r>
    </w:p>
  </w:footnote>
  <w:footnote w:id="75">
    <w:p w14:paraId="43090E84" w14:textId="77777777" w:rsidR="00E43136" w:rsidRPr="00446637" w:rsidRDefault="00E43136" w:rsidP="00AF6662">
      <w:pPr>
        <w:autoSpaceDE w:val="0"/>
        <w:autoSpaceDN w:val="0"/>
        <w:adjustRightInd w:val="0"/>
        <w:spacing w:after="0" w:line="240" w:lineRule="auto"/>
        <w:jc w:val="both"/>
        <w:rPr>
          <w:rFonts w:asciiTheme="minorHAnsi" w:hAnsiTheme="minorHAnsi" w:cstheme="minorHAnsi"/>
          <w:sz w:val="20"/>
          <w:szCs w:val="20"/>
        </w:rPr>
      </w:pPr>
      <w:r w:rsidRPr="00EB20F8">
        <w:rPr>
          <w:rStyle w:val="FootnoteReference"/>
          <w:rFonts w:asciiTheme="minorHAnsi" w:hAnsiTheme="minorHAnsi" w:cstheme="minorHAnsi"/>
          <w:sz w:val="20"/>
          <w:szCs w:val="20"/>
        </w:rPr>
        <w:footnoteRef/>
      </w:r>
      <w:r w:rsidRPr="00EB20F8">
        <w:rPr>
          <w:rFonts w:asciiTheme="minorHAnsi" w:hAnsiTheme="minorHAnsi" w:cstheme="minorHAnsi"/>
          <w:sz w:val="20"/>
          <w:szCs w:val="20"/>
        </w:rPr>
        <w:t xml:space="preserve"> </w:t>
      </w:r>
      <w:proofErr w:type="spellStart"/>
      <w:r w:rsidRPr="00EB20F8">
        <w:rPr>
          <w:rFonts w:asciiTheme="minorHAnsi" w:eastAsiaTheme="minorHAnsi" w:hAnsiTheme="minorHAnsi" w:cstheme="minorHAnsi"/>
          <w:sz w:val="20"/>
          <w:szCs w:val="20"/>
          <w:lang w:eastAsia="en-US"/>
        </w:rPr>
        <w:t>Katsirea</w:t>
      </w:r>
      <w:proofErr w:type="spellEnd"/>
      <w:r w:rsidRPr="00EB20F8">
        <w:rPr>
          <w:rFonts w:asciiTheme="minorHAnsi" w:eastAsiaTheme="minorHAnsi" w:hAnsiTheme="minorHAnsi" w:cstheme="minorHAnsi"/>
          <w:sz w:val="20"/>
          <w:szCs w:val="20"/>
          <w:lang w:eastAsia="en-US"/>
        </w:rPr>
        <w:t xml:space="preserve">, I. and Ruff, A. ‘Free movement of law students and lawyers in the EU: a comparison of English, German and Greek legislation’ 12 (3) </w:t>
      </w:r>
      <w:r w:rsidRPr="00EB20F8">
        <w:rPr>
          <w:rFonts w:asciiTheme="minorHAnsi" w:eastAsiaTheme="minorHAnsi" w:hAnsiTheme="minorHAnsi" w:cstheme="minorHAnsi"/>
          <w:i/>
          <w:sz w:val="20"/>
          <w:szCs w:val="20"/>
          <w:lang w:eastAsia="en-US"/>
        </w:rPr>
        <w:t>International Journal of the Legal Profession</w:t>
      </w:r>
      <w:r w:rsidRPr="00EB20F8">
        <w:rPr>
          <w:rFonts w:asciiTheme="minorHAnsi" w:eastAsiaTheme="minorHAnsi" w:hAnsiTheme="minorHAnsi" w:cstheme="minorHAnsi"/>
          <w:sz w:val="20"/>
          <w:szCs w:val="20"/>
          <w:lang w:eastAsia="en-US"/>
        </w:rPr>
        <w:t xml:space="preserve"> (2005), pp. 367-406, p. 387.</w:t>
      </w:r>
    </w:p>
  </w:footnote>
  <w:footnote w:id="76">
    <w:p w14:paraId="4D7EB77E" w14:textId="77777777" w:rsidR="00E43136" w:rsidRPr="00EB20F8" w:rsidRDefault="00E43136" w:rsidP="00AF6662">
      <w:pPr>
        <w:pStyle w:val="FootnoteText"/>
        <w:jc w:val="both"/>
        <w:rPr>
          <w:rFonts w:asciiTheme="minorHAnsi" w:hAnsiTheme="minorHAnsi" w:cstheme="minorHAnsi"/>
        </w:rPr>
      </w:pPr>
      <w:r w:rsidRPr="00EB20F8">
        <w:rPr>
          <w:rStyle w:val="FootnoteReference"/>
          <w:rFonts w:asciiTheme="minorHAnsi" w:hAnsiTheme="minorHAnsi" w:cstheme="minorHAnsi"/>
        </w:rPr>
        <w:footnoteRef/>
      </w:r>
      <w:r w:rsidRPr="00EB20F8">
        <w:rPr>
          <w:rFonts w:asciiTheme="minorHAnsi" w:hAnsiTheme="minorHAnsi" w:cstheme="minorHAnsi"/>
        </w:rPr>
        <w:t xml:space="preserve"> S. 6, 11-14 </w:t>
      </w:r>
      <w:r w:rsidRPr="00EB20F8">
        <w:rPr>
          <w:rStyle w:val="Strong"/>
          <w:rFonts w:asciiTheme="minorHAnsi" w:hAnsiTheme="minorHAnsi" w:cstheme="minorHAnsi"/>
          <w:b w:val="0"/>
          <w:bCs w:val="0"/>
          <w:shd w:val="clear" w:color="auto" w:fill="FFFFFF"/>
        </w:rPr>
        <w:t>The European Communities (Lawyer's Practice) Regulations 2000</w:t>
      </w:r>
      <w:r w:rsidRPr="00EB20F8">
        <w:rPr>
          <w:rFonts w:asciiTheme="minorHAnsi" w:hAnsiTheme="minorHAnsi" w:cstheme="minorHAnsi"/>
        </w:rPr>
        <w:t xml:space="preserve">; Article 5, </w:t>
      </w:r>
      <w:r w:rsidRPr="00EB20F8">
        <w:rPr>
          <w:rFonts w:asciiTheme="minorHAnsi" w:eastAsiaTheme="minorHAnsi" w:hAnsiTheme="minorHAnsi" w:cstheme="minorHAnsi"/>
          <w:lang w:eastAsia="en-US"/>
        </w:rPr>
        <w:t>Directive 98/5/EC.</w:t>
      </w:r>
    </w:p>
  </w:footnote>
  <w:footnote w:id="77">
    <w:p w14:paraId="115238F0" w14:textId="77777777" w:rsidR="00E43136" w:rsidRPr="00EB20F8" w:rsidRDefault="00E43136" w:rsidP="00AF6662">
      <w:pPr>
        <w:pStyle w:val="FootnoteText"/>
        <w:jc w:val="both"/>
        <w:rPr>
          <w:rFonts w:asciiTheme="minorHAnsi" w:hAnsiTheme="minorHAnsi" w:cstheme="minorHAnsi"/>
        </w:rPr>
      </w:pPr>
      <w:r w:rsidRPr="00EB20F8">
        <w:rPr>
          <w:rStyle w:val="FootnoteReference"/>
          <w:rFonts w:asciiTheme="minorHAnsi" w:hAnsiTheme="minorHAnsi" w:cstheme="minorHAnsi"/>
        </w:rPr>
        <w:footnoteRef/>
      </w:r>
      <w:r w:rsidRPr="00EB20F8">
        <w:rPr>
          <w:rFonts w:asciiTheme="minorHAnsi" w:hAnsiTheme="minorHAnsi" w:cstheme="minorHAnsi"/>
        </w:rPr>
        <w:t xml:space="preserve"> </w:t>
      </w:r>
      <w:r w:rsidRPr="00EB20F8">
        <w:rPr>
          <w:rFonts w:asciiTheme="minorHAnsi" w:eastAsiaTheme="minorHAnsi" w:hAnsiTheme="minorHAnsi" w:cstheme="minorHAnsi"/>
          <w:lang w:eastAsia="en-US"/>
        </w:rPr>
        <w:t>S. 16(2),</w:t>
      </w:r>
      <w:r w:rsidRPr="00EB20F8">
        <w:rPr>
          <w:rStyle w:val="Strong"/>
          <w:rFonts w:asciiTheme="minorHAnsi" w:hAnsiTheme="minorHAnsi" w:cstheme="minorHAnsi"/>
          <w:b w:val="0"/>
          <w:bCs w:val="0"/>
          <w:shd w:val="clear" w:color="auto" w:fill="FFFFFF"/>
        </w:rPr>
        <w:t xml:space="preserve"> The European Communities (Lawyer's Practice) Regulations 2000;</w:t>
      </w:r>
      <w:r w:rsidRPr="00EB20F8">
        <w:rPr>
          <w:rFonts w:asciiTheme="minorHAnsi" w:hAnsiTheme="minorHAnsi" w:cstheme="minorHAnsi"/>
        </w:rPr>
        <w:t xml:space="preserve"> Article 3(2) and para (12), </w:t>
      </w:r>
      <w:r w:rsidRPr="00EB20F8">
        <w:rPr>
          <w:rFonts w:asciiTheme="minorHAnsi" w:eastAsiaTheme="minorHAnsi" w:hAnsiTheme="minorHAnsi" w:cstheme="minorHAnsi"/>
          <w:lang w:eastAsia="en-US"/>
        </w:rPr>
        <w:t>Directive 98/5/EC.</w:t>
      </w:r>
    </w:p>
  </w:footnote>
  <w:footnote w:id="78">
    <w:p w14:paraId="1A5F12B3" w14:textId="77777777" w:rsidR="00E43136" w:rsidRPr="00EB20F8" w:rsidRDefault="00E43136" w:rsidP="00AF6662">
      <w:pPr>
        <w:pStyle w:val="FootnoteText"/>
        <w:jc w:val="both"/>
        <w:rPr>
          <w:rFonts w:asciiTheme="minorHAnsi" w:hAnsiTheme="minorHAnsi" w:cstheme="minorHAnsi"/>
        </w:rPr>
      </w:pPr>
      <w:r w:rsidRPr="00EB20F8">
        <w:rPr>
          <w:rStyle w:val="FootnoteReference"/>
          <w:rFonts w:asciiTheme="minorHAnsi" w:hAnsiTheme="minorHAnsi" w:cstheme="minorHAnsi"/>
        </w:rPr>
        <w:footnoteRef/>
      </w:r>
      <w:r w:rsidRPr="00EB20F8">
        <w:rPr>
          <w:rFonts w:asciiTheme="minorHAnsi" w:hAnsiTheme="minorHAnsi" w:cstheme="minorHAnsi"/>
        </w:rPr>
        <w:t xml:space="preserve"> </w:t>
      </w:r>
      <w:r w:rsidRPr="00EB20F8">
        <w:rPr>
          <w:rStyle w:val="apple-converted-space"/>
          <w:rFonts w:asciiTheme="minorHAnsi" w:hAnsiTheme="minorHAnsi" w:cstheme="minorHAnsi"/>
          <w:shd w:val="clear" w:color="auto" w:fill="FFFFFF"/>
        </w:rPr>
        <w:t xml:space="preserve">S. 4 and Appendix 2, </w:t>
      </w:r>
      <w:r w:rsidRPr="00EB20F8">
        <w:rPr>
          <w:rStyle w:val="Strong"/>
          <w:rFonts w:asciiTheme="minorHAnsi" w:hAnsiTheme="minorHAnsi" w:cstheme="minorHAnsi"/>
          <w:b w:val="0"/>
          <w:bCs w:val="0"/>
          <w:shd w:val="clear" w:color="auto" w:fill="FFFFFF"/>
        </w:rPr>
        <w:t>The European Communities (Lawyer's Practice) Regulations 2000.</w:t>
      </w:r>
    </w:p>
  </w:footnote>
  <w:footnote w:id="79">
    <w:p w14:paraId="4C5D29C1" w14:textId="77777777" w:rsidR="00E43136" w:rsidRPr="00EB20F8" w:rsidRDefault="00E43136" w:rsidP="00AF6662">
      <w:pPr>
        <w:pStyle w:val="FootnoteText"/>
        <w:jc w:val="both"/>
        <w:rPr>
          <w:rFonts w:asciiTheme="minorHAnsi" w:hAnsiTheme="minorHAnsi" w:cstheme="minorHAnsi"/>
        </w:rPr>
      </w:pPr>
      <w:r w:rsidRPr="00EB20F8">
        <w:rPr>
          <w:rStyle w:val="FootnoteReference"/>
          <w:rFonts w:asciiTheme="minorHAnsi" w:hAnsiTheme="minorHAnsi" w:cstheme="minorHAnsi"/>
        </w:rPr>
        <w:footnoteRef/>
      </w:r>
      <w:r w:rsidRPr="00EB20F8">
        <w:rPr>
          <w:rFonts w:asciiTheme="minorHAnsi" w:hAnsiTheme="minorHAnsi" w:cstheme="minorHAnsi"/>
        </w:rPr>
        <w:t xml:space="preserve"> </w:t>
      </w:r>
      <w:r w:rsidRPr="00EB20F8">
        <w:rPr>
          <w:rStyle w:val="Strong"/>
          <w:rFonts w:asciiTheme="minorHAnsi" w:hAnsiTheme="minorHAnsi" w:cstheme="minorHAnsi"/>
          <w:b w:val="0"/>
          <w:bCs w:val="0"/>
          <w:shd w:val="clear" w:color="auto" w:fill="FFFFFF"/>
        </w:rPr>
        <w:t>S. 25, The European Communities (Lawyer's Practice) Regulations 2000.</w:t>
      </w:r>
      <w:r w:rsidRPr="00EB20F8">
        <w:rPr>
          <w:rFonts w:asciiTheme="minorHAnsi" w:hAnsiTheme="minorHAnsi" w:cstheme="minorHAnsi"/>
        </w:rPr>
        <w:t xml:space="preserve"> A</w:t>
      </w:r>
      <w:r w:rsidRPr="00EB20F8">
        <w:rPr>
          <w:rStyle w:val="Strong"/>
          <w:rFonts w:asciiTheme="minorHAnsi" w:hAnsiTheme="minorHAnsi" w:cstheme="minorHAnsi"/>
          <w:b w:val="0"/>
          <w:bCs w:val="0"/>
          <w:shd w:val="clear" w:color="auto" w:fill="FFFFFF"/>
        </w:rPr>
        <w:t xml:space="preserve">rticle 6, </w:t>
      </w:r>
      <w:r w:rsidRPr="00EB20F8">
        <w:rPr>
          <w:rFonts w:asciiTheme="minorHAnsi" w:eastAsiaTheme="minorHAnsi" w:hAnsiTheme="minorHAnsi" w:cstheme="minorHAnsi"/>
          <w:lang w:eastAsia="en-US"/>
        </w:rPr>
        <w:t>Directive 98/5/EC.</w:t>
      </w:r>
    </w:p>
  </w:footnote>
  <w:footnote w:id="80">
    <w:p w14:paraId="2D17AAF4" w14:textId="77777777" w:rsidR="00E43136" w:rsidRPr="00446637" w:rsidRDefault="00E43136" w:rsidP="00AF6662">
      <w:pPr>
        <w:spacing w:after="0" w:line="240" w:lineRule="auto"/>
        <w:jc w:val="both"/>
        <w:rPr>
          <w:rFonts w:asciiTheme="minorHAnsi" w:hAnsiTheme="minorHAnsi" w:cstheme="minorHAnsi"/>
          <w:sz w:val="20"/>
          <w:szCs w:val="20"/>
        </w:rPr>
      </w:pPr>
      <w:r w:rsidRPr="00446637">
        <w:rPr>
          <w:rStyle w:val="FootnoteReference"/>
          <w:rFonts w:asciiTheme="minorHAnsi" w:hAnsiTheme="minorHAnsi" w:cstheme="minorHAnsi"/>
          <w:sz w:val="20"/>
          <w:szCs w:val="20"/>
        </w:rPr>
        <w:footnoteRef/>
      </w:r>
      <w:r w:rsidRPr="00446637">
        <w:rPr>
          <w:rFonts w:asciiTheme="minorHAnsi" w:hAnsiTheme="minorHAnsi" w:cstheme="minorHAnsi"/>
          <w:sz w:val="20"/>
          <w:szCs w:val="20"/>
        </w:rPr>
        <w:t xml:space="preserve"> </w:t>
      </w:r>
      <w:r w:rsidRPr="00EB20F8">
        <w:rPr>
          <w:rFonts w:asciiTheme="minorHAnsi" w:hAnsiTheme="minorHAnsi" w:cstheme="minorHAnsi"/>
          <w:sz w:val="20"/>
          <w:szCs w:val="20"/>
        </w:rPr>
        <w:t>CCBE</w:t>
      </w:r>
      <w:r>
        <w:rPr>
          <w:rFonts w:asciiTheme="minorHAnsi" w:hAnsiTheme="minorHAnsi" w:cstheme="minorHAnsi"/>
          <w:sz w:val="20"/>
          <w:szCs w:val="20"/>
        </w:rPr>
        <w:t>,</w:t>
      </w:r>
      <w:r w:rsidRPr="00EB20F8">
        <w:rPr>
          <w:rFonts w:asciiTheme="minorHAnsi" w:hAnsiTheme="minorHAnsi" w:cstheme="minorHAnsi"/>
          <w:sz w:val="20"/>
          <w:szCs w:val="20"/>
        </w:rPr>
        <w:t xml:space="preserve"> </w:t>
      </w:r>
      <w:r>
        <w:rPr>
          <w:rFonts w:asciiTheme="minorHAnsi" w:hAnsiTheme="minorHAnsi" w:cstheme="minorHAnsi"/>
          <w:sz w:val="20"/>
          <w:szCs w:val="20"/>
        </w:rPr>
        <w:t>“</w:t>
      </w:r>
      <w:r w:rsidRPr="00EB20F8">
        <w:rPr>
          <w:rFonts w:asciiTheme="minorHAnsi" w:hAnsiTheme="minorHAnsi" w:cstheme="minorHAnsi"/>
          <w:sz w:val="20"/>
          <w:szCs w:val="20"/>
        </w:rPr>
        <w:t>Guidelines for Bars and Law Societies on Free Movement of Lawyers within the European Union.</w:t>
      </w:r>
      <w:r>
        <w:rPr>
          <w:rFonts w:asciiTheme="minorHAnsi" w:hAnsiTheme="minorHAnsi" w:cstheme="minorHAnsi"/>
          <w:sz w:val="20"/>
          <w:szCs w:val="20"/>
        </w:rPr>
        <w:t>” 2016.</w:t>
      </w:r>
      <w:r w:rsidRPr="00EB20F8">
        <w:rPr>
          <w:rFonts w:asciiTheme="minorHAnsi" w:hAnsiTheme="minorHAnsi" w:cstheme="minorHAnsi"/>
          <w:sz w:val="20"/>
          <w:szCs w:val="20"/>
        </w:rPr>
        <w:t xml:space="preserve"> Available at &lt;https://www.ccbe.eu/fileadmin/speciality_distribution/public/documents/EU_LAWYERS/EUL_Guides___recommendations/EN_FML_2016_Guide.pdf &gt; Accessed 25 July 2019, p.9.</w:t>
      </w:r>
    </w:p>
  </w:footnote>
  <w:footnote w:id="81">
    <w:p w14:paraId="00062451" w14:textId="77777777" w:rsidR="00E43136" w:rsidRPr="00EB20F8" w:rsidRDefault="00E43136" w:rsidP="00AF6662">
      <w:pPr>
        <w:pStyle w:val="FootnoteText"/>
        <w:jc w:val="both"/>
        <w:rPr>
          <w:rFonts w:asciiTheme="minorHAnsi" w:hAnsiTheme="minorHAnsi" w:cstheme="minorHAnsi"/>
        </w:rPr>
      </w:pPr>
      <w:r w:rsidRPr="00EB20F8">
        <w:rPr>
          <w:rStyle w:val="FootnoteReference"/>
          <w:rFonts w:asciiTheme="minorHAnsi" w:hAnsiTheme="minorHAnsi" w:cstheme="minorHAnsi"/>
        </w:rPr>
        <w:footnoteRef/>
      </w:r>
      <w:r w:rsidRPr="00EB20F8">
        <w:rPr>
          <w:rFonts w:asciiTheme="minorHAnsi" w:hAnsiTheme="minorHAnsi" w:cstheme="minorHAnsi"/>
        </w:rPr>
        <w:t xml:space="preserve"> S. 29, The European Communities (Lawyer's Practice) Regulations 2000; Article 10(3), Directive 98/5/EC.</w:t>
      </w:r>
    </w:p>
  </w:footnote>
  <w:footnote w:id="82">
    <w:p w14:paraId="06ABEA75" w14:textId="77777777" w:rsidR="00E43136" w:rsidRPr="00446637" w:rsidRDefault="00E43136" w:rsidP="00AF6662">
      <w:pPr>
        <w:pStyle w:val="FootnoteText"/>
        <w:jc w:val="both"/>
        <w:rPr>
          <w:rFonts w:asciiTheme="minorHAnsi" w:hAnsiTheme="minorHAnsi" w:cstheme="minorHAnsi"/>
        </w:rPr>
      </w:pPr>
      <w:r w:rsidRPr="00EB20F8">
        <w:rPr>
          <w:rStyle w:val="FootnoteReference"/>
          <w:rFonts w:asciiTheme="minorHAnsi" w:hAnsiTheme="minorHAnsi" w:cstheme="minorHAnsi"/>
        </w:rPr>
        <w:footnoteRef/>
      </w:r>
      <w:r w:rsidRPr="00EB20F8">
        <w:rPr>
          <w:rFonts w:asciiTheme="minorHAnsi" w:hAnsiTheme="minorHAnsi" w:cstheme="minorHAnsi"/>
        </w:rPr>
        <w:t xml:space="preserve"> S. 29(1), The European Communities (Lawyer's Practice) Regulations 2000. Para (3), Directive 98/5/EC; Article 14, Professional Qualifications Directive 2005/36 EC.</w:t>
      </w:r>
    </w:p>
  </w:footnote>
  <w:footnote w:id="83">
    <w:p w14:paraId="0C4E325F" w14:textId="77777777" w:rsidR="00E43136" w:rsidRPr="00EB20F8" w:rsidRDefault="00E43136" w:rsidP="00AF6662">
      <w:pPr>
        <w:pStyle w:val="FootnoteText"/>
        <w:jc w:val="both"/>
        <w:rPr>
          <w:rFonts w:asciiTheme="minorHAnsi" w:hAnsiTheme="minorHAnsi" w:cstheme="minorHAnsi"/>
        </w:rPr>
      </w:pPr>
      <w:r w:rsidRPr="00446637">
        <w:rPr>
          <w:rStyle w:val="FootnoteReference"/>
          <w:rFonts w:asciiTheme="minorHAnsi" w:hAnsiTheme="minorHAnsi" w:cstheme="minorHAnsi"/>
        </w:rPr>
        <w:footnoteRef/>
      </w:r>
      <w:r w:rsidRPr="00446637">
        <w:rPr>
          <w:rFonts w:asciiTheme="minorHAnsi" w:hAnsiTheme="minorHAnsi" w:cstheme="minorHAnsi"/>
        </w:rPr>
        <w:t xml:space="preserve"> Implemented in the UK in s. 4, </w:t>
      </w:r>
      <w:r w:rsidRPr="00446637">
        <w:rPr>
          <w:rFonts w:asciiTheme="minorHAnsi" w:eastAsiaTheme="minorHAnsi" w:hAnsiTheme="minorHAnsi" w:cstheme="minorHAnsi"/>
          <w:lang w:eastAsia="en-US"/>
        </w:rPr>
        <w:t>European Communities (Services of Lawyers) Order 1978</w:t>
      </w:r>
      <w:r>
        <w:rPr>
          <w:rFonts w:asciiTheme="minorHAnsi" w:eastAsiaTheme="minorHAnsi" w:hAnsiTheme="minorHAnsi" w:cstheme="minorHAnsi"/>
          <w:lang w:eastAsia="en-US"/>
        </w:rPr>
        <w:t>.</w:t>
      </w:r>
    </w:p>
  </w:footnote>
  <w:footnote w:id="84">
    <w:p w14:paraId="2EEF198F" w14:textId="77777777" w:rsidR="00E43136" w:rsidRPr="00EB20F8" w:rsidRDefault="00E43136" w:rsidP="00AF6662">
      <w:pPr>
        <w:pStyle w:val="FootnoteText"/>
        <w:jc w:val="both"/>
        <w:rPr>
          <w:rFonts w:asciiTheme="minorHAnsi" w:hAnsiTheme="minorHAnsi" w:cstheme="minorHAnsi"/>
        </w:rPr>
      </w:pPr>
      <w:r w:rsidRPr="00EB20F8">
        <w:rPr>
          <w:rStyle w:val="FootnoteReference"/>
          <w:rFonts w:asciiTheme="minorHAnsi" w:hAnsiTheme="minorHAnsi" w:cstheme="minorHAnsi"/>
        </w:rPr>
        <w:footnoteRef/>
      </w:r>
      <w:r w:rsidRPr="00EB20F8">
        <w:rPr>
          <w:rFonts w:asciiTheme="minorHAnsi" w:hAnsiTheme="minorHAnsi" w:cstheme="minorHAnsi"/>
        </w:rPr>
        <w:t xml:space="preserve"> Ss. 12-14, </w:t>
      </w:r>
      <w:r w:rsidRPr="00EB20F8">
        <w:rPr>
          <w:rFonts w:asciiTheme="minorHAnsi" w:eastAsiaTheme="minorHAnsi" w:hAnsiTheme="minorHAnsi" w:cstheme="minorHAnsi"/>
          <w:lang w:eastAsia="en-US"/>
        </w:rPr>
        <w:t>European Communities (Services of Lawyers) Order 1978; A</w:t>
      </w:r>
      <w:r w:rsidRPr="00EB20F8">
        <w:rPr>
          <w:rFonts w:asciiTheme="minorHAnsi" w:hAnsiTheme="minorHAnsi" w:cstheme="minorHAnsi"/>
        </w:rPr>
        <w:t>rticle 7, Lawyers Services Directive 77/249;</w:t>
      </w:r>
    </w:p>
  </w:footnote>
  <w:footnote w:id="85">
    <w:p w14:paraId="25B44954" w14:textId="77777777" w:rsidR="00E43136" w:rsidRPr="00446637" w:rsidRDefault="00E43136" w:rsidP="00AF6662">
      <w:pPr>
        <w:pStyle w:val="FootnoteText"/>
        <w:jc w:val="both"/>
        <w:rPr>
          <w:rFonts w:asciiTheme="minorHAnsi" w:hAnsiTheme="minorHAnsi" w:cstheme="minorHAnsi"/>
        </w:rPr>
      </w:pPr>
      <w:r w:rsidRPr="00EB20F8">
        <w:rPr>
          <w:rStyle w:val="FootnoteReference"/>
          <w:rFonts w:asciiTheme="minorHAnsi" w:hAnsiTheme="minorHAnsi" w:cstheme="minorHAnsi"/>
        </w:rPr>
        <w:footnoteRef/>
      </w:r>
      <w:r w:rsidRPr="00EB20F8">
        <w:rPr>
          <w:rFonts w:asciiTheme="minorHAnsi" w:hAnsiTheme="minorHAnsi" w:cstheme="minorHAnsi"/>
        </w:rPr>
        <w:t xml:space="preserve"> S</w:t>
      </w:r>
      <w:r w:rsidRPr="00EB20F8">
        <w:rPr>
          <w:rFonts w:asciiTheme="minorHAnsi" w:eastAsiaTheme="minorHAnsi" w:hAnsiTheme="minorHAnsi" w:cstheme="minorHAnsi"/>
          <w:lang w:eastAsia="en-US"/>
        </w:rPr>
        <w:t>. 5 European Communities (Services of Lawyers) Order 1978.</w:t>
      </w:r>
      <w:r w:rsidRPr="00EB20F8">
        <w:rPr>
          <w:rFonts w:asciiTheme="minorHAnsi" w:hAnsiTheme="minorHAnsi" w:cstheme="minorHAnsi"/>
        </w:rPr>
        <w:t xml:space="preserve"> </w:t>
      </w:r>
      <w:bookmarkStart w:id="3" w:name="_Hlk43137658"/>
      <w:r w:rsidRPr="00EB20F8">
        <w:rPr>
          <w:rFonts w:asciiTheme="minorHAnsi" w:hAnsiTheme="minorHAnsi" w:cstheme="minorHAnsi"/>
        </w:rPr>
        <w:t>A</w:t>
      </w:r>
      <w:r w:rsidRPr="00EB20F8">
        <w:rPr>
          <w:rFonts w:asciiTheme="minorHAnsi" w:eastAsiaTheme="minorHAnsi" w:hAnsiTheme="minorHAnsi" w:cstheme="minorHAnsi"/>
          <w:lang w:eastAsia="en-US"/>
        </w:rPr>
        <w:t xml:space="preserve">rticle </w:t>
      </w:r>
      <w:bookmarkEnd w:id="3"/>
      <w:r w:rsidRPr="00EB20F8">
        <w:rPr>
          <w:rFonts w:asciiTheme="minorHAnsi" w:eastAsiaTheme="minorHAnsi" w:hAnsiTheme="minorHAnsi" w:cstheme="minorHAnsi"/>
          <w:lang w:eastAsia="en-US"/>
        </w:rPr>
        <w:t xml:space="preserve">5 </w:t>
      </w:r>
      <w:r w:rsidRPr="00EB20F8">
        <w:rPr>
          <w:rFonts w:asciiTheme="minorHAnsi" w:hAnsiTheme="minorHAnsi" w:cstheme="minorHAnsi"/>
        </w:rPr>
        <w:t>Lawyers Services Directive 77/249.</w:t>
      </w:r>
    </w:p>
  </w:footnote>
  <w:footnote w:id="86">
    <w:p w14:paraId="106DDCA2" w14:textId="77777777" w:rsidR="00E43136" w:rsidRPr="00EB20F8" w:rsidRDefault="00E43136" w:rsidP="00AF6662">
      <w:pPr>
        <w:pStyle w:val="FootnoteText"/>
        <w:jc w:val="both"/>
        <w:rPr>
          <w:rFonts w:asciiTheme="minorHAnsi" w:hAnsiTheme="minorHAnsi" w:cstheme="minorHAnsi"/>
        </w:rPr>
      </w:pPr>
      <w:r w:rsidRPr="00EB20F8">
        <w:rPr>
          <w:rStyle w:val="FootnoteReference"/>
          <w:rFonts w:asciiTheme="minorHAnsi" w:hAnsiTheme="minorHAnsi" w:cstheme="minorHAnsi"/>
        </w:rPr>
        <w:footnoteRef/>
      </w:r>
      <w:r w:rsidRPr="00EB20F8">
        <w:rPr>
          <w:rFonts w:asciiTheme="minorHAnsi" w:hAnsiTheme="minorHAnsi" w:cstheme="minorHAnsi"/>
        </w:rPr>
        <w:t xml:space="preserve"> S</w:t>
      </w:r>
      <w:r w:rsidRPr="00EB20F8">
        <w:rPr>
          <w:rFonts w:asciiTheme="minorHAnsi" w:eastAsiaTheme="minorHAnsi" w:hAnsiTheme="minorHAnsi" w:cstheme="minorHAnsi"/>
          <w:lang w:eastAsia="en-US"/>
        </w:rPr>
        <w:t>. 9, European Communities (Services of Lawyers) Order 1978.</w:t>
      </w:r>
      <w:r w:rsidRPr="00EB20F8">
        <w:rPr>
          <w:rFonts w:asciiTheme="minorHAnsi" w:hAnsiTheme="minorHAnsi" w:cstheme="minorHAnsi"/>
        </w:rPr>
        <w:t xml:space="preserve"> A</w:t>
      </w:r>
      <w:r w:rsidRPr="00EB20F8">
        <w:rPr>
          <w:rFonts w:asciiTheme="minorHAnsi" w:eastAsiaTheme="minorHAnsi" w:hAnsiTheme="minorHAnsi" w:cstheme="minorHAnsi"/>
          <w:lang w:eastAsia="en-US"/>
        </w:rPr>
        <w:t xml:space="preserve">rticle 1, </w:t>
      </w:r>
      <w:r w:rsidRPr="00EB20F8">
        <w:rPr>
          <w:rFonts w:asciiTheme="minorHAnsi" w:hAnsiTheme="minorHAnsi" w:cstheme="minorHAnsi"/>
        </w:rPr>
        <w:t>Lawyers Services Directive 77/249.</w:t>
      </w:r>
    </w:p>
  </w:footnote>
  <w:footnote w:id="87">
    <w:p w14:paraId="61B5E068" w14:textId="77777777" w:rsidR="00E43136" w:rsidRPr="00EB20F8" w:rsidRDefault="00E43136" w:rsidP="00AF6662">
      <w:pPr>
        <w:pStyle w:val="FootnoteText"/>
        <w:jc w:val="both"/>
        <w:rPr>
          <w:rFonts w:asciiTheme="minorHAnsi" w:hAnsiTheme="minorHAnsi" w:cstheme="minorHAnsi"/>
        </w:rPr>
      </w:pPr>
      <w:r w:rsidRPr="00EB20F8">
        <w:rPr>
          <w:rStyle w:val="FootnoteReference"/>
          <w:rFonts w:asciiTheme="minorHAnsi" w:hAnsiTheme="minorHAnsi" w:cstheme="minorHAnsi"/>
        </w:rPr>
        <w:footnoteRef/>
      </w:r>
      <w:r w:rsidRPr="00EB20F8">
        <w:rPr>
          <w:rFonts w:asciiTheme="minorHAnsi" w:hAnsiTheme="minorHAnsi" w:cstheme="minorHAnsi"/>
        </w:rPr>
        <w:t xml:space="preserve"> </w:t>
      </w:r>
      <w:r w:rsidRPr="00EB20F8">
        <w:rPr>
          <w:rFonts w:asciiTheme="minorHAnsi" w:eastAsiaTheme="minorHAnsi" w:hAnsiTheme="minorHAnsi" w:cstheme="minorHAnsi"/>
          <w:lang w:eastAsia="en-US"/>
        </w:rPr>
        <w:t>S. 11, European Communities (Services of Lawyers) Order 1978.</w:t>
      </w:r>
      <w:r w:rsidRPr="00EB20F8">
        <w:rPr>
          <w:rFonts w:asciiTheme="minorHAnsi" w:hAnsiTheme="minorHAnsi" w:cstheme="minorHAnsi"/>
        </w:rPr>
        <w:t xml:space="preserve"> A</w:t>
      </w:r>
      <w:r w:rsidRPr="00EB20F8">
        <w:rPr>
          <w:rFonts w:asciiTheme="minorHAnsi" w:eastAsiaTheme="minorHAnsi" w:hAnsiTheme="minorHAnsi" w:cstheme="minorHAnsi"/>
          <w:lang w:eastAsia="en-US"/>
        </w:rPr>
        <w:t xml:space="preserve">rticle 3, </w:t>
      </w:r>
      <w:r w:rsidRPr="00EB20F8">
        <w:rPr>
          <w:rFonts w:asciiTheme="minorHAnsi" w:hAnsiTheme="minorHAnsi" w:cstheme="minorHAnsi"/>
        </w:rPr>
        <w:t>Lawyers Services Directive 77/249.</w:t>
      </w:r>
    </w:p>
  </w:footnote>
  <w:footnote w:id="88">
    <w:p w14:paraId="196EE068" w14:textId="77777777" w:rsidR="00E43136" w:rsidRPr="00EB20F8" w:rsidRDefault="00E43136" w:rsidP="00AF6662">
      <w:pPr>
        <w:pStyle w:val="FootnoteText"/>
        <w:jc w:val="both"/>
        <w:rPr>
          <w:rFonts w:asciiTheme="minorHAnsi" w:hAnsiTheme="minorHAnsi" w:cstheme="minorHAnsi"/>
        </w:rPr>
      </w:pPr>
      <w:r w:rsidRPr="00EB20F8">
        <w:rPr>
          <w:rStyle w:val="FootnoteReference"/>
          <w:rFonts w:asciiTheme="minorHAnsi" w:hAnsiTheme="minorHAnsi" w:cstheme="minorHAnsi"/>
        </w:rPr>
        <w:footnoteRef/>
      </w:r>
      <w:r w:rsidRPr="00EB20F8">
        <w:rPr>
          <w:rFonts w:asciiTheme="minorHAnsi" w:hAnsiTheme="minorHAnsi" w:cstheme="minorHAnsi"/>
        </w:rPr>
        <w:t xml:space="preserve"> S</w:t>
      </w:r>
      <w:r w:rsidRPr="00EB20F8">
        <w:rPr>
          <w:rFonts w:asciiTheme="minorHAnsi" w:eastAsiaTheme="minorHAnsi" w:hAnsiTheme="minorHAnsi" w:cstheme="minorHAnsi"/>
          <w:lang w:eastAsia="en-US"/>
        </w:rPr>
        <w:t>s. 15-16, European Communities (Services of Lawyers) Order 1978.</w:t>
      </w:r>
      <w:r w:rsidRPr="00EB20F8">
        <w:rPr>
          <w:rFonts w:asciiTheme="minorHAnsi" w:hAnsiTheme="minorHAnsi" w:cstheme="minorHAnsi"/>
        </w:rPr>
        <w:t xml:space="preserve"> A</w:t>
      </w:r>
      <w:r w:rsidRPr="00EB20F8">
        <w:rPr>
          <w:rFonts w:asciiTheme="minorHAnsi" w:eastAsiaTheme="minorHAnsi" w:hAnsiTheme="minorHAnsi" w:cstheme="minorHAnsi"/>
          <w:lang w:eastAsia="en-US"/>
        </w:rPr>
        <w:t xml:space="preserve">rticle 4(4), </w:t>
      </w:r>
      <w:r w:rsidRPr="00EB20F8">
        <w:rPr>
          <w:rFonts w:asciiTheme="minorHAnsi" w:hAnsiTheme="minorHAnsi" w:cstheme="minorHAnsi"/>
        </w:rPr>
        <w:t>Lawyers Services Directive 77/249.</w:t>
      </w:r>
    </w:p>
  </w:footnote>
  <w:footnote w:id="89">
    <w:p w14:paraId="4DA3BB77" w14:textId="77777777" w:rsidR="00E43136" w:rsidRPr="00446637" w:rsidRDefault="00E43136" w:rsidP="00AF6662">
      <w:pPr>
        <w:pStyle w:val="FootnoteText"/>
        <w:jc w:val="both"/>
        <w:rPr>
          <w:rFonts w:asciiTheme="minorHAnsi" w:hAnsiTheme="minorHAnsi" w:cstheme="minorHAnsi"/>
        </w:rPr>
      </w:pPr>
      <w:r w:rsidRPr="00EB20F8">
        <w:rPr>
          <w:rStyle w:val="FootnoteReference"/>
          <w:rFonts w:asciiTheme="minorHAnsi" w:hAnsiTheme="minorHAnsi" w:cstheme="minorHAnsi"/>
        </w:rPr>
        <w:footnoteRef/>
      </w:r>
      <w:r w:rsidRPr="00EB20F8">
        <w:rPr>
          <w:rFonts w:asciiTheme="minorHAnsi" w:hAnsiTheme="minorHAnsi" w:cstheme="minorHAnsi"/>
        </w:rPr>
        <w:t xml:space="preserve"> </w:t>
      </w:r>
      <w:r w:rsidRPr="00EB20F8">
        <w:rPr>
          <w:rFonts w:asciiTheme="minorHAnsi" w:eastAsiaTheme="minorHAnsi" w:hAnsiTheme="minorHAnsi" w:cstheme="minorHAnsi"/>
          <w:lang w:eastAsia="en-US"/>
        </w:rPr>
        <w:t>S. 15, European Communities (Services of Lawyers) Order 1978.</w:t>
      </w:r>
      <w:r w:rsidRPr="00EB20F8">
        <w:rPr>
          <w:rFonts w:asciiTheme="minorHAnsi" w:hAnsiTheme="minorHAnsi" w:cstheme="minorHAnsi"/>
        </w:rPr>
        <w:t xml:space="preserve"> A</w:t>
      </w:r>
      <w:r w:rsidRPr="00EB20F8">
        <w:rPr>
          <w:rFonts w:asciiTheme="minorHAnsi" w:eastAsiaTheme="minorHAnsi" w:hAnsiTheme="minorHAnsi" w:cstheme="minorHAnsi"/>
          <w:lang w:eastAsia="en-US"/>
        </w:rPr>
        <w:t xml:space="preserve">rticle 4(2), </w:t>
      </w:r>
      <w:r w:rsidRPr="00EB20F8">
        <w:rPr>
          <w:rFonts w:asciiTheme="minorHAnsi" w:hAnsiTheme="minorHAnsi" w:cstheme="minorHAnsi"/>
        </w:rPr>
        <w:t>Lawyers Services Directive 77/249.</w:t>
      </w:r>
    </w:p>
  </w:footnote>
  <w:footnote w:id="90">
    <w:p w14:paraId="1D5B9B3A" w14:textId="77777777" w:rsidR="00E43136" w:rsidRPr="00446637" w:rsidRDefault="00E43136" w:rsidP="00AF6662">
      <w:pPr>
        <w:pStyle w:val="FootnoteText"/>
        <w:jc w:val="both"/>
        <w:rPr>
          <w:rFonts w:asciiTheme="minorHAnsi" w:hAnsiTheme="minorHAnsi" w:cstheme="minorHAnsi"/>
        </w:rPr>
      </w:pPr>
      <w:r w:rsidRPr="00446637">
        <w:rPr>
          <w:rStyle w:val="FootnoteReference"/>
          <w:rFonts w:asciiTheme="minorHAnsi" w:hAnsiTheme="minorHAnsi" w:cstheme="minorHAnsi"/>
        </w:rPr>
        <w:footnoteRef/>
      </w:r>
      <w:r w:rsidRPr="00446637">
        <w:rPr>
          <w:rFonts w:asciiTheme="minorHAnsi" w:hAnsiTheme="minorHAnsi" w:cstheme="minorHAnsi"/>
        </w:rPr>
        <w:t xml:space="preserve"> CCBE, </w:t>
      </w:r>
      <w:r>
        <w:rPr>
          <w:rFonts w:asciiTheme="minorHAnsi" w:hAnsiTheme="minorHAnsi" w:cstheme="minorHAnsi"/>
        </w:rPr>
        <w:t>“</w:t>
      </w:r>
      <w:r w:rsidRPr="00EB20F8">
        <w:rPr>
          <w:rFonts w:asciiTheme="minorHAnsi" w:hAnsiTheme="minorHAnsi" w:cstheme="minorHAnsi"/>
        </w:rPr>
        <w:t>Guidelines for Bars and Law Societies on Free Movement of Lawyers within the European Union.</w:t>
      </w:r>
      <w:r>
        <w:rPr>
          <w:rFonts w:asciiTheme="minorHAnsi" w:hAnsiTheme="minorHAnsi" w:cstheme="minorHAnsi"/>
        </w:rPr>
        <w:t xml:space="preserve">” </w:t>
      </w:r>
      <w:r w:rsidRPr="00EB20F8">
        <w:rPr>
          <w:rFonts w:asciiTheme="minorHAnsi" w:eastAsiaTheme="minorHAnsi" w:hAnsiTheme="minorHAnsi" w:cstheme="minorHAnsi"/>
          <w:lang w:eastAsia="en-US"/>
        </w:rPr>
        <w:t>9.</w:t>
      </w:r>
    </w:p>
  </w:footnote>
  <w:footnote w:id="91">
    <w:p w14:paraId="5E5EAF20" w14:textId="77777777" w:rsidR="00E43136" w:rsidRPr="00446637" w:rsidRDefault="00E43136" w:rsidP="008319E6">
      <w:pPr>
        <w:pStyle w:val="FootnoteText"/>
        <w:rPr>
          <w:rFonts w:asciiTheme="minorHAnsi" w:hAnsiTheme="minorHAnsi" w:cstheme="minorHAnsi"/>
        </w:rPr>
      </w:pPr>
      <w:r w:rsidRPr="00446637">
        <w:rPr>
          <w:rStyle w:val="FootnoteReference"/>
          <w:rFonts w:asciiTheme="minorHAnsi" w:hAnsiTheme="minorHAnsi" w:cstheme="minorHAnsi"/>
        </w:rPr>
        <w:footnoteRef/>
      </w:r>
      <w:r w:rsidRPr="00446637">
        <w:rPr>
          <w:rFonts w:asciiTheme="minorHAnsi" w:hAnsiTheme="minorHAnsi" w:cstheme="minorHAnsi"/>
        </w:rPr>
        <w:t xml:space="preserve"> APPG, </w:t>
      </w:r>
      <w:r w:rsidRPr="00EB20F8">
        <w:rPr>
          <w:rFonts w:asciiTheme="minorHAnsi" w:hAnsiTheme="minorHAnsi" w:cstheme="minorHAnsi"/>
          <w:i/>
        </w:rPr>
        <w:t>The effect of Brexit on legal services</w:t>
      </w:r>
      <w:r>
        <w:rPr>
          <w:rFonts w:asciiTheme="minorHAnsi" w:eastAsiaTheme="minorHAnsi" w:hAnsiTheme="minorHAnsi" w:cstheme="minorHAnsi"/>
          <w:lang w:eastAsia="en-US"/>
        </w:rPr>
        <w:t xml:space="preserve">, </w:t>
      </w:r>
      <w:r w:rsidRPr="00EB20F8">
        <w:rPr>
          <w:rFonts w:asciiTheme="minorHAnsi" w:eastAsiaTheme="minorHAnsi" w:hAnsiTheme="minorHAnsi" w:cstheme="minorHAnsi"/>
          <w:lang w:eastAsia="en-US"/>
        </w:rPr>
        <w:t>6.</w:t>
      </w:r>
    </w:p>
  </w:footnote>
  <w:footnote w:id="92">
    <w:p w14:paraId="71713B29" w14:textId="77777777" w:rsidR="00E43136" w:rsidRPr="00446637" w:rsidRDefault="00E43136">
      <w:pPr>
        <w:pStyle w:val="FootnoteText"/>
        <w:rPr>
          <w:rFonts w:asciiTheme="minorHAnsi" w:hAnsiTheme="minorHAnsi" w:cstheme="minorHAnsi"/>
        </w:rPr>
      </w:pPr>
      <w:r w:rsidRPr="00446637">
        <w:rPr>
          <w:rStyle w:val="FootnoteReference"/>
          <w:rFonts w:asciiTheme="minorHAnsi" w:hAnsiTheme="minorHAnsi" w:cstheme="minorHAnsi"/>
        </w:rPr>
        <w:footnoteRef/>
      </w:r>
      <w:r w:rsidRPr="00446637">
        <w:rPr>
          <w:rFonts w:asciiTheme="minorHAnsi" w:hAnsiTheme="minorHAnsi" w:cstheme="minorHAnsi"/>
        </w:rPr>
        <w:t xml:space="preserve"> </w:t>
      </w:r>
      <w:r w:rsidRPr="00EB20F8">
        <w:rPr>
          <w:rFonts w:asciiTheme="minorHAnsi" w:hAnsiTheme="minorHAnsi" w:cstheme="minorHAnsi"/>
          <w:shd w:val="clear" w:color="auto" w:fill="FFFFFF"/>
        </w:rPr>
        <w:t>Schedule 14, Courts and Legal Services Act 1990.</w:t>
      </w:r>
    </w:p>
  </w:footnote>
  <w:footnote w:id="93">
    <w:p w14:paraId="1FF77A40" w14:textId="77777777" w:rsidR="00E43136" w:rsidRPr="00446637" w:rsidRDefault="00E43136" w:rsidP="00824F07">
      <w:pPr>
        <w:autoSpaceDE w:val="0"/>
        <w:autoSpaceDN w:val="0"/>
        <w:adjustRightInd w:val="0"/>
        <w:spacing w:after="0" w:line="240" w:lineRule="auto"/>
        <w:rPr>
          <w:rFonts w:asciiTheme="minorHAnsi" w:hAnsiTheme="minorHAnsi" w:cstheme="minorHAnsi"/>
          <w:sz w:val="20"/>
          <w:szCs w:val="20"/>
        </w:rPr>
      </w:pPr>
      <w:r w:rsidRPr="00EB20F8">
        <w:rPr>
          <w:rStyle w:val="FootnoteReference"/>
          <w:rFonts w:asciiTheme="minorHAnsi" w:hAnsiTheme="minorHAnsi" w:cstheme="minorHAnsi"/>
          <w:sz w:val="20"/>
          <w:szCs w:val="20"/>
        </w:rPr>
        <w:footnoteRef/>
      </w:r>
      <w:r w:rsidRPr="00EB20F8">
        <w:rPr>
          <w:rFonts w:asciiTheme="minorHAnsi" w:hAnsiTheme="minorHAnsi" w:cstheme="minorHAnsi"/>
          <w:sz w:val="20"/>
          <w:szCs w:val="20"/>
        </w:rPr>
        <w:t xml:space="preserve"> SRA</w:t>
      </w:r>
      <w:r>
        <w:rPr>
          <w:rFonts w:asciiTheme="minorHAnsi" w:hAnsiTheme="minorHAnsi" w:cstheme="minorHAnsi"/>
          <w:sz w:val="20"/>
          <w:szCs w:val="20"/>
        </w:rPr>
        <w:t>, “</w:t>
      </w:r>
      <w:r w:rsidRPr="00EB20F8">
        <w:rPr>
          <w:rFonts w:asciiTheme="minorHAnsi" w:hAnsiTheme="minorHAnsi" w:cstheme="minorHAnsi"/>
          <w:sz w:val="20"/>
          <w:szCs w:val="20"/>
        </w:rPr>
        <w:t>Ethics Guidance: RFLs and practice with solicitors in England and Wales</w:t>
      </w:r>
      <w:proofErr w:type="gramStart"/>
      <w:r>
        <w:rPr>
          <w:rFonts w:asciiTheme="minorHAnsi" w:hAnsiTheme="minorHAnsi" w:cstheme="minorHAnsi"/>
          <w:sz w:val="20"/>
          <w:szCs w:val="20"/>
        </w:rPr>
        <w:t>, ”</w:t>
      </w:r>
      <w:proofErr w:type="gramEnd"/>
      <w:r w:rsidRPr="00EB20F8">
        <w:rPr>
          <w:rFonts w:asciiTheme="minorHAnsi" w:hAnsiTheme="minorHAnsi" w:cstheme="minorHAnsi"/>
          <w:sz w:val="20"/>
          <w:szCs w:val="20"/>
        </w:rPr>
        <w:t>(2010). Available at &lt;</w:t>
      </w:r>
      <w:r w:rsidRPr="00EB20F8">
        <w:rPr>
          <w:rFonts w:asciiTheme="minorHAnsi" w:eastAsiaTheme="minorHAnsi" w:hAnsiTheme="minorHAnsi" w:cstheme="minorHAnsi"/>
          <w:sz w:val="20"/>
          <w:szCs w:val="20"/>
          <w:lang w:eastAsia="en-US"/>
        </w:rPr>
        <w:t>http://www.sra.org.uk/solicitors/code-of-conduct/guidance/rfls-and-practice-with-solicitors-in-england-and-wales.page.page&gt; Accessed 25 July 2019.</w:t>
      </w:r>
    </w:p>
  </w:footnote>
  <w:footnote w:id="94">
    <w:p w14:paraId="7419A185" w14:textId="77777777" w:rsidR="00E43136" w:rsidRPr="00446637" w:rsidRDefault="00E43136" w:rsidP="00140304">
      <w:pPr>
        <w:autoSpaceDE w:val="0"/>
        <w:autoSpaceDN w:val="0"/>
        <w:adjustRightInd w:val="0"/>
        <w:spacing w:after="0" w:line="240" w:lineRule="auto"/>
        <w:rPr>
          <w:rFonts w:asciiTheme="minorHAnsi" w:hAnsiTheme="minorHAnsi" w:cstheme="minorHAnsi"/>
          <w:sz w:val="20"/>
          <w:szCs w:val="20"/>
        </w:rPr>
      </w:pPr>
      <w:r w:rsidRPr="00EB20F8">
        <w:rPr>
          <w:rStyle w:val="FootnoteReference"/>
          <w:rFonts w:asciiTheme="minorHAnsi" w:hAnsiTheme="minorHAnsi" w:cstheme="minorHAnsi"/>
          <w:sz w:val="20"/>
          <w:szCs w:val="20"/>
        </w:rPr>
        <w:footnoteRef/>
      </w:r>
      <w:r w:rsidRPr="00EB20F8">
        <w:rPr>
          <w:rFonts w:asciiTheme="minorHAnsi" w:hAnsiTheme="minorHAnsi" w:cstheme="minorHAnsi"/>
          <w:sz w:val="20"/>
          <w:szCs w:val="20"/>
        </w:rPr>
        <w:t xml:space="preserve"> </w:t>
      </w:r>
      <w:r w:rsidRPr="00EB20F8">
        <w:rPr>
          <w:rFonts w:asciiTheme="minorHAnsi" w:eastAsiaTheme="minorHAnsi" w:hAnsiTheme="minorHAnsi" w:cstheme="minorHAnsi"/>
          <w:sz w:val="20"/>
          <w:szCs w:val="20"/>
          <w:lang w:eastAsia="en-US"/>
        </w:rPr>
        <w:t>United Nations Economic Commission for Africa (UNECA)</w:t>
      </w:r>
      <w:r>
        <w:rPr>
          <w:rFonts w:asciiTheme="minorHAnsi" w:eastAsiaTheme="minorHAnsi" w:hAnsiTheme="minorHAnsi" w:cstheme="minorHAnsi"/>
          <w:sz w:val="20"/>
          <w:szCs w:val="20"/>
          <w:lang w:eastAsia="en-US"/>
        </w:rPr>
        <w:t>,</w:t>
      </w:r>
      <w:r w:rsidRPr="00EB20F8">
        <w:rPr>
          <w:rFonts w:asciiTheme="minorHAnsi" w:eastAsiaTheme="minorHAnsi" w:hAnsiTheme="minorHAnsi" w:cstheme="minorHAnsi"/>
          <w:sz w:val="20"/>
          <w:szCs w:val="20"/>
          <w:lang w:eastAsia="en-US"/>
        </w:rPr>
        <w:t xml:space="preserve"> </w:t>
      </w:r>
      <w:r>
        <w:rPr>
          <w:rFonts w:asciiTheme="minorHAnsi" w:eastAsiaTheme="minorHAnsi" w:hAnsiTheme="minorHAnsi" w:cstheme="minorHAnsi"/>
          <w:sz w:val="20"/>
          <w:szCs w:val="20"/>
          <w:lang w:eastAsia="en-US"/>
        </w:rPr>
        <w:t>“</w:t>
      </w:r>
      <w:r w:rsidRPr="00EB20F8">
        <w:rPr>
          <w:rFonts w:asciiTheme="minorHAnsi" w:hAnsiTheme="minorHAnsi" w:cstheme="minorHAnsi"/>
          <w:sz w:val="20"/>
          <w:szCs w:val="20"/>
        </w:rPr>
        <w:t>Africa Regional Integration Index Report 2016.</w:t>
      </w:r>
      <w:r>
        <w:rPr>
          <w:rFonts w:asciiTheme="minorHAnsi" w:hAnsiTheme="minorHAnsi" w:cstheme="minorHAnsi"/>
          <w:sz w:val="20"/>
          <w:szCs w:val="20"/>
        </w:rPr>
        <w:t>”</w:t>
      </w:r>
      <w:r w:rsidRPr="00EB20F8">
        <w:rPr>
          <w:rFonts w:asciiTheme="minorHAnsi" w:hAnsiTheme="minorHAnsi" w:cstheme="minorHAnsi"/>
          <w:sz w:val="20"/>
          <w:szCs w:val="20"/>
        </w:rPr>
        <w:t xml:space="preserve"> Available at &lt; https://www.uneca.org/sites/default/files/PublicationFiles/arii-report2016_en_web.pdf &gt; Accessed 11 October 2019, p. 14.</w:t>
      </w:r>
    </w:p>
  </w:footnote>
  <w:footnote w:id="95">
    <w:p w14:paraId="165654F8" w14:textId="77777777" w:rsidR="00E43136" w:rsidRPr="00446637" w:rsidRDefault="00E43136">
      <w:pPr>
        <w:pStyle w:val="FootnoteText"/>
        <w:rPr>
          <w:rFonts w:asciiTheme="minorHAnsi" w:hAnsiTheme="minorHAnsi" w:cstheme="minorHAnsi"/>
          <w:lang w:val="en-US"/>
        </w:rPr>
      </w:pPr>
      <w:r w:rsidRPr="00446637">
        <w:rPr>
          <w:rStyle w:val="FootnoteReference"/>
          <w:rFonts w:asciiTheme="minorHAnsi" w:hAnsiTheme="minorHAnsi" w:cstheme="minorHAnsi"/>
        </w:rPr>
        <w:footnoteRef/>
      </w:r>
      <w:r w:rsidRPr="00446637">
        <w:rPr>
          <w:rFonts w:asciiTheme="minorHAnsi" w:hAnsiTheme="minorHAnsi" w:cstheme="minorHAnsi"/>
        </w:rPr>
        <w:t xml:space="preserve"> </w:t>
      </w:r>
      <w:r w:rsidRPr="00446637">
        <w:rPr>
          <w:rFonts w:asciiTheme="minorHAnsi" w:hAnsiTheme="minorHAnsi" w:cstheme="minorHAnsi"/>
          <w:lang w:val="en-US"/>
        </w:rPr>
        <w:t>Preamble to the Treaty Establishing the East African Community, para 15.</w:t>
      </w:r>
    </w:p>
  </w:footnote>
  <w:footnote w:id="96">
    <w:p w14:paraId="09066612" w14:textId="77777777" w:rsidR="00E43136" w:rsidRPr="00446637" w:rsidRDefault="00E43136" w:rsidP="008D0BC3">
      <w:pPr>
        <w:spacing w:after="0" w:line="240" w:lineRule="auto"/>
        <w:rPr>
          <w:rFonts w:asciiTheme="minorHAnsi" w:hAnsiTheme="minorHAnsi" w:cstheme="minorHAnsi"/>
          <w:sz w:val="20"/>
          <w:szCs w:val="20"/>
        </w:rPr>
      </w:pPr>
      <w:r w:rsidRPr="00446637">
        <w:rPr>
          <w:rStyle w:val="FootnoteReference"/>
          <w:rFonts w:asciiTheme="minorHAnsi" w:hAnsiTheme="minorHAnsi" w:cstheme="minorHAnsi"/>
          <w:sz w:val="20"/>
          <w:szCs w:val="20"/>
        </w:rPr>
        <w:footnoteRef/>
      </w:r>
      <w:r w:rsidRPr="00446637">
        <w:rPr>
          <w:rFonts w:asciiTheme="minorHAnsi" w:hAnsiTheme="minorHAnsi" w:cstheme="minorHAnsi"/>
          <w:sz w:val="20"/>
          <w:szCs w:val="20"/>
        </w:rPr>
        <w:t xml:space="preserve"> </w:t>
      </w:r>
      <w:r w:rsidRPr="00EB20F8">
        <w:rPr>
          <w:rFonts w:asciiTheme="minorHAnsi" w:hAnsiTheme="minorHAnsi" w:cstheme="minorHAnsi"/>
          <w:sz w:val="20"/>
          <w:szCs w:val="20"/>
        </w:rPr>
        <w:t>Art. 4(2)(a) and Art. 16 Protocol on the Establishment of the East African Community Common Market (Common Market Protocol); Art. 104 East African Community Treaty 1999.</w:t>
      </w:r>
    </w:p>
  </w:footnote>
  <w:footnote w:id="97">
    <w:p w14:paraId="558667F3" w14:textId="77777777" w:rsidR="00E43136" w:rsidRPr="00446637" w:rsidRDefault="00E43136">
      <w:pPr>
        <w:pStyle w:val="FootnoteText"/>
        <w:rPr>
          <w:rFonts w:asciiTheme="minorHAnsi" w:hAnsiTheme="minorHAnsi" w:cstheme="minorHAnsi"/>
          <w:lang w:val="en-US"/>
        </w:rPr>
      </w:pPr>
      <w:r w:rsidRPr="00446637">
        <w:rPr>
          <w:rStyle w:val="FootnoteReference"/>
          <w:rFonts w:asciiTheme="minorHAnsi" w:hAnsiTheme="minorHAnsi" w:cstheme="minorHAnsi"/>
        </w:rPr>
        <w:footnoteRef/>
      </w:r>
      <w:r w:rsidRPr="00446637">
        <w:rPr>
          <w:rFonts w:asciiTheme="minorHAnsi" w:hAnsiTheme="minorHAnsi" w:cstheme="minorHAnsi"/>
        </w:rPr>
        <w:t xml:space="preserve"> </w:t>
      </w:r>
      <w:r w:rsidRPr="00446637">
        <w:rPr>
          <w:rFonts w:asciiTheme="minorHAnsi" w:hAnsiTheme="minorHAnsi" w:cstheme="minorHAnsi"/>
          <w:lang w:val="en-US"/>
        </w:rPr>
        <w:t xml:space="preserve">East African Community Common Market Schedule of Commitments on the Progressive </w:t>
      </w:r>
      <w:proofErr w:type="spellStart"/>
      <w:r w:rsidRPr="00446637">
        <w:rPr>
          <w:rFonts w:asciiTheme="minorHAnsi" w:hAnsiTheme="minorHAnsi" w:cstheme="minorHAnsi"/>
          <w:lang w:val="en-US"/>
        </w:rPr>
        <w:t>Liberalisation</w:t>
      </w:r>
      <w:proofErr w:type="spellEnd"/>
      <w:r w:rsidRPr="00446637">
        <w:rPr>
          <w:rFonts w:asciiTheme="minorHAnsi" w:hAnsiTheme="minorHAnsi" w:cstheme="minorHAnsi"/>
          <w:lang w:val="en-US"/>
        </w:rPr>
        <w:t xml:space="preserve"> of Services Annex V, November 2009. </w:t>
      </w:r>
    </w:p>
  </w:footnote>
  <w:footnote w:id="98">
    <w:p w14:paraId="204EC3F3" w14:textId="77777777" w:rsidR="00E43136" w:rsidRPr="00446637" w:rsidRDefault="00E43136">
      <w:pPr>
        <w:pStyle w:val="FootnoteText"/>
        <w:rPr>
          <w:rFonts w:asciiTheme="minorHAnsi" w:hAnsiTheme="minorHAnsi" w:cstheme="minorHAnsi"/>
        </w:rPr>
      </w:pPr>
      <w:r w:rsidRPr="00446637">
        <w:rPr>
          <w:rStyle w:val="FootnoteReference"/>
          <w:rFonts w:asciiTheme="minorHAnsi" w:hAnsiTheme="minorHAnsi" w:cstheme="minorHAnsi"/>
        </w:rPr>
        <w:footnoteRef/>
      </w:r>
      <w:r w:rsidRPr="00446637">
        <w:rPr>
          <w:rFonts w:asciiTheme="minorHAnsi" w:hAnsiTheme="minorHAnsi" w:cstheme="minorHAnsi"/>
        </w:rPr>
        <w:t xml:space="preserve"> See East African Community Common Market Schedule of Commitments on the Progressive Liberalisation of Services Annex V, p. 80.</w:t>
      </w:r>
    </w:p>
  </w:footnote>
  <w:footnote w:id="99">
    <w:p w14:paraId="08BFFF9F" w14:textId="77777777" w:rsidR="00E43136" w:rsidRPr="00446637" w:rsidRDefault="00E43136">
      <w:pPr>
        <w:pStyle w:val="FootnoteText"/>
        <w:rPr>
          <w:rFonts w:asciiTheme="minorHAnsi" w:hAnsiTheme="minorHAnsi" w:cstheme="minorHAnsi"/>
        </w:rPr>
      </w:pPr>
      <w:r w:rsidRPr="00446637">
        <w:rPr>
          <w:rStyle w:val="FootnoteReference"/>
          <w:rFonts w:asciiTheme="minorHAnsi" w:hAnsiTheme="minorHAnsi" w:cstheme="minorHAnsi"/>
        </w:rPr>
        <w:footnoteRef/>
      </w:r>
      <w:r w:rsidRPr="00446637">
        <w:rPr>
          <w:rFonts w:asciiTheme="minorHAnsi" w:hAnsiTheme="minorHAnsi" w:cstheme="minorHAnsi"/>
        </w:rPr>
        <w:t xml:space="preserve"> Art. 3 (2)(a) Common Market Protocol; Regulation 10(1) EAC Common Market (Right of Establishment) Regulations Annex III.</w:t>
      </w:r>
    </w:p>
  </w:footnote>
  <w:footnote w:id="100">
    <w:p w14:paraId="48BE2F08" w14:textId="77777777" w:rsidR="00E43136" w:rsidRPr="00446637" w:rsidRDefault="00E43136" w:rsidP="00921696">
      <w:pPr>
        <w:pStyle w:val="FootnoteText"/>
        <w:rPr>
          <w:rFonts w:asciiTheme="minorHAnsi" w:hAnsiTheme="minorHAnsi" w:cstheme="minorHAnsi"/>
          <w:lang w:val="en-US"/>
        </w:rPr>
      </w:pPr>
      <w:r w:rsidRPr="00340400">
        <w:rPr>
          <w:rStyle w:val="FootnoteReference"/>
          <w:rFonts w:asciiTheme="minorHAnsi" w:hAnsiTheme="minorHAnsi" w:cstheme="minorHAnsi"/>
        </w:rPr>
        <w:footnoteRef/>
      </w:r>
      <w:r w:rsidRPr="00340400">
        <w:rPr>
          <w:rFonts w:asciiTheme="minorHAnsi" w:hAnsiTheme="minorHAnsi" w:cstheme="minorHAnsi"/>
        </w:rPr>
        <w:t xml:space="preserve"> These latter two Modes are regulated by the EAC Common Market (Right of Establishment) Regulations (Annex III).</w:t>
      </w:r>
    </w:p>
  </w:footnote>
  <w:footnote w:id="101">
    <w:p w14:paraId="431F2F8E" w14:textId="77777777" w:rsidR="00E43136" w:rsidRPr="00EB20F8" w:rsidRDefault="00E43136" w:rsidP="002A5784">
      <w:pPr>
        <w:spacing w:after="0" w:line="240" w:lineRule="auto"/>
        <w:rPr>
          <w:rFonts w:asciiTheme="minorHAnsi" w:hAnsiTheme="minorHAnsi" w:cstheme="minorHAnsi"/>
          <w:sz w:val="20"/>
          <w:szCs w:val="20"/>
        </w:rPr>
      </w:pPr>
      <w:r w:rsidRPr="00EB20F8">
        <w:rPr>
          <w:rStyle w:val="FootnoteReference"/>
          <w:rFonts w:asciiTheme="minorHAnsi" w:hAnsiTheme="minorHAnsi" w:cstheme="minorHAnsi"/>
          <w:sz w:val="20"/>
          <w:szCs w:val="20"/>
        </w:rPr>
        <w:footnoteRef/>
      </w:r>
      <w:r w:rsidRPr="00EB20F8">
        <w:rPr>
          <w:rFonts w:asciiTheme="minorHAnsi" w:hAnsiTheme="minorHAnsi" w:cstheme="minorHAnsi"/>
          <w:sz w:val="20"/>
          <w:szCs w:val="20"/>
        </w:rPr>
        <w:t xml:space="preserve"> </w:t>
      </w:r>
      <w:r>
        <w:rPr>
          <w:rFonts w:asciiTheme="minorHAnsi" w:hAnsiTheme="minorHAnsi" w:cstheme="minorHAnsi"/>
          <w:sz w:val="20"/>
          <w:szCs w:val="20"/>
        </w:rPr>
        <w:t xml:space="preserve">K. </w:t>
      </w:r>
      <w:proofErr w:type="spellStart"/>
      <w:r w:rsidRPr="00EB20F8">
        <w:rPr>
          <w:rFonts w:asciiTheme="minorHAnsi" w:hAnsiTheme="minorHAnsi" w:cstheme="minorHAnsi"/>
          <w:sz w:val="20"/>
          <w:szCs w:val="20"/>
        </w:rPr>
        <w:t>Gasthorn</w:t>
      </w:r>
      <w:proofErr w:type="spellEnd"/>
      <w:r w:rsidRPr="00EB20F8">
        <w:rPr>
          <w:rFonts w:asciiTheme="minorHAnsi" w:hAnsiTheme="minorHAnsi" w:cstheme="minorHAnsi"/>
          <w:sz w:val="20"/>
          <w:szCs w:val="20"/>
        </w:rPr>
        <w:t xml:space="preserve">, </w:t>
      </w:r>
      <w:r>
        <w:rPr>
          <w:rFonts w:asciiTheme="minorHAnsi" w:hAnsiTheme="minorHAnsi" w:cstheme="minorHAnsi"/>
          <w:sz w:val="20"/>
          <w:szCs w:val="20"/>
        </w:rPr>
        <w:t>“</w:t>
      </w:r>
      <w:r w:rsidRPr="00EB20F8">
        <w:rPr>
          <w:rFonts w:asciiTheme="minorHAnsi" w:hAnsiTheme="minorHAnsi" w:cstheme="minorHAnsi"/>
          <w:sz w:val="20"/>
          <w:szCs w:val="20"/>
        </w:rPr>
        <w:t>Freedom of Establishment and the Freedom to provide Services in the EAC</w:t>
      </w:r>
      <w:r>
        <w:rPr>
          <w:rFonts w:asciiTheme="minorHAnsi" w:hAnsiTheme="minorHAnsi" w:cstheme="minorHAnsi"/>
          <w:sz w:val="20"/>
          <w:szCs w:val="20"/>
        </w:rPr>
        <w:t>,”</w:t>
      </w:r>
      <w:r w:rsidRPr="00EB20F8">
        <w:rPr>
          <w:rFonts w:asciiTheme="minorHAnsi" w:hAnsiTheme="minorHAnsi" w:cstheme="minorHAnsi"/>
          <w:sz w:val="20"/>
          <w:szCs w:val="20"/>
        </w:rPr>
        <w:t xml:space="preserve"> in </w:t>
      </w:r>
      <w:r w:rsidRPr="00EB20F8">
        <w:rPr>
          <w:rFonts w:asciiTheme="minorHAnsi" w:hAnsiTheme="minorHAnsi" w:cstheme="minorHAnsi"/>
          <w:i/>
          <w:iCs/>
          <w:sz w:val="20"/>
          <w:szCs w:val="20"/>
        </w:rPr>
        <w:t>East African Community Law</w:t>
      </w:r>
      <w:r w:rsidRPr="00EB20F8">
        <w:rPr>
          <w:rFonts w:asciiTheme="minorHAnsi" w:hAnsiTheme="minorHAnsi" w:cstheme="minorHAnsi"/>
          <w:sz w:val="20"/>
          <w:szCs w:val="20"/>
        </w:rPr>
        <w:t xml:space="preserve"> eds </w:t>
      </w:r>
      <w:proofErr w:type="spellStart"/>
      <w:r w:rsidRPr="00EB20F8">
        <w:rPr>
          <w:rFonts w:asciiTheme="minorHAnsi" w:hAnsiTheme="minorHAnsi" w:cstheme="minorHAnsi"/>
          <w:sz w:val="20"/>
          <w:szCs w:val="20"/>
        </w:rPr>
        <w:t>Ugirashebuja</w:t>
      </w:r>
      <w:proofErr w:type="spellEnd"/>
      <w:r w:rsidRPr="00EB20F8">
        <w:rPr>
          <w:rFonts w:asciiTheme="minorHAnsi" w:hAnsiTheme="minorHAnsi" w:cstheme="minorHAnsi"/>
          <w:sz w:val="20"/>
          <w:szCs w:val="20"/>
        </w:rPr>
        <w:t xml:space="preserve">, E., </w:t>
      </w:r>
      <w:proofErr w:type="spellStart"/>
      <w:r w:rsidRPr="00EB20F8">
        <w:rPr>
          <w:rFonts w:asciiTheme="minorHAnsi" w:hAnsiTheme="minorHAnsi" w:cstheme="minorHAnsi"/>
          <w:sz w:val="20"/>
          <w:szCs w:val="20"/>
        </w:rPr>
        <w:t>Ruhangisa</w:t>
      </w:r>
      <w:proofErr w:type="spellEnd"/>
      <w:r w:rsidRPr="00EB20F8">
        <w:rPr>
          <w:rFonts w:asciiTheme="minorHAnsi" w:hAnsiTheme="minorHAnsi" w:cstheme="minorHAnsi"/>
          <w:sz w:val="20"/>
          <w:szCs w:val="20"/>
        </w:rPr>
        <w:t xml:space="preserve">, J.E., </w:t>
      </w:r>
      <w:proofErr w:type="spellStart"/>
      <w:r w:rsidRPr="00EB20F8">
        <w:rPr>
          <w:rFonts w:asciiTheme="minorHAnsi" w:hAnsiTheme="minorHAnsi" w:cstheme="minorHAnsi"/>
          <w:sz w:val="20"/>
          <w:szCs w:val="20"/>
        </w:rPr>
        <w:t>Ottervanger</w:t>
      </w:r>
      <w:proofErr w:type="spellEnd"/>
      <w:r w:rsidRPr="00EB20F8">
        <w:rPr>
          <w:rFonts w:asciiTheme="minorHAnsi" w:hAnsiTheme="minorHAnsi" w:cstheme="minorHAnsi"/>
          <w:sz w:val="20"/>
          <w:szCs w:val="20"/>
        </w:rPr>
        <w:t xml:space="preserve">, T. and </w:t>
      </w:r>
      <w:proofErr w:type="spellStart"/>
      <w:r w:rsidRPr="00EB20F8">
        <w:rPr>
          <w:rFonts w:asciiTheme="minorHAnsi" w:hAnsiTheme="minorHAnsi" w:cstheme="minorHAnsi"/>
          <w:sz w:val="20"/>
          <w:szCs w:val="20"/>
        </w:rPr>
        <w:t>Cuyvers</w:t>
      </w:r>
      <w:proofErr w:type="spellEnd"/>
      <w:r w:rsidRPr="00EB20F8">
        <w:rPr>
          <w:rFonts w:asciiTheme="minorHAnsi" w:hAnsiTheme="minorHAnsi" w:cstheme="minorHAnsi"/>
          <w:sz w:val="20"/>
          <w:szCs w:val="20"/>
        </w:rPr>
        <w:t>, A.</w:t>
      </w:r>
      <w:r>
        <w:rPr>
          <w:rFonts w:asciiTheme="minorHAnsi" w:hAnsiTheme="minorHAnsi" w:cstheme="minorHAnsi"/>
          <w:sz w:val="20"/>
          <w:szCs w:val="20"/>
        </w:rPr>
        <w:t xml:space="preserve"> (</w:t>
      </w:r>
      <w:r w:rsidRPr="00EB20F8">
        <w:rPr>
          <w:rFonts w:asciiTheme="minorHAnsi" w:hAnsiTheme="minorHAnsi" w:cstheme="minorHAnsi"/>
          <w:sz w:val="20"/>
          <w:szCs w:val="20"/>
        </w:rPr>
        <w:t xml:space="preserve">Leiden. Brill </w:t>
      </w:r>
      <w:proofErr w:type="spellStart"/>
      <w:r w:rsidRPr="00EB20F8">
        <w:rPr>
          <w:rFonts w:asciiTheme="minorHAnsi" w:hAnsiTheme="minorHAnsi" w:cstheme="minorHAnsi"/>
          <w:sz w:val="20"/>
          <w:szCs w:val="20"/>
        </w:rPr>
        <w:t>Nijhoff</w:t>
      </w:r>
      <w:proofErr w:type="spellEnd"/>
      <w:r w:rsidRPr="00EB20F8">
        <w:rPr>
          <w:rFonts w:asciiTheme="minorHAnsi" w:hAnsiTheme="minorHAnsi" w:cstheme="minorHAnsi"/>
          <w:sz w:val="20"/>
          <w:szCs w:val="20"/>
        </w:rPr>
        <w:t>, 2017</w:t>
      </w:r>
      <w:r>
        <w:rPr>
          <w:rFonts w:asciiTheme="minorHAnsi" w:hAnsiTheme="minorHAnsi" w:cstheme="minorHAnsi"/>
          <w:sz w:val="20"/>
          <w:szCs w:val="20"/>
        </w:rPr>
        <w:t xml:space="preserve">): </w:t>
      </w:r>
      <w:r w:rsidRPr="00EB20F8">
        <w:rPr>
          <w:rFonts w:asciiTheme="minorHAnsi" w:hAnsiTheme="minorHAnsi" w:cstheme="minorHAnsi"/>
          <w:sz w:val="20"/>
          <w:szCs w:val="20"/>
        </w:rPr>
        <w:t>365-375, 372.</w:t>
      </w:r>
    </w:p>
  </w:footnote>
  <w:footnote w:id="102">
    <w:p w14:paraId="1E7038C6" w14:textId="77777777" w:rsidR="00E43136" w:rsidRPr="00F23A08" w:rsidRDefault="00E43136" w:rsidP="009A0668">
      <w:pPr>
        <w:pStyle w:val="FootnoteText"/>
        <w:rPr>
          <w:rFonts w:cs="Calibri"/>
        </w:rPr>
      </w:pPr>
      <w:r w:rsidRPr="00F23A08">
        <w:rPr>
          <w:rStyle w:val="FootnoteReference"/>
          <w:rFonts w:cs="Calibri"/>
        </w:rPr>
        <w:footnoteRef/>
      </w:r>
      <w:r w:rsidRPr="00F23A08">
        <w:rPr>
          <w:rFonts w:cs="Calibri"/>
        </w:rPr>
        <w:t xml:space="preserve"> Art 16 (5) Common Market Protocol.</w:t>
      </w:r>
    </w:p>
  </w:footnote>
  <w:footnote w:id="103">
    <w:p w14:paraId="523EC3C5" w14:textId="77777777" w:rsidR="00E43136" w:rsidRPr="00F23A08" w:rsidRDefault="00E43136">
      <w:pPr>
        <w:pStyle w:val="FootnoteText"/>
        <w:rPr>
          <w:rFonts w:cs="Calibri"/>
        </w:rPr>
      </w:pPr>
      <w:r w:rsidRPr="00F23A08">
        <w:rPr>
          <w:rStyle w:val="FootnoteReference"/>
          <w:rFonts w:cs="Calibri"/>
        </w:rPr>
        <w:footnoteRef/>
      </w:r>
      <w:r w:rsidRPr="00F23A08">
        <w:rPr>
          <w:rFonts w:cs="Calibri"/>
        </w:rPr>
        <w:t xml:space="preserve"> Art 1 EAC Treaty 1999.</w:t>
      </w:r>
    </w:p>
  </w:footnote>
  <w:footnote w:id="104">
    <w:p w14:paraId="4CE92D1D" w14:textId="77777777" w:rsidR="00E43136" w:rsidRPr="00F23A08" w:rsidRDefault="00E43136">
      <w:pPr>
        <w:pStyle w:val="FootnoteText"/>
        <w:rPr>
          <w:rFonts w:cs="Calibri"/>
        </w:rPr>
      </w:pPr>
      <w:r w:rsidRPr="00F23A08">
        <w:rPr>
          <w:rStyle w:val="FootnoteReference"/>
          <w:rFonts w:cs="Calibri"/>
        </w:rPr>
        <w:footnoteRef/>
      </w:r>
      <w:r w:rsidRPr="00F23A08">
        <w:rPr>
          <w:rFonts w:cs="Calibri"/>
        </w:rPr>
        <w:t xml:space="preserve"> Art 13 (5) Common Market Protocol.</w:t>
      </w:r>
    </w:p>
  </w:footnote>
  <w:footnote w:id="105">
    <w:p w14:paraId="2874957E" w14:textId="77777777" w:rsidR="00E43136" w:rsidRPr="00F23A08" w:rsidRDefault="00E43136" w:rsidP="0075586A">
      <w:pPr>
        <w:pStyle w:val="FootnoteText"/>
        <w:rPr>
          <w:rFonts w:cs="Calibri"/>
        </w:rPr>
      </w:pPr>
      <w:r w:rsidRPr="00F23A08">
        <w:rPr>
          <w:rStyle w:val="FootnoteReference"/>
          <w:rFonts w:cs="Calibri"/>
        </w:rPr>
        <w:footnoteRef/>
      </w:r>
      <w:r w:rsidRPr="00F23A08">
        <w:rPr>
          <w:rFonts w:cs="Calibri"/>
        </w:rPr>
        <w:t xml:space="preserve"> See the East African Community Common Market Schedule of Commitments on the Progressive Liberalisation of Services Annex V, p 80. </w:t>
      </w:r>
    </w:p>
  </w:footnote>
  <w:footnote w:id="106">
    <w:p w14:paraId="1B97C217" w14:textId="77777777" w:rsidR="00E43136" w:rsidRDefault="00E43136" w:rsidP="0075586A">
      <w:pPr>
        <w:shd w:val="clear" w:color="auto" w:fill="FFFFFF"/>
        <w:spacing w:after="0" w:line="240" w:lineRule="auto"/>
        <w:jc w:val="both"/>
      </w:pPr>
      <w:r w:rsidRPr="00F23A08">
        <w:rPr>
          <w:rStyle w:val="FootnoteReference"/>
          <w:rFonts w:cs="Calibri"/>
          <w:sz w:val="20"/>
          <w:szCs w:val="20"/>
        </w:rPr>
        <w:footnoteRef/>
      </w:r>
      <w:r w:rsidRPr="00F23A08">
        <w:rPr>
          <w:rFonts w:cs="Calibri"/>
          <w:sz w:val="20"/>
          <w:szCs w:val="20"/>
        </w:rPr>
        <w:t xml:space="preserve"> There are six Annexes: Annex I: Free Movement of Persons Regulations; Annex II: Free Movement of Workers Regulations; Annex III: Right of Establishment Regulations; Annex IV: Right of Residence Regulations; Annex V: Schedule of Commitments on the Progressive Liberalisation of Services; Annex VI: Schedule on the Removal of Restrictions on the Free Movement of Capital. The purpose of the Regulations is to implement the provisions of the Protocol and to ensure that there is uniformity among the </w:t>
      </w:r>
      <w:r>
        <w:rPr>
          <w:rFonts w:cs="Calibri"/>
          <w:sz w:val="20"/>
          <w:szCs w:val="20"/>
        </w:rPr>
        <w:t>Partner States</w:t>
      </w:r>
      <w:r w:rsidRPr="00F23A08">
        <w:rPr>
          <w:rFonts w:cs="Calibri"/>
          <w:sz w:val="20"/>
          <w:szCs w:val="20"/>
        </w:rPr>
        <w:t xml:space="preserve"> in the implementation of the Article and that to the extent possible, the process is transparent, accountable, fair, predictable and consistent with the provisions of the Protocol.</w:t>
      </w:r>
    </w:p>
  </w:footnote>
  <w:footnote w:id="107">
    <w:p w14:paraId="27FDB27D" w14:textId="77777777" w:rsidR="00E43136" w:rsidRPr="00446637" w:rsidRDefault="00E43136">
      <w:pPr>
        <w:pStyle w:val="FootnoteText"/>
        <w:rPr>
          <w:rFonts w:asciiTheme="minorHAnsi" w:hAnsiTheme="minorHAnsi" w:cstheme="minorHAnsi"/>
        </w:rPr>
      </w:pPr>
      <w:r w:rsidRPr="00446637">
        <w:rPr>
          <w:rStyle w:val="FootnoteReference"/>
          <w:rFonts w:asciiTheme="minorHAnsi" w:hAnsiTheme="minorHAnsi" w:cstheme="minorHAnsi"/>
        </w:rPr>
        <w:footnoteRef/>
      </w:r>
      <w:r w:rsidRPr="00446637">
        <w:rPr>
          <w:rFonts w:asciiTheme="minorHAnsi" w:hAnsiTheme="minorHAnsi" w:cstheme="minorHAnsi"/>
        </w:rPr>
        <w:t xml:space="preserve"> Regulations 5, 6 and 12, EAC Common Market (Free Movement of Workers) Regulations.</w:t>
      </w:r>
    </w:p>
  </w:footnote>
  <w:footnote w:id="108">
    <w:p w14:paraId="4AB53FD9" w14:textId="77777777" w:rsidR="00E43136" w:rsidRPr="00446637" w:rsidRDefault="00E43136">
      <w:pPr>
        <w:pStyle w:val="FootnoteText"/>
        <w:rPr>
          <w:rFonts w:asciiTheme="minorHAnsi" w:hAnsiTheme="minorHAnsi" w:cstheme="minorHAnsi"/>
        </w:rPr>
      </w:pPr>
      <w:r w:rsidRPr="00446637">
        <w:rPr>
          <w:rStyle w:val="FootnoteReference"/>
          <w:rFonts w:asciiTheme="minorHAnsi" w:hAnsiTheme="minorHAnsi" w:cstheme="minorHAnsi"/>
        </w:rPr>
        <w:footnoteRef/>
      </w:r>
      <w:r w:rsidRPr="00446637">
        <w:rPr>
          <w:rFonts w:asciiTheme="minorHAnsi" w:hAnsiTheme="minorHAnsi" w:cstheme="minorHAnsi"/>
        </w:rPr>
        <w:t xml:space="preserve"> Art 3(2)</w:t>
      </w:r>
      <w:r w:rsidRPr="00EB20F8">
        <w:rPr>
          <w:rFonts w:asciiTheme="minorHAnsi" w:hAnsiTheme="minorHAnsi" w:cstheme="minorHAnsi"/>
        </w:rPr>
        <w:t xml:space="preserve"> Common Market Protocol.</w:t>
      </w:r>
    </w:p>
  </w:footnote>
  <w:footnote w:id="109">
    <w:p w14:paraId="265F4AE4" w14:textId="77777777" w:rsidR="00E43136" w:rsidRPr="00446637" w:rsidRDefault="00E43136" w:rsidP="00245089">
      <w:pPr>
        <w:pStyle w:val="FootnoteText"/>
        <w:jc w:val="both"/>
        <w:rPr>
          <w:rFonts w:asciiTheme="minorHAnsi" w:hAnsiTheme="minorHAnsi" w:cstheme="minorHAnsi"/>
        </w:rPr>
      </w:pPr>
      <w:r w:rsidRPr="00446637">
        <w:rPr>
          <w:rStyle w:val="FootnoteReference"/>
          <w:rFonts w:asciiTheme="minorHAnsi" w:hAnsiTheme="minorHAnsi" w:cstheme="minorHAnsi"/>
        </w:rPr>
        <w:footnoteRef/>
      </w:r>
      <w:r w:rsidRPr="00446637">
        <w:rPr>
          <w:rFonts w:asciiTheme="minorHAnsi" w:hAnsiTheme="minorHAnsi" w:cstheme="minorHAnsi"/>
        </w:rPr>
        <w:t xml:space="preserve"> </w:t>
      </w:r>
      <w:r w:rsidRPr="00EB20F8">
        <w:rPr>
          <w:rFonts w:asciiTheme="minorHAnsi" w:hAnsiTheme="minorHAnsi" w:cstheme="minorHAnsi"/>
        </w:rPr>
        <w:t>Art 11 and art 13(7), Common Market Protocol.</w:t>
      </w:r>
    </w:p>
  </w:footnote>
  <w:footnote w:id="110">
    <w:p w14:paraId="30C8C540" w14:textId="77777777" w:rsidR="00E43136" w:rsidRPr="00446637" w:rsidRDefault="00E43136" w:rsidP="00245089">
      <w:pPr>
        <w:pStyle w:val="FootnoteText"/>
        <w:jc w:val="both"/>
        <w:rPr>
          <w:rFonts w:asciiTheme="minorHAnsi" w:hAnsiTheme="minorHAnsi" w:cstheme="minorHAnsi"/>
          <w:lang w:val="en-US"/>
        </w:rPr>
      </w:pPr>
      <w:r w:rsidRPr="00446637">
        <w:rPr>
          <w:rStyle w:val="FootnoteReference"/>
          <w:rFonts w:asciiTheme="minorHAnsi" w:hAnsiTheme="minorHAnsi" w:cstheme="minorHAnsi"/>
        </w:rPr>
        <w:footnoteRef/>
      </w:r>
      <w:r w:rsidRPr="00446637">
        <w:rPr>
          <w:rFonts w:asciiTheme="minorHAnsi" w:hAnsiTheme="minorHAnsi" w:cstheme="minorHAnsi"/>
        </w:rPr>
        <w:t xml:space="preserve"> This is also echoed in Article</w:t>
      </w:r>
      <w:r w:rsidRPr="00EB20F8">
        <w:rPr>
          <w:rFonts w:asciiTheme="minorHAnsi" w:hAnsiTheme="minorHAnsi" w:cstheme="minorHAnsi"/>
        </w:rPr>
        <w:t xml:space="preserve"> 11(1)(b) Common Market Protocol. </w:t>
      </w:r>
    </w:p>
  </w:footnote>
  <w:footnote w:id="111">
    <w:p w14:paraId="2143F979" w14:textId="77777777" w:rsidR="00E43136" w:rsidRPr="00446637" w:rsidRDefault="00E43136" w:rsidP="00245089">
      <w:pPr>
        <w:pStyle w:val="FootnoteText"/>
        <w:jc w:val="both"/>
        <w:rPr>
          <w:rFonts w:asciiTheme="minorHAnsi" w:hAnsiTheme="minorHAnsi" w:cstheme="minorHAnsi"/>
          <w:lang w:val="en-US"/>
        </w:rPr>
      </w:pPr>
      <w:r w:rsidRPr="000916E8">
        <w:rPr>
          <w:rStyle w:val="FootnoteReference"/>
          <w:rFonts w:asciiTheme="minorHAnsi" w:hAnsiTheme="minorHAnsi" w:cstheme="minorHAnsi"/>
        </w:rPr>
        <w:footnoteRef/>
      </w:r>
      <w:r w:rsidRPr="000916E8">
        <w:rPr>
          <w:rFonts w:asciiTheme="minorHAnsi" w:hAnsiTheme="minorHAnsi" w:cstheme="minorHAnsi"/>
        </w:rPr>
        <w:t xml:space="preserve"> There does not appear to be significant progress on the ground in this area, and the EAC Cross Border Legal Practice Bill 2014 remains a project rather than a reality.</w:t>
      </w:r>
    </w:p>
  </w:footnote>
  <w:footnote w:id="112">
    <w:p w14:paraId="47C66CE6" w14:textId="77777777" w:rsidR="00E43136" w:rsidRPr="00F06FD7" w:rsidRDefault="00E43136" w:rsidP="00F06FD7">
      <w:pPr>
        <w:spacing w:after="0" w:line="240" w:lineRule="auto"/>
        <w:rPr>
          <w:sz w:val="20"/>
          <w:szCs w:val="20"/>
        </w:rPr>
      </w:pPr>
      <w:r w:rsidRPr="00F06FD7">
        <w:rPr>
          <w:sz w:val="20"/>
          <w:szCs w:val="20"/>
        </w:rPr>
        <w:footnoteRef/>
      </w:r>
      <w:r w:rsidRPr="00F06FD7">
        <w:rPr>
          <w:sz w:val="20"/>
          <w:szCs w:val="20"/>
        </w:rPr>
        <w:t xml:space="preserve"> K. </w:t>
      </w:r>
      <w:proofErr w:type="spellStart"/>
      <w:r w:rsidRPr="00F06FD7">
        <w:rPr>
          <w:sz w:val="20"/>
          <w:szCs w:val="20"/>
        </w:rPr>
        <w:t>Agutamba</w:t>
      </w:r>
      <w:proofErr w:type="spellEnd"/>
      <w:r w:rsidRPr="00F06FD7">
        <w:rPr>
          <w:sz w:val="20"/>
          <w:szCs w:val="20"/>
        </w:rPr>
        <w:t xml:space="preserve">, “Is cross-border legal practice really possible?” The New Times. 20 April, 2015. Available at &lt;https://www.newtimes.co.rw/section/read/188004 &gt; Accessed 31 October 2019. </w:t>
      </w:r>
    </w:p>
  </w:footnote>
  <w:footnote w:id="113">
    <w:p w14:paraId="224C9A82" w14:textId="77777777" w:rsidR="00E43136" w:rsidRPr="0007478F" w:rsidRDefault="00E43136" w:rsidP="00245089">
      <w:pPr>
        <w:pStyle w:val="FootnoteText"/>
        <w:jc w:val="both"/>
        <w:rPr>
          <w:rFonts w:asciiTheme="minorHAnsi" w:hAnsiTheme="minorHAnsi" w:cstheme="minorHAnsi"/>
          <w:lang w:val="en-US"/>
        </w:rPr>
      </w:pPr>
      <w:r w:rsidRPr="00F96EAD">
        <w:rPr>
          <w:rStyle w:val="FootnoteReference"/>
          <w:rFonts w:asciiTheme="minorHAnsi" w:hAnsiTheme="minorHAnsi" w:cstheme="minorHAnsi"/>
        </w:rPr>
        <w:footnoteRef/>
      </w:r>
      <w:r w:rsidRPr="00F96EAD">
        <w:rPr>
          <w:rFonts w:asciiTheme="minorHAnsi" w:hAnsiTheme="minorHAnsi" w:cstheme="minorHAnsi"/>
        </w:rPr>
        <w:t xml:space="preserve"> Despite support for the MRA from </w:t>
      </w:r>
      <w:r w:rsidRPr="00F96EAD">
        <w:rPr>
          <w:rFonts w:asciiTheme="minorHAnsi" w:hAnsiTheme="minorHAnsi" w:cstheme="minorHAnsi"/>
          <w:color w:val="000000"/>
          <w:shd w:val="clear" w:color="auto" w:fill="FFFFFF"/>
        </w:rPr>
        <w:t xml:space="preserve">Ministries of Justice and Constitutional Affairs/Attorneys Generals, Judges, Law Societies, Bar Associations, and representative of the Ministries responsible for EAC Affairs of </w:t>
      </w:r>
      <w:r w:rsidRPr="00F96EAD">
        <w:rPr>
          <w:rFonts w:asciiTheme="minorHAnsi" w:hAnsiTheme="minorHAnsi" w:cstheme="minorHAnsi"/>
        </w:rPr>
        <w:t xml:space="preserve">all </w:t>
      </w:r>
      <w:r>
        <w:rPr>
          <w:rFonts w:asciiTheme="minorHAnsi" w:hAnsiTheme="minorHAnsi" w:cstheme="minorHAnsi"/>
        </w:rPr>
        <w:t>Partner States</w:t>
      </w:r>
      <w:r w:rsidRPr="00F96EAD">
        <w:rPr>
          <w:rFonts w:asciiTheme="minorHAnsi" w:hAnsiTheme="minorHAnsi" w:cstheme="minorHAnsi"/>
        </w:rPr>
        <w:t xml:space="preserve"> at a meeting in August 2016 and at other subsequent meetings convened by the East African Law Society (EALS), the MRA remains unsigned.  There appears to have been no further progress since a September 2017 meeting organised by the EALS and the EAC Secretariat, in which Attorneys General refused to sign the agreement amidst concerns about who the appropriate signatories for the MRA were, accompanied by fears that their states might be unable to deliver the required changes and that the national laws ensuring the implementation of the Common Market Protocol were not yet in place (EALS Institute).</w:t>
      </w:r>
    </w:p>
  </w:footnote>
  <w:footnote w:id="114">
    <w:p w14:paraId="6FD036BB" w14:textId="77777777" w:rsidR="00E43136" w:rsidRPr="0007478F" w:rsidRDefault="00E43136" w:rsidP="00245089">
      <w:pPr>
        <w:pStyle w:val="FootnoteText"/>
        <w:jc w:val="both"/>
        <w:rPr>
          <w:rFonts w:asciiTheme="minorHAnsi" w:hAnsiTheme="minorHAnsi" w:cstheme="minorHAnsi"/>
        </w:rPr>
      </w:pPr>
      <w:r w:rsidRPr="0007478F">
        <w:rPr>
          <w:rStyle w:val="FootnoteReference"/>
          <w:rFonts w:asciiTheme="minorHAnsi" w:hAnsiTheme="minorHAnsi" w:cstheme="minorHAnsi"/>
        </w:rPr>
        <w:footnoteRef/>
      </w:r>
      <w:r w:rsidRPr="0007478F">
        <w:rPr>
          <w:rFonts w:asciiTheme="minorHAnsi" w:hAnsiTheme="minorHAnsi" w:cstheme="minorHAnsi"/>
        </w:rPr>
        <w:t xml:space="preserve"> Art. 17,</w:t>
      </w:r>
      <w:r w:rsidRPr="00EB20F8">
        <w:rPr>
          <w:rFonts w:asciiTheme="minorHAnsi" w:hAnsiTheme="minorHAnsi" w:cstheme="minorHAnsi"/>
        </w:rPr>
        <w:t xml:space="preserve"> Common Market Protocol.</w:t>
      </w:r>
    </w:p>
  </w:footnote>
  <w:footnote w:id="115">
    <w:p w14:paraId="21D0850B" w14:textId="77777777" w:rsidR="00E43136" w:rsidRPr="0007478F" w:rsidRDefault="00E43136" w:rsidP="00245089">
      <w:pPr>
        <w:pStyle w:val="FootnoteText"/>
        <w:jc w:val="both"/>
        <w:rPr>
          <w:rFonts w:asciiTheme="minorHAnsi" w:hAnsiTheme="minorHAnsi" w:cstheme="minorHAnsi"/>
          <w:lang w:val="en-US"/>
        </w:rPr>
      </w:pPr>
      <w:r w:rsidRPr="0007478F">
        <w:rPr>
          <w:rStyle w:val="FootnoteReference"/>
          <w:rFonts w:asciiTheme="minorHAnsi" w:hAnsiTheme="minorHAnsi" w:cstheme="minorHAnsi"/>
        </w:rPr>
        <w:footnoteRef/>
      </w:r>
      <w:r w:rsidRPr="0007478F">
        <w:rPr>
          <w:rFonts w:asciiTheme="minorHAnsi" w:hAnsiTheme="minorHAnsi" w:cstheme="minorHAnsi"/>
        </w:rPr>
        <w:t xml:space="preserve"> </w:t>
      </w:r>
      <w:r w:rsidRPr="0007478F">
        <w:rPr>
          <w:rFonts w:asciiTheme="minorHAnsi" w:hAnsiTheme="minorHAnsi" w:cstheme="minorHAnsi"/>
          <w:lang w:val="en-US"/>
        </w:rPr>
        <w:t>Art. 17(2) Common Market Protocol.</w:t>
      </w:r>
    </w:p>
  </w:footnote>
  <w:footnote w:id="116">
    <w:p w14:paraId="578CBA0E" w14:textId="77777777" w:rsidR="00E43136" w:rsidRPr="00E67954" w:rsidRDefault="00E43136" w:rsidP="00245089">
      <w:pPr>
        <w:pStyle w:val="FootnoteText"/>
        <w:jc w:val="both"/>
        <w:rPr>
          <w:rFonts w:asciiTheme="minorHAnsi" w:hAnsiTheme="minorHAnsi" w:cstheme="minorHAnsi"/>
          <w:lang w:val="en-US"/>
        </w:rPr>
      </w:pPr>
      <w:r w:rsidRPr="00D402CE">
        <w:rPr>
          <w:rStyle w:val="FootnoteReference"/>
          <w:rFonts w:asciiTheme="minorHAnsi" w:hAnsiTheme="minorHAnsi" w:cstheme="minorHAnsi"/>
        </w:rPr>
        <w:footnoteRef/>
      </w:r>
      <w:r w:rsidRPr="00D402CE">
        <w:rPr>
          <w:rFonts w:asciiTheme="minorHAnsi" w:hAnsiTheme="minorHAnsi" w:cstheme="minorHAnsi"/>
        </w:rPr>
        <w:t xml:space="preserve"> In </w:t>
      </w:r>
      <w:r w:rsidRPr="00D402CE">
        <w:rPr>
          <w:rFonts w:asciiTheme="minorHAnsi" w:hAnsiTheme="minorHAnsi" w:cstheme="minorHAnsi"/>
          <w:i/>
        </w:rPr>
        <w:t xml:space="preserve">Patrick v </w:t>
      </w:r>
      <w:proofErr w:type="spellStart"/>
      <w:r w:rsidRPr="00D402CE">
        <w:rPr>
          <w:rFonts w:asciiTheme="minorHAnsi" w:hAnsiTheme="minorHAnsi" w:cstheme="minorHAnsi"/>
          <w:i/>
        </w:rPr>
        <w:t>Ministre</w:t>
      </w:r>
      <w:proofErr w:type="spellEnd"/>
      <w:r w:rsidRPr="00D402CE">
        <w:rPr>
          <w:rFonts w:asciiTheme="minorHAnsi" w:hAnsiTheme="minorHAnsi" w:cstheme="minorHAnsi"/>
          <w:i/>
        </w:rPr>
        <w:t xml:space="preserve"> des Affaires </w:t>
      </w:r>
      <w:proofErr w:type="spellStart"/>
      <w:r w:rsidRPr="00D402CE">
        <w:rPr>
          <w:rFonts w:asciiTheme="minorHAnsi" w:hAnsiTheme="minorHAnsi" w:cstheme="minorHAnsi"/>
          <w:i/>
        </w:rPr>
        <w:t>Culturelles</w:t>
      </w:r>
      <w:proofErr w:type="spellEnd"/>
      <w:r w:rsidRPr="00D402CE">
        <w:rPr>
          <w:rFonts w:asciiTheme="minorHAnsi" w:hAnsiTheme="minorHAnsi" w:cstheme="minorHAnsi"/>
        </w:rPr>
        <w:t xml:space="preserve">, an issue relating to the recognition by a EU member state of a qualification obtained in another member state was raised in a context where no directive on the mutual recognition of diplomas/qualification had been adopted (1977). The court found that ‘the fact that those directives have not yet been issued does not entitle a Member State to deny the practical benefit of that freedom to a person subject to Community law.’ </w:t>
      </w:r>
      <w:r w:rsidRPr="00D402CE">
        <w:rPr>
          <w:rFonts w:asciiTheme="minorHAnsi" w:hAnsiTheme="minorHAnsi" w:cstheme="minorHAnsi"/>
          <w:i/>
        </w:rPr>
        <w:t xml:space="preserve">Patrick v </w:t>
      </w:r>
      <w:proofErr w:type="spellStart"/>
      <w:r w:rsidRPr="00D402CE">
        <w:rPr>
          <w:rFonts w:asciiTheme="minorHAnsi" w:hAnsiTheme="minorHAnsi" w:cstheme="minorHAnsi"/>
          <w:i/>
        </w:rPr>
        <w:t>Ministre</w:t>
      </w:r>
      <w:proofErr w:type="spellEnd"/>
      <w:r w:rsidRPr="00D402CE">
        <w:rPr>
          <w:rFonts w:asciiTheme="minorHAnsi" w:hAnsiTheme="minorHAnsi" w:cstheme="minorHAnsi"/>
          <w:i/>
        </w:rPr>
        <w:t xml:space="preserve"> des Affaires </w:t>
      </w:r>
      <w:proofErr w:type="spellStart"/>
      <w:r w:rsidRPr="00D402CE">
        <w:rPr>
          <w:rFonts w:asciiTheme="minorHAnsi" w:hAnsiTheme="minorHAnsi" w:cstheme="minorHAnsi"/>
          <w:i/>
        </w:rPr>
        <w:t>Culturelles</w:t>
      </w:r>
      <w:proofErr w:type="spellEnd"/>
      <w:r w:rsidRPr="00D402CE">
        <w:rPr>
          <w:rFonts w:asciiTheme="minorHAnsi" w:hAnsiTheme="minorHAnsi" w:cstheme="minorHAnsi"/>
        </w:rPr>
        <w:t xml:space="preserve"> [1977] ECR 1199</w:t>
      </w:r>
      <w:r w:rsidRPr="00895DE7">
        <w:rPr>
          <w:rFonts w:asciiTheme="minorHAnsi" w:hAnsiTheme="minorHAnsi" w:cstheme="minorHAnsi"/>
        </w:rPr>
        <w:t xml:space="preserve">, </w:t>
      </w:r>
      <w:r>
        <w:rPr>
          <w:rFonts w:asciiTheme="minorHAnsi" w:hAnsiTheme="minorHAnsi" w:cstheme="minorHAnsi"/>
        </w:rPr>
        <w:t xml:space="preserve">para 17. </w:t>
      </w:r>
      <w:r w:rsidRPr="00D402CE">
        <w:rPr>
          <w:rFonts w:asciiTheme="minorHAnsi" w:hAnsiTheme="minorHAnsi" w:cstheme="minorHAnsi"/>
        </w:rPr>
        <w:t xml:space="preserve">The same reasoning was applied by the Court in the case of </w:t>
      </w:r>
      <w:proofErr w:type="spellStart"/>
      <w:r w:rsidRPr="00D402CE">
        <w:rPr>
          <w:rFonts w:asciiTheme="minorHAnsi" w:hAnsiTheme="minorHAnsi" w:cstheme="minorHAnsi"/>
          <w:i/>
        </w:rPr>
        <w:t>Vlassopoulou</w:t>
      </w:r>
      <w:proofErr w:type="spellEnd"/>
      <w:r w:rsidRPr="00D402CE">
        <w:rPr>
          <w:rFonts w:asciiTheme="minorHAnsi" w:hAnsiTheme="minorHAnsi" w:cstheme="minorHAnsi"/>
          <w:i/>
        </w:rPr>
        <w:t>,</w:t>
      </w:r>
      <w:r w:rsidRPr="00D402CE">
        <w:rPr>
          <w:rFonts w:asciiTheme="minorHAnsi" w:hAnsiTheme="minorHAnsi" w:cstheme="minorHAnsi"/>
        </w:rPr>
        <w:t xml:space="preserve"> relating to qualifications/diplomas to provide legal services</w:t>
      </w:r>
      <w:r>
        <w:rPr>
          <w:rFonts w:asciiTheme="minorHAnsi" w:hAnsiTheme="minorHAnsi" w:cstheme="minorHAnsi"/>
        </w:rPr>
        <w:t>.</w:t>
      </w:r>
      <w:r w:rsidRPr="00E67954">
        <w:rPr>
          <w:rFonts w:asciiTheme="minorHAnsi" w:hAnsiTheme="minorHAnsi" w:cstheme="minorHAnsi"/>
        </w:rPr>
        <w:t xml:space="preserve"> </w:t>
      </w:r>
    </w:p>
  </w:footnote>
  <w:footnote w:id="117">
    <w:p w14:paraId="4CCA9ABB" w14:textId="77777777" w:rsidR="00E43136" w:rsidRPr="009773AE" w:rsidRDefault="00E43136" w:rsidP="00245089">
      <w:pPr>
        <w:pStyle w:val="FootnoteText"/>
        <w:jc w:val="both"/>
        <w:rPr>
          <w:rFonts w:asciiTheme="minorHAnsi" w:hAnsiTheme="minorHAnsi" w:cstheme="minorHAnsi"/>
          <w:lang w:val="en-US"/>
        </w:rPr>
      </w:pPr>
      <w:r w:rsidRPr="009773AE">
        <w:rPr>
          <w:rStyle w:val="FootnoteReference"/>
          <w:rFonts w:asciiTheme="minorHAnsi" w:hAnsiTheme="minorHAnsi" w:cstheme="minorHAnsi"/>
        </w:rPr>
        <w:footnoteRef/>
      </w:r>
      <w:r w:rsidRPr="009773AE">
        <w:rPr>
          <w:rFonts w:asciiTheme="minorHAnsi" w:hAnsiTheme="minorHAnsi" w:cstheme="minorHAnsi"/>
        </w:rPr>
        <w:t xml:space="preserve"> </w:t>
      </w:r>
      <w:r w:rsidRPr="009773AE">
        <w:rPr>
          <w:rFonts w:asciiTheme="minorHAnsi" w:hAnsiTheme="minorHAnsi" w:cstheme="minorHAnsi"/>
          <w:lang w:val="en-US"/>
        </w:rPr>
        <w:t>Art. 6(1</w:t>
      </w:r>
      <w:r w:rsidRPr="009773AE">
        <w:rPr>
          <w:rFonts w:asciiTheme="minorHAnsi" w:hAnsiTheme="minorHAnsi" w:cstheme="minorHAnsi"/>
          <w:vertAlign w:val="superscript"/>
          <w:lang w:val="en-US"/>
        </w:rPr>
        <w:t>o</w:t>
      </w:r>
      <w:r w:rsidRPr="009773AE">
        <w:rPr>
          <w:rFonts w:asciiTheme="minorHAnsi" w:hAnsiTheme="minorHAnsi" w:cstheme="minorHAnsi"/>
          <w:lang w:val="en-US"/>
        </w:rPr>
        <w:t xml:space="preserve">) Law No. 83/2013 of 11/09/2013 establishing the Bar Association in Rwanda and determining its </w:t>
      </w:r>
      <w:proofErr w:type="spellStart"/>
      <w:r w:rsidRPr="009773AE">
        <w:rPr>
          <w:rFonts w:asciiTheme="minorHAnsi" w:hAnsiTheme="minorHAnsi" w:cstheme="minorHAnsi"/>
          <w:lang w:val="en-US"/>
        </w:rPr>
        <w:t>organi</w:t>
      </w:r>
      <w:r>
        <w:rPr>
          <w:rFonts w:asciiTheme="minorHAnsi" w:hAnsiTheme="minorHAnsi" w:cstheme="minorHAnsi"/>
          <w:lang w:val="en-US"/>
        </w:rPr>
        <w:t>s</w:t>
      </w:r>
      <w:r w:rsidRPr="009773AE">
        <w:rPr>
          <w:rFonts w:asciiTheme="minorHAnsi" w:hAnsiTheme="minorHAnsi" w:cstheme="minorHAnsi"/>
          <w:lang w:val="en-US"/>
        </w:rPr>
        <w:t>ation</w:t>
      </w:r>
      <w:proofErr w:type="spellEnd"/>
      <w:r w:rsidRPr="009773AE">
        <w:rPr>
          <w:rFonts w:asciiTheme="minorHAnsi" w:hAnsiTheme="minorHAnsi" w:cstheme="minorHAnsi"/>
          <w:lang w:val="en-US"/>
        </w:rPr>
        <w:t xml:space="preserve"> and functioning.</w:t>
      </w:r>
      <w:r w:rsidRPr="00EB20F8">
        <w:rPr>
          <w:rFonts w:asciiTheme="minorHAnsi" w:hAnsiTheme="minorHAnsi" w:cstheme="minorHAnsi"/>
          <w:lang w:val="en-US"/>
        </w:rPr>
        <w:t xml:space="preserve"> </w:t>
      </w:r>
      <w:r w:rsidRPr="009773AE">
        <w:rPr>
          <w:rFonts w:asciiTheme="minorHAnsi" w:hAnsiTheme="minorHAnsi" w:cstheme="minorHAnsi"/>
          <w:lang w:val="en-US"/>
        </w:rPr>
        <w:t>This is a clear indication that the compliance with EAC law was not a concern of the lawmaker during the enactment of the RBA law</w:t>
      </w:r>
      <w:r>
        <w:rPr>
          <w:rFonts w:asciiTheme="minorHAnsi" w:hAnsiTheme="minorHAnsi" w:cstheme="minorHAnsi"/>
          <w:lang w:val="en-US"/>
        </w:rPr>
        <w:t>.</w:t>
      </w:r>
    </w:p>
  </w:footnote>
  <w:footnote w:id="118">
    <w:p w14:paraId="139EC424" w14:textId="77777777" w:rsidR="00E43136" w:rsidRPr="009773AE" w:rsidRDefault="00E43136" w:rsidP="00245089">
      <w:pPr>
        <w:pStyle w:val="FootnoteText"/>
        <w:jc w:val="both"/>
        <w:rPr>
          <w:rFonts w:asciiTheme="minorHAnsi" w:hAnsiTheme="minorHAnsi" w:cstheme="minorHAnsi"/>
          <w:lang w:val="en-US"/>
        </w:rPr>
      </w:pPr>
      <w:r w:rsidRPr="009773AE">
        <w:rPr>
          <w:rStyle w:val="FootnoteReference"/>
          <w:rFonts w:asciiTheme="minorHAnsi" w:hAnsiTheme="minorHAnsi" w:cstheme="minorHAnsi"/>
        </w:rPr>
        <w:footnoteRef/>
      </w:r>
      <w:r w:rsidRPr="009773AE">
        <w:rPr>
          <w:rFonts w:asciiTheme="minorHAnsi" w:hAnsiTheme="minorHAnsi" w:cstheme="minorHAnsi"/>
        </w:rPr>
        <w:t xml:space="preserve"> </w:t>
      </w:r>
      <w:r w:rsidRPr="009773AE">
        <w:rPr>
          <w:rFonts w:asciiTheme="minorHAnsi" w:hAnsiTheme="minorHAnsi" w:cstheme="minorHAnsi"/>
          <w:lang w:val="en-US"/>
        </w:rPr>
        <w:t>In 2019, a total of 50 lawyers from Belgium, France, UK, Cameroon, Mauritania, Ghana, Gambia and DRC were practicing in Rwanda pursuant to this provision.</w:t>
      </w:r>
    </w:p>
  </w:footnote>
  <w:footnote w:id="119">
    <w:p w14:paraId="4CD74223" w14:textId="77777777" w:rsidR="00E43136" w:rsidRPr="009773AE" w:rsidRDefault="00E43136" w:rsidP="00245089">
      <w:pPr>
        <w:pStyle w:val="FootnoteText"/>
        <w:jc w:val="both"/>
        <w:rPr>
          <w:rFonts w:asciiTheme="minorHAnsi" w:hAnsiTheme="minorHAnsi" w:cstheme="minorHAnsi"/>
          <w:lang w:val="en-US"/>
        </w:rPr>
      </w:pPr>
      <w:r w:rsidRPr="009773AE">
        <w:rPr>
          <w:rStyle w:val="FootnoteReference"/>
          <w:rFonts w:asciiTheme="minorHAnsi" w:hAnsiTheme="minorHAnsi" w:cstheme="minorHAnsi"/>
        </w:rPr>
        <w:footnoteRef/>
      </w:r>
      <w:r w:rsidRPr="009773AE">
        <w:rPr>
          <w:rFonts w:asciiTheme="minorHAnsi" w:hAnsiTheme="minorHAnsi" w:cstheme="minorHAnsi"/>
        </w:rPr>
        <w:t xml:space="preserve"> </w:t>
      </w:r>
      <w:r w:rsidRPr="009773AE">
        <w:rPr>
          <w:rFonts w:asciiTheme="minorHAnsi" w:hAnsiTheme="minorHAnsi" w:cstheme="minorHAnsi"/>
          <w:lang w:val="en-US"/>
        </w:rPr>
        <w:t>Art. 7</w:t>
      </w:r>
      <w:r>
        <w:rPr>
          <w:rFonts w:asciiTheme="minorHAnsi" w:hAnsiTheme="minorHAnsi" w:cstheme="minorHAnsi"/>
          <w:lang w:val="en-US"/>
        </w:rPr>
        <w:t>8</w:t>
      </w:r>
      <w:r w:rsidRPr="009773AE">
        <w:rPr>
          <w:rFonts w:asciiTheme="minorHAnsi" w:hAnsiTheme="minorHAnsi" w:cstheme="minorHAnsi"/>
          <w:lang w:val="en-US"/>
        </w:rPr>
        <w:t xml:space="preserve"> para 1 of Internal Rules and Regulations of Rwanda Bar Association.</w:t>
      </w:r>
    </w:p>
  </w:footnote>
  <w:footnote w:id="120">
    <w:p w14:paraId="7911273B" w14:textId="77777777" w:rsidR="00E43136" w:rsidRPr="009773AE" w:rsidRDefault="00E43136" w:rsidP="00245089">
      <w:pPr>
        <w:pStyle w:val="FootnoteText"/>
        <w:jc w:val="both"/>
        <w:rPr>
          <w:rFonts w:asciiTheme="minorHAnsi" w:hAnsiTheme="minorHAnsi" w:cstheme="minorHAnsi"/>
          <w:lang w:val="en-US"/>
        </w:rPr>
      </w:pPr>
      <w:r w:rsidRPr="009773AE">
        <w:rPr>
          <w:rStyle w:val="FootnoteReference"/>
          <w:rFonts w:asciiTheme="minorHAnsi" w:hAnsiTheme="minorHAnsi" w:cstheme="minorHAnsi"/>
        </w:rPr>
        <w:footnoteRef/>
      </w:r>
      <w:r w:rsidRPr="009773AE">
        <w:rPr>
          <w:rFonts w:asciiTheme="minorHAnsi" w:hAnsiTheme="minorHAnsi" w:cstheme="minorHAnsi"/>
        </w:rPr>
        <w:t xml:space="preserve"> </w:t>
      </w:r>
      <w:r w:rsidRPr="009773AE">
        <w:rPr>
          <w:rFonts w:asciiTheme="minorHAnsi" w:hAnsiTheme="minorHAnsi" w:cstheme="minorHAnsi"/>
          <w:lang w:val="en-US"/>
        </w:rPr>
        <w:t>Art. 7 RBA Law.</w:t>
      </w:r>
    </w:p>
  </w:footnote>
  <w:footnote w:id="121">
    <w:p w14:paraId="221AFF91" w14:textId="77777777" w:rsidR="00E43136" w:rsidRPr="009773AE" w:rsidRDefault="00E43136" w:rsidP="00245089">
      <w:pPr>
        <w:pStyle w:val="FootnoteText"/>
        <w:jc w:val="both"/>
        <w:rPr>
          <w:rFonts w:asciiTheme="minorHAnsi" w:hAnsiTheme="minorHAnsi" w:cstheme="minorHAnsi"/>
          <w:lang w:val="en-US"/>
        </w:rPr>
      </w:pPr>
      <w:r w:rsidRPr="009773AE">
        <w:rPr>
          <w:rStyle w:val="FootnoteReference"/>
          <w:rFonts w:asciiTheme="minorHAnsi" w:hAnsiTheme="minorHAnsi" w:cstheme="minorHAnsi"/>
        </w:rPr>
        <w:footnoteRef/>
      </w:r>
      <w:r w:rsidRPr="009773AE">
        <w:rPr>
          <w:rFonts w:asciiTheme="minorHAnsi" w:hAnsiTheme="minorHAnsi" w:cstheme="minorHAnsi"/>
        </w:rPr>
        <w:t xml:space="preserve"> </w:t>
      </w:r>
      <w:r w:rsidRPr="009773AE">
        <w:rPr>
          <w:rFonts w:asciiTheme="minorHAnsi" w:hAnsiTheme="minorHAnsi" w:cstheme="minorHAnsi"/>
          <w:lang w:val="en-US"/>
        </w:rPr>
        <w:t>In 2019, a total of 42 lawyers from Burundi, Kenya and Uganda were on the list of the Rwanda Bar Association.</w:t>
      </w:r>
    </w:p>
  </w:footnote>
  <w:footnote w:id="122">
    <w:p w14:paraId="00CB1E58" w14:textId="77777777" w:rsidR="00E43136" w:rsidRPr="00AC1095" w:rsidRDefault="00E43136" w:rsidP="00245089">
      <w:pPr>
        <w:pStyle w:val="FootnoteText"/>
        <w:jc w:val="both"/>
        <w:rPr>
          <w:lang w:val="en-US"/>
        </w:rPr>
      </w:pPr>
      <w:r>
        <w:rPr>
          <w:rStyle w:val="FootnoteReference"/>
        </w:rPr>
        <w:footnoteRef/>
      </w:r>
      <w:r>
        <w:t xml:space="preserve"> Art. 7 para 2 RBA Law.</w:t>
      </w:r>
    </w:p>
  </w:footnote>
  <w:footnote w:id="123">
    <w:p w14:paraId="0B57C015" w14:textId="77777777" w:rsidR="00E43136" w:rsidRPr="00AC1095" w:rsidRDefault="00E43136" w:rsidP="00245089">
      <w:pPr>
        <w:pStyle w:val="FootnoteText"/>
        <w:jc w:val="both"/>
        <w:rPr>
          <w:lang w:val="en-US"/>
        </w:rPr>
      </w:pPr>
      <w:r w:rsidRPr="00CC4FFB">
        <w:rPr>
          <w:rStyle w:val="FootnoteReference"/>
        </w:rPr>
        <w:footnoteRef/>
      </w:r>
      <w:r w:rsidRPr="00CC4FFB">
        <w:t xml:space="preserve"> </w:t>
      </w:r>
      <w:r w:rsidRPr="00CC4FFB">
        <w:rPr>
          <w:lang w:val="en-US"/>
        </w:rPr>
        <w:t xml:space="preserve">Art. 78 para 2 of the </w:t>
      </w:r>
      <w:r w:rsidRPr="00CC4FFB">
        <w:rPr>
          <w:rFonts w:asciiTheme="minorHAnsi" w:hAnsiTheme="minorHAnsi" w:cstheme="minorHAnsi"/>
          <w:lang w:val="en-US"/>
        </w:rPr>
        <w:t>Internal Rules and Regulations of Rwanda Bar Association.</w:t>
      </w:r>
    </w:p>
  </w:footnote>
  <w:footnote w:id="124">
    <w:p w14:paraId="40709C41" w14:textId="77777777" w:rsidR="00E43136" w:rsidRPr="0067575C" w:rsidRDefault="00E43136" w:rsidP="00245089">
      <w:pPr>
        <w:pStyle w:val="FootnoteText"/>
        <w:jc w:val="both"/>
        <w:rPr>
          <w:rFonts w:cs="Calibri"/>
          <w:lang w:val="en-US"/>
        </w:rPr>
      </w:pPr>
      <w:r w:rsidRPr="0067575C">
        <w:rPr>
          <w:rStyle w:val="FootnoteReference"/>
          <w:rFonts w:cs="Calibri"/>
        </w:rPr>
        <w:footnoteRef/>
      </w:r>
      <w:r w:rsidRPr="0067575C">
        <w:rPr>
          <w:rFonts w:cs="Calibri"/>
        </w:rPr>
        <w:t xml:space="preserve"> </w:t>
      </w:r>
      <w:r w:rsidRPr="0067575C">
        <w:rPr>
          <w:rFonts w:cs="Calibri"/>
          <w:lang w:val="en-US"/>
        </w:rPr>
        <w:t xml:space="preserve">See Art. 168 of the Constitution of Rwanda as modified in 2015, and Art. 2(6) of the Constitution of Kenya (2010). Kenya was traditionally a dualist country until the advent of the Constitution of 2010. L. </w:t>
      </w:r>
      <w:proofErr w:type="spellStart"/>
      <w:r w:rsidRPr="0067575C">
        <w:rPr>
          <w:rFonts w:cs="Calibri"/>
          <w:lang w:val="en-US"/>
        </w:rPr>
        <w:t>Franceschi</w:t>
      </w:r>
      <w:proofErr w:type="spellEnd"/>
      <w:r w:rsidRPr="0067575C">
        <w:rPr>
          <w:rFonts w:cs="Calibri"/>
          <w:lang w:val="en-US"/>
        </w:rPr>
        <w:t xml:space="preserve"> and PLO Lumumba. </w:t>
      </w:r>
      <w:r w:rsidRPr="0067575C">
        <w:rPr>
          <w:rFonts w:cs="Calibri"/>
          <w:i/>
          <w:lang w:val="en-US"/>
        </w:rPr>
        <w:t>The Constitution of Kenya: A Commentary</w:t>
      </w:r>
      <w:r w:rsidRPr="0067575C">
        <w:rPr>
          <w:rFonts w:cs="Calibri"/>
          <w:lang w:val="en-US"/>
        </w:rPr>
        <w:t xml:space="preserve"> </w:t>
      </w:r>
      <w:r>
        <w:rPr>
          <w:rFonts w:cs="Calibri"/>
          <w:lang w:val="en-US"/>
        </w:rPr>
        <w:t>(</w:t>
      </w:r>
      <w:r w:rsidRPr="0067575C">
        <w:rPr>
          <w:rFonts w:cs="Calibri"/>
          <w:lang w:val="en-US"/>
        </w:rPr>
        <w:t>2</w:t>
      </w:r>
      <w:r w:rsidRPr="0067575C">
        <w:rPr>
          <w:rFonts w:cs="Calibri"/>
          <w:vertAlign w:val="superscript"/>
          <w:lang w:val="en-US"/>
        </w:rPr>
        <w:t>nd</w:t>
      </w:r>
      <w:r w:rsidRPr="0067575C">
        <w:rPr>
          <w:rFonts w:cs="Calibri"/>
          <w:lang w:val="en-US"/>
        </w:rPr>
        <w:t xml:space="preserve"> edition, Strathmore University Press</w:t>
      </w:r>
      <w:r>
        <w:rPr>
          <w:rFonts w:cs="Calibri"/>
          <w:lang w:val="en-US"/>
        </w:rPr>
        <w:t xml:space="preserve"> </w:t>
      </w:r>
      <w:r w:rsidRPr="0067575C">
        <w:rPr>
          <w:rFonts w:cs="Calibri"/>
          <w:lang w:val="en-US"/>
        </w:rPr>
        <w:t>2019)</w:t>
      </w:r>
      <w:r>
        <w:rPr>
          <w:rFonts w:cs="Calibri"/>
          <w:lang w:val="en-US"/>
        </w:rPr>
        <w:t>:</w:t>
      </w:r>
      <w:r w:rsidRPr="0067575C">
        <w:rPr>
          <w:rFonts w:cs="Calibri"/>
          <w:lang w:val="en-US"/>
        </w:rPr>
        <w:t xml:space="preserve"> 77.</w:t>
      </w:r>
    </w:p>
  </w:footnote>
  <w:footnote w:id="125">
    <w:p w14:paraId="3B27388D" w14:textId="77777777" w:rsidR="00E43136" w:rsidRPr="0067575C" w:rsidRDefault="00E43136" w:rsidP="00245089">
      <w:pPr>
        <w:pStyle w:val="FootnoteText"/>
        <w:jc w:val="both"/>
        <w:rPr>
          <w:rFonts w:cs="Calibri"/>
          <w:lang w:val="en-US"/>
        </w:rPr>
      </w:pPr>
      <w:r w:rsidRPr="0067575C">
        <w:rPr>
          <w:rStyle w:val="FootnoteReference"/>
          <w:rFonts w:cs="Calibri"/>
        </w:rPr>
        <w:footnoteRef/>
      </w:r>
      <w:r w:rsidRPr="0067575C">
        <w:rPr>
          <w:rFonts w:cs="Calibri"/>
        </w:rPr>
        <w:t xml:space="preserve"> B</w:t>
      </w:r>
      <w:proofErr w:type="spellStart"/>
      <w:r w:rsidRPr="0067575C">
        <w:rPr>
          <w:rFonts w:cs="Calibri"/>
          <w:lang w:val="en-US"/>
        </w:rPr>
        <w:t>oth</w:t>
      </w:r>
      <w:proofErr w:type="spellEnd"/>
      <w:r w:rsidRPr="0067575C">
        <w:rPr>
          <w:rFonts w:cs="Calibri"/>
          <w:lang w:val="en-US"/>
        </w:rPr>
        <w:t xml:space="preserve"> countries appear to be pro-integration and are therefore fast-tracking the implementation of EAC laws based on the principle of variable geometry. For more discussion on the application of the principle of variable geometry in EAC, see </w:t>
      </w:r>
      <w:r>
        <w:rPr>
          <w:rFonts w:cs="Calibri"/>
          <w:lang w:val="en-US"/>
        </w:rPr>
        <w:t xml:space="preserve">M. </w:t>
      </w:r>
      <w:r w:rsidRPr="0067575C">
        <w:rPr>
          <w:rFonts w:cs="Calibri"/>
          <w:lang w:val="en-US"/>
        </w:rPr>
        <w:t>Binda,</w:t>
      </w:r>
      <w:r>
        <w:rPr>
          <w:rFonts w:cs="Calibri"/>
          <w:lang w:val="en-US"/>
        </w:rPr>
        <w:t xml:space="preserve"> “</w:t>
      </w:r>
      <w:r w:rsidRPr="0067575C">
        <w:rPr>
          <w:rFonts w:cs="Calibri"/>
          <w:lang w:val="en-US"/>
        </w:rPr>
        <w:t>Legal Framework of the EAC,</w:t>
      </w:r>
      <w:r>
        <w:rPr>
          <w:rFonts w:cs="Calibri"/>
          <w:lang w:val="en-US"/>
        </w:rPr>
        <w:t>”</w:t>
      </w:r>
      <w:r w:rsidRPr="0067575C">
        <w:rPr>
          <w:rFonts w:cs="Calibri"/>
          <w:lang w:val="en-US"/>
        </w:rPr>
        <w:t xml:space="preserve"> </w:t>
      </w:r>
      <w:r w:rsidRPr="0067575C">
        <w:rPr>
          <w:rFonts w:cs="Calibri"/>
        </w:rPr>
        <w:t xml:space="preserve">in </w:t>
      </w:r>
      <w:r w:rsidRPr="0067575C">
        <w:rPr>
          <w:rFonts w:cs="Calibri"/>
          <w:i/>
          <w:iCs/>
        </w:rPr>
        <w:t>East African Community Law</w:t>
      </w:r>
      <w:r w:rsidRPr="0067575C">
        <w:rPr>
          <w:rFonts w:cs="Calibri"/>
        </w:rPr>
        <w:t xml:space="preserve"> eds </w:t>
      </w:r>
      <w:proofErr w:type="spellStart"/>
      <w:r w:rsidRPr="0067575C">
        <w:rPr>
          <w:rFonts w:cs="Calibri"/>
        </w:rPr>
        <w:t>Ugirashebuja</w:t>
      </w:r>
      <w:proofErr w:type="spellEnd"/>
      <w:r w:rsidRPr="0067575C">
        <w:rPr>
          <w:rFonts w:cs="Calibri"/>
        </w:rPr>
        <w:t xml:space="preserve">, E., </w:t>
      </w:r>
      <w:proofErr w:type="spellStart"/>
      <w:r w:rsidRPr="0067575C">
        <w:rPr>
          <w:rFonts w:cs="Calibri"/>
        </w:rPr>
        <w:t>Ruhangisa</w:t>
      </w:r>
      <w:proofErr w:type="spellEnd"/>
      <w:r w:rsidRPr="0067575C">
        <w:rPr>
          <w:rFonts w:cs="Calibri"/>
        </w:rPr>
        <w:t xml:space="preserve">, J.E., </w:t>
      </w:r>
      <w:proofErr w:type="spellStart"/>
      <w:r w:rsidRPr="0067575C">
        <w:rPr>
          <w:rFonts w:cs="Calibri"/>
        </w:rPr>
        <w:t>Ottervanger</w:t>
      </w:r>
      <w:proofErr w:type="spellEnd"/>
      <w:r w:rsidRPr="0067575C">
        <w:rPr>
          <w:rFonts w:cs="Calibri"/>
        </w:rPr>
        <w:t xml:space="preserve">, T. and </w:t>
      </w:r>
      <w:proofErr w:type="spellStart"/>
      <w:r w:rsidRPr="0067575C">
        <w:rPr>
          <w:rFonts w:cs="Calibri"/>
        </w:rPr>
        <w:t>Cuyvers</w:t>
      </w:r>
      <w:proofErr w:type="spellEnd"/>
      <w:r w:rsidRPr="0067575C">
        <w:rPr>
          <w:rFonts w:cs="Calibri"/>
        </w:rPr>
        <w:t>, A.</w:t>
      </w:r>
      <w:r>
        <w:rPr>
          <w:rFonts w:cs="Calibri"/>
        </w:rPr>
        <w:t xml:space="preserve"> (</w:t>
      </w:r>
      <w:r w:rsidRPr="0067575C">
        <w:rPr>
          <w:rFonts w:cs="Calibri"/>
        </w:rPr>
        <w:t xml:space="preserve">Leiden. Brill </w:t>
      </w:r>
      <w:proofErr w:type="spellStart"/>
      <w:r w:rsidRPr="0067575C">
        <w:rPr>
          <w:rFonts w:cs="Calibri"/>
        </w:rPr>
        <w:t>Nijhoff</w:t>
      </w:r>
      <w:proofErr w:type="spellEnd"/>
      <w:r w:rsidRPr="0067575C">
        <w:rPr>
          <w:rFonts w:cs="Calibri"/>
        </w:rPr>
        <w:t>,</w:t>
      </w:r>
      <w:r>
        <w:rPr>
          <w:rFonts w:cs="Calibri"/>
        </w:rPr>
        <w:t xml:space="preserve"> 2017): </w:t>
      </w:r>
      <w:r w:rsidRPr="0067575C">
        <w:rPr>
          <w:rFonts w:cs="Calibri"/>
        </w:rPr>
        <w:t>103-118, 106.</w:t>
      </w:r>
      <w:r w:rsidRPr="0067575C">
        <w:rPr>
          <w:rFonts w:cs="Calibri"/>
          <w:lang w:val="en-US"/>
        </w:rPr>
        <w:t xml:space="preserve"> </w:t>
      </w:r>
    </w:p>
  </w:footnote>
  <w:footnote w:id="126">
    <w:p w14:paraId="6AB14D97" w14:textId="77777777" w:rsidR="00E43136" w:rsidRPr="0067575C" w:rsidRDefault="00E43136" w:rsidP="00245089">
      <w:pPr>
        <w:autoSpaceDE w:val="0"/>
        <w:autoSpaceDN w:val="0"/>
        <w:adjustRightInd w:val="0"/>
        <w:spacing w:after="0" w:line="240" w:lineRule="auto"/>
        <w:jc w:val="both"/>
        <w:rPr>
          <w:rFonts w:cs="Calibri"/>
          <w:sz w:val="20"/>
          <w:szCs w:val="20"/>
        </w:rPr>
      </w:pPr>
      <w:r w:rsidRPr="0067575C">
        <w:rPr>
          <w:rStyle w:val="FootnoteReference"/>
          <w:rFonts w:cs="Calibri"/>
          <w:sz w:val="20"/>
          <w:szCs w:val="20"/>
        </w:rPr>
        <w:footnoteRef/>
      </w:r>
      <w:r w:rsidRPr="0067575C">
        <w:rPr>
          <w:rFonts w:cs="Calibri"/>
          <w:sz w:val="20"/>
          <w:szCs w:val="20"/>
        </w:rPr>
        <w:t xml:space="preserve"> </w:t>
      </w:r>
      <w:r>
        <w:rPr>
          <w:rFonts w:cs="Calibri"/>
          <w:sz w:val="20"/>
          <w:szCs w:val="20"/>
        </w:rPr>
        <w:t xml:space="preserve">M. </w:t>
      </w:r>
      <w:r w:rsidRPr="0067575C">
        <w:rPr>
          <w:rFonts w:cs="Calibri"/>
          <w:sz w:val="20"/>
          <w:szCs w:val="20"/>
        </w:rPr>
        <w:t xml:space="preserve">Binda, </w:t>
      </w:r>
      <w:r w:rsidRPr="0067575C">
        <w:rPr>
          <w:rFonts w:cs="Calibri"/>
          <w:i/>
          <w:sz w:val="20"/>
          <w:szCs w:val="20"/>
        </w:rPr>
        <w:t>Good Governance and Foreign Direct Investment: A Legal Contribution to a Balanced Economic Development in the East African Community</w:t>
      </w:r>
      <w:r w:rsidRPr="0067575C">
        <w:rPr>
          <w:rFonts w:cs="Calibri"/>
          <w:sz w:val="20"/>
          <w:szCs w:val="20"/>
        </w:rPr>
        <w:t>, PhD Thesis, Utrecht University,</w:t>
      </w:r>
      <w:r>
        <w:rPr>
          <w:rFonts w:cs="Calibri"/>
          <w:sz w:val="20"/>
          <w:szCs w:val="20"/>
        </w:rPr>
        <w:t xml:space="preserve"> (2015): </w:t>
      </w:r>
      <w:r w:rsidRPr="0067575C">
        <w:rPr>
          <w:rFonts w:cs="Calibri"/>
          <w:sz w:val="20"/>
          <w:szCs w:val="20"/>
        </w:rPr>
        <w:t>184. &lt;https://dspace.library.uu.nl/handle/1874/318087&gt; Accessed 26 June 2020.</w:t>
      </w:r>
    </w:p>
  </w:footnote>
  <w:footnote w:id="127">
    <w:p w14:paraId="2EFA87ED" w14:textId="77777777" w:rsidR="00E43136" w:rsidRPr="0067575C" w:rsidRDefault="00E43136" w:rsidP="00245089">
      <w:pPr>
        <w:pStyle w:val="FootnoteText"/>
        <w:jc w:val="both"/>
        <w:rPr>
          <w:rFonts w:cs="Calibri"/>
          <w:lang w:val="en-US"/>
        </w:rPr>
      </w:pPr>
      <w:r w:rsidRPr="0067575C">
        <w:rPr>
          <w:rStyle w:val="FootnoteReference"/>
          <w:rFonts w:cs="Calibri"/>
        </w:rPr>
        <w:footnoteRef/>
      </w:r>
      <w:r w:rsidRPr="0067575C">
        <w:rPr>
          <w:rFonts w:cs="Calibri"/>
        </w:rPr>
        <w:t xml:space="preserve"> </w:t>
      </w:r>
      <w:r w:rsidRPr="0067575C">
        <w:rPr>
          <w:rFonts w:cs="Calibri"/>
          <w:lang w:val="en-US"/>
        </w:rPr>
        <w:t>Art. 78 para 4 of Internal Rules and Regulations of Rwanda Bar Association.</w:t>
      </w:r>
    </w:p>
  </w:footnote>
  <w:footnote w:id="128">
    <w:p w14:paraId="5C3D626B" w14:textId="77777777" w:rsidR="00E43136" w:rsidRPr="004F3C76" w:rsidRDefault="00E43136" w:rsidP="00245089">
      <w:pPr>
        <w:pStyle w:val="FootnoteText"/>
        <w:jc w:val="both"/>
        <w:rPr>
          <w:rFonts w:asciiTheme="minorHAnsi" w:hAnsiTheme="minorHAnsi" w:cstheme="minorHAnsi"/>
          <w:lang w:val="en-US"/>
        </w:rPr>
      </w:pPr>
      <w:r w:rsidRPr="004F3C76">
        <w:rPr>
          <w:rStyle w:val="FootnoteReference"/>
          <w:rFonts w:asciiTheme="minorHAnsi" w:hAnsiTheme="minorHAnsi" w:cstheme="minorHAnsi"/>
        </w:rPr>
        <w:footnoteRef/>
      </w:r>
      <w:r w:rsidRPr="004F3C76">
        <w:rPr>
          <w:rFonts w:asciiTheme="minorHAnsi" w:hAnsiTheme="minorHAnsi" w:cstheme="minorHAnsi"/>
        </w:rPr>
        <w:t xml:space="preserve"> </w:t>
      </w:r>
      <w:r w:rsidRPr="004F3C76">
        <w:rPr>
          <w:rFonts w:asciiTheme="minorHAnsi" w:hAnsiTheme="minorHAnsi" w:cstheme="minorHAnsi"/>
          <w:lang w:val="en-US"/>
        </w:rPr>
        <w:t>See for instance Art. 203 of the Law No. 027/2019 of 19/09/2019 relating to criminal procedure. Although the same provision allows the use of other official languages (French, English, and Kiswahili) in court proceedings, Kinyarwanda is by far the most</w:t>
      </w:r>
      <w:r>
        <w:rPr>
          <w:rFonts w:asciiTheme="minorHAnsi" w:hAnsiTheme="minorHAnsi" w:cstheme="minorHAnsi"/>
          <w:lang w:val="en-US"/>
        </w:rPr>
        <w:t xml:space="preserve"> commonly</w:t>
      </w:r>
      <w:r w:rsidRPr="004F3C76">
        <w:rPr>
          <w:rFonts w:asciiTheme="minorHAnsi" w:hAnsiTheme="minorHAnsi" w:cstheme="minorHAnsi"/>
          <w:lang w:val="en-US"/>
        </w:rPr>
        <w:t xml:space="preserve"> used language.</w:t>
      </w:r>
    </w:p>
  </w:footnote>
  <w:footnote w:id="129">
    <w:p w14:paraId="39F57C1D" w14:textId="77777777" w:rsidR="00E43136" w:rsidRPr="001D6D90" w:rsidRDefault="00E43136" w:rsidP="00245089">
      <w:pPr>
        <w:pStyle w:val="FootnoteText"/>
        <w:jc w:val="both"/>
        <w:rPr>
          <w:rFonts w:cs="Calibri"/>
        </w:rPr>
      </w:pPr>
      <w:r w:rsidRPr="001D6D90">
        <w:rPr>
          <w:rStyle w:val="FootnoteReference"/>
          <w:rFonts w:cs="Calibri"/>
        </w:rPr>
        <w:footnoteRef/>
      </w:r>
      <w:r w:rsidRPr="001D6D90">
        <w:rPr>
          <w:rFonts w:cs="Calibri"/>
        </w:rPr>
        <w:t xml:space="preserve"> </w:t>
      </w:r>
      <w:proofErr w:type="spellStart"/>
      <w:r w:rsidRPr="001D6D90">
        <w:rPr>
          <w:rFonts w:eastAsia="Times New Roman" w:cs="Calibri"/>
          <w:i/>
          <w:iCs/>
          <w:color w:val="000222"/>
          <w:kern w:val="36"/>
          <w:lang w:eastAsia="en-GB"/>
        </w:rPr>
        <w:t>Katungi</w:t>
      </w:r>
      <w:proofErr w:type="spellEnd"/>
      <w:r w:rsidRPr="001D6D90">
        <w:rPr>
          <w:rFonts w:eastAsia="Times New Roman" w:cs="Calibri"/>
          <w:i/>
          <w:iCs/>
          <w:color w:val="000222"/>
          <w:kern w:val="36"/>
          <w:lang w:eastAsia="en-GB"/>
        </w:rPr>
        <w:t xml:space="preserve"> Tony vs Attorney General</w:t>
      </w:r>
      <w:r w:rsidRPr="001D6D90">
        <w:rPr>
          <w:rFonts w:eastAsia="Times New Roman" w:cs="Calibri"/>
          <w:color w:val="000222"/>
          <w:kern w:val="36"/>
          <w:lang w:eastAsia="en-GB"/>
        </w:rPr>
        <w:t xml:space="preserve"> (Misc. Cause No.204 of 2017) [2019] UGHCCD 1 (25 January 2019), para 44.</w:t>
      </w:r>
    </w:p>
  </w:footnote>
  <w:footnote w:id="130">
    <w:p w14:paraId="19A724D4" w14:textId="77777777" w:rsidR="00E43136" w:rsidRPr="004F3C76" w:rsidRDefault="00E43136" w:rsidP="00245089">
      <w:pPr>
        <w:pStyle w:val="FootnoteText"/>
        <w:jc w:val="both"/>
        <w:rPr>
          <w:rFonts w:asciiTheme="minorHAnsi" w:hAnsiTheme="minorHAnsi" w:cstheme="minorHAnsi"/>
        </w:rPr>
      </w:pPr>
      <w:r w:rsidRPr="001D6D90">
        <w:rPr>
          <w:rStyle w:val="FootnoteReference"/>
          <w:rFonts w:cs="Calibri"/>
        </w:rPr>
        <w:footnoteRef/>
      </w:r>
      <w:r w:rsidRPr="001D6D90">
        <w:rPr>
          <w:rFonts w:cs="Calibri"/>
        </w:rPr>
        <w:t xml:space="preserve"> S. 13(1)(d), Advocates Act 2012.</w:t>
      </w:r>
    </w:p>
  </w:footnote>
  <w:footnote w:id="131">
    <w:p w14:paraId="3C3C86A6" w14:textId="77777777" w:rsidR="00E43136" w:rsidRPr="004F3C76" w:rsidRDefault="00E43136" w:rsidP="00245089">
      <w:pPr>
        <w:autoSpaceDE w:val="0"/>
        <w:autoSpaceDN w:val="0"/>
        <w:adjustRightInd w:val="0"/>
        <w:spacing w:after="0" w:line="240" w:lineRule="auto"/>
        <w:jc w:val="both"/>
        <w:rPr>
          <w:rFonts w:asciiTheme="minorHAnsi" w:hAnsiTheme="minorHAnsi" w:cstheme="minorHAnsi"/>
        </w:rPr>
      </w:pPr>
      <w:r w:rsidRPr="0059720D">
        <w:rPr>
          <w:rStyle w:val="FootnoteReference"/>
          <w:rFonts w:asciiTheme="minorHAnsi" w:hAnsiTheme="minorHAnsi" w:cstheme="minorHAnsi"/>
          <w:sz w:val="20"/>
          <w:szCs w:val="20"/>
        </w:rPr>
        <w:footnoteRef/>
      </w:r>
      <w:r w:rsidRPr="0059720D">
        <w:rPr>
          <w:rFonts w:asciiTheme="minorHAnsi" w:hAnsiTheme="minorHAnsi" w:cstheme="minorHAnsi"/>
          <w:sz w:val="20"/>
          <w:szCs w:val="20"/>
        </w:rPr>
        <w:t xml:space="preserve"> </w:t>
      </w:r>
      <w:r w:rsidRPr="0059720D">
        <w:rPr>
          <w:rFonts w:asciiTheme="minorHAnsi" w:eastAsiaTheme="minorHAnsi" w:hAnsiTheme="minorHAnsi" w:cstheme="minorHAnsi"/>
          <w:sz w:val="20"/>
          <w:szCs w:val="20"/>
          <w:lang w:eastAsia="en-US"/>
        </w:rPr>
        <w:t>The East African,</w:t>
      </w:r>
      <w:r w:rsidRPr="0059720D">
        <w:rPr>
          <w:rFonts w:asciiTheme="minorHAnsi" w:eastAsia="Times New Roman" w:hAnsiTheme="minorHAnsi" w:cstheme="minorHAnsi"/>
          <w:sz w:val="20"/>
          <w:szCs w:val="20"/>
          <w:lang w:eastAsia="en-GB"/>
        </w:rPr>
        <w:t xml:space="preserve"> ‘Lawyer trained in Uganda allowed to practise in Kenya’. </w:t>
      </w:r>
      <w:r w:rsidRPr="0059720D">
        <w:rPr>
          <w:rFonts w:asciiTheme="minorHAnsi" w:eastAsia="Times New Roman" w:hAnsiTheme="minorHAnsi" w:cstheme="minorHAnsi"/>
          <w:i/>
          <w:iCs/>
          <w:sz w:val="20"/>
          <w:szCs w:val="20"/>
          <w:lang w:eastAsia="en-GB"/>
        </w:rPr>
        <w:t>The Daily Monitor</w:t>
      </w:r>
      <w:r w:rsidRPr="0059720D">
        <w:rPr>
          <w:rFonts w:asciiTheme="minorHAnsi" w:eastAsia="Times New Roman" w:hAnsiTheme="minorHAnsi" w:cstheme="minorHAnsi"/>
          <w:sz w:val="20"/>
          <w:szCs w:val="20"/>
          <w:lang w:eastAsia="en-GB"/>
        </w:rPr>
        <w:t>. 3 August, 2019. Available at &lt;</w:t>
      </w:r>
      <w:r w:rsidRPr="0059720D">
        <w:rPr>
          <w:rFonts w:asciiTheme="minorHAnsi" w:hAnsiTheme="minorHAnsi" w:cstheme="minorHAnsi"/>
          <w:sz w:val="20"/>
          <w:szCs w:val="20"/>
        </w:rPr>
        <w:t>https://www.monitor.co.ug/News/National/Lawyer-trained-in-Uganda-allowed-to-practise-in-Kenya/688334-5221558-111g1qw/index.html&gt; Accessed 1 November 2019.</w:t>
      </w:r>
    </w:p>
  </w:footnote>
  <w:footnote w:id="132">
    <w:p w14:paraId="79065988" w14:textId="77777777" w:rsidR="00E43136" w:rsidRPr="0012724C" w:rsidRDefault="00E43136" w:rsidP="00245089">
      <w:pPr>
        <w:pStyle w:val="FootnoteText"/>
        <w:jc w:val="both"/>
        <w:rPr>
          <w:rFonts w:asciiTheme="minorHAnsi" w:hAnsiTheme="minorHAnsi" w:cstheme="minorHAnsi"/>
          <w:lang w:val="en-US"/>
        </w:rPr>
      </w:pPr>
      <w:r w:rsidRPr="0012724C">
        <w:rPr>
          <w:rStyle w:val="FootnoteReference"/>
          <w:rFonts w:asciiTheme="minorHAnsi" w:hAnsiTheme="minorHAnsi" w:cstheme="minorHAnsi"/>
        </w:rPr>
        <w:footnoteRef/>
      </w:r>
      <w:r w:rsidRPr="0012724C">
        <w:rPr>
          <w:rFonts w:asciiTheme="minorHAnsi" w:hAnsiTheme="minorHAnsi" w:cstheme="minorHAnsi"/>
        </w:rPr>
        <w:t xml:space="preserve"> </w:t>
      </w:r>
      <w:r w:rsidRPr="0012724C">
        <w:rPr>
          <w:rFonts w:asciiTheme="minorHAnsi" w:hAnsiTheme="minorHAnsi" w:cstheme="minorHAnsi"/>
          <w:i/>
        </w:rPr>
        <w:t xml:space="preserve">Andrew </w:t>
      </w:r>
      <w:proofErr w:type="spellStart"/>
      <w:r w:rsidRPr="0012724C">
        <w:rPr>
          <w:rFonts w:asciiTheme="minorHAnsi" w:hAnsiTheme="minorHAnsi" w:cstheme="minorHAnsi"/>
          <w:i/>
        </w:rPr>
        <w:t>Bataamwe</w:t>
      </w:r>
      <w:proofErr w:type="spellEnd"/>
      <w:r w:rsidRPr="0012724C">
        <w:rPr>
          <w:rFonts w:asciiTheme="minorHAnsi" w:hAnsiTheme="minorHAnsi" w:cstheme="minorHAnsi"/>
          <w:i/>
        </w:rPr>
        <w:t xml:space="preserve"> vs Attorney General</w:t>
      </w:r>
      <w:r w:rsidRPr="0012724C">
        <w:rPr>
          <w:rFonts w:asciiTheme="minorHAnsi" w:hAnsiTheme="minorHAnsi" w:cstheme="minorHAnsi"/>
        </w:rPr>
        <w:t xml:space="preserve"> (Misc. Cause No. 280 of 2019) (13 May 2020).</w:t>
      </w:r>
    </w:p>
  </w:footnote>
  <w:footnote w:id="133">
    <w:p w14:paraId="03A59E56" w14:textId="77777777" w:rsidR="00E43136" w:rsidRPr="0012724C" w:rsidRDefault="00E43136" w:rsidP="00245089">
      <w:pPr>
        <w:pStyle w:val="FootnoteText"/>
        <w:jc w:val="both"/>
        <w:rPr>
          <w:rFonts w:asciiTheme="minorHAnsi" w:hAnsiTheme="minorHAnsi" w:cstheme="minorHAnsi"/>
          <w:lang w:val="en-US"/>
        </w:rPr>
      </w:pPr>
      <w:r w:rsidRPr="0012724C">
        <w:rPr>
          <w:rStyle w:val="FootnoteReference"/>
          <w:rFonts w:asciiTheme="minorHAnsi" w:hAnsiTheme="minorHAnsi" w:cstheme="minorHAnsi"/>
        </w:rPr>
        <w:footnoteRef/>
      </w:r>
      <w:r w:rsidRPr="0012724C">
        <w:rPr>
          <w:rFonts w:asciiTheme="minorHAnsi" w:hAnsiTheme="minorHAnsi" w:cstheme="minorHAnsi"/>
        </w:rPr>
        <w:t xml:space="preserve"> Only England and Wales, Northern Ireland, Ireland and Gibraltar have common law systems; Cyprus and Malta are mixed; the remaining states have civil law systems.</w:t>
      </w:r>
    </w:p>
  </w:footnote>
  <w:footnote w:id="134">
    <w:p w14:paraId="03B7FA53" w14:textId="77777777" w:rsidR="00E43136" w:rsidRPr="001D244A" w:rsidRDefault="00E43136" w:rsidP="00245089">
      <w:pPr>
        <w:pStyle w:val="FootnoteText"/>
        <w:jc w:val="both"/>
        <w:rPr>
          <w:rFonts w:cs="Calibri"/>
        </w:rPr>
      </w:pPr>
      <w:r w:rsidRPr="001D244A">
        <w:rPr>
          <w:rStyle w:val="FootnoteReference"/>
          <w:rFonts w:cs="Calibri"/>
        </w:rPr>
        <w:footnoteRef/>
      </w:r>
      <w:r w:rsidRPr="001D244A">
        <w:rPr>
          <w:rFonts w:cs="Calibri"/>
        </w:rPr>
        <w:t xml:space="preserve"> Article 166 TFEU specifically excludes harmonisation of laws and regulations of the EU Member States with regard to vocational training policy.</w:t>
      </w:r>
    </w:p>
  </w:footnote>
  <w:footnote w:id="135">
    <w:p w14:paraId="440AF4A7" w14:textId="77777777" w:rsidR="00E43136" w:rsidRPr="001D244A" w:rsidRDefault="00E43136" w:rsidP="00245089">
      <w:pPr>
        <w:pStyle w:val="FootnoteText"/>
        <w:jc w:val="both"/>
        <w:rPr>
          <w:rFonts w:cs="Calibri"/>
        </w:rPr>
      </w:pPr>
      <w:r w:rsidRPr="001D244A">
        <w:rPr>
          <w:rStyle w:val="FootnoteReference"/>
          <w:rFonts w:cs="Calibri"/>
        </w:rPr>
        <w:footnoteRef/>
      </w:r>
      <w:r w:rsidRPr="001D244A">
        <w:rPr>
          <w:rFonts w:cs="Calibri"/>
        </w:rPr>
        <w:t xml:space="preserve"> European states took steps to confront similar concerns via the Bologna Process, which established the European Higher Education Area (EHEA) in 2010. The EHEA through its 48 Member States </w:t>
      </w:r>
      <w:r w:rsidRPr="001D244A">
        <w:rPr>
          <w:rFonts w:eastAsia="Times New Roman" w:cs="Calibri"/>
          <w:lang w:eastAsia="en-GB"/>
        </w:rPr>
        <w:t>ensures the </w:t>
      </w:r>
      <w:hyperlink r:id="rId10" w:history="1">
        <w:r w:rsidRPr="001D244A">
          <w:rPr>
            <w:rFonts w:eastAsia="Times New Roman" w:cs="Calibri"/>
            <w:lang w:eastAsia="en-GB"/>
          </w:rPr>
          <w:t>mutual recognition of qualifications and learning periods abroad</w:t>
        </w:r>
      </w:hyperlink>
      <w:r w:rsidRPr="001D244A">
        <w:rPr>
          <w:rFonts w:eastAsia="Times New Roman" w:cs="Calibri"/>
          <w:lang w:eastAsia="en-GB"/>
        </w:rPr>
        <w:t xml:space="preserve"> completed at other universities, implements a system of quality assurance and aims to </w:t>
      </w:r>
      <w:r w:rsidRPr="001D244A">
        <w:rPr>
          <w:rStyle w:val="Strong"/>
          <w:rFonts w:cs="Calibri"/>
          <w:b w:val="0"/>
          <w:bCs w:val="0"/>
          <w:color w:val="000000"/>
          <w:shd w:val="clear" w:color="auto" w:fill="FFFFFF" w:themeFill="background1"/>
        </w:rPr>
        <w:t>increase staff and student mobility and facilitate employability.</w:t>
      </w:r>
    </w:p>
  </w:footnote>
  <w:footnote w:id="136">
    <w:p w14:paraId="735894D7" w14:textId="77777777" w:rsidR="00E43136" w:rsidRPr="001D244A" w:rsidRDefault="00E43136" w:rsidP="00245089">
      <w:pPr>
        <w:pStyle w:val="FootnoteText"/>
        <w:jc w:val="both"/>
        <w:rPr>
          <w:rFonts w:cs="Calibri"/>
          <w:lang w:val="en-US"/>
        </w:rPr>
      </w:pPr>
      <w:r w:rsidRPr="001D244A">
        <w:rPr>
          <w:rStyle w:val="FootnoteReference"/>
          <w:rFonts w:cs="Calibri"/>
        </w:rPr>
        <w:footnoteRef/>
      </w:r>
      <w:r w:rsidRPr="001D244A">
        <w:rPr>
          <w:rFonts w:cs="Calibri"/>
        </w:rPr>
        <w:t xml:space="preserve"> </w:t>
      </w:r>
      <w:r w:rsidRPr="001D244A">
        <w:rPr>
          <w:rFonts w:cs="Calibri"/>
          <w:lang w:val="en-US"/>
        </w:rPr>
        <w:t>Records from the Executive Secretary of RBA.</w:t>
      </w:r>
    </w:p>
  </w:footnote>
  <w:footnote w:id="137">
    <w:p w14:paraId="2852E4B5" w14:textId="77777777" w:rsidR="00E43136" w:rsidRPr="001D244A" w:rsidRDefault="00E43136" w:rsidP="00245089">
      <w:pPr>
        <w:spacing w:after="0" w:line="240" w:lineRule="auto"/>
        <w:jc w:val="both"/>
        <w:rPr>
          <w:rFonts w:cs="Calibri"/>
          <w:sz w:val="20"/>
          <w:szCs w:val="20"/>
        </w:rPr>
      </w:pPr>
      <w:r w:rsidRPr="001D244A">
        <w:rPr>
          <w:rStyle w:val="FootnoteReference"/>
          <w:rFonts w:cs="Calibri"/>
          <w:sz w:val="20"/>
          <w:szCs w:val="20"/>
        </w:rPr>
        <w:footnoteRef/>
      </w:r>
      <w:r w:rsidRPr="001D244A">
        <w:rPr>
          <w:rFonts w:cs="Calibri"/>
          <w:sz w:val="20"/>
          <w:szCs w:val="20"/>
        </w:rPr>
        <w:t xml:space="preserve"> </w:t>
      </w:r>
      <w:r>
        <w:rPr>
          <w:rFonts w:cs="Calibri"/>
          <w:sz w:val="20"/>
          <w:szCs w:val="20"/>
        </w:rPr>
        <w:t xml:space="preserve">N. </w:t>
      </w:r>
      <w:proofErr w:type="spellStart"/>
      <w:proofErr w:type="gramStart"/>
      <w:r w:rsidRPr="001D244A">
        <w:rPr>
          <w:rFonts w:cs="Calibri"/>
          <w:sz w:val="20"/>
          <w:szCs w:val="20"/>
        </w:rPr>
        <w:t>Dihel</w:t>
      </w:r>
      <w:proofErr w:type="spellEnd"/>
      <w:r w:rsidRPr="001D244A">
        <w:rPr>
          <w:rFonts w:cs="Calibri"/>
          <w:sz w:val="20"/>
          <w:szCs w:val="20"/>
        </w:rPr>
        <w:t>,,</w:t>
      </w:r>
      <w:proofErr w:type="gramEnd"/>
      <w:r w:rsidRPr="001D244A">
        <w:rPr>
          <w:rFonts w:cs="Calibri"/>
          <w:sz w:val="20"/>
          <w:szCs w:val="20"/>
        </w:rPr>
        <w:t xml:space="preserve"> Fernandes, A.M., and </w:t>
      </w:r>
      <w:proofErr w:type="spellStart"/>
      <w:r w:rsidRPr="001D244A">
        <w:rPr>
          <w:rFonts w:cs="Calibri"/>
          <w:sz w:val="20"/>
          <w:szCs w:val="20"/>
        </w:rPr>
        <w:t>Mattoo</w:t>
      </w:r>
      <w:proofErr w:type="spellEnd"/>
      <w:r w:rsidRPr="001D244A">
        <w:rPr>
          <w:rFonts w:cs="Calibri"/>
          <w:sz w:val="20"/>
          <w:szCs w:val="20"/>
        </w:rPr>
        <w:t>, A.</w:t>
      </w:r>
      <w:r>
        <w:rPr>
          <w:rFonts w:cs="Calibri"/>
          <w:sz w:val="20"/>
          <w:szCs w:val="20"/>
        </w:rPr>
        <w:t>,</w:t>
      </w:r>
      <w:r w:rsidRPr="001D244A">
        <w:rPr>
          <w:rFonts w:cs="Calibri"/>
          <w:sz w:val="20"/>
          <w:szCs w:val="20"/>
        </w:rPr>
        <w:t xml:space="preserve"> </w:t>
      </w:r>
      <w:r>
        <w:rPr>
          <w:rFonts w:cs="Calibri"/>
          <w:sz w:val="20"/>
          <w:szCs w:val="20"/>
        </w:rPr>
        <w:t>“</w:t>
      </w:r>
      <w:r w:rsidRPr="001D244A">
        <w:rPr>
          <w:rFonts w:cs="Calibri"/>
          <w:sz w:val="20"/>
          <w:szCs w:val="20"/>
        </w:rPr>
        <w:t>Developing Professional Services in Africa Through Regional Integration.</w:t>
      </w:r>
      <w:r>
        <w:rPr>
          <w:rFonts w:cs="Calibri"/>
          <w:sz w:val="20"/>
          <w:szCs w:val="20"/>
        </w:rPr>
        <w:t>”</w:t>
      </w:r>
      <w:r w:rsidRPr="001D244A">
        <w:rPr>
          <w:rFonts w:cs="Calibri"/>
          <w:sz w:val="20"/>
          <w:szCs w:val="20"/>
        </w:rPr>
        <w:t xml:space="preserve"> 15 September</w:t>
      </w:r>
      <w:r>
        <w:rPr>
          <w:rFonts w:cs="Calibri"/>
          <w:sz w:val="20"/>
          <w:szCs w:val="20"/>
        </w:rPr>
        <w:t xml:space="preserve"> </w:t>
      </w:r>
      <w:r w:rsidRPr="001D244A">
        <w:rPr>
          <w:rFonts w:cs="Calibri"/>
          <w:sz w:val="20"/>
          <w:szCs w:val="20"/>
        </w:rPr>
        <w:t>2010. Available at &lt;http://siteresources.worldbank.org/INTPREMNET/Resources/EP32.pdf&gt; Accessed 2 November 2019, p. 27.</w:t>
      </w:r>
    </w:p>
  </w:footnote>
  <w:footnote w:id="138">
    <w:p w14:paraId="0F1CBD1D" w14:textId="77777777" w:rsidR="00E43136" w:rsidRPr="00FB4480" w:rsidRDefault="00E43136" w:rsidP="00245089">
      <w:pPr>
        <w:autoSpaceDE w:val="0"/>
        <w:autoSpaceDN w:val="0"/>
        <w:adjustRightInd w:val="0"/>
        <w:spacing w:after="0" w:line="240" w:lineRule="auto"/>
        <w:jc w:val="both"/>
        <w:rPr>
          <w:rFonts w:asciiTheme="minorHAnsi" w:hAnsiTheme="minorHAnsi" w:cstheme="minorHAnsi"/>
          <w:sz w:val="20"/>
          <w:szCs w:val="20"/>
        </w:rPr>
      </w:pPr>
      <w:r w:rsidRPr="001D244A">
        <w:rPr>
          <w:rStyle w:val="FootnoteReference"/>
          <w:rFonts w:cs="Calibri"/>
          <w:sz w:val="20"/>
          <w:szCs w:val="20"/>
        </w:rPr>
        <w:footnoteRef/>
      </w:r>
      <w:r w:rsidRPr="001D244A">
        <w:rPr>
          <w:rFonts w:cs="Calibri"/>
          <w:sz w:val="20"/>
          <w:szCs w:val="20"/>
        </w:rPr>
        <w:t xml:space="preserve"> </w:t>
      </w:r>
      <w:r w:rsidRPr="001D244A">
        <w:rPr>
          <w:rFonts w:eastAsiaTheme="minorHAnsi" w:cs="Calibri"/>
          <w:sz w:val="20"/>
          <w:szCs w:val="20"/>
          <w:lang w:eastAsia="en-US"/>
        </w:rPr>
        <w:t>The East African,</w:t>
      </w:r>
      <w:r w:rsidRPr="001D244A">
        <w:rPr>
          <w:rFonts w:eastAsia="Times New Roman" w:cs="Calibri"/>
          <w:sz w:val="20"/>
          <w:szCs w:val="20"/>
          <w:lang w:eastAsia="en-GB"/>
        </w:rPr>
        <w:t xml:space="preserve"> Legal practice far from integration. 13 July, 2009. Available at</w:t>
      </w:r>
      <w:r w:rsidRPr="001D244A">
        <w:rPr>
          <w:rFonts w:cs="Calibri"/>
          <w:sz w:val="20"/>
          <w:szCs w:val="20"/>
        </w:rPr>
        <w:t xml:space="preserve"> </w:t>
      </w:r>
      <w:hyperlink r:id="rId11" w:history="1">
        <w:r w:rsidRPr="001D244A">
          <w:rPr>
            <w:rStyle w:val="Hyperlink"/>
            <w:rFonts w:cs="Calibri"/>
            <w:color w:val="auto"/>
            <w:sz w:val="20"/>
            <w:szCs w:val="20"/>
            <w:u w:val="none"/>
          </w:rPr>
          <w:t>https://www.theeastafrican.co.ke/news/2558-622446-view-printVersion-4ft75c/index.html</w:t>
        </w:r>
      </w:hyperlink>
      <w:r w:rsidRPr="001D244A">
        <w:rPr>
          <w:rFonts w:cs="Calibri"/>
          <w:sz w:val="20"/>
          <w:szCs w:val="20"/>
        </w:rPr>
        <w:t xml:space="preserve"> Accessed 2 November 2019.</w:t>
      </w:r>
    </w:p>
  </w:footnote>
  <w:footnote w:id="139">
    <w:p w14:paraId="5C8FAE57" w14:textId="77777777" w:rsidR="00E43136" w:rsidRPr="00FB4480" w:rsidRDefault="00E43136" w:rsidP="00245089">
      <w:pPr>
        <w:autoSpaceDE w:val="0"/>
        <w:autoSpaceDN w:val="0"/>
        <w:adjustRightInd w:val="0"/>
        <w:spacing w:after="0" w:line="240" w:lineRule="auto"/>
        <w:jc w:val="both"/>
        <w:rPr>
          <w:rFonts w:asciiTheme="minorHAnsi" w:hAnsiTheme="minorHAnsi" w:cstheme="minorHAnsi"/>
          <w:sz w:val="20"/>
          <w:szCs w:val="20"/>
        </w:rPr>
      </w:pPr>
      <w:r w:rsidRPr="00EB20F8">
        <w:rPr>
          <w:rStyle w:val="FootnoteReference"/>
          <w:rFonts w:asciiTheme="minorHAnsi" w:hAnsiTheme="minorHAnsi" w:cstheme="minorHAnsi"/>
          <w:sz w:val="20"/>
          <w:szCs w:val="20"/>
        </w:rPr>
        <w:footnoteRef/>
      </w:r>
      <w:r w:rsidRPr="00EB20F8">
        <w:rPr>
          <w:rFonts w:asciiTheme="minorHAnsi" w:hAnsiTheme="minorHAnsi" w:cstheme="minorHAnsi"/>
          <w:sz w:val="20"/>
          <w:szCs w:val="20"/>
        </w:rPr>
        <w:t xml:space="preserve"> B</w:t>
      </w:r>
      <w:r w:rsidRPr="00EB20F8">
        <w:rPr>
          <w:rFonts w:asciiTheme="minorHAnsi" w:hAnsiTheme="minorHAnsi" w:cstheme="minorHAnsi"/>
          <w:bCs/>
          <w:sz w:val="20"/>
          <w:szCs w:val="20"/>
        </w:rPr>
        <w:t>ased on SRA figures.</w:t>
      </w:r>
      <w:r w:rsidRPr="00EB20F8">
        <w:rPr>
          <w:rFonts w:asciiTheme="minorHAnsi" w:hAnsiTheme="minorHAnsi" w:cstheme="minorHAnsi"/>
          <w:sz w:val="20"/>
          <w:szCs w:val="20"/>
        </w:rPr>
        <w:t xml:space="preserve"> SRA, </w:t>
      </w:r>
      <w:r>
        <w:rPr>
          <w:rFonts w:asciiTheme="minorHAnsi" w:hAnsiTheme="minorHAnsi" w:cstheme="minorHAnsi"/>
          <w:sz w:val="20"/>
          <w:szCs w:val="20"/>
        </w:rPr>
        <w:t>“</w:t>
      </w:r>
      <w:r w:rsidRPr="00EB20F8">
        <w:rPr>
          <w:rFonts w:asciiTheme="minorHAnsi" w:hAnsiTheme="minorHAnsi" w:cstheme="minorHAnsi"/>
          <w:sz w:val="20"/>
          <w:szCs w:val="20"/>
        </w:rPr>
        <w:t>Population of Solicitors in England and Wales.</w:t>
      </w:r>
      <w:r>
        <w:rPr>
          <w:rFonts w:asciiTheme="minorHAnsi" w:hAnsiTheme="minorHAnsi" w:cstheme="minorHAnsi"/>
          <w:sz w:val="20"/>
          <w:szCs w:val="20"/>
        </w:rPr>
        <w:t>”</w:t>
      </w:r>
      <w:r w:rsidRPr="00EB20F8">
        <w:rPr>
          <w:rFonts w:asciiTheme="minorHAnsi" w:hAnsiTheme="minorHAnsi" w:cstheme="minorHAnsi"/>
          <w:sz w:val="20"/>
          <w:szCs w:val="20"/>
        </w:rPr>
        <w:t xml:space="preserve"> 2019.</w:t>
      </w:r>
      <w:r>
        <w:rPr>
          <w:rFonts w:asciiTheme="minorHAnsi" w:hAnsiTheme="minorHAnsi" w:cstheme="minorHAnsi"/>
          <w:sz w:val="20"/>
          <w:szCs w:val="20"/>
        </w:rPr>
        <w:t xml:space="preserve"> </w:t>
      </w:r>
      <w:r w:rsidRPr="00EB20F8">
        <w:rPr>
          <w:rFonts w:asciiTheme="minorHAnsi" w:hAnsiTheme="minorHAnsi" w:cstheme="minorHAnsi"/>
          <w:sz w:val="20"/>
          <w:szCs w:val="20"/>
        </w:rPr>
        <w:t>Available at &lt;https://www.sra.org.uk/sra/how-we-work/reports/statistics/regulated-community-statistics/data/population_solicitors/&gt; Accessed 2 November 2019.</w:t>
      </w:r>
    </w:p>
  </w:footnote>
  <w:footnote w:id="140">
    <w:p w14:paraId="0F203146" w14:textId="77777777" w:rsidR="00E43136" w:rsidRPr="001D1D61" w:rsidRDefault="00E43136" w:rsidP="00245089">
      <w:pPr>
        <w:spacing w:after="0" w:line="240" w:lineRule="auto"/>
        <w:jc w:val="both"/>
        <w:rPr>
          <w:rFonts w:asciiTheme="minorHAnsi" w:hAnsiTheme="minorHAnsi" w:cstheme="minorHAnsi"/>
          <w:sz w:val="20"/>
          <w:szCs w:val="20"/>
        </w:rPr>
      </w:pPr>
      <w:r w:rsidRPr="00EB20F8">
        <w:rPr>
          <w:rStyle w:val="FootnoteReference"/>
          <w:rFonts w:asciiTheme="minorHAnsi" w:hAnsiTheme="minorHAnsi" w:cstheme="minorHAnsi"/>
          <w:sz w:val="20"/>
          <w:szCs w:val="20"/>
        </w:rPr>
        <w:footnoteRef/>
      </w:r>
      <w:r w:rsidRPr="00EB20F8">
        <w:rPr>
          <w:rFonts w:asciiTheme="minorHAnsi" w:hAnsiTheme="minorHAnsi" w:cstheme="minorHAnsi"/>
          <w:sz w:val="20"/>
          <w:szCs w:val="20"/>
        </w:rPr>
        <w:t xml:space="preserve"> </w:t>
      </w:r>
      <w:r>
        <w:rPr>
          <w:rFonts w:asciiTheme="minorHAnsi" w:hAnsiTheme="minorHAnsi" w:cstheme="minorHAnsi"/>
          <w:sz w:val="20"/>
          <w:szCs w:val="20"/>
        </w:rPr>
        <w:t xml:space="preserve">N. </w:t>
      </w:r>
      <w:proofErr w:type="spellStart"/>
      <w:r w:rsidRPr="00EB20F8">
        <w:rPr>
          <w:rFonts w:asciiTheme="minorHAnsi" w:hAnsiTheme="minorHAnsi" w:cstheme="minorHAnsi"/>
          <w:sz w:val="20"/>
          <w:szCs w:val="20"/>
        </w:rPr>
        <w:t>Dihel</w:t>
      </w:r>
      <w:proofErr w:type="spellEnd"/>
      <w:r w:rsidRPr="00EB20F8">
        <w:rPr>
          <w:rFonts w:asciiTheme="minorHAnsi" w:hAnsiTheme="minorHAnsi" w:cstheme="minorHAnsi"/>
          <w:sz w:val="20"/>
          <w:szCs w:val="20"/>
        </w:rPr>
        <w:t xml:space="preserve">, Fernandes, A.M., </w:t>
      </w:r>
      <w:proofErr w:type="spellStart"/>
      <w:r w:rsidRPr="00EB20F8">
        <w:rPr>
          <w:rFonts w:asciiTheme="minorHAnsi" w:hAnsiTheme="minorHAnsi" w:cstheme="minorHAnsi"/>
          <w:sz w:val="20"/>
          <w:szCs w:val="20"/>
        </w:rPr>
        <w:t>Mattoo</w:t>
      </w:r>
      <w:proofErr w:type="spellEnd"/>
      <w:r w:rsidRPr="00EB20F8">
        <w:rPr>
          <w:rFonts w:asciiTheme="minorHAnsi" w:hAnsiTheme="minorHAnsi" w:cstheme="minorHAnsi"/>
          <w:sz w:val="20"/>
          <w:szCs w:val="20"/>
        </w:rPr>
        <w:t xml:space="preserve">, A. and </w:t>
      </w:r>
      <w:proofErr w:type="spellStart"/>
      <w:r w:rsidRPr="00EB20F8">
        <w:rPr>
          <w:rFonts w:asciiTheme="minorHAnsi" w:hAnsiTheme="minorHAnsi" w:cstheme="minorHAnsi"/>
          <w:sz w:val="20"/>
          <w:szCs w:val="20"/>
        </w:rPr>
        <w:t>Strychacz</w:t>
      </w:r>
      <w:proofErr w:type="spellEnd"/>
      <w:r w:rsidRPr="00EB20F8">
        <w:rPr>
          <w:rFonts w:asciiTheme="minorHAnsi" w:hAnsiTheme="minorHAnsi" w:cstheme="minorHAnsi"/>
          <w:sz w:val="20"/>
          <w:szCs w:val="20"/>
        </w:rPr>
        <w:t>, N.</w:t>
      </w:r>
      <w:r>
        <w:rPr>
          <w:rFonts w:asciiTheme="minorHAnsi" w:hAnsiTheme="minorHAnsi" w:cstheme="minorHAnsi"/>
          <w:sz w:val="20"/>
          <w:szCs w:val="20"/>
        </w:rPr>
        <w:t>,</w:t>
      </w:r>
      <w:r w:rsidRPr="00EB20F8">
        <w:rPr>
          <w:rFonts w:asciiTheme="minorHAnsi" w:hAnsiTheme="minorHAnsi" w:cstheme="minorHAnsi"/>
          <w:sz w:val="20"/>
          <w:szCs w:val="20"/>
        </w:rPr>
        <w:t xml:space="preserve"> </w:t>
      </w:r>
      <w:r>
        <w:rPr>
          <w:rFonts w:asciiTheme="minorHAnsi" w:hAnsiTheme="minorHAnsi" w:cstheme="minorHAnsi"/>
          <w:sz w:val="20"/>
          <w:szCs w:val="20"/>
        </w:rPr>
        <w:t>“</w:t>
      </w:r>
      <w:r w:rsidRPr="00EB20F8">
        <w:rPr>
          <w:rFonts w:asciiTheme="minorHAnsi" w:hAnsiTheme="minorHAnsi" w:cstheme="minorHAnsi"/>
          <w:sz w:val="20"/>
          <w:szCs w:val="20"/>
        </w:rPr>
        <w:t>Reform and Regional Integration of Professional Services in East Africa The World Bank.</w:t>
      </w:r>
      <w:r>
        <w:rPr>
          <w:rFonts w:asciiTheme="minorHAnsi" w:hAnsiTheme="minorHAnsi" w:cstheme="minorHAnsi"/>
          <w:sz w:val="20"/>
          <w:szCs w:val="20"/>
        </w:rPr>
        <w:t>”</w:t>
      </w:r>
      <w:r w:rsidRPr="00EB20F8">
        <w:rPr>
          <w:rFonts w:asciiTheme="minorHAnsi" w:hAnsiTheme="minorHAnsi" w:cstheme="minorHAnsi"/>
          <w:sz w:val="20"/>
          <w:szCs w:val="20"/>
        </w:rPr>
        <w:t xml:space="preserve"> September</w:t>
      </w:r>
      <w:r>
        <w:rPr>
          <w:rFonts w:asciiTheme="minorHAnsi" w:hAnsiTheme="minorHAnsi" w:cstheme="minorHAnsi"/>
          <w:sz w:val="20"/>
          <w:szCs w:val="20"/>
        </w:rPr>
        <w:t xml:space="preserve"> 2010</w:t>
      </w:r>
      <w:r w:rsidRPr="00EB20F8">
        <w:rPr>
          <w:rFonts w:asciiTheme="minorHAnsi" w:hAnsiTheme="minorHAnsi" w:cstheme="minorHAnsi"/>
          <w:sz w:val="20"/>
          <w:szCs w:val="20"/>
        </w:rPr>
        <w:t>. Available at &lt;http://siteresources.worldbank.org/INTPREMNET/Resources/EP32.pdf&gt; Accessed 2 November 2019, p. 2.</w:t>
      </w:r>
    </w:p>
  </w:footnote>
  <w:footnote w:id="141">
    <w:p w14:paraId="610F12F5" w14:textId="77777777" w:rsidR="00E43136" w:rsidRPr="007C7528" w:rsidRDefault="00E43136" w:rsidP="00245089">
      <w:pPr>
        <w:pStyle w:val="FootnoteText"/>
        <w:jc w:val="both"/>
        <w:rPr>
          <w:rFonts w:asciiTheme="minorHAnsi" w:hAnsiTheme="minorHAnsi" w:cstheme="minorHAnsi"/>
        </w:rPr>
      </w:pPr>
      <w:r w:rsidRPr="001D1D61">
        <w:rPr>
          <w:rStyle w:val="FootnoteReference"/>
          <w:rFonts w:asciiTheme="minorHAnsi" w:hAnsiTheme="minorHAnsi" w:cstheme="minorHAnsi"/>
        </w:rPr>
        <w:footnoteRef/>
      </w:r>
      <w:r w:rsidRPr="007C7528">
        <w:rPr>
          <w:rFonts w:asciiTheme="minorHAnsi" w:hAnsiTheme="minorHAnsi" w:cstheme="minorHAnsi"/>
        </w:rPr>
        <w:t xml:space="preserve"> Dihel et al, </w:t>
      </w:r>
      <w:r>
        <w:rPr>
          <w:rFonts w:cs="Calibri"/>
        </w:rPr>
        <w:t>“</w:t>
      </w:r>
      <w:r w:rsidRPr="001D244A">
        <w:rPr>
          <w:rFonts w:cs="Calibri"/>
        </w:rPr>
        <w:t>Developing Professional Services in Afri</w:t>
      </w:r>
      <w:r>
        <w:rPr>
          <w:rFonts w:cs="Calibri"/>
        </w:rPr>
        <w:t xml:space="preserve">ca Through Regional Integration,” </w:t>
      </w:r>
      <w:r w:rsidRPr="007C7528">
        <w:rPr>
          <w:rFonts w:asciiTheme="minorHAnsi" w:hAnsiTheme="minorHAnsi" w:cstheme="minorHAnsi"/>
        </w:rPr>
        <w:t>1-2.</w:t>
      </w:r>
    </w:p>
  </w:footnote>
  <w:footnote w:id="142">
    <w:p w14:paraId="1A573A9D" w14:textId="77777777" w:rsidR="00E43136" w:rsidRPr="001D1D61" w:rsidRDefault="00E43136" w:rsidP="00245089">
      <w:pPr>
        <w:autoSpaceDE w:val="0"/>
        <w:autoSpaceDN w:val="0"/>
        <w:adjustRightInd w:val="0"/>
        <w:spacing w:after="0" w:line="240" w:lineRule="auto"/>
        <w:jc w:val="both"/>
        <w:rPr>
          <w:rFonts w:asciiTheme="minorHAnsi" w:hAnsiTheme="minorHAnsi" w:cstheme="minorHAnsi"/>
          <w:sz w:val="20"/>
          <w:szCs w:val="20"/>
        </w:rPr>
      </w:pPr>
      <w:r w:rsidRPr="00EB20F8">
        <w:rPr>
          <w:rStyle w:val="FootnoteReference"/>
          <w:rFonts w:asciiTheme="minorHAnsi" w:hAnsiTheme="minorHAnsi" w:cstheme="minorHAnsi"/>
          <w:sz w:val="20"/>
          <w:szCs w:val="20"/>
        </w:rPr>
        <w:footnoteRef/>
      </w:r>
      <w:r w:rsidRPr="00EB20F8">
        <w:rPr>
          <w:rFonts w:asciiTheme="minorHAnsi" w:hAnsiTheme="minorHAnsi" w:cstheme="minorHAnsi"/>
          <w:sz w:val="20"/>
          <w:szCs w:val="20"/>
        </w:rPr>
        <w:t xml:space="preserve"> </w:t>
      </w:r>
      <w:r w:rsidRPr="00EB20F8">
        <w:rPr>
          <w:rFonts w:asciiTheme="minorHAnsi" w:eastAsiaTheme="minorHAnsi" w:hAnsiTheme="minorHAnsi" w:cstheme="minorHAnsi"/>
          <w:sz w:val="20"/>
          <w:szCs w:val="20"/>
          <w:lang w:eastAsia="en-US"/>
        </w:rPr>
        <w:t xml:space="preserve">United Nations Economic Commission for Africa (UNECA) </w:t>
      </w:r>
      <w:r>
        <w:rPr>
          <w:rFonts w:asciiTheme="minorHAnsi" w:eastAsiaTheme="minorHAnsi" w:hAnsiTheme="minorHAnsi" w:cstheme="minorHAnsi"/>
          <w:sz w:val="20"/>
          <w:szCs w:val="20"/>
          <w:lang w:eastAsia="en-US"/>
        </w:rPr>
        <w:t>“</w:t>
      </w:r>
      <w:r w:rsidRPr="00EB20F8">
        <w:rPr>
          <w:rFonts w:asciiTheme="minorHAnsi" w:hAnsiTheme="minorHAnsi" w:cstheme="minorHAnsi"/>
          <w:sz w:val="20"/>
          <w:szCs w:val="20"/>
        </w:rPr>
        <w:t>Fiscal Policy for Financing Sustainable Development in Africa. Economic Report on Africa 2019.</w:t>
      </w:r>
      <w:r>
        <w:rPr>
          <w:rFonts w:asciiTheme="minorHAnsi" w:hAnsiTheme="minorHAnsi" w:cstheme="minorHAnsi"/>
          <w:sz w:val="20"/>
          <w:szCs w:val="20"/>
        </w:rPr>
        <w:t>”</w:t>
      </w:r>
      <w:r w:rsidRPr="00EB20F8">
        <w:rPr>
          <w:rFonts w:asciiTheme="minorHAnsi" w:hAnsiTheme="minorHAnsi" w:cstheme="minorHAnsi"/>
          <w:sz w:val="20"/>
          <w:szCs w:val="20"/>
        </w:rPr>
        <w:t xml:space="preserve"> Available at &lt;</w:t>
      </w:r>
      <w:hyperlink r:id="rId12" w:history="1">
        <w:r w:rsidRPr="00EB20F8">
          <w:rPr>
            <w:rStyle w:val="Hyperlink"/>
            <w:rFonts w:asciiTheme="minorHAnsi" w:hAnsiTheme="minorHAnsi" w:cstheme="minorHAnsi"/>
            <w:color w:val="auto"/>
            <w:sz w:val="20"/>
            <w:szCs w:val="20"/>
            <w:u w:val="none"/>
          </w:rPr>
          <w:t>http://repository.uneca.org/bitstream/handle/10855/41804/b11928190.pdf?sequence=1</w:t>
        </w:r>
      </w:hyperlink>
      <w:r w:rsidRPr="00EB20F8">
        <w:rPr>
          <w:rFonts w:asciiTheme="minorHAnsi" w:hAnsiTheme="minorHAnsi" w:cstheme="minorHAnsi"/>
          <w:sz w:val="20"/>
          <w:szCs w:val="20"/>
        </w:rPr>
        <w:t>&gt; Accessed 2 November 2019, pp. 6 and 13.</w:t>
      </w:r>
    </w:p>
  </w:footnote>
  <w:footnote w:id="143">
    <w:p w14:paraId="1F706B4F" w14:textId="77777777" w:rsidR="00E43136" w:rsidRPr="00062D5E" w:rsidRDefault="00E43136" w:rsidP="00245089">
      <w:pPr>
        <w:spacing w:after="0" w:line="240" w:lineRule="auto"/>
        <w:jc w:val="both"/>
        <w:rPr>
          <w:rFonts w:asciiTheme="minorHAnsi" w:hAnsiTheme="minorHAnsi" w:cstheme="minorHAnsi"/>
          <w:sz w:val="20"/>
          <w:szCs w:val="20"/>
        </w:rPr>
      </w:pPr>
      <w:r w:rsidRPr="00EB20F8">
        <w:rPr>
          <w:rStyle w:val="FootnoteReference"/>
          <w:rFonts w:asciiTheme="minorHAnsi" w:hAnsiTheme="minorHAnsi" w:cstheme="minorHAnsi"/>
          <w:sz w:val="20"/>
          <w:szCs w:val="20"/>
        </w:rPr>
        <w:footnoteRef/>
      </w:r>
      <w:r w:rsidRPr="00EB20F8">
        <w:rPr>
          <w:rFonts w:asciiTheme="minorHAnsi" w:hAnsiTheme="minorHAnsi" w:cstheme="minorHAnsi"/>
          <w:sz w:val="20"/>
          <w:szCs w:val="20"/>
        </w:rPr>
        <w:t xml:space="preserve"> </w:t>
      </w:r>
      <w:r>
        <w:rPr>
          <w:rFonts w:asciiTheme="minorHAnsi" w:hAnsiTheme="minorHAnsi" w:cstheme="minorHAnsi"/>
          <w:sz w:val="20"/>
          <w:szCs w:val="20"/>
        </w:rPr>
        <w:t xml:space="preserve">N. </w:t>
      </w:r>
      <w:proofErr w:type="spellStart"/>
      <w:r w:rsidRPr="00EB20F8">
        <w:rPr>
          <w:rFonts w:asciiTheme="minorHAnsi" w:hAnsiTheme="minorHAnsi" w:cstheme="minorHAnsi"/>
          <w:sz w:val="20"/>
          <w:szCs w:val="20"/>
        </w:rPr>
        <w:t>Dihel</w:t>
      </w:r>
      <w:proofErr w:type="spellEnd"/>
      <w:r w:rsidRPr="00EB20F8">
        <w:rPr>
          <w:rFonts w:asciiTheme="minorHAnsi" w:hAnsiTheme="minorHAnsi" w:cstheme="minorHAnsi"/>
          <w:sz w:val="20"/>
          <w:szCs w:val="20"/>
        </w:rPr>
        <w:t xml:space="preserve">, A. Fernandes, R. </w:t>
      </w:r>
      <w:proofErr w:type="spellStart"/>
      <w:r w:rsidRPr="00EB20F8">
        <w:rPr>
          <w:rFonts w:asciiTheme="minorHAnsi" w:hAnsiTheme="minorHAnsi" w:cstheme="minorHAnsi"/>
          <w:sz w:val="20"/>
          <w:szCs w:val="20"/>
        </w:rPr>
        <w:t>Gicho</w:t>
      </w:r>
      <w:proofErr w:type="spellEnd"/>
      <w:r w:rsidRPr="00EB20F8">
        <w:rPr>
          <w:rFonts w:asciiTheme="minorHAnsi" w:hAnsiTheme="minorHAnsi" w:cstheme="minorHAnsi"/>
          <w:sz w:val="20"/>
          <w:szCs w:val="20"/>
        </w:rPr>
        <w:t xml:space="preserve">, J. </w:t>
      </w:r>
      <w:proofErr w:type="spellStart"/>
      <w:r w:rsidRPr="00EB20F8">
        <w:rPr>
          <w:rFonts w:asciiTheme="minorHAnsi" w:hAnsiTheme="minorHAnsi" w:cstheme="minorHAnsi"/>
          <w:sz w:val="20"/>
          <w:szCs w:val="20"/>
        </w:rPr>
        <w:t>Kashangaki</w:t>
      </w:r>
      <w:proofErr w:type="spellEnd"/>
      <w:r w:rsidRPr="00EB20F8">
        <w:rPr>
          <w:rFonts w:asciiTheme="minorHAnsi" w:hAnsiTheme="minorHAnsi" w:cstheme="minorHAnsi"/>
          <w:sz w:val="20"/>
          <w:szCs w:val="20"/>
        </w:rPr>
        <w:t xml:space="preserve"> and N. </w:t>
      </w:r>
      <w:proofErr w:type="spellStart"/>
      <w:r w:rsidRPr="00EB20F8">
        <w:rPr>
          <w:rFonts w:asciiTheme="minorHAnsi" w:hAnsiTheme="minorHAnsi" w:cstheme="minorHAnsi"/>
          <w:sz w:val="20"/>
          <w:szCs w:val="20"/>
        </w:rPr>
        <w:t>Strychcz</w:t>
      </w:r>
      <w:proofErr w:type="spellEnd"/>
      <w:r w:rsidRPr="00EB20F8">
        <w:rPr>
          <w:rFonts w:asciiTheme="minorHAnsi" w:hAnsiTheme="minorHAnsi" w:cstheme="minorHAnsi"/>
          <w:sz w:val="20"/>
          <w:szCs w:val="20"/>
        </w:rPr>
        <w:t xml:space="preserve">. “Becoming a Global Exporter of Business Services? The Case of Kenya.” In </w:t>
      </w:r>
      <w:r w:rsidRPr="00EB20F8">
        <w:rPr>
          <w:rFonts w:asciiTheme="minorHAnsi" w:hAnsiTheme="minorHAnsi" w:cstheme="minorHAnsi"/>
          <w:i/>
          <w:iCs/>
          <w:sz w:val="20"/>
          <w:szCs w:val="20"/>
        </w:rPr>
        <w:t>Exporting Services: A Developing Country Perspective</w:t>
      </w:r>
      <w:r>
        <w:rPr>
          <w:rFonts w:asciiTheme="minorHAnsi" w:hAnsiTheme="minorHAnsi" w:cstheme="minorHAnsi"/>
          <w:i/>
          <w:iCs/>
          <w:sz w:val="20"/>
          <w:szCs w:val="20"/>
        </w:rPr>
        <w:t>,</w:t>
      </w:r>
      <w:r w:rsidRPr="00EB20F8">
        <w:rPr>
          <w:rFonts w:asciiTheme="minorHAnsi" w:hAnsiTheme="minorHAnsi" w:cstheme="minorHAnsi"/>
          <w:sz w:val="20"/>
          <w:szCs w:val="20"/>
        </w:rPr>
        <w:t xml:space="preserve"> A. Goswami, A. </w:t>
      </w:r>
      <w:proofErr w:type="spellStart"/>
      <w:r w:rsidRPr="00EB20F8">
        <w:rPr>
          <w:rFonts w:asciiTheme="minorHAnsi" w:hAnsiTheme="minorHAnsi" w:cstheme="minorHAnsi"/>
          <w:sz w:val="20"/>
          <w:szCs w:val="20"/>
        </w:rPr>
        <w:t>Mattoo</w:t>
      </w:r>
      <w:proofErr w:type="spellEnd"/>
      <w:r w:rsidRPr="00EB20F8">
        <w:rPr>
          <w:rFonts w:asciiTheme="minorHAnsi" w:hAnsiTheme="minorHAnsi" w:cstheme="minorHAnsi"/>
          <w:sz w:val="20"/>
          <w:szCs w:val="20"/>
        </w:rPr>
        <w:t xml:space="preserve"> and S. </w:t>
      </w:r>
      <w:proofErr w:type="spellStart"/>
      <w:r w:rsidRPr="00EB20F8">
        <w:rPr>
          <w:rFonts w:asciiTheme="minorHAnsi" w:hAnsiTheme="minorHAnsi" w:cstheme="minorHAnsi"/>
          <w:sz w:val="20"/>
          <w:szCs w:val="20"/>
        </w:rPr>
        <w:t>Sáez</w:t>
      </w:r>
      <w:proofErr w:type="spellEnd"/>
      <w:r w:rsidRPr="00EB20F8">
        <w:rPr>
          <w:rFonts w:asciiTheme="minorHAnsi" w:hAnsiTheme="minorHAnsi" w:cstheme="minorHAnsi"/>
          <w:sz w:val="20"/>
          <w:szCs w:val="20"/>
        </w:rPr>
        <w:t xml:space="preserve"> (eds.), (World Bank 2012)</w:t>
      </w:r>
      <w:r>
        <w:rPr>
          <w:rFonts w:asciiTheme="minorHAnsi" w:hAnsiTheme="minorHAnsi" w:cstheme="minorHAnsi"/>
          <w:sz w:val="20"/>
          <w:szCs w:val="20"/>
        </w:rPr>
        <w:t>:</w:t>
      </w:r>
      <w:r w:rsidRPr="00EB20F8">
        <w:rPr>
          <w:rFonts w:asciiTheme="minorHAnsi" w:hAnsiTheme="minorHAnsi" w:cstheme="minorHAnsi"/>
          <w:sz w:val="20"/>
          <w:szCs w:val="20"/>
        </w:rPr>
        <w:t xml:space="preserve"> 237-69, 248.</w:t>
      </w:r>
    </w:p>
  </w:footnote>
  <w:footnote w:id="144">
    <w:p w14:paraId="36D17A1C" w14:textId="77777777" w:rsidR="00E43136" w:rsidRPr="00062D5E" w:rsidRDefault="00E43136" w:rsidP="00245089">
      <w:pPr>
        <w:spacing w:after="0" w:line="240" w:lineRule="auto"/>
        <w:jc w:val="both"/>
        <w:rPr>
          <w:rFonts w:asciiTheme="minorHAnsi" w:hAnsiTheme="minorHAnsi" w:cstheme="minorHAnsi"/>
          <w:sz w:val="20"/>
          <w:szCs w:val="20"/>
        </w:rPr>
      </w:pPr>
      <w:r w:rsidRPr="00EB20F8">
        <w:rPr>
          <w:rStyle w:val="FootnoteReference"/>
          <w:rFonts w:asciiTheme="minorHAnsi" w:hAnsiTheme="minorHAnsi" w:cstheme="minorHAnsi"/>
          <w:sz w:val="20"/>
          <w:szCs w:val="20"/>
        </w:rPr>
        <w:footnoteRef/>
      </w:r>
      <w:r w:rsidRPr="00EB20F8">
        <w:rPr>
          <w:rFonts w:asciiTheme="minorHAnsi" w:hAnsiTheme="minorHAnsi" w:cstheme="minorHAnsi"/>
          <w:sz w:val="20"/>
          <w:szCs w:val="20"/>
        </w:rPr>
        <w:t xml:space="preserve"> </w:t>
      </w:r>
      <w:r>
        <w:rPr>
          <w:rFonts w:asciiTheme="minorHAnsi" w:hAnsiTheme="minorHAnsi" w:cstheme="minorHAnsi"/>
          <w:sz w:val="20"/>
          <w:szCs w:val="20"/>
        </w:rPr>
        <w:t xml:space="preserve">N. </w:t>
      </w:r>
      <w:proofErr w:type="spellStart"/>
      <w:r w:rsidRPr="00EB20F8">
        <w:rPr>
          <w:rFonts w:asciiTheme="minorHAnsi" w:hAnsiTheme="minorHAnsi" w:cstheme="minorHAnsi"/>
          <w:sz w:val="20"/>
          <w:szCs w:val="20"/>
        </w:rPr>
        <w:t>Dihel</w:t>
      </w:r>
      <w:proofErr w:type="spellEnd"/>
      <w:r w:rsidRPr="00EB20F8">
        <w:rPr>
          <w:rFonts w:asciiTheme="minorHAnsi" w:hAnsiTheme="minorHAnsi" w:cstheme="minorHAnsi"/>
          <w:sz w:val="20"/>
          <w:szCs w:val="20"/>
        </w:rPr>
        <w:t xml:space="preserve">, and A. Goswami (eds.) </w:t>
      </w:r>
      <w:r w:rsidRPr="00F06FD7">
        <w:rPr>
          <w:rFonts w:asciiTheme="minorHAnsi" w:hAnsiTheme="minorHAnsi" w:cstheme="minorHAnsi"/>
          <w:i/>
          <w:sz w:val="20"/>
          <w:szCs w:val="20"/>
        </w:rPr>
        <w:t>From Hair Stylists and Teachers to Accountants and Doctors - The Unexplored Potential of Trade in Services in Africa</w:t>
      </w:r>
      <w:r w:rsidRPr="00EB20F8">
        <w:rPr>
          <w:rFonts w:asciiTheme="minorHAnsi" w:hAnsiTheme="minorHAnsi" w:cstheme="minorHAnsi"/>
          <w:sz w:val="20"/>
          <w:szCs w:val="20"/>
        </w:rPr>
        <w:t xml:space="preserve"> (World Bank 2016). </w:t>
      </w:r>
    </w:p>
  </w:footnote>
  <w:footnote w:id="145">
    <w:p w14:paraId="1D4657CB" w14:textId="77777777" w:rsidR="00E43136" w:rsidRPr="00062D5E" w:rsidRDefault="00E43136" w:rsidP="00062D5E">
      <w:pPr>
        <w:shd w:val="clear" w:color="auto" w:fill="FFFFFF"/>
        <w:spacing w:after="0" w:line="240" w:lineRule="auto"/>
        <w:rPr>
          <w:rFonts w:asciiTheme="minorHAnsi" w:hAnsiTheme="minorHAnsi" w:cstheme="minorHAnsi"/>
        </w:rPr>
      </w:pPr>
      <w:r w:rsidRPr="00EB20F8">
        <w:rPr>
          <w:rStyle w:val="FootnoteReference"/>
          <w:rFonts w:asciiTheme="minorHAnsi" w:hAnsiTheme="minorHAnsi" w:cstheme="minorHAnsi"/>
          <w:sz w:val="20"/>
          <w:szCs w:val="20"/>
        </w:rPr>
        <w:footnoteRef/>
      </w:r>
      <w:r w:rsidRPr="00EB20F8">
        <w:rPr>
          <w:rFonts w:asciiTheme="minorHAnsi" w:hAnsiTheme="minorHAnsi" w:cstheme="minorHAnsi"/>
          <w:sz w:val="20"/>
          <w:szCs w:val="20"/>
        </w:rPr>
        <w:t xml:space="preserve"> </w:t>
      </w:r>
      <w:r>
        <w:rPr>
          <w:rFonts w:asciiTheme="minorHAnsi" w:hAnsiTheme="minorHAnsi" w:cstheme="minorHAnsi"/>
          <w:sz w:val="20"/>
          <w:szCs w:val="20"/>
        </w:rPr>
        <w:t xml:space="preserve">B. </w:t>
      </w:r>
      <w:proofErr w:type="spellStart"/>
      <w:r w:rsidRPr="00EB20F8">
        <w:rPr>
          <w:rFonts w:asciiTheme="minorHAnsi" w:eastAsia="Times New Roman" w:hAnsiTheme="minorHAnsi" w:cstheme="minorHAnsi"/>
          <w:sz w:val="20"/>
          <w:szCs w:val="20"/>
          <w:lang w:eastAsia="en-GB"/>
        </w:rPr>
        <w:t>Hoekman</w:t>
      </w:r>
      <w:proofErr w:type="spellEnd"/>
      <w:r w:rsidRPr="00EB20F8">
        <w:rPr>
          <w:rFonts w:asciiTheme="minorHAnsi" w:eastAsia="Times New Roman" w:hAnsiTheme="minorHAnsi" w:cstheme="minorHAnsi"/>
          <w:sz w:val="20"/>
          <w:szCs w:val="20"/>
          <w:lang w:eastAsia="en-GB"/>
        </w:rPr>
        <w:t xml:space="preserve">, </w:t>
      </w:r>
      <w:r>
        <w:rPr>
          <w:rFonts w:asciiTheme="minorHAnsi" w:eastAsia="Times New Roman" w:hAnsiTheme="minorHAnsi" w:cstheme="minorHAnsi"/>
          <w:sz w:val="20"/>
          <w:szCs w:val="20"/>
          <w:lang w:eastAsia="en-GB"/>
        </w:rPr>
        <w:t>“</w:t>
      </w:r>
      <w:hyperlink r:id="rId13" w:history="1">
        <w:r w:rsidRPr="00EB20F8">
          <w:rPr>
            <w:rFonts w:asciiTheme="minorHAnsi" w:eastAsia="Times New Roman" w:hAnsiTheme="minorHAnsi" w:cstheme="minorHAnsi"/>
            <w:sz w:val="20"/>
            <w:szCs w:val="20"/>
            <w:lang w:eastAsia="en-GB"/>
          </w:rPr>
          <w:t>Integrating African Services Markets</w:t>
        </w:r>
      </w:hyperlink>
      <w:r w:rsidRPr="00EB20F8">
        <w:rPr>
          <w:rFonts w:asciiTheme="minorHAnsi" w:eastAsia="Times New Roman" w:hAnsiTheme="minorHAnsi" w:cstheme="minorHAnsi"/>
          <w:sz w:val="20"/>
          <w:szCs w:val="20"/>
          <w:lang w:eastAsia="en-GB"/>
        </w:rPr>
        <w:t xml:space="preserve"> in Regional Integration in Africa,</w:t>
      </w:r>
      <w:r>
        <w:rPr>
          <w:rFonts w:asciiTheme="minorHAnsi" w:eastAsia="Times New Roman" w:hAnsiTheme="minorHAnsi" w:cstheme="minorHAnsi"/>
          <w:sz w:val="20"/>
          <w:szCs w:val="20"/>
          <w:lang w:eastAsia="en-GB"/>
        </w:rPr>
        <w:t>”</w:t>
      </w:r>
      <w:r w:rsidRPr="00EB20F8">
        <w:rPr>
          <w:rFonts w:asciiTheme="minorHAnsi" w:eastAsia="Times New Roman" w:hAnsiTheme="minorHAnsi" w:cstheme="minorHAnsi"/>
          <w:sz w:val="20"/>
          <w:szCs w:val="20"/>
          <w:lang w:eastAsia="en-GB"/>
        </w:rPr>
        <w:t> proceedings of the 20th Senior Policy Seminar, Nairobi: African Economic Research Consortium, 2018. Available at &lt;</w:t>
      </w:r>
      <w:r w:rsidRPr="00EB20F8">
        <w:rPr>
          <w:rFonts w:asciiTheme="minorHAnsi" w:hAnsiTheme="minorHAnsi" w:cstheme="minorHAnsi"/>
          <w:sz w:val="20"/>
          <w:szCs w:val="20"/>
        </w:rPr>
        <w:t xml:space="preserve">https://www.eui.eu/DepartmentsAndCentres/RobertSchumanCentre/Africa-Platform/Publications&gt; </w:t>
      </w:r>
      <w:r w:rsidRPr="00EB20F8">
        <w:rPr>
          <w:rFonts w:asciiTheme="minorHAnsi" w:eastAsia="Times New Roman" w:hAnsiTheme="minorHAnsi" w:cstheme="minorHAnsi"/>
          <w:sz w:val="20"/>
          <w:szCs w:val="20"/>
          <w:lang w:eastAsia="en-GB"/>
        </w:rPr>
        <w:t>Accessed 2 November 2019, p. 7.</w:t>
      </w:r>
    </w:p>
  </w:footnote>
  <w:footnote w:id="146">
    <w:p w14:paraId="2EA2D57F" w14:textId="77777777" w:rsidR="00E43136" w:rsidRPr="00062D5E" w:rsidRDefault="00E43136" w:rsidP="003F5183">
      <w:pPr>
        <w:autoSpaceDE w:val="0"/>
        <w:autoSpaceDN w:val="0"/>
        <w:adjustRightInd w:val="0"/>
        <w:spacing w:after="0" w:line="240" w:lineRule="auto"/>
        <w:rPr>
          <w:rFonts w:asciiTheme="minorHAnsi" w:hAnsiTheme="minorHAnsi" w:cstheme="minorHAnsi"/>
          <w:sz w:val="20"/>
          <w:szCs w:val="20"/>
        </w:rPr>
      </w:pPr>
      <w:r w:rsidRPr="00EB20F8">
        <w:rPr>
          <w:rStyle w:val="FootnoteReference"/>
          <w:rFonts w:asciiTheme="minorHAnsi" w:hAnsiTheme="minorHAnsi" w:cstheme="minorHAnsi"/>
          <w:sz w:val="20"/>
          <w:szCs w:val="20"/>
        </w:rPr>
        <w:footnoteRef/>
      </w:r>
      <w:r w:rsidRPr="00EB20F8">
        <w:rPr>
          <w:rFonts w:asciiTheme="minorHAnsi" w:hAnsiTheme="minorHAnsi" w:cstheme="minorHAnsi"/>
          <w:sz w:val="20"/>
          <w:szCs w:val="20"/>
        </w:rPr>
        <w:t xml:space="preserve"> See </w:t>
      </w:r>
      <w:r w:rsidRPr="00EB20F8">
        <w:rPr>
          <w:rFonts w:asciiTheme="minorHAnsi" w:hAnsiTheme="minorHAnsi" w:cstheme="minorHAnsi"/>
          <w:sz w:val="20"/>
          <w:szCs w:val="20"/>
          <w:shd w:val="clear" w:color="auto" w:fill="FFFFFF"/>
        </w:rPr>
        <w:t>UN Sustainable Devel</w:t>
      </w:r>
      <w:r>
        <w:rPr>
          <w:rFonts w:asciiTheme="minorHAnsi" w:hAnsiTheme="minorHAnsi" w:cstheme="minorHAnsi"/>
          <w:sz w:val="20"/>
          <w:szCs w:val="20"/>
          <w:shd w:val="clear" w:color="auto" w:fill="FFFFFF"/>
        </w:rPr>
        <w:t>opment Goals Knowledge Platform,</w:t>
      </w:r>
      <w:r w:rsidRPr="00EB20F8">
        <w:rPr>
          <w:rFonts w:asciiTheme="minorHAnsi" w:hAnsiTheme="minorHAnsi" w:cstheme="minorHAnsi"/>
          <w:sz w:val="20"/>
          <w:szCs w:val="20"/>
          <w:shd w:val="clear" w:color="auto" w:fill="FFFFFF"/>
        </w:rPr>
        <w:t xml:space="preserve"> </w:t>
      </w:r>
      <w:r>
        <w:rPr>
          <w:rFonts w:asciiTheme="minorHAnsi" w:hAnsiTheme="minorHAnsi" w:cstheme="minorHAnsi"/>
          <w:sz w:val="20"/>
          <w:szCs w:val="20"/>
          <w:shd w:val="clear" w:color="auto" w:fill="FFFFFF"/>
        </w:rPr>
        <w:t>“</w:t>
      </w:r>
      <w:r w:rsidRPr="00EB20F8">
        <w:rPr>
          <w:rFonts w:asciiTheme="minorHAnsi" w:hAnsiTheme="minorHAnsi" w:cstheme="minorHAnsi"/>
          <w:sz w:val="20"/>
          <w:szCs w:val="20"/>
          <w:shd w:val="clear" w:color="auto" w:fill="FFFFFF" w:themeFill="background1"/>
        </w:rPr>
        <w:t>Helping governments and stakeh</w:t>
      </w:r>
      <w:r>
        <w:rPr>
          <w:rFonts w:asciiTheme="minorHAnsi" w:hAnsiTheme="minorHAnsi" w:cstheme="minorHAnsi"/>
          <w:sz w:val="20"/>
          <w:szCs w:val="20"/>
          <w:shd w:val="clear" w:color="auto" w:fill="FFFFFF" w:themeFill="background1"/>
        </w:rPr>
        <w:t>olders make the SDGs a reality.”</w:t>
      </w:r>
      <w:r w:rsidRPr="00EB20F8">
        <w:rPr>
          <w:rFonts w:asciiTheme="minorHAnsi" w:hAnsiTheme="minorHAnsi" w:cstheme="minorHAnsi"/>
          <w:sz w:val="20"/>
          <w:szCs w:val="20"/>
          <w:shd w:val="clear" w:color="auto" w:fill="FFFFFF"/>
        </w:rPr>
        <w:t xml:space="preserve"> Available at &lt;</w:t>
      </w:r>
      <w:r w:rsidRPr="00EB20F8">
        <w:rPr>
          <w:rFonts w:asciiTheme="minorHAnsi" w:hAnsiTheme="minorHAnsi" w:cstheme="minorHAnsi"/>
          <w:sz w:val="20"/>
          <w:szCs w:val="20"/>
        </w:rPr>
        <w:t xml:space="preserve"> https://sustainabledevelopment.un.org/&gt; Accessed 2 November 2019.</w:t>
      </w:r>
    </w:p>
  </w:footnote>
  <w:footnote w:id="147">
    <w:p w14:paraId="37E53F4E" w14:textId="77777777" w:rsidR="00E43136" w:rsidRPr="00EB20F8" w:rsidRDefault="00E43136" w:rsidP="00287D3E">
      <w:pPr>
        <w:autoSpaceDE w:val="0"/>
        <w:autoSpaceDN w:val="0"/>
        <w:adjustRightInd w:val="0"/>
        <w:spacing w:after="0" w:line="240" w:lineRule="auto"/>
        <w:rPr>
          <w:rFonts w:asciiTheme="minorHAnsi" w:eastAsiaTheme="minorHAnsi" w:hAnsiTheme="minorHAnsi" w:cstheme="minorHAnsi"/>
          <w:sz w:val="20"/>
          <w:szCs w:val="20"/>
          <w:lang w:eastAsia="en-US"/>
        </w:rPr>
      </w:pPr>
      <w:r w:rsidRPr="00EB20F8">
        <w:rPr>
          <w:rStyle w:val="FootnoteReference"/>
          <w:rFonts w:asciiTheme="minorHAnsi" w:hAnsiTheme="minorHAnsi" w:cstheme="minorHAnsi"/>
          <w:sz w:val="20"/>
          <w:szCs w:val="20"/>
        </w:rPr>
        <w:footnoteRef/>
      </w:r>
      <w:r w:rsidRPr="00EB20F8">
        <w:rPr>
          <w:rFonts w:asciiTheme="minorHAnsi" w:hAnsiTheme="minorHAnsi" w:cstheme="minorHAnsi"/>
          <w:sz w:val="20"/>
          <w:szCs w:val="20"/>
        </w:rPr>
        <w:t xml:space="preserve"> The Law Society of England and Wales</w:t>
      </w:r>
      <w:r>
        <w:rPr>
          <w:rFonts w:asciiTheme="minorHAnsi" w:hAnsiTheme="minorHAnsi" w:cstheme="minorHAnsi"/>
          <w:sz w:val="20"/>
          <w:szCs w:val="20"/>
        </w:rPr>
        <w:t>,</w:t>
      </w:r>
      <w:r w:rsidRPr="00EB20F8">
        <w:rPr>
          <w:rFonts w:asciiTheme="minorHAnsi" w:hAnsiTheme="minorHAnsi" w:cstheme="minorHAnsi"/>
          <w:sz w:val="20"/>
          <w:szCs w:val="20"/>
        </w:rPr>
        <w:t xml:space="preserve"> </w:t>
      </w:r>
      <w:r w:rsidRPr="00EB20F8">
        <w:rPr>
          <w:rFonts w:asciiTheme="minorHAnsi" w:hAnsiTheme="minorHAnsi" w:cstheme="minorHAnsi"/>
          <w:i/>
          <w:iCs/>
          <w:sz w:val="20"/>
          <w:szCs w:val="20"/>
        </w:rPr>
        <w:t xml:space="preserve">The UK-EU future partnership – legal services sector. </w:t>
      </w:r>
      <w:r w:rsidRPr="00EB20F8">
        <w:rPr>
          <w:rFonts w:asciiTheme="minorHAnsi" w:hAnsiTheme="minorHAnsi" w:cstheme="minorHAnsi"/>
          <w:sz w:val="20"/>
          <w:szCs w:val="20"/>
        </w:rPr>
        <w:t>1 August 2019. Available at &lt;</w:t>
      </w:r>
      <w:r w:rsidRPr="006814A0">
        <w:rPr>
          <w:rFonts w:asciiTheme="minorHAnsi" w:hAnsiTheme="minorHAnsi" w:cstheme="minorHAnsi"/>
          <w:sz w:val="20"/>
          <w:szCs w:val="20"/>
        </w:rPr>
        <w:t>https://www.lawsociety.org.uk/policy-campaigns/articles/uk-eu-future-partnership-legal-services/</w:t>
      </w:r>
      <w:r w:rsidRPr="00EB20F8">
        <w:rPr>
          <w:rFonts w:asciiTheme="minorHAnsi" w:hAnsiTheme="minorHAnsi" w:cstheme="minorHAnsi"/>
          <w:sz w:val="20"/>
          <w:szCs w:val="20"/>
        </w:rPr>
        <w:t>&gt; Accessed 3 November 2019, p. 2.</w:t>
      </w:r>
    </w:p>
    <w:p w14:paraId="70BA68D4" w14:textId="77777777" w:rsidR="00E43136" w:rsidRPr="006814A0" w:rsidRDefault="00E43136">
      <w:pPr>
        <w:pStyle w:val="FootnoteText"/>
        <w:rPr>
          <w:rFonts w:asciiTheme="minorHAnsi" w:hAnsiTheme="minorHAnsi" w:cs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5D36"/>
    <w:multiLevelType w:val="hybridMultilevel"/>
    <w:tmpl w:val="B67A1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D6974"/>
    <w:multiLevelType w:val="multilevel"/>
    <w:tmpl w:val="840419B0"/>
    <w:lvl w:ilvl="0">
      <w:start w:val="2"/>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9F1E10"/>
    <w:multiLevelType w:val="multilevel"/>
    <w:tmpl w:val="0C90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94408E"/>
    <w:multiLevelType w:val="hybridMultilevel"/>
    <w:tmpl w:val="7A8CD9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FF067B7"/>
    <w:multiLevelType w:val="multilevel"/>
    <w:tmpl w:val="4418C7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1433F80"/>
    <w:multiLevelType w:val="multilevel"/>
    <w:tmpl w:val="96D8843E"/>
    <w:lvl w:ilvl="0">
      <w:start w:val="2"/>
      <w:numFmt w:val="decimal"/>
      <w:lvlText w:val="%1."/>
      <w:lvlJc w:val="left"/>
      <w:pPr>
        <w:ind w:left="400" w:hanging="400"/>
      </w:pPr>
      <w:rPr>
        <w:rFonts w:eastAsia="Times New Roman" w:hint="default"/>
        <w:b/>
      </w:rPr>
    </w:lvl>
    <w:lvl w:ilvl="1">
      <w:start w:val="1"/>
      <w:numFmt w:val="decimal"/>
      <w:lvlText w:val="%1.%2."/>
      <w:lvlJc w:val="left"/>
      <w:pPr>
        <w:ind w:left="1080" w:hanging="72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2160" w:hanging="108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3240" w:hanging="144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4320" w:hanging="1800"/>
      </w:pPr>
      <w:rPr>
        <w:rFonts w:eastAsia="Times New Roman" w:hint="default"/>
        <w:b/>
      </w:rPr>
    </w:lvl>
    <w:lvl w:ilvl="8">
      <w:start w:val="1"/>
      <w:numFmt w:val="decimal"/>
      <w:lvlText w:val="%1.%2.%3.%4.%5.%6.%7.%8.%9."/>
      <w:lvlJc w:val="left"/>
      <w:pPr>
        <w:ind w:left="5040" w:hanging="2160"/>
      </w:pPr>
      <w:rPr>
        <w:rFonts w:eastAsia="Times New Roman" w:hint="default"/>
        <w:b/>
      </w:rPr>
    </w:lvl>
  </w:abstractNum>
  <w:abstractNum w:abstractNumId="6" w15:restartNumberingAfterBreak="0">
    <w:nsid w:val="23B925A3"/>
    <w:multiLevelType w:val="multilevel"/>
    <w:tmpl w:val="92460C52"/>
    <w:lvl w:ilvl="0">
      <w:start w:val="1"/>
      <w:numFmt w:val="decimal"/>
      <w:lvlText w:val="%1."/>
      <w:lvlJc w:val="left"/>
      <w:pPr>
        <w:ind w:left="360" w:hanging="360"/>
      </w:pPr>
      <w:rPr>
        <w:rFonts w:ascii="Arial" w:hAnsi="Arial" w:cs="Arial" w:hint="default"/>
        <w:b/>
        <w:bCs/>
        <w:color w:val="auto"/>
        <w:sz w:val="24"/>
        <w:szCs w:val="24"/>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B000702"/>
    <w:multiLevelType w:val="multilevel"/>
    <w:tmpl w:val="0809001F"/>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21E1E2A"/>
    <w:multiLevelType w:val="multilevel"/>
    <w:tmpl w:val="FEC462E0"/>
    <w:lvl w:ilvl="0">
      <w:start w:val="2"/>
      <w:numFmt w:val="decimal"/>
      <w:lvlText w:val="%1"/>
      <w:lvlJc w:val="left"/>
      <w:pPr>
        <w:ind w:left="540" w:hanging="540"/>
      </w:pPr>
      <w:rPr>
        <w:rFonts w:ascii="Arial" w:hAnsi="Arial" w:cs="Arial" w:hint="default"/>
        <w:b/>
        <w:bCs/>
        <w:color w:val="auto"/>
        <w:sz w:val="24"/>
        <w:szCs w:val="24"/>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5487C8D"/>
    <w:multiLevelType w:val="multilevel"/>
    <w:tmpl w:val="218A0F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5875FEA"/>
    <w:multiLevelType w:val="multilevel"/>
    <w:tmpl w:val="0809001F"/>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20A5840"/>
    <w:multiLevelType w:val="multilevel"/>
    <w:tmpl w:val="9F8646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6E399F"/>
    <w:multiLevelType w:val="multilevel"/>
    <w:tmpl w:val="0809001F"/>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963208A"/>
    <w:multiLevelType w:val="multilevel"/>
    <w:tmpl w:val="840419B0"/>
    <w:lvl w:ilvl="0">
      <w:start w:val="2"/>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EDB5D65"/>
    <w:multiLevelType w:val="hybridMultilevel"/>
    <w:tmpl w:val="CDB40E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4"/>
  </w:num>
  <w:num w:numId="2">
    <w:abstractNumId w:val="3"/>
  </w:num>
  <w:num w:numId="3">
    <w:abstractNumId w:val="0"/>
  </w:num>
  <w:num w:numId="4">
    <w:abstractNumId w:val="2"/>
  </w:num>
  <w:num w:numId="5">
    <w:abstractNumId w:val="6"/>
  </w:num>
  <w:num w:numId="6">
    <w:abstractNumId w:val="5"/>
  </w:num>
  <w:num w:numId="7">
    <w:abstractNumId w:val="8"/>
  </w:num>
  <w:num w:numId="8">
    <w:abstractNumId w:val="9"/>
  </w:num>
  <w:num w:numId="9">
    <w:abstractNumId w:val="11"/>
  </w:num>
  <w:num w:numId="10">
    <w:abstractNumId w:val="4"/>
  </w:num>
  <w:num w:numId="11">
    <w:abstractNumId w:val="7"/>
  </w:num>
  <w:num w:numId="12">
    <w:abstractNumId w:val="10"/>
  </w:num>
  <w:num w:numId="13">
    <w:abstractNumId w:val="13"/>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8F6"/>
    <w:rsid w:val="00001C66"/>
    <w:rsid w:val="00004BC1"/>
    <w:rsid w:val="00005EF8"/>
    <w:rsid w:val="0000609E"/>
    <w:rsid w:val="00007EE5"/>
    <w:rsid w:val="00010CE1"/>
    <w:rsid w:val="000114ED"/>
    <w:rsid w:val="00011815"/>
    <w:rsid w:val="000123F1"/>
    <w:rsid w:val="0001428F"/>
    <w:rsid w:val="00014799"/>
    <w:rsid w:val="00014DC2"/>
    <w:rsid w:val="0002008C"/>
    <w:rsid w:val="000233B6"/>
    <w:rsid w:val="0002483D"/>
    <w:rsid w:val="00024E7B"/>
    <w:rsid w:val="0002704E"/>
    <w:rsid w:val="0002737C"/>
    <w:rsid w:val="00030087"/>
    <w:rsid w:val="000302AC"/>
    <w:rsid w:val="00033E3C"/>
    <w:rsid w:val="00035D1A"/>
    <w:rsid w:val="00040230"/>
    <w:rsid w:val="000411AC"/>
    <w:rsid w:val="000412A7"/>
    <w:rsid w:val="00043C8D"/>
    <w:rsid w:val="00044278"/>
    <w:rsid w:val="000478AE"/>
    <w:rsid w:val="00050673"/>
    <w:rsid w:val="00052729"/>
    <w:rsid w:val="00052F9D"/>
    <w:rsid w:val="00053D8C"/>
    <w:rsid w:val="0005429D"/>
    <w:rsid w:val="000575EE"/>
    <w:rsid w:val="00062D5E"/>
    <w:rsid w:val="000660A6"/>
    <w:rsid w:val="000677A3"/>
    <w:rsid w:val="00072710"/>
    <w:rsid w:val="000736AD"/>
    <w:rsid w:val="0007478F"/>
    <w:rsid w:val="00074F5C"/>
    <w:rsid w:val="00077B20"/>
    <w:rsid w:val="0008118E"/>
    <w:rsid w:val="000823D8"/>
    <w:rsid w:val="000825B1"/>
    <w:rsid w:val="00083AF5"/>
    <w:rsid w:val="000840CB"/>
    <w:rsid w:val="00085210"/>
    <w:rsid w:val="000875D9"/>
    <w:rsid w:val="0009166D"/>
    <w:rsid w:val="000916E8"/>
    <w:rsid w:val="000931EC"/>
    <w:rsid w:val="000941DF"/>
    <w:rsid w:val="00095C42"/>
    <w:rsid w:val="00097332"/>
    <w:rsid w:val="00097C65"/>
    <w:rsid w:val="000A0729"/>
    <w:rsid w:val="000A262B"/>
    <w:rsid w:val="000A3413"/>
    <w:rsid w:val="000A703A"/>
    <w:rsid w:val="000A771B"/>
    <w:rsid w:val="000B18F1"/>
    <w:rsid w:val="000B1D1E"/>
    <w:rsid w:val="000B4599"/>
    <w:rsid w:val="000B5C90"/>
    <w:rsid w:val="000C368B"/>
    <w:rsid w:val="000C37E2"/>
    <w:rsid w:val="000C54A6"/>
    <w:rsid w:val="000C5986"/>
    <w:rsid w:val="000C63B2"/>
    <w:rsid w:val="000C75F6"/>
    <w:rsid w:val="000D05B7"/>
    <w:rsid w:val="000D3526"/>
    <w:rsid w:val="000E1AE2"/>
    <w:rsid w:val="000E1E46"/>
    <w:rsid w:val="000E2ECA"/>
    <w:rsid w:val="000E5FC4"/>
    <w:rsid w:val="000E6A21"/>
    <w:rsid w:val="000E6B9E"/>
    <w:rsid w:val="000F17C8"/>
    <w:rsid w:val="000F2D9D"/>
    <w:rsid w:val="000F3AD3"/>
    <w:rsid w:val="000F6911"/>
    <w:rsid w:val="000F6CC7"/>
    <w:rsid w:val="000F734C"/>
    <w:rsid w:val="0010082D"/>
    <w:rsid w:val="00101357"/>
    <w:rsid w:val="00103A96"/>
    <w:rsid w:val="001047A2"/>
    <w:rsid w:val="0011253A"/>
    <w:rsid w:val="00112807"/>
    <w:rsid w:val="00114CB1"/>
    <w:rsid w:val="0011557D"/>
    <w:rsid w:val="00115586"/>
    <w:rsid w:val="0011663E"/>
    <w:rsid w:val="00122CC5"/>
    <w:rsid w:val="001266A4"/>
    <w:rsid w:val="00126848"/>
    <w:rsid w:val="0012724C"/>
    <w:rsid w:val="00130C95"/>
    <w:rsid w:val="00132E69"/>
    <w:rsid w:val="00135830"/>
    <w:rsid w:val="00135D0C"/>
    <w:rsid w:val="00140007"/>
    <w:rsid w:val="00140304"/>
    <w:rsid w:val="00143D81"/>
    <w:rsid w:val="0014535B"/>
    <w:rsid w:val="00146162"/>
    <w:rsid w:val="00154CDC"/>
    <w:rsid w:val="00154FAA"/>
    <w:rsid w:val="00155C66"/>
    <w:rsid w:val="00156AB4"/>
    <w:rsid w:val="001577C2"/>
    <w:rsid w:val="001607CE"/>
    <w:rsid w:val="00162E70"/>
    <w:rsid w:val="00171615"/>
    <w:rsid w:val="00171E68"/>
    <w:rsid w:val="00176FCC"/>
    <w:rsid w:val="00177271"/>
    <w:rsid w:val="00180692"/>
    <w:rsid w:val="001814D9"/>
    <w:rsid w:val="00181690"/>
    <w:rsid w:val="00181EA9"/>
    <w:rsid w:val="00182C99"/>
    <w:rsid w:val="001838AC"/>
    <w:rsid w:val="0018485F"/>
    <w:rsid w:val="00185E0C"/>
    <w:rsid w:val="0019344F"/>
    <w:rsid w:val="0019376E"/>
    <w:rsid w:val="00194716"/>
    <w:rsid w:val="0019608F"/>
    <w:rsid w:val="0019611A"/>
    <w:rsid w:val="00197A40"/>
    <w:rsid w:val="00197DDC"/>
    <w:rsid w:val="001A2992"/>
    <w:rsid w:val="001A3350"/>
    <w:rsid w:val="001A67D0"/>
    <w:rsid w:val="001A7A11"/>
    <w:rsid w:val="001B03CF"/>
    <w:rsid w:val="001B0A06"/>
    <w:rsid w:val="001B0D22"/>
    <w:rsid w:val="001B2C2B"/>
    <w:rsid w:val="001B3BBE"/>
    <w:rsid w:val="001B7853"/>
    <w:rsid w:val="001C1125"/>
    <w:rsid w:val="001C1DEC"/>
    <w:rsid w:val="001C3F0F"/>
    <w:rsid w:val="001C3F73"/>
    <w:rsid w:val="001C3F87"/>
    <w:rsid w:val="001C4DDB"/>
    <w:rsid w:val="001C5BA7"/>
    <w:rsid w:val="001C62BC"/>
    <w:rsid w:val="001D1811"/>
    <w:rsid w:val="001D1D61"/>
    <w:rsid w:val="001D244A"/>
    <w:rsid w:val="001D6D90"/>
    <w:rsid w:val="001E4593"/>
    <w:rsid w:val="001E5971"/>
    <w:rsid w:val="001E6F77"/>
    <w:rsid w:val="001F1603"/>
    <w:rsid w:val="001F22C1"/>
    <w:rsid w:val="001F2B71"/>
    <w:rsid w:val="001F3B5F"/>
    <w:rsid w:val="001F70F2"/>
    <w:rsid w:val="00201704"/>
    <w:rsid w:val="00202C9A"/>
    <w:rsid w:val="00203694"/>
    <w:rsid w:val="0020712A"/>
    <w:rsid w:val="002125E5"/>
    <w:rsid w:val="0021261B"/>
    <w:rsid w:val="00215808"/>
    <w:rsid w:val="002172C1"/>
    <w:rsid w:val="002176D9"/>
    <w:rsid w:val="002211A6"/>
    <w:rsid w:val="0022356A"/>
    <w:rsid w:val="002279AD"/>
    <w:rsid w:val="002347B3"/>
    <w:rsid w:val="00236386"/>
    <w:rsid w:val="00236F71"/>
    <w:rsid w:val="00237821"/>
    <w:rsid w:val="00242198"/>
    <w:rsid w:val="00243ED0"/>
    <w:rsid w:val="00244B39"/>
    <w:rsid w:val="00245089"/>
    <w:rsid w:val="002452A6"/>
    <w:rsid w:val="00246060"/>
    <w:rsid w:val="00250128"/>
    <w:rsid w:val="00252A27"/>
    <w:rsid w:val="00253319"/>
    <w:rsid w:val="00254E5A"/>
    <w:rsid w:val="00254FE0"/>
    <w:rsid w:val="00255665"/>
    <w:rsid w:val="002565E0"/>
    <w:rsid w:val="002577F5"/>
    <w:rsid w:val="00257B82"/>
    <w:rsid w:val="002602B6"/>
    <w:rsid w:val="00262B08"/>
    <w:rsid w:val="00265D82"/>
    <w:rsid w:val="00270CA2"/>
    <w:rsid w:val="00271777"/>
    <w:rsid w:val="00273A10"/>
    <w:rsid w:val="002745A0"/>
    <w:rsid w:val="00275A99"/>
    <w:rsid w:val="002763D7"/>
    <w:rsid w:val="00277B6B"/>
    <w:rsid w:val="00281D69"/>
    <w:rsid w:val="00283E98"/>
    <w:rsid w:val="002842A8"/>
    <w:rsid w:val="00284719"/>
    <w:rsid w:val="00287D3E"/>
    <w:rsid w:val="0029241F"/>
    <w:rsid w:val="002930CF"/>
    <w:rsid w:val="0029485F"/>
    <w:rsid w:val="0029535F"/>
    <w:rsid w:val="002954D3"/>
    <w:rsid w:val="0029776A"/>
    <w:rsid w:val="002A0F50"/>
    <w:rsid w:val="002A27D2"/>
    <w:rsid w:val="002A354D"/>
    <w:rsid w:val="002A4D8F"/>
    <w:rsid w:val="002A5784"/>
    <w:rsid w:val="002B0276"/>
    <w:rsid w:val="002B3A10"/>
    <w:rsid w:val="002B4BD0"/>
    <w:rsid w:val="002B52A3"/>
    <w:rsid w:val="002C0649"/>
    <w:rsid w:val="002C18F8"/>
    <w:rsid w:val="002C2A9B"/>
    <w:rsid w:val="002C6344"/>
    <w:rsid w:val="002C7384"/>
    <w:rsid w:val="002C7DFD"/>
    <w:rsid w:val="002D2114"/>
    <w:rsid w:val="002D25FA"/>
    <w:rsid w:val="002D27D2"/>
    <w:rsid w:val="002D3DEC"/>
    <w:rsid w:val="002D3E73"/>
    <w:rsid w:val="002D65F1"/>
    <w:rsid w:val="002D6628"/>
    <w:rsid w:val="002E0783"/>
    <w:rsid w:val="002E0D06"/>
    <w:rsid w:val="002E21AF"/>
    <w:rsid w:val="002E6986"/>
    <w:rsid w:val="002F0D41"/>
    <w:rsid w:val="002F1723"/>
    <w:rsid w:val="002F4AF0"/>
    <w:rsid w:val="002F58C3"/>
    <w:rsid w:val="002F616D"/>
    <w:rsid w:val="002F7BAE"/>
    <w:rsid w:val="0030242A"/>
    <w:rsid w:val="003026AB"/>
    <w:rsid w:val="00302826"/>
    <w:rsid w:val="00302E6B"/>
    <w:rsid w:val="00302E7D"/>
    <w:rsid w:val="00306B2F"/>
    <w:rsid w:val="00307BCB"/>
    <w:rsid w:val="003125CE"/>
    <w:rsid w:val="003136CC"/>
    <w:rsid w:val="003143DD"/>
    <w:rsid w:val="00316B45"/>
    <w:rsid w:val="003222E7"/>
    <w:rsid w:val="003230A3"/>
    <w:rsid w:val="0032332B"/>
    <w:rsid w:val="00323CE6"/>
    <w:rsid w:val="00323E34"/>
    <w:rsid w:val="00323EAD"/>
    <w:rsid w:val="00325433"/>
    <w:rsid w:val="00325B7B"/>
    <w:rsid w:val="00326FD9"/>
    <w:rsid w:val="00332780"/>
    <w:rsid w:val="003329C2"/>
    <w:rsid w:val="003347D0"/>
    <w:rsid w:val="00334B14"/>
    <w:rsid w:val="00334DB6"/>
    <w:rsid w:val="00334DEF"/>
    <w:rsid w:val="003358DD"/>
    <w:rsid w:val="00335C5B"/>
    <w:rsid w:val="0033666B"/>
    <w:rsid w:val="00336BF5"/>
    <w:rsid w:val="00336D22"/>
    <w:rsid w:val="003375C4"/>
    <w:rsid w:val="003377D7"/>
    <w:rsid w:val="00340400"/>
    <w:rsid w:val="00343C12"/>
    <w:rsid w:val="00344731"/>
    <w:rsid w:val="003460B2"/>
    <w:rsid w:val="00346314"/>
    <w:rsid w:val="003478A1"/>
    <w:rsid w:val="00351591"/>
    <w:rsid w:val="00353374"/>
    <w:rsid w:val="0035468F"/>
    <w:rsid w:val="00355E60"/>
    <w:rsid w:val="00356CF6"/>
    <w:rsid w:val="00356EB4"/>
    <w:rsid w:val="003606EA"/>
    <w:rsid w:val="003609DE"/>
    <w:rsid w:val="003646F7"/>
    <w:rsid w:val="00364B9A"/>
    <w:rsid w:val="00367C5C"/>
    <w:rsid w:val="00367F97"/>
    <w:rsid w:val="00370BFE"/>
    <w:rsid w:val="003717B5"/>
    <w:rsid w:val="00372CBD"/>
    <w:rsid w:val="00373870"/>
    <w:rsid w:val="00381DC0"/>
    <w:rsid w:val="00382DF9"/>
    <w:rsid w:val="00383A0F"/>
    <w:rsid w:val="003846BD"/>
    <w:rsid w:val="00384ADF"/>
    <w:rsid w:val="00385670"/>
    <w:rsid w:val="003867AD"/>
    <w:rsid w:val="00387EAC"/>
    <w:rsid w:val="0039001D"/>
    <w:rsid w:val="003901CC"/>
    <w:rsid w:val="00390DF2"/>
    <w:rsid w:val="00391EC8"/>
    <w:rsid w:val="0039216D"/>
    <w:rsid w:val="00392DE5"/>
    <w:rsid w:val="00394082"/>
    <w:rsid w:val="003943AD"/>
    <w:rsid w:val="00395C47"/>
    <w:rsid w:val="00396D70"/>
    <w:rsid w:val="00396E64"/>
    <w:rsid w:val="00397B75"/>
    <w:rsid w:val="003A1C24"/>
    <w:rsid w:val="003A4208"/>
    <w:rsid w:val="003A6D03"/>
    <w:rsid w:val="003A74C2"/>
    <w:rsid w:val="003A7504"/>
    <w:rsid w:val="003A786B"/>
    <w:rsid w:val="003B019E"/>
    <w:rsid w:val="003B032B"/>
    <w:rsid w:val="003B2E73"/>
    <w:rsid w:val="003B78B0"/>
    <w:rsid w:val="003C0A4C"/>
    <w:rsid w:val="003C2D5B"/>
    <w:rsid w:val="003C58AB"/>
    <w:rsid w:val="003C7E50"/>
    <w:rsid w:val="003D2302"/>
    <w:rsid w:val="003D40EC"/>
    <w:rsid w:val="003D469D"/>
    <w:rsid w:val="003D6111"/>
    <w:rsid w:val="003D6120"/>
    <w:rsid w:val="003D6BD8"/>
    <w:rsid w:val="003E0AE1"/>
    <w:rsid w:val="003E211C"/>
    <w:rsid w:val="003E3BAF"/>
    <w:rsid w:val="003E552E"/>
    <w:rsid w:val="003E5981"/>
    <w:rsid w:val="003E62B2"/>
    <w:rsid w:val="003E771F"/>
    <w:rsid w:val="003F103E"/>
    <w:rsid w:val="003F5183"/>
    <w:rsid w:val="003F661F"/>
    <w:rsid w:val="003F6669"/>
    <w:rsid w:val="00401EE0"/>
    <w:rsid w:val="00402947"/>
    <w:rsid w:val="0040458D"/>
    <w:rsid w:val="00404B1A"/>
    <w:rsid w:val="00413239"/>
    <w:rsid w:val="004134D8"/>
    <w:rsid w:val="0041381E"/>
    <w:rsid w:val="00415761"/>
    <w:rsid w:val="00416119"/>
    <w:rsid w:val="004211DD"/>
    <w:rsid w:val="0042128D"/>
    <w:rsid w:val="00422E4D"/>
    <w:rsid w:val="00425A18"/>
    <w:rsid w:val="00425BD5"/>
    <w:rsid w:val="00427920"/>
    <w:rsid w:val="00430D44"/>
    <w:rsid w:val="00431E4E"/>
    <w:rsid w:val="0043274C"/>
    <w:rsid w:val="00432A3B"/>
    <w:rsid w:val="004331E4"/>
    <w:rsid w:val="00433708"/>
    <w:rsid w:val="0044030D"/>
    <w:rsid w:val="00440C05"/>
    <w:rsid w:val="004417BB"/>
    <w:rsid w:val="0044211A"/>
    <w:rsid w:val="004432BD"/>
    <w:rsid w:val="00443899"/>
    <w:rsid w:val="00443F27"/>
    <w:rsid w:val="004460D8"/>
    <w:rsid w:val="00446637"/>
    <w:rsid w:val="00452DD1"/>
    <w:rsid w:val="004570B1"/>
    <w:rsid w:val="00464BCB"/>
    <w:rsid w:val="004650E7"/>
    <w:rsid w:val="0046709B"/>
    <w:rsid w:val="00470A15"/>
    <w:rsid w:val="00471E10"/>
    <w:rsid w:val="00472250"/>
    <w:rsid w:val="00472A00"/>
    <w:rsid w:val="004736EB"/>
    <w:rsid w:val="00475199"/>
    <w:rsid w:val="004755A8"/>
    <w:rsid w:val="00475E71"/>
    <w:rsid w:val="00476C2F"/>
    <w:rsid w:val="0048098D"/>
    <w:rsid w:val="00481608"/>
    <w:rsid w:val="00483E88"/>
    <w:rsid w:val="00485746"/>
    <w:rsid w:val="00485C4B"/>
    <w:rsid w:val="004879EA"/>
    <w:rsid w:val="00491223"/>
    <w:rsid w:val="004923D7"/>
    <w:rsid w:val="00492526"/>
    <w:rsid w:val="004941D1"/>
    <w:rsid w:val="0049740A"/>
    <w:rsid w:val="004978AC"/>
    <w:rsid w:val="004978C9"/>
    <w:rsid w:val="004A0D51"/>
    <w:rsid w:val="004A2483"/>
    <w:rsid w:val="004A3221"/>
    <w:rsid w:val="004A3B4D"/>
    <w:rsid w:val="004A3E14"/>
    <w:rsid w:val="004A40D0"/>
    <w:rsid w:val="004A44E8"/>
    <w:rsid w:val="004A4E15"/>
    <w:rsid w:val="004A5D0E"/>
    <w:rsid w:val="004A74AB"/>
    <w:rsid w:val="004A7E41"/>
    <w:rsid w:val="004B2FC0"/>
    <w:rsid w:val="004B36DC"/>
    <w:rsid w:val="004B72AC"/>
    <w:rsid w:val="004B746C"/>
    <w:rsid w:val="004C0917"/>
    <w:rsid w:val="004C0BB1"/>
    <w:rsid w:val="004C1CF9"/>
    <w:rsid w:val="004C33E4"/>
    <w:rsid w:val="004C3883"/>
    <w:rsid w:val="004C4005"/>
    <w:rsid w:val="004C467F"/>
    <w:rsid w:val="004C5136"/>
    <w:rsid w:val="004C5560"/>
    <w:rsid w:val="004C7E47"/>
    <w:rsid w:val="004D0769"/>
    <w:rsid w:val="004D64BD"/>
    <w:rsid w:val="004E08D6"/>
    <w:rsid w:val="004E175F"/>
    <w:rsid w:val="004E20D8"/>
    <w:rsid w:val="004E594E"/>
    <w:rsid w:val="004F28D8"/>
    <w:rsid w:val="004F2F08"/>
    <w:rsid w:val="004F3C76"/>
    <w:rsid w:val="00502250"/>
    <w:rsid w:val="00502D36"/>
    <w:rsid w:val="00503D07"/>
    <w:rsid w:val="00503E8A"/>
    <w:rsid w:val="00504D19"/>
    <w:rsid w:val="0050590B"/>
    <w:rsid w:val="0050761F"/>
    <w:rsid w:val="005105DE"/>
    <w:rsid w:val="0051071A"/>
    <w:rsid w:val="0051083D"/>
    <w:rsid w:val="005113E8"/>
    <w:rsid w:val="0051297B"/>
    <w:rsid w:val="005158E2"/>
    <w:rsid w:val="00520BD3"/>
    <w:rsid w:val="00520F6D"/>
    <w:rsid w:val="005273A6"/>
    <w:rsid w:val="00527733"/>
    <w:rsid w:val="00531B14"/>
    <w:rsid w:val="00531CC1"/>
    <w:rsid w:val="0053265D"/>
    <w:rsid w:val="00532DF7"/>
    <w:rsid w:val="00534624"/>
    <w:rsid w:val="005346A3"/>
    <w:rsid w:val="005413A3"/>
    <w:rsid w:val="00541C32"/>
    <w:rsid w:val="005420D1"/>
    <w:rsid w:val="0054271F"/>
    <w:rsid w:val="00543584"/>
    <w:rsid w:val="00543816"/>
    <w:rsid w:val="00543AC1"/>
    <w:rsid w:val="00551920"/>
    <w:rsid w:val="005537C9"/>
    <w:rsid w:val="00553E46"/>
    <w:rsid w:val="00554DD1"/>
    <w:rsid w:val="00556BC2"/>
    <w:rsid w:val="00560B4A"/>
    <w:rsid w:val="00564AD7"/>
    <w:rsid w:val="00565BFC"/>
    <w:rsid w:val="00566582"/>
    <w:rsid w:val="00566D09"/>
    <w:rsid w:val="00567E2F"/>
    <w:rsid w:val="00570BBF"/>
    <w:rsid w:val="00571DAA"/>
    <w:rsid w:val="005723D5"/>
    <w:rsid w:val="005726AE"/>
    <w:rsid w:val="005736C8"/>
    <w:rsid w:val="0057477B"/>
    <w:rsid w:val="005749B8"/>
    <w:rsid w:val="005772BD"/>
    <w:rsid w:val="00577D25"/>
    <w:rsid w:val="0058121D"/>
    <w:rsid w:val="005845A6"/>
    <w:rsid w:val="0058642C"/>
    <w:rsid w:val="005867D3"/>
    <w:rsid w:val="005867D6"/>
    <w:rsid w:val="00587EF0"/>
    <w:rsid w:val="00592EFD"/>
    <w:rsid w:val="0059720D"/>
    <w:rsid w:val="005979ED"/>
    <w:rsid w:val="005A0FA5"/>
    <w:rsid w:val="005A1D00"/>
    <w:rsid w:val="005A2656"/>
    <w:rsid w:val="005A26B6"/>
    <w:rsid w:val="005A2CE7"/>
    <w:rsid w:val="005A461D"/>
    <w:rsid w:val="005A4B5C"/>
    <w:rsid w:val="005A5779"/>
    <w:rsid w:val="005B2708"/>
    <w:rsid w:val="005B2712"/>
    <w:rsid w:val="005B3B91"/>
    <w:rsid w:val="005B5589"/>
    <w:rsid w:val="005C06AB"/>
    <w:rsid w:val="005C0F87"/>
    <w:rsid w:val="005C2FEE"/>
    <w:rsid w:val="005C30B6"/>
    <w:rsid w:val="005C31F2"/>
    <w:rsid w:val="005C45EE"/>
    <w:rsid w:val="005C4F23"/>
    <w:rsid w:val="005C5C0F"/>
    <w:rsid w:val="005D448A"/>
    <w:rsid w:val="005D5E3A"/>
    <w:rsid w:val="005E1730"/>
    <w:rsid w:val="005E283C"/>
    <w:rsid w:val="005E5D40"/>
    <w:rsid w:val="005E62E9"/>
    <w:rsid w:val="005F342D"/>
    <w:rsid w:val="005F3E91"/>
    <w:rsid w:val="006018A8"/>
    <w:rsid w:val="006032B7"/>
    <w:rsid w:val="006036B4"/>
    <w:rsid w:val="00603731"/>
    <w:rsid w:val="00606442"/>
    <w:rsid w:val="006116C4"/>
    <w:rsid w:val="0061188C"/>
    <w:rsid w:val="00612713"/>
    <w:rsid w:val="006137E6"/>
    <w:rsid w:val="0061604F"/>
    <w:rsid w:val="00616FA1"/>
    <w:rsid w:val="006172D2"/>
    <w:rsid w:val="00617C56"/>
    <w:rsid w:val="0062083E"/>
    <w:rsid w:val="00621D85"/>
    <w:rsid w:val="00631B91"/>
    <w:rsid w:val="006325ED"/>
    <w:rsid w:val="00633E0E"/>
    <w:rsid w:val="00634D0C"/>
    <w:rsid w:val="00635819"/>
    <w:rsid w:val="00635A38"/>
    <w:rsid w:val="0063727A"/>
    <w:rsid w:val="006437A4"/>
    <w:rsid w:val="0064674F"/>
    <w:rsid w:val="0065008A"/>
    <w:rsid w:val="00650C9D"/>
    <w:rsid w:val="00653C3D"/>
    <w:rsid w:val="00653C6C"/>
    <w:rsid w:val="00660E5C"/>
    <w:rsid w:val="00660EDD"/>
    <w:rsid w:val="00661774"/>
    <w:rsid w:val="00661810"/>
    <w:rsid w:val="006633AF"/>
    <w:rsid w:val="00665003"/>
    <w:rsid w:val="00665A3D"/>
    <w:rsid w:val="00672757"/>
    <w:rsid w:val="006727B3"/>
    <w:rsid w:val="00673798"/>
    <w:rsid w:val="0067575C"/>
    <w:rsid w:val="00676125"/>
    <w:rsid w:val="006814A0"/>
    <w:rsid w:val="006831F0"/>
    <w:rsid w:val="00683929"/>
    <w:rsid w:val="00684C9C"/>
    <w:rsid w:val="00690299"/>
    <w:rsid w:val="006904A1"/>
    <w:rsid w:val="00693F7A"/>
    <w:rsid w:val="006A148B"/>
    <w:rsid w:val="006A3718"/>
    <w:rsid w:val="006A4A32"/>
    <w:rsid w:val="006A4E6A"/>
    <w:rsid w:val="006A5A1C"/>
    <w:rsid w:val="006A6BCE"/>
    <w:rsid w:val="006B07A6"/>
    <w:rsid w:val="006B0AEC"/>
    <w:rsid w:val="006B0C48"/>
    <w:rsid w:val="006B0E3D"/>
    <w:rsid w:val="006B0E7A"/>
    <w:rsid w:val="006B1C42"/>
    <w:rsid w:val="006B44B3"/>
    <w:rsid w:val="006B7688"/>
    <w:rsid w:val="006C1AFB"/>
    <w:rsid w:val="006C2B7C"/>
    <w:rsid w:val="006D0209"/>
    <w:rsid w:val="006D043C"/>
    <w:rsid w:val="006D33EF"/>
    <w:rsid w:val="006D528C"/>
    <w:rsid w:val="006D7721"/>
    <w:rsid w:val="006D7DC1"/>
    <w:rsid w:val="006E5D0C"/>
    <w:rsid w:val="006E6010"/>
    <w:rsid w:val="006F074E"/>
    <w:rsid w:val="006F45A8"/>
    <w:rsid w:val="006F4E97"/>
    <w:rsid w:val="006F6CC9"/>
    <w:rsid w:val="006F7DC5"/>
    <w:rsid w:val="00700333"/>
    <w:rsid w:val="00700510"/>
    <w:rsid w:val="00701865"/>
    <w:rsid w:val="007056B2"/>
    <w:rsid w:val="007069E8"/>
    <w:rsid w:val="007119D8"/>
    <w:rsid w:val="007132F4"/>
    <w:rsid w:val="0071341C"/>
    <w:rsid w:val="00720D78"/>
    <w:rsid w:val="00722D29"/>
    <w:rsid w:val="00722E50"/>
    <w:rsid w:val="0072355C"/>
    <w:rsid w:val="007250BE"/>
    <w:rsid w:val="00725850"/>
    <w:rsid w:val="007260ED"/>
    <w:rsid w:val="007262AD"/>
    <w:rsid w:val="00730FC4"/>
    <w:rsid w:val="007311E9"/>
    <w:rsid w:val="00731C6D"/>
    <w:rsid w:val="00732277"/>
    <w:rsid w:val="007356F7"/>
    <w:rsid w:val="00735BEB"/>
    <w:rsid w:val="00735FFF"/>
    <w:rsid w:val="00743186"/>
    <w:rsid w:val="00743DBE"/>
    <w:rsid w:val="00744895"/>
    <w:rsid w:val="00747432"/>
    <w:rsid w:val="00753BF9"/>
    <w:rsid w:val="0075586A"/>
    <w:rsid w:val="00755A04"/>
    <w:rsid w:val="00761445"/>
    <w:rsid w:val="00762AFE"/>
    <w:rsid w:val="00764E12"/>
    <w:rsid w:val="00766D95"/>
    <w:rsid w:val="00767B2D"/>
    <w:rsid w:val="007707C7"/>
    <w:rsid w:val="00770B79"/>
    <w:rsid w:val="007718E5"/>
    <w:rsid w:val="00771EC4"/>
    <w:rsid w:val="00772216"/>
    <w:rsid w:val="0077224D"/>
    <w:rsid w:val="00772B79"/>
    <w:rsid w:val="00773CD6"/>
    <w:rsid w:val="007743DF"/>
    <w:rsid w:val="00777922"/>
    <w:rsid w:val="00780809"/>
    <w:rsid w:val="00780C0C"/>
    <w:rsid w:val="00781A31"/>
    <w:rsid w:val="00782281"/>
    <w:rsid w:val="0078421B"/>
    <w:rsid w:val="007852BE"/>
    <w:rsid w:val="00785AFA"/>
    <w:rsid w:val="00786391"/>
    <w:rsid w:val="00787592"/>
    <w:rsid w:val="007910BF"/>
    <w:rsid w:val="00791108"/>
    <w:rsid w:val="007925E7"/>
    <w:rsid w:val="007939C2"/>
    <w:rsid w:val="00793C73"/>
    <w:rsid w:val="007948B2"/>
    <w:rsid w:val="00794DAC"/>
    <w:rsid w:val="0079502B"/>
    <w:rsid w:val="00795244"/>
    <w:rsid w:val="00796D90"/>
    <w:rsid w:val="007A155A"/>
    <w:rsid w:val="007A2E5B"/>
    <w:rsid w:val="007A3FE6"/>
    <w:rsid w:val="007A6B05"/>
    <w:rsid w:val="007A6E86"/>
    <w:rsid w:val="007A73B9"/>
    <w:rsid w:val="007B0330"/>
    <w:rsid w:val="007B2B44"/>
    <w:rsid w:val="007B47C6"/>
    <w:rsid w:val="007B6FD9"/>
    <w:rsid w:val="007B7CD6"/>
    <w:rsid w:val="007C21BE"/>
    <w:rsid w:val="007C24F8"/>
    <w:rsid w:val="007C2569"/>
    <w:rsid w:val="007C2B69"/>
    <w:rsid w:val="007C4AEE"/>
    <w:rsid w:val="007C509C"/>
    <w:rsid w:val="007C5A31"/>
    <w:rsid w:val="007C5C58"/>
    <w:rsid w:val="007C7528"/>
    <w:rsid w:val="007D0606"/>
    <w:rsid w:val="007D1C8D"/>
    <w:rsid w:val="007D1FE4"/>
    <w:rsid w:val="007D4A81"/>
    <w:rsid w:val="007D4D48"/>
    <w:rsid w:val="007D6760"/>
    <w:rsid w:val="007D7F32"/>
    <w:rsid w:val="007E1662"/>
    <w:rsid w:val="007E26D6"/>
    <w:rsid w:val="007E4798"/>
    <w:rsid w:val="007E4E73"/>
    <w:rsid w:val="007E6E91"/>
    <w:rsid w:val="007F0F9C"/>
    <w:rsid w:val="007F1A59"/>
    <w:rsid w:val="007F3B19"/>
    <w:rsid w:val="008009F1"/>
    <w:rsid w:val="00801800"/>
    <w:rsid w:val="00801D62"/>
    <w:rsid w:val="00802C8A"/>
    <w:rsid w:val="00802F5E"/>
    <w:rsid w:val="00804057"/>
    <w:rsid w:val="0080478C"/>
    <w:rsid w:val="00806CAC"/>
    <w:rsid w:val="0081137E"/>
    <w:rsid w:val="00815C0B"/>
    <w:rsid w:val="00821CAC"/>
    <w:rsid w:val="00824F07"/>
    <w:rsid w:val="00825D40"/>
    <w:rsid w:val="0083063D"/>
    <w:rsid w:val="008319E6"/>
    <w:rsid w:val="00834CD8"/>
    <w:rsid w:val="00840538"/>
    <w:rsid w:val="00845B86"/>
    <w:rsid w:val="00845EEB"/>
    <w:rsid w:val="00850102"/>
    <w:rsid w:val="00851A25"/>
    <w:rsid w:val="008528B1"/>
    <w:rsid w:val="00854081"/>
    <w:rsid w:val="008543B3"/>
    <w:rsid w:val="00856EAC"/>
    <w:rsid w:val="00860C82"/>
    <w:rsid w:val="0086267D"/>
    <w:rsid w:val="00862B37"/>
    <w:rsid w:val="00862EF2"/>
    <w:rsid w:val="00866F9F"/>
    <w:rsid w:val="0086746E"/>
    <w:rsid w:val="00870582"/>
    <w:rsid w:val="00870726"/>
    <w:rsid w:val="0087613D"/>
    <w:rsid w:val="00876366"/>
    <w:rsid w:val="00877D70"/>
    <w:rsid w:val="00881729"/>
    <w:rsid w:val="00884B14"/>
    <w:rsid w:val="00884C52"/>
    <w:rsid w:val="0088507D"/>
    <w:rsid w:val="0088553A"/>
    <w:rsid w:val="00885EF9"/>
    <w:rsid w:val="00887E57"/>
    <w:rsid w:val="0089028B"/>
    <w:rsid w:val="0089095F"/>
    <w:rsid w:val="00890ACE"/>
    <w:rsid w:val="008926E9"/>
    <w:rsid w:val="00893C56"/>
    <w:rsid w:val="00895DE7"/>
    <w:rsid w:val="00896CC4"/>
    <w:rsid w:val="00896EEA"/>
    <w:rsid w:val="008A0671"/>
    <w:rsid w:val="008A0E93"/>
    <w:rsid w:val="008A1986"/>
    <w:rsid w:val="008A47B4"/>
    <w:rsid w:val="008B2D52"/>
    <w:rsid w:val="008B488F"/>
    <w:rsid w:val="008B5776"/>
    <w:rsid w:val="008B57E6"/>
    <w:rsid w:val="008C3634"/>
    <w:rsid w:val="008C6073"/>
    <w:rsid w:val="008C7A22"/>
    <w:rsid w:val="008D0BC3"/>
    <w:rsid w:val="008D392B"/>
    <w:rsid w:val="008D3DC3"/>
    <w:rsid w:val="008D7964"/>
    <w:rsid w:val="008E1778"/>
    <w:rsid w:val="008E1C0D"/>
    <w:rsid w:val="008E202A"/>
    <w:rsid w:val="008F0F3B"/>
    <w:rsid w:val="008F1B80"/>
    <w:rsid w:val="008F64D4"/>
    <w:rsid w:val="009006DB"/>
    <w:rsid w:val="0090085F"/>
    <w:rsid w:val="009066CF"/>
    <w:rsid w:val="00906EBF"/>
    <w:rsid w:val="00910EAD"/>
    <w:rsid w:val="00921696"/>
    <w:rsid w:val="00921C4D"/>
    <w:rsid w:val="00921EE5"/>
    <w:rsid w:val="009225A8"/>
    <w:rsid w:val="00923704"/>
    <w:rsid w:val="00925258"/>
    <w:rsid w:val="00925570"/>
    <w:rsid w:val="00927660"/>
    <w:rsid w:val="00931482"/>
    <w:rsid w:val="009345F3"/>
    <w:rsid w:val="00936189"/>
    <w:rsid w:val="0093645A"/>
    <w:rsid w:val="00942FFB"/>
    <w:rsid w:val="00944BFE"/>
    <w:rsid w:val="0094754A"/>
    <w:rsid w:val="009513BF"/>
    <w:rsid w:val="00951C43"/>
    <w:rsid w:val="00953E8B"/>
    <w:rsid w:val="0095506A"/>
    <w:rsid w:val="00955CC5"/>
    <w:rsid w:val="00955DCB"/>
    <w:rsid w:val="00962F00"/>
    <w:rsid w:val="009635BF"/>
    <w:rsid w:val="00963917"/>
    <w:rsid w:val="00967F2E"/>
    <w:rsid w:val="00971C7D"/>
    <w:rsid w:val="00972679"/>
    <w:rsid w:val="0097472B"/>
    <w:rsid w:val="00976BAD"/>
    <w:rsid w:val="00977268"/>
    <w:rsid w:val="009773AE"/>
    <w:rsid w:val="0097783A"/>
    <w:rsid w:val="009803A3"/>
    <w:rsid w:val="00981444"/>
    <w:rsid w:val="00981899"/>
    <w:rsid w:val="009833AB"/>
    <w:rsid w:val="009834E1"/>
    <w:rsid w:val="0098541B"/>
    <w:rsid w:val="009864CD"/>
    <w:rsid w:val="00986F93"/>
    <w:rsid w:val="009901B8"/>
    <w:rsid w:val="00990572"/>
    <w:rsid w:val="009906DF"/>
    <w:rsid w:val="00990783"/>
    <w:rsid w:val="00990975"/>
    <w:rsid w:val="00992A5E"/>
    <w:rsid w:val="00993F06"/>
    <w:rsid w:val="0099593A"/>
    <w:rsid w:val="00997787"/>
    <w:rsid w:val="00997E93"/>
    <w:rsid w:val="009A0668"/>
    <w:rsid w:val="009A4E22"/>
    <w:rsid w:val="009B1334"/>
    <w:rsid w:val="009B1EB4"/>
    <w:rsid w:val="009B302A"/>
    <w:rsid w:val="009B3FF6"/>
    <w:rsid w:val="009B7844"/>
    <w:rsid w:val="009C0FC0"/>
    <w:rsid w:val="009C244B"/>
    <w:rsid w:val="009C42B0"/>
    <w:rsid w:val="009C48EE"/>
    <w:rsid w:val="009C51ED"/>
    <w:rsid w:val="009C57AD"/>
    <w:rsid w:val="009C5C65"/>
    <w:rsid w:val="009D0E9A"/>
    <w:rsid w:val="009D143F"/>
    <w:rsid w:val="009D328C"/>
    <w:rsid w:val="009D3AF2"/>
    <w:rsid w:val="009D3E25"/>
    <w:rsid w:val="009D4092"/>
    <w:rsid w:val="009E12CB"/>
    <w:rsid w:val="009E14B6"/>
    <w:rsid w:val="009E4CFF"/>
    <w:rsid w:val="009E591D"/>
    <w:rsid w:val="009E7E30"/>
    <w:rsid w:val="009F5549"/>
    <w:rsid w:val="00A00A9D"/>
    <w:rsid w:val="00A05489"/>
    <w:rsid w:val="00A06850"/>
    <w:rsid w:val="00A06C40"/>
    <w:rsid w:val="00A07009"/>
    <w:rsid w:val="00A07120"/>
    <w:rsid w:val="00A073EE"/>
    <w:rsid w:val="00A07427"/>
    <w:rsid w:val="00A07B2C"/>
    <w:rsid w:val="00A07FF7"/>
    <w:rsid w:val="00A11CD6"/>
    <w:rsid w:val="00A129B9"/>
    <w:rsid w:val="00A13AA0"/>
    <w:rsid w:val="00A15A24"/>
    <w:rsid w:val="00A16CE6"/>
    <w:rsid w:val="00A226E9"/>
    <w:rsid w:val="00A22FE9"/>
    <w:rsid w:val="00A23F49"/>
    <w:rsid w:val="00A25CEA"/>
    <w:rsid w:val="00A2618F"/>
    <w:rsid w:val="00A27135"/>
    <w:rsid w:val="00A355CC"/>
    <w:rsid w:val="00A3717E"/>
    <w:rsid w:val="00A409E2"/>
    <w:rsid w:val="00A42298"/>
    <w:rsid w:val="00A43444"/>
    <w:rsid w:val="00A44D0A"/>
    <w:rsid w:val="00A462B2"/>
    <w:rsid w:val="00A46EEA"/>
    <w:rsid w:val="00A51E4A"/>
    <w:rsid w:val="00A53C96"/>
    <w:rsid w:val="00A546A4"/>
    <w:rsid w:val="00A56A76"/>
    <w:rsid w:val="00A57EE0"/>
    <w:rsid w:val="00A62163"/>
    <w:rsid w:val="00A62253"/>
    <w:rsid w:val="00A6256F"/>
    <w:rsid w:val="00A66AD1"/>
    <w:rsid w:val="00A6784E"/>
    <w:rsid w:val="00A702AE"/>
    <w:rsid w:val="00A70E92"/>
    <w:rsid w:val="00A73407"/>
    <w:rsid w:val="00A735F2"/>
    <w:rsid w:val="00A756F6"/>
    <w:rsid w:val="00A76950"/>
    <w:rsid w:val="00A777C7"/>
    <w:rsid w:val="00A84724"/>
    <w:rsid w:val="00A87877"/>
    <w:rsid w:val="00A93ADD"/>
    <w:rsid w:val="00A948BB"/>
    <w:rsid w:val="00A953BD"/>
    <w:rsid w:val="00A953DA"/>
    <w:rsid w:val="00AA1167"/>
    <w:rsid w:val="00AA2680"/>
    <w:rsid w:val="00AA2A47"/>
    <w:rsid w:val="00AA62A7"/>
    <w:rsid w:val="00AA7D5B"/>
    <w:rsid w:val="00AB1684"/>
    <w:rsid w:val="00AB231D"/>
    <w:rsid w:val="00AB2792"/>
    <w:rsid w:val="00AB2AE1"/>
    <w:rsid w:val="00AB5129"/>
    <w:rsid w:val="00AB64B2"/>
    <w:rsid w:val="00AB6D97"/>
    <w:rsid w:val="00AC1095"/>
    <w:rsid w:val="00AC2EBB"/>
    <w:rsid w:val="00AC3109"/>
    <w:rsid w:val="00AC4D0E"/>
    <w:rsid w:val="00AC65D8"/>
    <w:rsid w:val="00AC671B"/>
    <w:rsid w:val="00AD2D42"/>
    <w:rsid w:val="00AD2EAD"/>
    <w:rsid w:val="00AD2FC0"/>
    <w:rsid w:val="00AD3C12"/>
    <w:rsid w:val="00AD40BA"/>
    <w:rsid w:val="00AD499D"/>
    <w:rsid w:val="00AD4ABB"/>
    <w:rsid w:val="00AD609C"/>
    <w:rsid w:val="00AD6E20"/>
    <w:rsid w:val="00AE1027"/>
    <w:rsid w:val="00AF2359"/>
    <w:rsid w:val="00AF6662"/>
    <w:rsid w:val="00AF779D"/>
    <w:rsid w:val="00B01501"/>
    <w:rsid w:val="00B01F86"/>
    <w:rsid w:val="00B02822"/>
    <w:rsid w:val="00B06733"/>
    <w:rsid w:val="00B0723A"/>
    <w:rsid w:val="00B07D95"/>
    <w:rsid w:val="00B11352"/>
    <w:rsid w:val="00B11E5B"/>
    <w:rsid w:val="00B11EFA"/>
    <w:rsid w:val="00B12DA6"/>
    <w:rsid w:val="00B1314E"/>
    <w:rsid w:val="00B145F4"/>
    <w:rsid w:val="00B1631D"/>
    <w:rsid w:val="00B21A07"/>
    <w:rsid w:val="00B26286"/>
    <w:rsid w:val="00B26A55"/>
    <w:rsid w:val="00B26B11"/>
    <w:rsid w:val="00B27487"/>
    <w:rsid w:val="00B30300"/>
    <w:rsid w:val="00B32707"/>
    <w:rsid w:val="00B32743"/>
    <w:rsid w:val="00B33088"/>
    <w:rsid w:val="00B334F9"/>
    <w:rsid w:val="00B347CE"/>
    <w:rsid w:val="00B37866"/>
    <w:rsid w:val="00B40C21"/>
    <w:rsid w:val="00B420AE"/>
    <w:rsid w:val="00B44D0C"/>
    <w:rsid w:val="00B50240"/>
    <w:rsid w:val="00B51DDA"/>
    <w:rsid w:val="00B52479"/>
    <w:rsid w:val="00B57EF5"/>
    <w:rsid w:val="00B6340A"/>
    <w:rsid w:val="00B63C2A"/>
    <w:rsid w:val="00B658DF"/>
    <w:rsid w:val="00B6646E"/>
    <w:rsid w:val="00B66D64"/>
    <w:rsid w:val="00B73375"/>
    <w:rsid w:val="00B744B8"/>
    <w:rsid w:val="00B76262"/>
    <w:rsid w:val="00B76B6F"/>
    <w:rsid w:val="00B77B74"/>
    <w:rsid w:val="00B82EEC"/>
    <w:rsid w:val="00B900B7"/>
    <w:rsid w:val="00B90EB5"/>
    <w:rsid w:val="00B9189C"/>
    <w:rsid w:val="00B927EC"/>
    <w:rsid w:val="00B92D5A"/>
    <w:rsid w:val="00B93DFE"/>
    <w:rsid w:val="00B96FD1"/>
    <w:rsid w:val="00B971CC"/>
    <w:rsid w:val="00BA102E"/>
    <w:rsid w:val="00BA19C4"/>
    <w:rsid w:val="00BA268F"/>
    <w:rsid w:val="00BA33D9"/>
    <w:rsid w:val="00BA3DF4"/>
    <w:rsid w:val="00BA40CC"/>
    <w:rsid w:val="00BA5145"/>
    <w:rsid w:val="00BA5C3D"/>
    <w:rsid w:val="00BB0A32"/>
    <w:rsid w:val="00BB0A6E"/>
    <w:rsid w:val="00BB230F"/>
    <w:rsid w:val="00BB4103"/>
    <w:rsid w:val="00BB4815"/>
    <w:rsid w:val="00BB5044"/>
    <w:rsid w:val="00BB6113"/>
    <w:rsid w:val="00BB7D38"/>
    <w:rsid w:val="00BB7D49"/>
    <w:rsid w:val="00BC117A"/>
    <w:rsid w:val="00BC7718"/>
    <w:rsid w:val="00BD09D6"/>
    <w:rsid w:val="00BD09F8"/>
    <w:rsid w:val="00BD34EE"/>
    <w:rsid w:val="00BD43C8"/>
    <w:rsid w:val="00BD5581"/>
    <w:rsid w:val="00BD5F0C"/>
    <w:rsid w:val="00BD6473"/>
    <w:rsid w:val="00BD789B"/>
    <w:rsid w:val="00BD7946"/>
    <w:rsid w:val="00BD7A94"/>
    <w:rsid w:val="00BE0D68"/>
    <w:rsid w:val="00BE1EFA"/>
    <w:rsid w:val="00BE37B8"/>
    <w:rsid w:val="00BE4759"/>
    <w:rsid w:val="00BE50B2"/>
    <w:rsid w:val="00BE7B24"/>
    <w:rsid w:val="00BE7C92"/>
    <w:rsid w:val="00BF0228"/>
    <w:rsid w:val="00BF2ABC"/>
    <w:rsid w:val="00BF32C1"/>
    <w:rsid w:val="00BF3D8F"/>
    <w:rsid w:val="00C024BF"/>
    <w:rsid w:val="00C04540"/>
    <w:rsid w:val="00C04C56"/>
    <w:rsid w:val="00C06254"/>
    <w:rsid w:val="00C11390"/>
    <w:rsid w:val="00C12A4D"/>
    <w:rsid w:val="00C12E57"/>
    <w:rsid w:val="00C16721"/>
    <w:rsid w:val="00C17D35"/>
    <w:rsid w:val="00C21CB7"/>
    <w:rsid w:val="00C2292C"/>
    <w:rsid w:val="00C3060F"/>
    <w:rsid w:val="00C35C74"/>
    <w:rsid w:val="00C360D2"/>
    <w:rsid w:val="00C36F70"/>
    <w:rsid w:val="00C40205"/>
    <w:rsid w:val="00C402AC"/>
    <w:rsid w:val="00C42717"/>
    <w:rsid w:val="00C43412"/>
    <w:rsid w:val="00C45A36"/>
    <w:rsid w:val="00C46043"/>
    <w:rsid w:val="00C471A8"/>
    <w:rsid w:val="00C47B7A"/>
    <w:rsid w:val="00C536B1"/>
    <w:rsid w:val="00C5392B"/>
    <w:rsid w:val="00C5626B"/>
    <w:rsid w:val="00C6029C"/>
    <w:rsid w:val="00C609E6"/>
    <w:rsid w:val="00C6134C"/>
    <w:rsid w:val="00C63FE2"/>
    <w:rsid w:val="00C65CE2"/>
    <w:rsid w:val="00C67866"/>
    <w:rsid w:val="00C70AD6"/>
    <w:rsid w:val="00C73386"/>
    <w:rsid w:val="00C745C7"/>
    <w:rsid w:val="00C76B9D"/>
    <w:rsid w:val="00C8178C"/>
    <w:rsid w:val="00C81B1A"/>
    <w:rsid w:val="00C81D7A"/>
    <w:rsid w:val="00C85190"/>
    <w:rsid w:val="00C85347"/>
    <w:rsid w:val="00C85680"/>
    <w:rsid w:val="00C86335"/>
    <w:rsid w:val="00C92A72"/>
    <w:rsid w:val="00C9348C"/>
    <w:rsid w:val="00C9412E"/>
    <w:rsid w:val="00C9738A"/>
    <w:rsid w:val="00CA0652"/>
    <w:rsid w:val="00CA31DD"/>
    <w:rsid w:val="00CA3FB6"/>
    <w:rsid w:val="00CA4045"/>
    <w:rsid w:val="00CA6A79"/>
    <w:rsid w:val="00CA7A14"/>
    <w:rsid w:val="00CB0825"/>
    <w:rsid w:val="00CB2640"/>
    <w:rsid w:val="00CB3C2B"/>
    <w:rsid w:val="00CB4160"/>
    <w:rsid w:val="00CB60C9"/>
    <w:rsid w:val="00CB67C8"/>
    <w:rsid w:val="00CB6C49"/>
    <w:rsid w:val="00CB7787"/>
    <w:rsid w:val="00CC0C0D"/>
    <w:rsid w:val="00CC25BA"/>
    <w:rsid w:val="00CC27AB"/>
    <w:rsid w:val="00CC2CB8"/>
    <w:rsid w:val="00CC4DC4"/>
    <w:rsid w:val="00CC4FFB"/>
    <w:rsid w:val="00CC5B37"/>
    <w:rsid w:val="00CD0ACF"/>
    <w:rsid w:val="00CD10BF"/>
    <w:rsid w:val="00CE1325"/>
    <w:rsid w:val="00CE32F5"/>
    <w:rsid w:val="00CE43B6"/>
    <w:rsid w:val="00CE5F70"/>
    <w:rsid w:val="00CE6998"/>
    <w:rsid w:val="00CE701F"/>
    <w:rsid w:val="00CE7186"/>
    <w:rsid w:val="00CE751C"/>
    <w:rsid w:val="00CF34FD"/>
    <w:rsid w:val="00CF36A7"/>
    <w:rsid w:val="00CF4C74"/>
    <w:rsid w:val="00CF5625"/>
    <w:rsid w:val="00CF5E39"/>
    <w:rsid w:val="00CF5FBF"/>
    <w:rsid w:val="00CF6BBB"/>
    <w:rsid w:val="00D007DD"/>
    <w:rsid w:val="00D021A7"/>
    <w:rsid w:val="00D02D67"/>
    <w:rsid w:val="00D04912"/>
    <w:rsid w:val="00D06676"/>
    <w:rsid w:val="00D06D44"/>
    <w:rsid w:val="00D156CA"/>
    <w:rsid w:val="00D200C0"/>
    <w:rsid w:val="00D2050E"/>
    <w:rsid w:val="00D205AA"/>
    <w:rsid w:val="00D205B2"/>
    <w:rsid w:val="00D218FE"/>
    <w:rsid w:val="00D21CC8"/>
    <w:rsid w:val="00D2308B"/>
    <w:rsid w:val="00D23C6F"/>
    <w:rsid w:val="00D248C4"/>
    <w:rsid w:val="00D25963"/>
    <w:rsid w:val="00D27078"/>
    <w:rsid w:val="00D27449"/>
    <w:rsid w:val="00D326F0"/>
    <w:rsid w:val="00D32974"/>
    <w:rsid w:val="00D33495"/>
    <w:rsid w:val="00D345D2"/>
    <w:rsid w:val="00D34C3D"/>
    <w:rsid w:val="00D36B41"/>
    <w:rsid w:val="00D402CE"/>
    <w:rsid w:val="00D41C36"/>
    <w:rsid w:val="00D425D7"/>
    <w:rsid w:val="00D45C3F"/>
    <w:rsid w:val="00D45CDF"/>
    <w:rsid w:val="00D45D00"/>
    <w:rsid w:val="00D473E6"/>
    <w:rsid w:val="00D47D13"/>
    <w:rsid w:val="00D50FC8"/>
    <w:rsid w:val="00D536CB"/>
    <w:rsid w:val="00D53B40"/>
    <w:rsid w:val="00D53C8A"/>
    <w:rsid w:val="00D55CA5"/>
    <w:rsid w:val="00D56134"/>
    <w:rsid w:val="00D564DE"/>
    <w:rsid w:val="00D5683C"/>
    <w:rsid w:val="00D610CA"/>
    <w:rsid w:val="00D62987"/>
    <w:rsid w:val="00D64115"/>
    <w:rsid w:val="00D64603"/>
    <w:rsid w:val="00D70357"/>
    <w:rsid w:val="00D72DFF"/>
    <w:rsid w:val="00D7599E"/>
    <w:rsid w:val="00D76A65"/>
    <w:rsid w:val="00D804A1"/>
    <w:rsid w:val="00D81690"/>
    <w:rsid w:val="00D84B23"/>
    <w:rsid w:val="00D855CC"/>
    <w:rsid w:val="00D869F8"/>
    <w:rsid w:val="00D86CE7"/>
    <w:rsid w:val="00D9171F"/>
    <w:rsid w:val="00D92CF2"/>
    <w:rsid w:val="00D95280"/>
    <w:rsid w:val="00DA013A"/>
    <w:rsid w:val="00DA79F1"/>
    <w:rsid w:val="00DB2CBF"/>
    <w:rsid w:val="00DB3190"/>
    <w:rsid w:val="00DB32A8"/>
    <w:rsid w:val="00DB3574"/>
    <w:rsid w:val="00DB6CE4"/>
    <w:rsid w:val="00DB7792"/>
    <w:rsid w:val="00DC0C8A"/>
    <w:rsid w:val="00DC22C5"/>
    <w:rsid w:val="00DC39CC"/>
    <w:rsid w:val="00DC3C8E"/>
    <w:rsid w:val="00DC3F0B"/>
    <w:rsid w:val="00DC3FA8"/>
    <w:rsid w:val="00DD0F93"/>
    <w:rsid w:val="00DD40BA"/>
    <w:rsid w:val="00DD431F"/>
    <w:rsid w:val="00DD44A4"/>
    <w:rsid w:val="00DD4734"/>
    <w:rsid w:val="00DD546F"/>
    <w:rsid w:val="00DD558B"/>
    <w:rsid w:val="00DD56E6"/>
    <w:rsid w:val="00DD6109"/>
    <w:rsid w:val="00DE1DB4"/>
    <w:rsid w:val="00DE215D"/>
    <w:rsid w:val="00DE242B"/>
    <w:rsid w:val="00DE2776"/>
    <w:rsid w:val="00DE3758"/>
    <w:rsid w:val="00DE3FE9"/>
    <w:rsid w:val="00DE49B6"/>
    <w:rsid w:val="00DE5A0A"/>
    <w:rsid w:val="00DE5ED3"/>
    <w:rsid w:val="00DF1386"/>
    <w:rsid w:val="00DF3063"/>
    <w:rsid w:val="00DF31D5"/>
    <w:rsid w:val="00DF4394"/>
    <w:rsid w:val="00DF4D29"/>
    <w:rsid w:val="00DF6231"/>
    <w:rsid w:val="00DF7D7B"/>
    <w:rsid w:val="00E0168D"/>
    <w:rsid w:val="00E01931"/>
    <w:rsid w:val="00E02790"/>
    <w:rsid w:val="00E03B57"/>
    <w:rsid w:val="00E03C36"/>
    <w:rsid w:val="00E0597A"/>
    <w:rsid w:val="00E06934"/>
    <w:rsid w:val="00E10717"/>
    <w:rsid w:val="00E111DC"/>
    <w:rsid w:val="00E11B70"/>
    <w:rsid w:val="00E12008"/>
    <w:rsid w:val="00E13EC6"/>
    <w:rsid w:val="00E1704F"/>
    <w:rsid w:val="00E20055"/>
    <w:rsid w:val="00E23FF1"/>
    <w:rsid w:val="00E34630"/>
    <w:rsid w:val="00E353B2"/>
    <w:rsid w:val="00E355FD"/>
    <w:rsid w:val="00E36191"/>
    <w:rsid w:val="00E37142"/>
    <w:rsid w:val="00E37A15"/>
    <w:rsid w:val="00E4111A"/>
    <w:rsid w:val="00E43136"/>
    <w:rsid w:val="00E43150"/>
    <w:rsid w:val="00E43B8D"/>
    <w:rsid w:val="00E4448D"/>
    <w:rsid w:val="00E445A4"/>
    <w:rsid w:val="00E4463C"/>
    <w:rsid w:val="00E500A3"/>
    <w:rsid w:val="00E52C03"/>
    <w:rsid w:val="00E53D7F"/>
    <w:rsid w:val="00E5694F"/>
    <w:rsid w:val="00E6020F"/>
    <w:rsid w:val="00E620E6"/>
    <w:rsid w:val="00E627DD"/>
    <w:rsid w:val="00E62A8D"/>
    <w:rsid w:val="00E632DE"/>
    <w:rsid w:val="00E652EA"/>
    <w:rsid w:val="00E65A58"/>
    <w:rsid w:val="00E66469"/>
    <w:rsid w:val="00E66776"/>
    <w:rsid w:val="00E67954"/>
    <w:rsid w:val="00E73973"/>
    <w:rsid w:val="00E73F8A"/>
    <w:rsid w:val="00E746BC"/>
    <w:rsid w:val="00E759AE"/>
    <w:rsid w:val="00E7683E"/>
    <w:rsid w:val="00E76F34"/>
    <w:rsid w:val="00E80938"/>
    <w:rsid w:val="00E83147"/>
    <w:rsid w:val="00E837AF"/>
    <w:rsid w:val="00E83A0E"/>
    <w:rsid w:val="00E857F9"/>
    <w:rsid w:val="00E85C67"/>
    <w:rsid w:val="00E86832"/>
    <w:rsid w:val="00E86874"/>
    <w:rsid w:val="00E90363"/>
    <w:rsid w:val="00E90FFC"/>
    <w:rsid w:val="00E92A83"/>
    <w:rsid w:val="00E92CEA"/>
    <w:rsid w:val="00E977CE"/>
    <w:rsid w:val="00EA18E0"/>
    <w:rsid w:val="00EA3E24"/>
    <w:rsid w:val="00EA6471"/>
    <w:rsid w:val="00EB07D1"/>
    <w:rsid w:val="00EB17E3"/>
    <w:rsid w:val="00EB20F8"/>
    <w:rsid w:val="00EB3A8A"/>
    <w:rsid w:val="00EB445B"/>
    <w:rsid w:val="00EB491A"/>
    <w:rsid w:val="00EC38A1"/>
    <w:rsid w:val="00EC3E68"/>
    <w:rsid w:val="00EC4B3D"/>
    <w:rsid w:val="00EC7303"/>
    <w:rsid w:val="00ED0A58"/>
    <w:rsid w:val="00ED1ECF"/>
    <w:rsid w:val="00ED2541"/>
    <w:rsid w:val="00ED2ECA"/>
    <w:rsid w:val="00ED2ED9"/>
    <w:rsid w:val="00ED5DA6"/>
    <w:rsid w:val="00ED648A"/>
    <w:rsid w:val="00EE0C90"/>
    <w:rsid w:val="00EE1F57"/>
    <w:rsid w:val="00EE2C33"/>
    <w:rsid w:val="00EE4359"/>
    <w:rsid w:val="00EE4D12"/>
    <w:rsid w:val="00EF3C1D"/>
    <w:rsid w:val="00EF61CF"/>
    <w:rsid w:val="00EF780C"/>
    <w:rsid w:val="00EF784B"/>
    <w:rsid w:val="00EF7B8F"/>
    <w:rsid w:val="00F00AE3"/>
    <w:rsid w:val="00F03F23"/>
    <w:rsid w:val="00F04851"/>
    <w:rsid w:val="00F0602F"/>
    <w:rsid w:val="00F06FD7"/>
    <w:rsid w:val="00F13990"/>
    <w:rsid w:val="00F17BB2"/>
    <w:rsid w:val="00F17CE1"/>
    <w:rsid w:val="00F207E0"/>
    <w:rsid w:val="00F21BD0"/>
    <w:rsid w:val="00F22251"/>
    <w:rsid w:val="00F22A91"/>
    <w:rsid w:val="00F23A08"/>
    <w:rsid w:val="00F24CCD"/>
    <w:rsid w:val="00F308F2"/>
    <w:rsid w:val="00F32A09"/>
    <w:rsid w:val="00F32B73"/>
    <w:rsid w:val="00F32FE0"/>
    <w:rsid w:val="00F354D7"/>
    <w:rsid w:val="00F42A16"/>
    <w:rsid w:val="00F43BC8"/>
    <w:rsid w:val="00F45C6A"/>
    <w:rsid w:val="00F4645C"/>
    <w:rsid w:val="00F47E7E"/>
    <w:rsid w:val="00F51D99"/>
    <w:rsid w:val="00F538CB"/>
    <w:rsid w:val="00F54C10"/>
    <w:rsid w:val="00F56CFF"/>
    <w:rsid w:val="00F57E70"/>
    <w:rsid w:val="00F60BAF"/>
    <w:rsid w:val="00F62FA0"/>
    <w:rsid w:val="00F63389"/>
    <w:rsid w:val="00F64873"/>
    <w:rsid w:val="00F65813"/>
    <w:rsid w:val="00F661AF"/>
    <w:rsid w:val="00F671CB"/>
    <w:rsid w:val="00F70A12"/>
    <w:rsid w:val="00F72E6B"/>
    <w:rsid w:val="00F74E80"/>
    <w:rsid w:val="00F90CAC"/>
    <w:rsid w:val="00F918C6"/>
    <w:rsid w:val="00F942F0"/>
    <w:rsid w:val="00F96485"/>
    <w:rsid w:val="00F96EAD"/>
    <w:rsid w:val="00FA0BF1"/>
    <w:rsid w:val="00FA0DC8"/>
    <w:rsid w:val="00FA17E4"/>
    <w:rsid w:val="00FA20C0"/>
    <w:rsid w:val="00FA3462"/>
    <w:rsid w:val="00FA3D0F"/>
    <w:rsid w:val="00FA3D32"/>
    <w:rsid w:val="00FA6388"/>
    <w:rsid w:val="00FA6EF8"/>
    <w:rsid w:val="00FA78EF"/>
    <w:rsid w:val="00FB044B"/>
    <w:rsid w:val="00FB24D8"/>
    <w:rsid w:val="00FB28F6"/>
    <w:rsid w:val="00FB40F2"/>
    <w:rsid w:val="00FB4480"/>
    <w:rsid w:val="00FB4667"/>
    <w:rsid w:val="00FB7D00"/>
    <w:rsid w:val="00FC0D5D"/>
    <w:rsid w:val="00FC0F33"/>
    <w:rsid w:val="00FC1127"/>
    <w:rsid w:val="00FC4AE9"/>
    <w:rsid w:val="00FC4DBA"/>
    <w:rsid w:val="00FC51F3"/>
    <w:rsid w:val="00FC769E"/>
    <w:rsid w:val="00FD1546"/>
    <w:rsid w:val="00FD3E8C"/>
    <w:rsid w:val="00FD3EC0"/>
    <w:rsid w:val="00FD451C"/>
    <w:rsid w:val="00FD67A5"/>
    <w:rsid w:val="00FD6B64"/>
    <w:rsid w:val="00FD6FAB"/>
    <w:rsid w:val="00FD75C4"/>
    <w:rsid w:val="00FE0A8A"/>
    <w:rsid w:val="00FE22DC"/>
    <w:rsid w:val="00FE294F"/>
    <w:rsid w:val="00FE7B02"/>
    <w:rsid w:val="00FF21AA"/>
    <w:rsid w:val="00FF32A8"/>
    <w:rsid w:val="00FF4957"/>
    <w:rsid w:val="00FF5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E959B9"/>
  <w15:docId w15:val="{AB740418-D279-4B2C-A382-29DD0453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8F6"/>
    <w:rPr>
      <w:rFonts w:ascii="Calibri" w:eastAsia="SimSun" w:hAnsi="Calibri" w:cs="Arial"/>
      <w:lang w:eastAsia="zh-CN"/>
    </w:rPr>
  </w:style>
  <w:style w:type="paragraph" w:styleId="Heading1">
    <w:name w:val="heading 1"/>
    <w:basedOn w:val="Normal"/>
    <w:next w:val="Normal"/>
    <w:link w:val="Heading1Char"/>
    <w:uiPriority w:val="9"/>
    <w:qFormat/>
    <w:rsid w:val="00B66D6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A066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28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B28F6"/>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FB28F6"/>
    <w:pPr>
      <w:spacing w:after="0" w:line="240" w:lineRule="auto"/>
    </w:pPr>
    <w:rPr>
      <w:sz w:val="20"/>
      <w:szCs w:val="20"/>
    </w:rPr>
  </w:style>
  <w:style w:type="character" w:customStyle="1" w:styleId="FootnoteTextChar">
    <w:name w:val="Footnote Text Char"/>
    <w:basedOn w:val="DefaultParagraphFont"/>
    <w:link w:val="FootnoteText"/>
    <w:uiPriority w:val="99"/>
    <w:rsid w:val="00FB28F6"/>
    <w:rPr>
      <w:rFonts w:ascii="Calibri" w:eastAsia="SimSun" w:hAnsi="Calibri" w:cs="Arial"/>
      <w:sz w:val="20"/>
      <w:szCs w:val="20"/>
      <w:lang w:eastAsia="zh-CN"/>
    </w:rPr>
  </w:style>
  <w:style w:type="character" w:styleId="FootnoteReference">
    <w:name w:val="footnote reference"/>
    <w:basedOn w:val="DefaultParagraphFont"/>
    <w:uiPriority w:val="99"/>
    <w:semiHidden/>
    <w:unhideWhenUsed/>
    <w:rsid w:val="00FB28F6"/>
    <w:rPr>
      <w:vertAlign w:val="superscript"/>
    </w:rPr>
  </w:style>
  <w:style w:type="character" w:customStyle="1" w:styleId="apple-converted-space">
    <w:name w:val="apple-converted-space"/>
    <w:basedOn w:val="DefaultParagraphFont"/>
    <w:rsid w:val="00FB28F6"/>
  </w:style>
  <w:style w:type="character" w:styleId="Strong">
    <w:name w:val="Strong"/>
    <w:basedOn w:val="DefaultParagraphFont"/>
    <w:uiPriority w:val="22"/>
    <w:qFormat/>
    <w:rsid w:val="00FB28F6"/>
    <w:rPr>
      <w:b/>
      <w:bCs/>
    </w:rPr>
  </w:style>
  <w:style w:type="paragraph" w:styleId="Header">
    <w:name w:val="header"/>
    <w:basedOn w:val="Normal"/>
    <w:link w:val="HeaderChar"/>
    <w:uiPriority w:val="99"/>
    <w:semiHidden/>
    <w:unhideWhenUsed/>
    <w:rsid w:val="00176FC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76FCC"/>
    <w:rPr>
      <w:rFonts w:ascii="Calibri" w:eastAsia="SimSun" w:hAnsi="Calibri" w:cs="Arial"/>
      <w:lang w:eastAsia="zh-CN"/>
    </w:rPr>
  </w:style>
  <w:style w:type="paragraph" w:styleId="Footer">
    <w:name w:val="footer"/>
    <w:basedOn w:val="Normal"/>
    <w:link w:val="FooterChar"/>
    <w:uiPriority w:val="99"/>
    <w:unhideWhenUsed/>
    <w:rsid w:val="00176F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FCC"/>
    <w:rPr>
      <w:rFonts w:ascii="Calibri" w:eastAsia="SimSun" w:hAnsi="Calibri" w:cs="Arial"/>
      <w:lang w:eastAsia="zh-CN"/>
    </w:rPr>
  </w:style>
  <w:style w:type="character" w:customStyle="1" w:styleId="Heading1Char">
    <w:name w:val="Heading 1 Char"/>
    <w:basedOn w:val="DefaultParagraphFont"/>
    <w:link w:val="Heading1"/>
    <w:uiPriority w:val="9"/>
    <w:rsid w:val="00B66D64"/>
    <w:rPr>
      <w:rFonts w:asciiTheme="majorHAnsi" w:eastAsiaTheme="majorEastAsia" w:hAnsiTheme="majorHAnsi" w:cstheme="majorBidi"/>
      <w:color w:val="365F91" w:themeColor="accent1" w:themeShade="BF"/>
      <w:sz w:val="32"/>
      <w:szCs w:val="32"/>
      <w:lang w:eastAsia="zh-CN"/>
    </w:rPr>
  </w:style>
  <w:style w:type="character" w:styleId="Hyperlink">
    <w:name w:val="Hyperlink"/>
    <w:basedOn w:val="DefaultParagraphFont"/>
    <w:uiPriority w:val="99"/>
    <w:unhideWhenUsed/>
    <w:rsid w:val="00B66D64"/>
    <w:rPr>
      <w:color w:val="0000FF"/>
      <w:u w:val="single"/>
    </w:rPr>
  </w:style>
  <w:style w:type="character" w:customStyle="1" w:styleId="Heading2Char">
    <w:name w:val="Heading 2 Char"/>
    <w:basedOn w:val="DefaultParagraphFont"/>
    <w:link w:val="Heading2"/>
    <w:uiPriority w:val="9"/>
    <w:rsid w:val="009A0668"/>
    <w:rPr>
      <w:rFonts w:asciiTheme="majorHAnsi" w:eastAsiaTheme="majorEastAsia" w:hAnsiTheme="majorHAnsi" w:cstheme="majorBidi"/>
      <w:color w:val="365F91" w:themeColor="accent1" w:themeShade="BF"/>
      <w:sz w:val="26"/>
      <w:szCs w:val="26"/>
      <w:lang w:eastAsia="zh-CN"/>
    </w:rPr>
  </w:style>
  <w:style w:type="character" w:customStyle="1" w:styleId="UnresolvedMention1">
    <w:name w:val="Unresolved Mention1"/>
    <w:basedOn w:val="DefaultParagraphFont"/>
    <w:uiPriority w:val="99"/>
    <w:semiHidden/>
    <w:unhideWhenUsed/>
    <w:rsid w:val="00CD10BF"/>
    <w:rPr>
      <w:color w:val="605E5C"/>
      <w:shd w:val="clear" w:color="auto" w:fill="E1DFDD"/>
    </w:rPr>
  </w:style>
  <w:style w:type="character" w:styleId="CommentReference">
    <w:name w:val="annotation reference"/>
    <w:basedOn w:val="DefaultParagraphFont"/>
    <w:uiPriority w:val="99"/>
    <w:semiHidden/>
    <w:unhideWhenUsed/>
    <w:rsid w:val="00EF780C"/>
    <w:rPr>
      <w:sz w:val="16"/>
      <w:szCs w:val="16"/>
    </w:rPr>
  </w:style>
  <w:style w:type="paragraph" w:styleId="CommentText">
    <w:name w:val="annotation text"/>
    <w:basedOn w:val="Normal"/>
    <w:link w:val="CommentTextChar"/>
    <w:uiPriority w:val="99"/>
    <w:semiHidden/>
    <w:unhideWhenUsed/>
    <w:rsid w:val="00EF780C"/>
    <w:pPr>
      <w:spacing w:line="240" w:lineRule="auto"/>
    </w:pPr>
    <w:rPr>
      <w:sz w:val="20"/>
      <w:szCs w:val="20"/>
    </w:rPr>
  </w:style>
  <w:style w:type="character" w:customStyle="1" w:styleId="CommentTextChar">
    <w:name w:val="Comment Text Char"/>
    <w:basedOn w:val="DefaultParagraphFont"/>
    <w:link w:val="CommentText"/>
    <w:uiPriority w:val="99"/>
    <w:semiHidden/>
    <w:rsid w:val="00EF780C"/>
    <w:rPr>
      <w:rFonts w:ascii="Calibri" w:eastAsia="SimSun" w:hAnsi="Calibri" w:cs="Arial"/>
      <w:sz w:val="20"/>
      <w:szCs w:val="20"/>
      <w:lang w:eastAsia="zh-CN"/>
    </w:rPr>
  </w:style>
  <w:style w:type="paragraph" w:styleId="CommentSubject">
    <w:name w:val="annotation subject"/>
    <w:basedOn w:val="CommentText"/>
    <w:next w:val="CommentText"/>
    <w:link w:val="CommentSubjectChar"/>
    <w:uiPriority w:val="99"/>
    <w:semiHidden/>
    <w:unhideWhenUsed/>
    <w:rsid w:val="00EF780C"/>
    <w:rPr>
      <w:b/>
      <w:bCs/>
    </w:rPr>
  </w:style>
  <w:style w:type="character" w:customStyle="1" w:styleId="CommentSubjectChar">
    <w:name w:val="Comment Subject Char"/>
    <w:basedOn w:val="CommentTextChar"/>
    <w:link w:val="CommentSubject"/>
    <w:uiPriority w:val="99"/>
    <w:semiHidden/>
    <w:rsid w:val="00EF780C"/>
    <w:rPr>
      <w:rFonts w:ascii="Calibri" w:eastAsia="SimSun" w:hAnsi="Calibri" w:cs="Arial"/>
      <w:b/>
      <w:bCs/>
      <w:sz w:val="20"/>
      <w:szCs w:val="20"/>
      <w:lang w:eastAsia="zh-CN"/>
    </w:rPr>
  </w:style>
  <w:style w:type="paragraph" w:styleId="BalloonText">
    <w:name w:val="Balloon Text"/>
    <w:basedOn w:val="Normal"/>
    <w:link w:val="BalloonTextChar"/>
    <w:uiPriority w:val="99"/>
    <w:semiHidden/>
    <w:unhideWhenUsed/>
    <w:rsid w:val="00EF78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80C"/>
    <w:rPr>
      <w:rFonts w:ascii="Segoe UI" w:eastAsia="SimSun" w:hAnsi="Segoe UI" w:cs="Segoe UI"/>
      <w:sz w:val="18"/>
      <w:szCs w:val="18"/>
      <w:lang w:eastAsia="zh-CN"/>
    </w:rPr>
  </w:style>
  <w:style w:type="paragraph" w:styleId="ListParagraph">
    <w:name w:val="List Paragraph"/>
    <w:basedOn w:val="Normal"/>
    <w:uiPriority w:val="34"/>
    <w:qFormat/>
    <w:rsid w:val="00E11B70"/>
    <w:pPr>
      <w:ind w:left="720"/>
      <w:contextualSpacing/>
    </w:pPr>
  </w:style>
  <w:style w:type="character" w:styleId="Emphasis">
    <w:name w:val="Emphasis"/>
    <w:basedOn w:val="DefaultParagraphFont"/>
    <w:uiPriority w:val="20"/>
    <w:qFormat/>
    <w:rsid w:val="001B0D22"/>
    <w:rPr>
      <w:i/>
      <w:iCs/>
    </w:rPr>
  </w:style>
  <w:style w:type="character" w:customStyle="1" w:styleId="sr-only">
    <w:name w:val="sr-only"/>
    <w:basedOn w:val="DefaultParagraphFont"/>
    <w:rsid w:val="00567E2F"/>
  </w:style>
  <w:style w:type="character" w:customStyle="1" w:styleId="text">
    <w:name w:val="text"/>
    <w:basedOn w:val="DefaultParagraphFont"/>
    <w:rsid w:val="00567E2F"/>
  </w:style>
  <w:style w:type="paragraph" w:styleId="Revision">
    <w:name w:val="Revision"/>
    <w:hidden/>
    <w:uiPriority w:val="99"/>
    <w:semiHidden/>
    <w:rsid w:val="00CA3FB6"/>
    <w:pPr>
      <w:spacing w:after="0" w:line="240" w:lineRule="auto"/>
    </w:pPr>
    <w:rPr>
      <w:rFonts w:ascii="Calibri" w:eastAsia="SimSun" w:hAnsi="Calibri" w:cs="Arial"/>
      <w:lang w:eastAsia="zh-CN"/>
    </w:rPr>
  </w:style>
  <w:style w:type="character" w:customStyle="1" w:styleId="UnresolvedMention2">
    <w:name w:val="Unresolved Mention2"/>
    <w:basedOn w:val="DefaultParagraphFont"/>
    <w:uiPriority w:val="99"/>
    <w:semiHidden/>
    <w:unhideWhenUsed/>
    <w:rsid w:val="006814A0"/>
    <w:rPr>
      <w:color w:val="605E5C"/>
      <w:shd w:val="clear" w:color="auto" w:fill="E1DFDD"/>
    </w:rPr>
  </w:style>
  <w:style w:type="character" w:styleId="UnresolvedMention">
    <w:name w:val="Unresolved Mention"/>
    <w:basedOn w:val="DefaultParagraphFont"/>
    <w:uiPriority w:val="99"/>
    <w:semiHidden/>
    <w:unhideWhenUsed/>
    <w:rsid w:val="00B66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23110">
      <w:bodyDiv w:val="1"/>
      <w:marLeft w:val="0"/>
      <w:marRight w:val="0"/>
      <w:marTop w:val="0"/>
      <w:marBottom w:val="0"/>
      <w:divBdr>
        <w:top w:val="none" w:sz="0" w:space="0" w:color="auto"/>
        <w:left w:val="none" w:sz="0" w:space="0" w:color="auto"/>
        <w:bottom w:val="none" w:sz="0" w:space="0" w:color="auto"/>
        <w:right w:val="none" w:sz="0" w:space="0" w:color="auto"/>
      </w:divBdr>
    </w:div>
    <w:div w:id="189489228">
      <w:bodyDiv w:val="1"/>
      <w:marLeft w:val="0"/>
      <w:marRight w:val="0"/>
      <w:marTop w:val="0"/>
      <w:marBottom w:val="0"/>
      <w:divBdr>
        <w:top w:val="none" w:sz="0" w:space="0" w:color="auto"/>
        <w:left w:val="none" w:sz="0" w:space="0" w:color="auto"/>
        <w:bottom w:val="none" w:sz="0" w:space="0" w:color="auto"/>
        <w:right w:val="none" w:sz="0" w:space="0" w:color="auto"/>
      </w:divBdr>
      <w:divsChild>
        <w:div w:id="1412267229">
          <w:marLeft w:val="0"/>
          <w:marRight w:val="0"/>
          <w:marTop w:val="0"/>
          <w:marBottom w:val="0"/>
          <w:divBdr>
            <w:top w:val="none" w:sz="0" w:space="0" w:color="auto"/>
            <w:left w:val="none" w:sz="0" w:space="0" w:color="auto"/>
            <w:bottom w:val="none" w:sz="0" w:space="0" w:color="auto"/>
            <w:right w:val="none" w:sz="0" w:space="0" w:color="auto"/>
          </w:divBdr>
        </w:div>
        <w:div w:id="1259413078">
          <w:marLeft w:val="0"/>
          <w:marRight w:val="0"/>
          <w:marTop w:val="0"/>
          <w:marBottom w:val="0"/>
          <w:divBdr>
            <w:top w:val="none" w:sz="0" w:space="0" w:color="auto"/>
            <w:left w:val="none" w:sz="0" w:space="0" w:color="auto"/>
            <w:bottom w:val="none" w:sz="0" w:space="0" w:color="auto"/>
            <w:right w:val="none" w:sz="0" w:space="0" w:color="auto"/>
          </w:divBdr>
        </w:div>
        <w:div w:id="1475952361">
          <w:marLeft w:val="0"/>
          <w:marRight w:val="0"/>
          <w:marTop w:val="0"/>
          <w:marBottom w:val="0"/>
          <w:divBdr>
            <w:top w:val="none" w:sz="0" w:space="0" w:color="auto"/>
            <w:left w:val="none" w:sz="0" w:space="0" w:color="auto"/>
            <w:bottom w:val="none" w:sz="0" w:space="0" w:color="auto"/>
            <w:right w:val="none" w:sz="0" w:space="0" w:color="auto"/>
          </w:divBdr>
        </w:div>
      </w:divsChild>
    </w:div>
    <w:div w:id="191918702">
      <w:bodyDiv w:val="1"/>
      <w:marLeft w:val="0"/>
      <w:marRight w:val="0"/>
      <w:marTop w:val="0"/>
      <w:marBottom w:val="0"/>
      <w:divBdr>
        <w:top w:val="none" w:sz="0" w:space="0" w:color="auto"/>
        <w:left w:val="none" w:sz="0" w:space="0" w:color="auto"/>
        <w:bottom w:val="none" w:sz="0" w:space="0" w:color="auto"/>
        <w:right w:val="none" w:sz="0" w:space="0" w:color="auto"/>
      </w:divBdr>
    </w:div>
    <w:div w:id="196820441">
      <w:bodyDiv w:val="1"/>
      <w:marLeft w:val="0"/>
      <w:marRight w:val="0"/>
      <w:marTop w:val="0"/>
      <w:marBottom w:val="0"/>
      <w:divBdr>
        <w:top w:val="none" w:sz="0" w:space="0" w:color="auto"/>
        <w:left w:val="none" w:sz="0" w:space="0" w:color="auto"/>
        <w:bottom w:val="none" w:sz="0" w:space="0" w:color="auto"/>
        <w:right w:val="none" w:sz="0" w:space="0" w:color="auto"/>
      </w:divBdr>
    </w:div>
    <w:div w:id="257949827">
      <w:bodyDiv w:val="1"/>
      <w:marLeft w:val="0"/>
      <w:marRight w:val="0"/>
      <w:marTop w:val="0"/>
      <w:marBottom w:val="0"/>
      <w:divBdr>
        <w:top w:val="none" w:sz="0" w:space="0" w:color="auto"/>
        <w:left w:val="none" w:sz="0" w:space="0" w:color="auto"/>
        <w:bottom w:val="none" w:sz="0" w:space="0" w:color="auto"/>
        <w:right w:val="none" w:sz="0" w:space="0" w:color="auto"/>
      </w:divBdr>
    </w:div>
    <w:div w:id="296953014">
      <w:bodyDiv w:val="1"/>
      <w:marLeft w:val="0"/>
      <w:marRight w:val="0"/>
      <w:marTop w:val="0"/>
      <w:marBottom w:val="0"/>
      <w:divBdr>
        <w:top w:val="none" w:sz="0" w:space="0" w:color="auto"/>
        <w:left w:val="none" w:sz="0" w:space="0" w:color="auto"/>
        <w:bottom w:val="none" w:sz="0" w:space="0" w:color="auto"/>
        <w:right w:val="none" w:sz="0" w:space="0" w:color="auto"/>
      </w:divBdr>
    </w:div>
    <w:div w:id="300229850">
      <w:bodyDiv w:val="1"/>
      <w:marLeft w:val="0"/>
      <w:marRight w:val="0"/>
      <w:marTop w:val="0"/>
      <w:marBottom w:val="0"/>
      <w:divBdr>
        <w:top w:val="none" w:sz="0" w:space="0" w:color="auto"/>
        <w:left w:val="none" w:sz="0" w:space="0" w:color="auto"/>
        <w:bottom w:val="none" w:sz="0" w:space="0" w:color="auto"/>
        <w:right w:val="none" w:sz="0" w:space="0" w:color="auto"/>
      </w:divBdr>
    </w:div>
    <w:div w:id="308093632">
      <w:bodyDiv w:val="1"/>
      <w:marLeft w:val="0"/>
      <w:marRight w:val="0"/>
      <w:marTop w:val="0"/>
      <w:marBottom w:val="0"/>
      <w:divBdr>
        <w:top w:val="none" w:sz="0" w:space="0" w:color="auto"/>
        <w:left w:val="none" w:sz="0" w:space="0" w:color="auto"/>
        <w:bottom w:val="none" w:sz="0" w:space="0" w:color="auto"/>
        <w:right w:val="none" w:sz="0" w:space="0" w:color="auto"/>
      </w:divBdr>
    </w:div>
    <w:div w:id="339625713">
      <w:bodyDiv w:val="1"/>
      <w:marLeft w:val="0"/>
      <w:marRight w:val="0"/>
      <w:marTop w:val="0"/>
      <w:marBottom w:val="0"/>
      <w:divBdr>
        <w:top w:val="none" w:sz="0" w:space="0" w:color="auto"/>
        <w:left w:val="none" w:sz="0" w:space="0" w:color="auto"/>
        <w:bottom w:val="none" w:sz="0" w:space="0" w:color="auto"/>
        <w:right w:val="none" w:sz="0" w:space="0" w:color="auto"/>
      </w:divBdr>
    </w:div>
    <w:div w:id="370886172">
      <w:bodyDiv w:val="1"/>
      <w:marLeft w:val="0"/>
      <w:marRight w:val="0"/>
      <w:marTop w:val="0"/>
      <w:marBottom w:val="0"/>
      <w:divBdr>
        <w:top w:val="none" w:sz="0" w:space="0" w:color="auto"/>
        <w:left w:val="none" w:sz="0" w:space="0" w:color="auto"/>
        <w:bottom w:val="none" w:sz="0" w:space="0" w:color="auto"/>
        <w:right w:val="none" w:sz="0" w:space="0" w:color="auto"/>
      </w:divBdr>
    </w:div>
    <w:div w:id="483467861">
      <w:bodyDiv w:val="1"/>
      <w:marLeft w:val="0"/>
      <w:marRight w:val="0"/>
      <w:marTop w:val="0"/>
      <w:marBottom w:val="0"/>
      <w:divBdr>
        <w:top w:val="none" w:sz="0" w:space="0" w:color="auto"/>
        <w:left w:val="none" w:sz="0" w:space="0" w:color="auto"/>
        <w:bottom w:val="none" w:sz="0" w:space="0" w:color="auto"/>
        <w:right w:val="none" w:sz="0" w:space="0" w:color="auto"/>
      </w:divBdr>
    </w:div>
    <w:div w:id="744112932">
      <w:bodyDiv w:val="1"/>
      <w:marLeft w:val="0"/>
      <w:marRight w:val="0"/>
      <w:marTop w:val="0"/>
      <w:marBottom w:val="0"/>
      <w:divBdr>
        <w:top w:val="none" w:sz="0" w:space="0" w:color="auto"/>
        <w:left w:val="none" w:sz="0" w:space="0" w:color="auto"/>
        <w:bottom w:val="none" w:sz="0" w:space="0" w:color="auto"/>
        <w:right w:val="none" w:sz="0" w:space="0" w:color="auto"/>
      </w:divBdr>
    </w:div>
    <w:div w:id="769396271">
      <w:bodyDiv w:val="1"/>
      <w:marLeft w:val="0"/>
      <w:marRight w:val="0"/>
      <w:marTop w:val="0"/>
      <w:marBottom w:val="0"/>
      <w:divBdr>
        <w:top w:val="none" w:sz="0" w:space="0" w:color="auto"/>
        <w:left w:val="none" w:sz="0" w:space="0" w:color="auto"/>
        <w:bottom w:val="none" w:sz="0" w:space="0" w:color="auto"/>
        <w:right w:val="none" w:sz="0" w:space="0" w:color="auto"/>
      </w:divBdr>
    </w:div>
    <w:div w:id="905334021">
      <w:bodyDiv w:val="1"/>
      <w:marLeft w:val="0"/>
      <w:marRight w:val="0"/>
      <w:marTop w:val="0"/>
      <w:marBottom w:val="0"/>
      <w:divBdr>
        <w:top w:val="none" w:sz="0" w:space="0" w:color="auto"/>
        <w:left w:val="none" w:sz="0" w:space="0" w:color="auto"/>
        <w:bottom w:val="none" w:sz="0" w:space="0" w:color="auto"/>
        <w:right w:val="none" w:sz="0" w:space="0" w:color="auto"/>
      </w:divBdr>
    </w:div>
    <w:div w:id="1018507611">
      <w:bodyDiv w:val="1"/>
      <w:marLeft w:val="0"/>
      <w:marRight w:val="0"/>
      <w:marTop w:val="0"/>
      <w:marBottom w:val="0"/>
      <w:divBdr>
        <w:top w:val="none" w:sz="0" w:space="0" w:color="auto"/>
        <w:left w:val="none" w:sz="0" w:space="0" w:color="auto"/>
        <w:bottom w:val="none" w:sz="0" w:space="0" w:color="auto"/>
        <w:right w:val="none" w:sz="0" w:space="0" w:color="auto"/>
      </w:divBdr>
    </w:div>
    <w:div w:id="1142389729">
      <w:bodyDiv w:val="1"/>
      <w:marLeft w:val="0"/>
      <w:marRight w:val="0"/>
      <w:marTop w:val="0"/>
      <w:marBottom w:val="0"/>
      <w:divBdr>
        <w:top w:val="none" w:sz="0" w:space="0" w:color="auto"/>
        <w:left w:val="none" w:sz="0" w:space="0" w:color="auto"/>
        <w:bottom w:val="none" w:sz="0" w:space="0" w:color="auto"/>
        <w:right w:val="none" w:sz="0" w:space="0" w:color="auto"/>
      </w:divBdr>
    </w:div>
    <w:div w:id="1450782219">
      <w:bodyDiv w:val="1"/>
      <w:marLeft w:val="0"/>
      <w:marRight w:val="0"/>
      <w:marTop w:val="0"/>
      <w:marBottom w:val="0"/>
      <w:divBdr>
        <w:top w:val="none" w:sz="0" w:space="0" w:color="auto"/>
        <w:left w:val="none" w:sz="0" w:space="0" w:color="auto"/>
        <w:bottom w:val="none" w:sz="0" w:space="0" w:color="auto"/>
        <w:right w:val="none" w:sz="0" w:space="0" w:color="auto"/>
      </w:divBdr>
    </w:div>
    <w:div w:id="1763841138">
      <w:bodyDiv w:val="1"/>
      <w:marLeft w:val="0"/>
      <w:marRight w:val="0"/>
      <w:marTop w:val="0"/>
      <w:marBottom w:val="0"/>
      <w:divBdr>
        <w:top w:val="none" w:sz="0" w:space="0" w:color="auto"/>
        <w:left w:val="none" w:sz="0" w:space="0" w:color="auto"/>
        <w:bottom w:val="none" w:sz="0" w:space="0" w:color="auto"/>
        <w:right w:val="none" w:sz="0" w:space="0" w:color="auto"/>
      </w:divBdr>
    </w:div>
    <w:div w:id="1855802001">
      <w:bodyDiv w:val="1"/>
      <w:marLeft w:val="0"/>
      <w:marRight w:val="0"/>
      <w:marTop w:val="0"/>
      <w:marBottom w:val="0"/>
      <w:divBdr>
        <w:top w:val="none" w:sz="0" w:space="0" w:color="auto"/>
        <w:left w:val="none" w:sz="0" w:space="0" w:color="auto"/>
        <w:bottom w:val="none" w:sz="0" w:space="0" w:color="auto"/>
        <w:right w:val="none" w:sz="0" w:space="0" w:color="auto"/>
      </w:divBdr>
    </w:div>
    <w:div w:id="1896549317">
      <w:bodyDiv w:val="1"/>
      <w:marLeft w:val="0"/>
      <w:marRight w:val="0"/>
      <w:marTop w:val="0"/>
      <w:marBottom w:val="0"/>
      <w:divBdr>
        <w:top w:val="none" w:sz="0" w:space="0" w:color="auto"/>
        <w:left w:val="none" w:sz="0" w:space="0" w:color="auto"/>
        <w:bottom w:val="none" w:sz="0" w:space="0" w:color="auto"/>
        <w:right w:val="none" w:sz="0" w:space="0" w:color="auto"/>
      </w:divBdr>
    </w:div>
    <w:div w:id="2000189695">
      <w:bodyDiv w:val="1"/>
      <w:marLeft w:val="0"/>
      <w:marRight w:val="0"/>
      <w:marTop w:val="0"/>
      <w:marBottom w:val="0"/>
      <w:divBdr>
        <w:top w:val="none" w:sz="0" w:space="0" w:color="auto"/>
        <w:left w:val="none" w:sz="0" w:space="0" w:color="auto"/>
        <w:bottom w:val="none" w:sz="0" w:space="0" w:color="auto"/>
        <w:right w:val="none" w:sz="0" w:space="0" w:color="auto"/>
      </w:divBdr>
      <w:divsChild>
        <w:div w:id="1945530809">
          <w:marLeft w:val="0"/>
          <w:marRight w:val="0"/>
          <w:marTop w:val="100"/>
          <w:marBottom w:val="100"/>
          <w:divBdr>
            <w:top w:val="none" w:sz="0" w:space="0" w:color="auto"/>
            <w:left w:val="none" w:sz="0" w:space="0" w:color="auto"/>
            <w:bottom w:val="none" w:sz="0" w:space="0" w:color="auto"/>
            <w:right w:val="none" w:sz="0" w:space="0" w:color="auto"/>
          </w:divBdr>
          <w:divsChild>
            <w:div w:id="15435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3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trouille@yorksj.ac.uk" TargetMode="External"/><Relationship Id="rId13" Type="http://schemas.openxmlformats.org/officeDocument/2006/relationships/hyperlink" Target="https://www.sciencedirect.com/science/journal/01618938" TargetMode="External"/><Relationship Id="rId18" Type="http://schemas.openxmlformats.org/officeDocument/2006/relationships/hyperlink" Target="https://www.theeastafrican.co.ke/news/2558-622446-view-printVersion-4ft75c/index.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journals.vgtu.lt/index.php/BTP/search/search?field=author&amp;criteria=Vigintas%20Vi%C5%A1inskis" TargetMode="External"/><Relationship Id="rId7" Type="http://schemas.openxmlformats.org/officeDocument/2006/relationships/endnotes" Target="endnotes.xml"/><Relationship Id="rId12" Type="http://schemas.openxmlformats.org/officeDocument/2006/relationships/hyperlink" Target="https://www.sciencedirect.com/science/article/pii/S0161893819300882" TargetMode="External"/><Relationship Id="rId17" Type="http://schemas.openxmlformats.org/officeDocument/2006/relationships/hyperlink" Target="https://www.sra.org.uk/globalassets/documents/mysra/registered-european-lawyers-guide.pdf?version=4a1ab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hetimes.co.uk/article/make-mine-a-guinness-why-i-ve-joined-the-irish-bar-rfwln2tsc" TargetMode="External"/><Relationship Id="rId20" Type="http://schemas.openxmlformats.org/officeDocument/2006/relationships/hyperlink" Target="http://repository.uneca.org/bitstream/handle/10855/41804/b11928190.pdf?sequence=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rcafricaevents.org/wp-content/uploads/2018/03/Hoekman_Africa_Integration_Services_AERC_Feb15_2018.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awsocieties.eu/viewpoint/british-young-lawyers-practising-rights-how-will-brexit-impact-the-future-in-brussels-and-beyond-by-siobhan-kahmann/6000484.article" TargetMode="External"/><Relationship Id="rId23" Type="http://schemas.openxmlformats.org/officeDocument/2006/relationships/hyperlink" Target="https://journals.vgtu.lt/index.php/BTP/search/search?field=author&amp;criteria=Agn%C4%97%20Tvaronavi%C4%8Dien%C4%97" TargetMode="External"/><Relationship Id="rId10" Type="http://schemas.openxmlformats.org/officeDocument/2006/relationships/hyperlink" Target="http://documents1.worldbank.org/curated/en/477321469182630728/pdf/107185-WP-TradeinServiceWeb-PUBLIC.pdf" TargetMode="External"/><Relationship Id="rId19" Type="http://schemas.openxmlformats.org/officeDocument/2006/relationships/hyperlink" Target="https://www.lawsociety.org.uk/policy-campaigns/articles/uk-eu-future-partnership-legal-services/" TargetMode="External"/><Relationship Id="rId4" Type="http://schemas.openxmlformats.org/officeDocument/2006/relationships/settings" Target="settings.xml"/><Relationship Id="rId9" Type="http://schemas.openxmlformats.org/officeDocument/2006/relationships/hyperlink" Target="mailto:bindael@gmail.com" TargetMode="External"/><Relationship Id="rId14" Type="http://schemas.openxmlformats.org/officeDocument/2006/relationships/hyperlink" Target="https://www.sciencedirect.com/science/journal/01618938/41/5" TargetMode="External"/><Relationship Id="rId22" Type="http://schemas.openxmlformats.org/officeDocument/2006/relationships/hyperlink" Target="https://journals.vgtu.lt/index.php/BTP/search/search?field=author&amp;criteria=Inga%20%C5%BDal%C4%97nien%C4%97"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journals.vgtu.lt/index.php/BTP/search/search?field=author&amp;criteria=Agn%C4%97%20Tvaronavi%C4%8Dien%C4%97" TargetMode="External"/><Relationship Id="rId13" Type="http://schemas.openxmlformats.org/officeDocument/2006/relationships/hyperlink" Target="http://www.aercafricaevents.org/wp-content/uploads/2018/03/Hoekman_Africa_Integration_Services_AERC_Feb15_2018.pdf" TargetMode="External"/><Relationship Id="rId3" Type="http://schemas.openxmlformats.org/officeDocument/2006/relationships/hyperlink" Target="https://www.sciencedirect.com/science/article/pii/S0161893819300882" TargetMode="External"/><Relationship Id="rId7" Type="http://schemas.openxmlformats.org/officeDocument/2006/relationships/hyperlink" Target="https://journals.vgtu.lt/index.php/BTP/search/search?field=author&amp;criteria=Inga%20%C5%BDal%C4%97nien%C4%97" TargetMode="External"/><Relationship Id="rId12" Type="http://schemas.openxmlformats.org/officeDocument/2006/relationships/hyperlink" Target="http://repository.uneca.org/bitstream/handle/10855/41804/b11928190.pdf?sequence=1" TargetMode="External"/><Relationship Id="rId2" Type="http://schemas.openxmlformats.org/officeDocument/2006/relationships/hyperlink" Target="https://www.lawsocieties.eu/viewpoint/british-young-lawyers-practising-rights-how-will-brexit-impact-the-future-in-brussels-and-beyond-by-siobhan-kahmann/6000484.article" TargetMode="External"/><Relationship Id="rId1" Type="http://schemas.openxmlformats.org/officeDocument/2006/relationships/hyperlink" Target="https://www.thetimes.co.uk/article/make-mine-a-guinness-why-i-ve-joined-the-irish-bar-rfwln2tsc" TargetMode="External"/><Relationship Id="rId6" Type="http://schemas.openxmlformats.org/officeDocument/2006/relationships/hyperlink" Target="https://journals.vgtu.lt/index.php/BTP/search/search?field=author&amp;criteria=Vigintas%20Vi%C5%A1inskis" TargetMode="External"/><Relationship Id="rId11" Type="http://schemas.openxmlformats.org/officeDocument/2006/relationships/hyperlink" Target="https://www.theeastafrican.co.ke/news/2558-622446-view-printVersion-4ft75c/index.html" TargetMode="External"/><Relationship Id="rId5" Type="http://schemas.openxmlformats.org/officeDocument/2006/relationships/hyperlink" Target="https://www.sciencedirect.com/science/journal/01618938/41/5" TargetMode="External"/><Relationship Id="rId10" Type="http://schemas.openxmlformats.org/officeDocument/2006/relationships/hyperlink" Target="https://ec.europa.eu/education/education-in-the-eu/proposal-for-a-council-recommendation-on-the-automatic-mutual-recognition-of-diplomas-and-learning-periods-abroad_en" TargetMode="External"/><Relationship Id="rId4" Type="http://schemas.openxmlformats.org/officeDocument/2006/relationships/hyperlink" Target="https://www.sciencedirect.com/science/journal/01618938" TargetMode="External"/><Relationship Id="rId9" Type="http://schemas.openxmlformats.org/officeDocument/2006/relationships/hyperlink" Target="https://www.sra.org.uk/globalassets/documents/mysra/registered-european-lawyers-guide.pdf?version=4a1a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0FA908-14EF-4044-A7DA-C9B49B8E3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12455</Words>
  <Characters>69130</Characters>
  <Application>Microsoft Office Word</Application>
  <DocSecurity>0</DocSecurity>
  <Lines>1047</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Trouille</dc:creator>
  <cp:lastModifiedBy>Ruth Mardall (R.Mardall)</cp:lastModifiedBy>
  <cp:revision>2</cp:revision>
  <dcterms:created xsi:type="dcterms:W3CDTF">2021-03-03T13:49:00Z</dcterms:created>
  <dcterms:modified xsi:type="dcterms:W3CDTF">2021-03-03T13:49:00Z</dcterms:modified>
</cp:coreProperties>
</file>