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9F830" w14:textId="77777777" w:rsidR="001C1B16" w:rsidRPr="00F259A2" w:rsidRDefault="00101599" w:rsidP="00783883">
      <w:pPr>
        <w:pStyle w:val="BodyText"/>
        <w:spacing w:line="480" w:lineRule="auto"/>
        <w:rPr>
          <w:color w:val="000000"/>
          <w:sz w:val="24"/>
        </w:rPr>
      </w:pPr>
      <w:r w:rsidRPr="00F259A2">
        <w:rPr>
          <w:color w:val="000000"/>
          <w:sz w:val="24"/>
        </w:rPr>
        <w:t>Chapter XX</w:t>
      </w:r>
    </w:p>
    <w:p w14:paraId="3172FC04" w14:textId="77777777" w:rsidR="001C1B16" w:rsidRPr="00F259A2" w:rsidRDefault="001C1B16" w:rsidP="008A5EE5">
      <w:pPr>
        <w:pStyle w:val="Heading2"/>
        <w:spacing w:line="480" w:lineRule="auto"/>
        <w:rPr>
          <w:rFonts w:ascii="Times New Roman" w:hAnsi="Times New Roman" w:cs="Times New Roman"/>
          <w:b w:val="0"/>
          <w:bCs w:val="0"/>
          <w:i w:val="0"/>
          <w:iCs w:val="0"/>
          <w:color w:val="000000"/>
          <w:sz w:val="24"/>
          <w:szCs w:val="24"/>
        </w:rPr>
      </w:pPr>
    </w:p>
    <w:p w14:paraId="233AF03C" w14:textId="77777777" w:rsidR="001C1B16" w:rsidRPr="00F259A2" w:rsidRDefault="001C1B16" w:rsidP="008A5EE5">
      <w:pPr>
        <w:spacing w:line="480" w:lineRule="auto"/>
      </w:pPr>
    </w:p>
    <w:p w14:paraId="271EEBEA" w14:textId="77777777" w:rsidR="001C1B16" w:rsidRPr="00F259A2" w:rsidRDefault="001C1B16" w:rsidP="008A5EE5">
      <w:pPr>
        <w:spacing w:line="480" w:lineRule="auto"/>
      </w:pPr>
    </w:p>
    <w:p w14:paraId="684D39BC" w14:textId="77777777" w:rsidR="001C1B16" w:rsidRPr="00F259A2" w:rsidRDefault="001C1B16" w:rsidP="008A5EE5">
      <w:pPr>
        <w:spacing w:line="480" w:lineRule="auto"/>
      </w:pPr>
    </w:p>
    <w:p w14:paraId="75ACD74E" w14:textId="77777777" w:rsidR="001C1B16" w:rsidRPr="00F259A2" w:rsidRDefault="001C1B16" w:rsidP="008A5EE5">
      <w:pPr>
        <w:spacing w:line="480" w:lineRule="auto"/>
      </w:pPr>
    </w:p>
    <w:p w14:paraId="02CCCEC4" w14:textId="77777777" w:rsidR="001C1B16" w:rsidRPr="00F259A2" w:rsidRDefault="001C1B16" w:rsidP="008A5EE5">
      <w:pPr>
        <w:spacing w:line="480" w:lineRule="auto"/>
      </w:pPr>
    </w:p>
    <w:p w14:paraId="0624D966" w14:textId="77777777" w:rsidR="001C1B16" w:rsidRPr="00F259A2" w:rsidRDefault="00101599" w:rsidP="008A5EE5">
      <w:pPr>
        <w:pStyle w:val="Heading2"/>
        <w:spacing w:line="480" w:lineRule="auto"/>
        <w:rPr>
          <w:rFonts w:ascii="Times New Roman" w:hAnsi="Times New Roman" w:cs="Times New Roman"/>
          <w:i w:val="0"/>
          <w:iCs w:val="0"/>
          <w:color w:val="000000"/>
          <w:sz w:val="24"/>
          <w:szCs w:val="24"/>
        </w:rPr>
      </w:pPr>
      <w:r w:rsidRPr="00F259A2">
        <w:rPr>
          <w:rFonts w:ascii="Times New Roman" w:hAnsi="Times New Roman" w:cs="Times New Roman"/>
          <w:i w:val="0"/>
          <w:iCs w:val="0"/>
          <w:color w:val="000000"/>
          <w:sz w:val="24"/>
          <w:szCs w:val="24"/>
        </w:rPr>
        <w:t>Comparative Genomic Hybridization (CGH) in Genotoxicology</w:t>
      </w:r>
    </w:p>
    <w:p w14:paraId="4EB4C744" w14:textId="77777777" w:rsidR="001C1B16" w:rsidRPr="00F259A2" w:rsidRDefault="001C1B16" w:rsidP="008A5EE5">
      <w:pPr>
        <w:pStyle w:val="BodyText"/>
        <w:spacing w:line="480" w:lineRule="auto"/>
        <w:rPr>
          <w:color w:val="000000"/>
          <w:sz w:val="24"/>
        </w:rPr>
      </w:pPr>
    </w:p>
    <w:p w14:paraId="084D68CB" w14:textId="77777777" w:rsidR="001C1B16" w:rsidRPr="00F259A2" w:rsidRDefault="001C1B16" w:rsidP="008A5EE5">
      <w:pPr>
        <w:pStyle w:val="BodyText"/>
        <w:spacing w:line="480" w:lineRule="auto"/>
        <w:rPr>
          <w:color w:val="000000"/>
          <w:sz w:val="24"/>
        </w:rPr>
      </w:pPr>
    </w:p>
    <w:p w14:paraId="1CB9E9EC" w14:textId="77777777" w:rsidR="001C1B16" w:rsidRPr="00F259A2" w:rsidRDefault="001C1B16" w:rsidP="008A5EE5">
      <w:pPr>
        <w:pStyle w:val="BodyText"/>
        <w:spacing w:line="480" w:lineRule="auto"/>
        <w:rPr>
          <w:color w:val="000000"/>
          <w:sz w:val="24"/>
        </w:rPr>
      </w:pPr>
    </w:p>
    <w:p w14:paraId="234FC2BA" w14:textId="77777777" w:rsidR="001C1B16" w:rsidRPr="00F259A2" w:rsidRDefault="00101599" w:rsidP="008A5EE5">
      <w:pPr>
        <w:pStyle w:val="BodyText"/>
        <w:spacing w:line="480" w:lineRule="auto"/>
        <w:rPr>
          <w:b/>
          <w:bCs/>
          <w:color w:val="000000"/>
          <w:sz w:val="24"/>
        </w:rPr>
      </w:pPr>
      <w:r w:rsidRPr="00F259A2">
        <w:rPr>
          <w:b/>
          <w:bCs/>
          <w:color w:val="000000"/>
          <w:sz w:val="24"/>
        </w:rPr>
        <w:t>Baumgartner A</w:t>
      </w:r>
      <w:r w:rsidR="00E46501" w:rsidRPr="00E46501">
        <w:rPr>
          <w:b/>
          <w:bCs/>
          <w:color w:val="000000"/>
          <w:sz w:val="24"/>
          <w:vertAlign w:val="superscript"/>
        </w:rPr>
        <w:t>1,2</w:t>
      </w:r>
      <w:r w:rsidRPr="00F259A2">
        <w:rPr>
          <w:b/>
          <w:bCs/>
          <w:color w:val="000000"/>
          <w:sz w:val="24"/>
        </w:rPr>
        <w:t>.</w:t>
      </w:r>
    </w:p>
    <w:p w14:paraId="45EE11B1" w14:textId="77777777" w:rsidR="001C1B16" w:rsidRPr="00F259A2" w:rsidRDefault="001C1B16" w:rsidP="008A5EE5">
      <w:pPr>
        <w:pStyle w:val="BodyText"/>
        <w:spacing w:line="480" w:lineRule="auto"/>
        <w:rPr>
          <w:color w:val="000000"/>
          <w:sz w:val="24"/>
        </w:rPr>
      </w:pPr>
    </w:p>
    <w:p w14:paraId="59298F03" w14:textId="77777777" w:rsidR="001C1B16" w:rsidRPr="00F259A2" w:rsidRDefault="00AD5B6B" w:rsidP="008A5EE5">
      <w:pPr>
        <w:pStyle w:val="BodyText"/>
        <w:spacing w:line="480" w:lineRule="auto"/>
        <w:rPr>
          <w:color w:val="000000"/>
          <w:sz w:val="24"/>
        </w:rPr>
      </w:pPr>
      <w:r w:rsidRPr="00AD5B6B">
        <w:rPr>
          <w:color w:val="000000"/>
          <w:sz w:val="24"/>
          <w:vertAlign w:val="superscript"/>
        </w:rPr>
        <w:t>1</w:t>
      </w:r>
      <w:r w:rsidR="00101599" w:rsidRPr="00F259A2">
        <w:rPr>
          <w:color w:val="000000"/>
          <w:sz w:val="24"/>
        </w:rPr>
        <w:t xml:space="preserve">Department of Paediatric Cardiology, </w:t>
      </w:r>
      <w:r w:rsidR="007E3E27" w:rsidRPr="00F259A2">
        <w:rPr>
          <w:color w:val="000000"/>
          <w:sz w:val="24"/>
        </w:rPr>
        <w:t xml:space="preserve">Cytometry Group, </w:t>
      </w:r>
      <w:r w:rsidR="00101599" w:rsidRPr="00F259A2">
        <w:rPr>
          <w:color w:val="000000"/>
          <w:sz w:val="24"/>
        </w:rPr>
        <w:t xml:space="preserve">University of Leipzig, Heart Centre, </w:t>
      </w:r>
      <w:proofErr w:type="spellStart"/>
      <w:r w:rsidR="00101599" w:rsidRPr="00F259A2">
        <w:rPr>
          <w:color w:val="000000"/>
          <w:sz w:val="24"/>
        </w:rPr>
        <w:t>Strümpellstr</w:t>
      </w:r>
      <w:proofErr w:type="spellEnd"/>
      <w:r w:rsidR="00101599" w:rsidRPr="00F259A2">
        <w:rPr>
          <w:color w:val="000000"/>
          <w:sz w:val="24"/>
        </w:rPr>
        <w:t>. 39, 04289 Leipzig, Germany</w:t>
      </w:r>
    </w:p>
    <w:p w14:paraId="2A604C85" w14:textId="77777777" w:rsidR="001C1B16" w:rsidRPr="00F259A2" w:rsidRDefault="00AD5B6B" w:rsidP="008A5EE5">
      <w:pPr>
        <w:pStyle w:val="BodyText"/>
        <w:spacing w:line="480" w:lineRule="auto"/>
        <w:rPr>
          <w:color w:val="000000"/>
          <w:sz w:val="24"/>
        </w:rPr>
      </w:pPr>
      <w:r w:rsidRPr="00AD5B6B">
        <w:rPr>
          <w:color w:val="000000"/>
          <w:sz w:val="24"/>
          <w:vertAlign w:val="superscript"/>
        </w:rPr>
        <w:t>2</w:t>
      </w:r>
      <w:r w:rsidR="007F3FC0">
        <w:rPr>
          <w:color w:val="000000"/>
          <w:sz w:val="24"/>
        </w:rPr>
        <w:t>University of Bradford, Biomedical Sciences, Richmond Road, Bradford, BD7 1DP, United Kingdom</w:t>
      </w:r>
    </w:p>
    <w:p w14:paraId="4B644968" w14:textId="77777777" w:rsidR="001C1B16" w:rsidRPr="00F259A2" w:rsidRDefault="001C1B16" w:rsidP="008A5EE5">
      <w:pPr>
        <w:pStyle w:val="BodyText"/>
        <w:spacing w:line="480" w:lineRule="auto"/>
        <w:rPr>
          <w:color w:val="000000"/>
          <w:sz w:val="24"/>
        </w:rPr>
      </w:pPr>
    </w:p>
    <w:p w14:paraId="6160F25F" w14:textId="77777777" w:rsidR="007F3FC0" w:rsidRDefault="007F3FC0" w:rsidP="008A5EE5">
      <w:pPr>
        <w:pStyle w:val="BodyText"/>
        <w:spacing w:line="480" w:lineRule="auto"/>
        <w:rPr>
          <w:color w:val="000000"/>
          <w:sz w:val="24"/>
        </w:rPr>
      </w:pPr>
      <w:r>
        <w:rPr>
          <w:color w:val="000000"/>
          <w:sz w:val="24"/>
        </w:rPr>
        <w:t xml:space="preserve">Email: </w:t>
      </w:r>
      <w:hyperlink r:id="rId8" w:history="1">
        <w:r w:rsidRPr="00AE1D49">
          <w:rPr>
            <w:color w:val="000000"/>
            <w:sz w:val="24"/>
          </w:rPr>
          <w:t>a.baumgartner@bradford.ac.uk</w:t>
        </w:r>
      </w:hyperlink>
    </w:p>
    <w:p w14:paraId="5F3F0D50" w14:textId="77777777" w:rsidR="007F3FC0" w:rsidRDefault="007F3FC0" w:rsidP="008A5EE5">
      <w:pPr>
        <w:pStyle w:val="BodyText"/>
        <w:spacing w:line="480" w:lineRule="auto"/>
        <w:rPr>
          <w:color w:val="000000"/>
          <w:sz w:val="24"/>
        </w:rPr>
      </w:pPr>
      <w:r>
        <w:rPr>
          <w:color w:val="000000"/>
          <w:sz w:val="24"/>
        </w:rPr>
        <w:t>Phone: +44</w:t>
      </w:r>
      <w:r w:rsidR="00AD5B6B">
        <w:rPr>
          <w:color w:val="000000"/>
          <w:sz w:val="24"/>
        </w:rPr>
        <w:t>--</w:t>
      </w:r>
      <w:r>
        <w:rPr>
          <w:color w:val="000000"/>
          <w:sz w:val="24"/>
        </w:rPr>
        <w:t>1274</w:t>
      </w:r>
      <w:r w:rsidR="00AD5B6B">
        <w:rPr>
          <w:color w:val="000000"/>
          <w:sz w:val="24"/>
        </w:rPr>
        <w:t>--</w:t>
      </w:r>
      <w:r>
        <w:rPr>
          <w:color w:val="000000"/>
          <w:sz w:val="24"/>
        </w:rPr>
        <w:t>23</w:t>
      </w:r>
      <w:r w:rsidR="00AD5B6B">
        <w:rPr>
          <w:color w:val="000000"/>
          <w:sz w:val="24"/>
        </w:rPr>
        <w:t>--</w:t>
      </w:r>
      <w:r>
        <w:rPr>
          <w:color w:val="000000"/>
          <w:sz w:val="24"/>
        </w:rPr>
        <w:t>5510</w:t>
      </w:r>
    </w:p>
    <w:p w14:paraId="10EE97FF" w14:textId="77777777" w:rsidR="001C1B16" w:rsidRPr="00F259A2" w:rsidRDefault="007F3FC0" w:rsidP="008A5EE5">
      <w:pPr>
        <w:pStyle w:val="BodyText"/>
        <w:spacing w:line="480" w:lineRule="auto"/>
        <w:rPr>
          <w:color w:val="000000"/>
          <w:sz w:val="24"/>
        </w:rPr>
      </w:pPr>
      <w:r>
        <w:rPr>
          <w:color w:val="000000"/>
          <w:sz w:val="24"/>
        </w:rPr>
        <w:t>Fax: +44</w:t>
      </w:r>
      <w:r w:rsidR="00AD5B6B">
        <w:rPr>
          <w:color w:val="000000"/>
          <w:sz w:val="24"/>
        </w:rPr>
        <w:t>--</w:t>
      </w:r>
      <w:r>
        <w:rPr>
          <w:color w:val="000000"/>
          <w:sz w:val="24"/>
        </w:rPr>
        <w:t>1274</w:t>
      </w:r>
      <w:r w:rsidR="00AD5B6B">
        <w:rPr>
          <w:color w:val="000000"/>
          <w:sz w:val="24"/>
        </w:rPr>
        <w:t>--</w:t>
      </w:r>
      <w:r>
        <w:rPr>
          <w:color w:val="000000"/>
          <w:sz w:val="24"/>
        </w:rPr>
        <w:t>30</w:t>
      </w:r>
      <w:r w:rsidR="00AD5B6B">
        <w:rPr>
          <w:color w:val="000000"/>
          <w:sz w:val="24"/>
        </w:rPr>
        <w:t>--</w:t>
      </w:r>
      <w:r>
        <w:rPr>
          <w:color w:val="000000"/>
          <w:sz w:val="24"/>
        </w:rPr>
        <w:t>9742</w:t>
      </w:r>
    </w:p>
    <w:p w14:paraId="2C49D4A0" w14:textId="77777777" w:rsidR="001C1B16" w:rsidRPr="00F259A2" w:rsidRDefault="00DA781E" w:rsidP="008A5EE5">
      <w:pPr>
        <w:spacing w:line="480" w:lineRule="auto"/>
        <w:rPr>
          <w:b/>
          <w:bCs/>
          <w:color w:val="000000"/>
        </w:rPr>
      </w:pPr>
      <w:r w:rsidRPr="00F259A2">
        <w:rPr>
          <w:i/>
          <w:iCs/>
          <w:color w:val="000000"/>
        </w:rPr>
        <w:br w:type="page"/>
      </w:r>
      <w:r w:rsidR="008347E3">
        <w:rPr>
          <w:color w:val="000000"/>
        </w:rPr>
        <w:lastRenderedPageBreak/>
        <w:t>Summary</w:t>
      </w:r>
    </w:p>
    <w:p w14:paraId="276EC070" w14:textId="77777777" w:rsidR="001C1B16" w:rsidRPr="00F259A2" w:rsidRDefault="001C1B16" w:rsidP="008A5EE5">
      <w:pPr>
        <w:tabs>
          <w:tab w:val="left" w:pos="-1440"/>
          <w:tab w:val="left" w:pos="-720"/>
        </w:tabs>
        <w:suppressAutoHyphens/>
        <w:spacing w:line="480" w:lineRule="auto"/>
        <w:rPr>
          <w:color w:val="000000"/>
        </w:rPr>
      </w:pPr>
    </w:p>
    <w:p w14:paraId="5ED95902" w14:textId="77777777" w:rsidR="001C1B16" w:rsidRPr="00F259A2" w:rsidRDefault="00AD0B89" w:rsidP="008A5EE5">
      <w:pPr>
        <w:pStyle w:val="BodyText"/>
        <w:spacing w:line="480" w:lineRule="auto"/>
        <w:rPr>
          <w:color w:val="000000"/>
          <w:sz w:val="24"/>
        </w:rPr>
      </w:pPr>
      <w:r w:rsidRPr="00F259A2">
        <w:rPr>
          <w:color w:val="000000"/>
          <w:sz w:val="24"/>
        </w:rPr>
        <w:t xml:space="preserve">In the past two decades </w:t>
      </w:r>
      <w:r w:rsidR="0021376A" w:rsidRPr="00F259A2">
        <w:rPr>
          <w:color w:val="000000"/>
          <w:sz w:val="24"/>
        </w:rPr>
        <w:t>comparative genomic hybridization (</w:t>
      </w:r>
      <w:r w:rsidRPr="00F259A2">
        <w:rPr>
          <w:color w:val="000000"/>
          <w:sz w:val="24"/>
        </w:rPr>
        <w:t>CGH</w:t>
      </w:r>
      <w:r w:rsidR="0021376A" w:rsidRPr="00F259A2">
        <w:rPr>
          <w:color w:val="000000"/>
          <w:sz w:val="24"/>
        </w:rPr>
        <w:t>)</w:t>
      </w:r>
      <w:r w:rsidRPr="00F259A2">
        <w:rPr>
          <w:color w:val="000000"/>
          <w:sz w:val="24"/>
        </w:rPr>
        <w:t xml:space="preserve"> and array CGH </w:t>
      </w:r>
      <w:r w:rsidR="008D7B85" w:rsidRPr="00F259A2">
        <w:rPr>
          <w:color w:val="000000"/>
          <w:sz w:val="24"/>
        </w:rPr>
        <w:t xml:space="preserve">have </w:t>
      </w:r>
      <w:r w:rsidRPr="00F259A2">
        <w:rPr>
          <w:color w:val="000000"/>
          <w:sz w:val="24"/>
        </w:rPr>
        <w:t>bec</w:t>
      </w:r>
      <w:r w:rsidR="008D7B85" w:rsidRPr="00F259A2">
        <w:rPr>
          <w:color w:val="000000"/>
          <w:sz w:val="24"/>
        </w:rPr>
        <w:t>o</w:t>
      </w:r>
      <w:r w:rsidRPr="00F259A2">
        <w:rPr>
          <w:color w:val="000000"/>
          <w:sz w:val="24"/>
        </w:rPr>
        <w:t>me crucial and indispensable tool</w:t>
      </w:r>
      <w:r w:rsidR="008D7B85" w:rsidRPr="00F259A2">
        <w:rPr>
          <w:color w:val="000000"/>
          <w:sz w:val="24"/>
        </w:rPr>
        <w:t>s</w:t>
      </w:r>
      <w:r w:rsidRPr="00F259A2">
        <w:rPr>
          <w:color w:val="000000"/>
          <w:sz w:val="24"/>
        </w:rPr>
        <w:t xml:space="preserve"> in clinical diagnostics. Initially developed for the genome</w:t>
      </w:r>
      <w:r w:rsidR="00AD5B6B">
        <w:rPr>
          <w:color w:val="000000"/>
          <w:sz w:val="24"/>
        </w:rPr>
        <w:t>--</w:t>
      </w:r>
      <w:r w:rsidRPr="00F259A2">
        <w:rPr>
          <w:color w:val="000000"/>
          <w:sz w:val="24"/>
        </w:rPr>
        <w:t xml:space="preserve">wide screening of chromosomal imbalances in tumour cells, CGH as well as array CGH </w:t>
      </w:r>
      <w:r w:rsidR="003E258A" w:rsidRPr="00F259A2">
        <w:rPr>
          <w:color w:val="000000"/>
          <w:sz w:val="24"/>
        </w:rPr>
        <w:t>ha</w:t>
      </w:r>
      <w:r w:rsidR="008D7B85" w:rsidRPr="00F259A2">
        <w:rPr>
          <w:color w:val="000000"/>
          <w:sz w:val="24"/>
        </w:rPr>
        <w:t>ve</w:t>
      </w:r>
      <w:r w:rsidR="003E258A" w:rsidRPr="00F259A2">
        <w:rPr>
          <w:color w:val="000000"/>
          <w:sz w:val="24"/>
        </w:rPr>
        <w:t xml:space="preserve"> also been</w:t>
      </w:r>
      <w:r w:rsidRPr="00F259A2">
        <w:rPr>
          <w:color w:val="000000"/>
          <w:sz w:val="24"/>
        </w:rPr>
        <w:t xml:space="preserve"> employed in genotoxicology and most recently in toxicogenomics.</w:t>
      </w:r>
      <w:r w:rsidR="00B43FC4" w:rsidRPr="00F259A2">
        <w:rPr>
          <w:color w:val="000000"/>
          <w:sz w:val="24"/>
        </w:rPr>
        <w:t xml:space="preserve"> The </w:t>
      </w:r>
      <w:r w:rsidR="00D01C39" w:rsidRPr="00F259A2">
        <w:rPr>
          <w:color w:val="000000"/>
          <w:sz w:val="24"/>
        </w:rPr>
        <w:t>latter</w:t>
      </w:r>
      <w:r w:rsidR="009C058C" w:rsidRPr="00F259A2">
        <w:rPr>
          <w:color w:val="000000"/>
          <w:sz w:val="24"/>
        </w:rPr>
        <w:t xml:space="preserve"> methodology allows a multi</w:t>
      </w:r>
      <w:r w:rsidR="00AD5B6B">
        <w:rPr>
          <w:color w:val="000000"/>
          <w:sz w:val="24"/>
        </w:rPr>
        <w:t>--</w:t>
      </w:r>
      <w:r w:rsidR="009C058C" w:rsidRPr="00F259A2">
        <w:rPr>
          <w:color w:val="000000"/>
          <w:sz w:val="24"/>
        </w:rPr>
        <w:t xml:space="preserve">endpoint analysis of how genes and proteins react to toxic agents revealing molecular mechanisms of toxicology. This book chapter will provide background </w:t>
      </w:r>
      <w:r w:rsidR="0054665C" w:rsidRPr="00F259A2">
        <w:rPr>
          <w:color w:val="000000"/>
          <w:sz w:val="24"/>
        </w:rPr>
        <w:t>on</w:t>
      </w:r>
      <w:r w:rsidR="009C058C" w:rsidRPr="00F259A2">
        <w:rPr>
          <w:color w:val="000000"/>
          <w:sz w:val="24"/>
        </w:rPr>
        <w:t xml:space="preserve"> the use of CGH and array CGH </w:t>
      </w:r>
      <w:r w:rsidR="004150AF" w:rsidRPr="00F259A2">
        <w:rPr>
          <w:color w:val="000000"/>
          <w:sz w:val="24"/>
        </w:rPr>
        <w:t xml:space="preserve">in the context of genotoxicology </w:t>
      </w:r>
      <w:r w:rsidR="009C058C" w:rsidRPr="00F259A2">
        <w:rPr>
          <w:color w:val="000000"/>
          <w:sz w:val="24"/>
        </w:rPr>
        <w:t>as well as a protocol for conventional CGH</w:t>
      </w:r>
      <w:r w:rsidR="004150AF" w:rsidRPr="00F259A2">
        <w:rPr>
          <w:color w:val="000000"/>
          <w:sz w:val="24"/>
        </w:rPr>
        <w:t xml:space="preserve"> to understand the basic principles of CGH</w:t>
      </w:r>
      <w:r w:rsidR="009C058C" w:rsidRPr="00F259A2">
        <w:rPr>
          <w:color w:val="000000"/>
          <w:sz w:val="24"/>
        </w:rPr>
        <w:t xml:space="preserve">. </w:t>
      </w:r>
      <w:r w:rsidR="0054665C" w:rsidRPr="00F259A2">
        <w:rPr>
          <w:color w:val="000000"/>
          <w:sz w:val="24"/>
        </w:rPr>
        <w:t>A</w:t>
      </w:r>
      <w:r w:rsidR="004150AF" w:rsidRPr="00F259A2">
        <w:rPr>
          <w:color w:val="000000"/>
          <w:sz w:val="24"/>
        </w:rPr>
        <w:t xml:space="preserve">rray CGH </w:t>
      </w:r>
      <w:r w:rsidR="00D01C39" w:rsidRPr="00F259A2">
        <w:rPr>
          <w:color w:val="000000"/>
          <w:sz w:val="24"/>
        </w:rPr>
        <w:t>is still</w:t>
      </w:r>
      <w:r w:rsidR="004150AF" w:rsidRPr="00F259A2">
        <w:rPr>
          <w:color w:val="000000"/>
          <w:sz w:val="24"/>
        </w:rPr>
        <w:t xml:space="preserve"> cost intensive </w:t>
      </w:r>
      <w:r w:rsidR="0054665C" w:rsidRPr="00F259A2">
        <w:rPr>
          <w:color w:val="000000"/>
          <w:sz w:val="24"/>
        </w:rPr>
        <w:t xml:space="preserve">and requires suitable analytical algorithms </w:t>
      </w:r>
      <w:r w:rsidR="004150AF" w:rsidRPr="00F259A2">
        <w:rPr>
          <w:color w:val="000000"/>
          <w:sz w:val="24"/>
        </w:rPr>
        <w:t xml:space="preserve">but might become </w:t>
      </w:r>
      <w:r w:rsidR="00D01C39" w:rsidRPr="00F259A2">
        <w:rPr>
          <w:color w:val="000000"/>
          <w:sz w:val="24"/>
        </w:rPr>
        <w:t>the dominating assay</w:t>
      </w:r>
      <w:r w:rsidR="004150AF" w:rsidRPr="00F259A2">
        <w:rPr>
          <w:color w:val="000000"/>
          <w:sz w:val="24"/>
        </w:rPr>
        <w:t xml:space="preserve"> in the future when more companies provide a large variety of different commercial </w:t>
      </w:r>
      <w:r w:rsidR="009C058C" w:rsidRPr="00F259A2">
        <w:rPr>
          <w:color w:val="000000"/>
          <w:sz w:val="24"/>
        </w:rPr>
        <w:t xml:space="preserve">DNA </w:t>
      </w:r>
      <w:r w:rsidR="004150AF" w:rsidRPr="00F259A2">
        <w:rPr>
          <w:color w:val="000000"/>
          <w:sz w:val="24"/>
        </w:rPr>
        <w:t xml:space="preserve">arrays / </w:t>
      </w:r>
      <w:r w:rsidR="009C058C" w:rsidRPr="00F259A2">
        <w:rPr>
          <w:color w:val="000000"/>
          <w:sz w:val="24"/>
        </w:rPr>
        <w:t>chips</w:t>
      </w:r>
      <w:r w:rsidR="004150AF" w:rsidRPr="00F259A2">
        <w:rPr>
          <w:color w:val="000000"/>
          <w:sz w:val="24"/>
        </w:rPr>
        <w:t xml:space="preserve"> leading to lower costs for array CGH equipment as well as consumables</w:t>
      </w:r>
      <w:r w:rsidR="00D01C39" w:rsidRPr="00F259A2">
        <w:rPr>
          <w:color w:val="000000"/>
          <w:sz w:val="24"/>
        </w:rPr>
        <w:t xml:space="preserve"> such as DNA chips</w:t>
      </w:r>
      <w:r w:rsidR="004150AF" w:rsidRPr="00F259A2">
        <w:rPr>
          <w:color w:val="000000"/>
          <w:sz w:val="24"/>
        </w:rPr>
        <w:t xml:space="preserve">. </w:t>
      </w:r>
      <w:r w:rsidR="00C52B22" w:rsidRPr="00F259A2">
        <w:rPr>
          <w:color w:val="000000"/>
          <w:sz w:val="24"/>
        </w:rPr>
        <w:t>As</w:t>
      </w:r>
      <w:r w:rsidR="00D01C39" w:rsidRPr="00F259A2">
        <w:rPr>
          <w:color w:val="000000"/>
          <w:sz w:val="24"/>
        </w:rPr>
        <w:t xml:space="preserve"> the amount</w:t>
      </w:r>
      <w:r w:rsidR="00524170" w:rsidRPr="00F259A2">
        <w:rPr>
          <w:color w:val="000000"/>
          <w:sz w:val="24"/>
        </w:rPr>
        <w:t xml:space="preserve"> </w:t>
      </w:r>
      <w:r w:rsidR="00D01C39" w:rsidRPr="00F259A2">
        <w:rPr>
          <w:color w:val="000000"/>
          <w:sz w:val="24"/>
        </w:rPr>
        <w:t xml:space="preserve">of </w:t>
      </w:r>
      <w:r w:rsidR="00C52B22" w:rsidRPr="00F259A2">
        <w:rPr>
          <w:color w:val="000000"/>
          <w:sz w:val="24"/>
        </w:rPr>
        <w:t>dat</w:t>
      </w:r>
      <w:r w:rsidR="00D01C39" w:rsidRPr="00F259A2">
        <w:rPr>
          <w:color w:val="000000"/>
          <w:sz w:val="24"/>
        </w:rPr>
        <w:t>a</w:t>
      </w:r>
      <w:r w:rsidR="00C52B22" w:rsidRPr="00F259A2">
        <w:rPr>
          <w:color w:val="000000"/>
          <w:sz w:val="24"/>
        </w:rPr>
        <w:t xml:space="preserve"> generated </w:t>
      </w:r>
      <w:r w:rsidR="00D01C39" w:rsidRPr="00F259A2">
        <w:rPr>
          <w:color w:val="000000"/>
          <w:sz w:val="24"/>
        </w:rPr>
        <w:t xml:space="preserve">with </w:t>
      </w:r>
      <w:r w:rsidR="00C52B22" w:rsidRPr="00F259A2">
        <w:rPr>
          <w:color w:val="000000"/>
          <w:sz w:val="24"/>
        </w:rPr>
        <w:t>microarrays</w:t>
      </w:r>
      <w:r w:rsidR="00524170" w:rsidRPr="00F259A2">
        <w:rPr>
          <w:color w:val="000000"/>
          <w:sz w:val="24"/>
        </w:rPr>
        <w:t xml:space="preserve"> </w:t>
      </w:r>
      <w:r w:rsidR="00C52B22" w:rsidRPr="00F259A2">
        <w:rPr>
          <w:color w:val="000000"/>
          <w:sz w:val="24"/>
        </w:rPr>
        <w:t xml:space="preserve">exponentially </w:t>
      </w:r>
      <w:r w:rsidR="008D7B85" w:rsidRPr="00F259A2">
        <w:rPr>
          <w:color w:val="000000"/>
          <w:sz w:val="24"/>
        </w:rPr>
        <w:t>grows</w:t>
      </w:r>
      <w:r w:rsidR="00524170" w:rsidRPr="00F259A2">
        <w:rPr>
          <w:color w:val="000000"/>
          <w:sz w:val="24"/>
        </w:rPr>
        <w:t>,</w:t>
      </w:r>
      <w:r w:rsidR="008D7B85" w:rsidRPr="00F259A2">
        <w:rPr>
          <w:color w:val="000000"/>
          <w:sz w:val="24"/>
        </w:rPr>
        <w:t xml:space="preserve"> </w:t>
      </w:r>
      <w:r w:rsidR="00C52B22" w:rsidRPr="00F259A2">
        <w:rPr>
          <w:color w:val="000000"/>
          <w:sz w:val="24"/>
        </w:rPr>
        <w:t>the d</w:t>
      </w:r>
      <w:r w:rsidR="00D01C39" w:rsidRPr="00F259A2">
        <w:rPr>
          <w:color w:val="000000"/>
          <w:sz w:val="24"/>
        </w:rPr>
        <w:t>emand for powerful</w:t>
      </w:r>
      <w:r w:rsidR="00524170" w:rsidRPr="00F259A2">
        <w:rPr>
          <w:color w:val="000000"/>
          <w:sz w:val="24"/>
        </w:rPr>
        <w:t xml:space="preserve"> </w:t>
      </w:r>
      <w:r w:rsidR="00D01C39" w:rsidRPr="00F259A2">
        <w:rPr>
          <w:color w:val="000000"/>
          <w:sz w:val="24"/>
        </w:rPr>
        <w:t xml:space="preserve">adaptive </w:t>
      </w:r>
      <w:r w:rsidR="00C52B22" w:rsidRPr="00F259A2">
        <w:rPr>
          <w:color w:val="000000"/>
          <w:sz w:val="24"/>
        </w:rPr>
        <w:t xml:space="preserve">algorithms for analysis, competent databases as well as </w:t>
      </w:r>
      <w:r w:rsidR="0054665C" w:rsidRPr="00F259A2">
        <w:rPr>
          <w:color w:val="000000"/>
          <w:sz w:val="24"/>
        </w:rPr>
        <w:t xml:space="preserve">a </w:t>
      </w:r>
      <w:r w:rsidR="00D01C39" w:rsidRPr="00F259A2">
        <w:rPr>
          <w:color w:val="000000"/>
          <w:sz w:val="24"/>
        </w:rPr>
        <w:t>sound</w:t>
      </w:r>
      <w:r w:rsidR="00C52B22" w:rsidRPr="00F259A2">
        <w:rPr>
          <w:color w:val="000000"/>
          <w:sz w:val="24"/>
        </w:rPr>
        <w:t xml:space="preserve"> regulatory framework will also increase. </w:t>
      </w:r>
      <w:r w:rsidR="0054665C" w:rsidRPr="00F259A2">
        <w:rPr>
          <w:color w:val="000000"/>
          <w:sz w:val="24"/>
        </w:rPr>
        <w:t>Nevertheless, chromosomal</w:t>
      </w:r>
      <w:r w:rsidR="00524170" w:rsidRPr="00F259A2">
        <w:rPr>
          <w:color w:val="000000"/>
          <w:sz w:val="24"/>
        </w:rPr>
        <w:t xml:space="preserve"> </w:t>
      </w:r>
      <w:r w:rsidR="00C52B22" w:rsidRPr="00F259A2">
        <w:rPr>
          <w:color w:val="000000"/>
          <w:sz w:val="24"/>
        </w:rPr>
        <w:t xml:space="preserve">and </w:t>
      </w:r>
      <w:r w:rsidR="00A32509" w:rsidRPr="00F259A2">
        <w:rPr>
          <w:color w:val="000000"/>
          <w:sz w:val="24"/>
        </w:rPr>
        <w:t xml:space="preserve">array CGH </w:t>
      </w:r>
      <w:r w:rsidR="008D7B85" w:rsidRPr="00F259A2">
        <w:rPr>
          <w:color w:val="000000"/>
          <w:sz w:val="24"/>
        </w:rPr>
        <w:t xml:space="preserve">are being </w:t>
      </w:r>
      <w:r w:rsidR="00A60FC4" w:rsidRPr="00F259A2">
        <w:rPr>
          <w:color w:val="000000"/>
          <w:sz w:val="24"/>
        </w:rPr>
        <w:t>demonstrate</w:t>
      </w:r>
      <w:r w:rsidR="008D7B85" w:rsidRPr="00F259A2">
        <w:rPr>
          <w:color w:val="000000"/>
          <w:sz w:val="24"/>
        </w:rPr>
        <w:t>d</w:t>
      </w:r>
      <w:r w:rsidR="00A60FC4" w:rsidRPr="00F259A2">
        <w:rPr>
          <w:color w:val="000000"/>
          <w:sz w:val="24"/>
        </w:rPr>
        <w:t xml:space="preserve"> to be </w:t>
      </w:r>
      <w:r w:rsidR="004150AF" w:rsidRPr="00F259A2">
        <w:rPr>
          <w:color w:val="000000"/>
          <w:sz w:val="24"/>
        </w:rPr>
        <w:t>effective tool</w:t>
      </w:r>
      <w:r w:rsidR="00A32509" w:rsidRPr="00F259A2">
        <w:rPr>
          <w:color w:val="000000"/>
          <w:sz w:val="24"/>
        </w:rPr>
        <w:t>s</w:t>
      </w:r>
      <w:r w:rsidR="00524170" w:rsidRPr="00F259A2">
        <w:rPr>
          <w:color w:val="000000"/>
          <w:sz w:val="24"/>
        </w:rPr>
        <w:t xml:space="preserve"> </w:t>
      </w:r>
      <w:r w:rsidR="008D7B85" w:rsidRPr="00F259A2">
        <w:rPr>
          <w:color w:val="000000"/>
          <w:sz w:val="24"/>
        </w:rPr>
        <w:t>for</w:t>
      </w:r>
      <w:r w:rsidR="004150AF" w:rsidRPr="00F259A2">
        <w:rPr>
          <w:color w:val="000000"/>
          <w:sz w:val="24"/>
        </w:rPr>
        <w:t xml:space="preserve"> investigat</w:t>
      </w:r>
      <w:r w:rsidR="008D7B85" w:rsidRPr="00F259A2">
        <w:rPr>
          <w:color w:val="000000"/>
          <w:sz w:val="24"/>
        </w:rPr>
        <w:t>ing</w:t>
      </w:r>
      <w:r w:rsidR="004150AF" w:rsidRPr="00F259A2">
        <w:rPr>
          <w:color w:val="000000"/>
          <w:sz w:val="24"/>
        </w:rPr>
        <w:t xml:space="preserve"> copy number changes</w:t>
      </w:r>
      <w:r w:rsidR="0054665C" w:rsidRPr="00F259A2">
        <w:rPr>
          <w:color w:val="000000"/>
          <w:sz w:val="24"/>
        </w:rPr>
        <w:t xml:space="preserve"> / variations</w:t>
      </w:r>
      <w:r w:rsidR="004150AF" w:rsidRPr="00F259A2">
        <w:rPr>
          <w:color w:val="000000"/>
          <w:sz w:val="24"/>
        </w:rPr>
        <w:t xml:space="preserve"> in the whole genome</w:t>
      </w:r>
      <w:r w:rsidR="00D01C39" w:rsidRPr="00F259A2">
        <w:rPr>
          <w:color w:val="000000"/>
          <w:sz w:val="24"/>
        </w:rPr>
        <w:t>,</w:t>
      </w:r>
      <w:r w:rsidR="00A32509" w:rsidRPr="00F259A2">
        <w:rPr>
          <w:color w:val="000000"/>
          <w:sz w:val="24"/>
        </w:rPr>
        <w:t xml:space="preserve"> DNA expression patterns</w:t>
      </w:r>
      <w:r w:rsidR="008D7B85" w:rsidRPr="00F259A2">
        <w:rPr>
          <w:color w:val="000000"/>
          <w:sz w:val="24"/>
        </w:rPr>
        <w:t>,</w:t>
      </w:r>
      <w:r w:rsidR="00A32509" w:rsidRPr="00F259A2">
        <w:rPr>
          <w:color w:val="000000"/>
          <w:sz w:val="24"/>
        </w:rPr>
        <w:t xml:space="preserve"> a</w:t>
      </w:r>
      <w:r w:rsidR="00D01C39" w:rsidRPr="00F259A2">
        <w:rPr>
          <w:color w:val="000000"/>
          <w:sz w:val="24"/>
        </w:rPr>
        <w:t>s well as</w:t>
      </w:r>
      <w:r w:rsidR="00A32509" w:rsidRPr="00F259A2">
        <w:rPr>
          <w:color w:val="000000"/>
          <w:sz w:val="24"/>
        </w:rPr>
        <w:t xml:space="preserve"> loss of heterozygosity </w:t>
      </w:r>
      <w:r w:rsidR="00D01C39" w:rsidRPr="00F259A2">
        <w:rPr>
          <w:color w:val="000000"/>
          <w:sz w:val="24"/>
        </w:rPr>
        <w:t>after</w:t>
      </w:r>
      <w:r w:rsidR="00524170" w:rsidRPr="00F259A2">
        <w:rPr>
          <w:color w:val="000000"/>
          <w:sz w:val="24"/>
        </w:rPr>
        <w:t xml:space="preserve"> </w:t>
      </w:r>
      <w:r w:rsidR="0054665C" w:rsidRPr="00F259A2">
        <w:rPr>
          <w:color w:val="000000"/>
          <w:sz w:val="24"/>
        </w:rPr>
        <w:t xml:space="preserve">a </w:t>
      </w:r>
      <w:r w:rsidR="00C52B22" w:rsidRPr="00F259A2">
        <w:rPr>
          <w:color w:val="000000"/>
          <w:sz w:val="24"/>
        </w:rPr>
        <w:t xml:space="preserve">genotoxic </w:t>
      </w:r>
      <w:r w:rsidR="00A32509" w:rsidRPr="00F259A2">
        <w:rPr>
          <w:color w:val="000000"/>
          <w:sz w:val="24"/>
        </w:rPr>
        <w:t>impact</w:t>
      </w:r>
      <w:r w:rsidR="0054665C" w:rsidRPr="00F259A2">
        <w:rPr>
          <w:color w:val="000000"/>
          <w:sz w:val="24"/>
        </w:rPr>
        <w:t>. This will</w:t>
      </w:r>
      <w:r w:rsidR="00A60FC4" w:rsidRPr="00F259A2">
        <w:rPr>
          <w:color w:val="000000"/>
          <w:sz w:val="24"/>
        </w:rPr>
        <w:t xml:space="preserve"> lead to new insight</w:t>
      </w:r>
      <w:r w:rsidR="00D01C39" w:rsidRPr="00F259A2">
        <w:rPr>
          <w:color w:val="000000"/>
          <w:sz w:val="24"/>
        </w:rPr>
        <w:t>s</w:t>
      </w:r>
      <w:r w:rsidR="008D7B85" w:rsidRPr="00F259A2">
        <w:rPr>
          <w:color w:val="000000"/>
          <w:sz w:val="24"/>
        </w:rPr>
        <w:t xml:space="preserve"> into</w:t>
      </w:r>
      <w:r w:rsidR="00524170" w:rsidRPr="00F259A2">
        <w:rPr>
          <w:color w:val="000000"/>
          <w:sz w:val="24"/>
        </w:rPr>
        <w:t xml:space="preserve"> </w:t>
      </w:r>
      <w:r w:rsidR="0054665C" w:rsidRPr="00F259A2">
        <w:rPr>
          <w:color w:val="000000"/>
          <w:sz w:val="24"/>
        </w:rPr>
        <w:t xml:space="preserve">affected genes and </w:t>
      </w:r>
      <w:r w:rsidR="00A60FC4" w:rsidRPr="00F259A2">
        <w:rPr>
          <w:color w:val="000000"/>
          <w:sz w:val="24"/>
        </w:rPr>
        <w:t xml:space="preserve">in </w:t>
      </w:r>
      <w:r w:rsidR="008D7B85" w:rsidRPr="00F259A2">
        <w:rPr>
          <w:color w:val="000000"/>
          <w:sz w:val="24"/>
        </w:rPr>
        <w:t xml:space="preserve">the </w:t>
      </w:r>
      <w:r w:rsidR="00A60FC4" w:rsidRPr="00F259A2">
        <w:rPr>
          <w:color w:val="000000"/>
          <w:sz w:val="24"/>
        </w:rPr>
        <w:t>underlying</w:t>
      </w:r>
      <w:r w:rsidR="00524170" w:rsidRPr="00F259A2">
        <w:rPr>
          <w:color w:val="000000"/>
          <w:sz w:val="24"/>
        </w:rPr>
        <w:t xml:space="preserve"> </w:t>
      </w:r>
      <w:r w:rsidR="00A60FC4" w:rsidRPr="00F259A2">
        <w:rPr>
          <w:color w:val="000000"/>
          <w:sz w:val="24"/>
        </w:rPr>
        <w:t>structures of regulatory and signalling pathways</w:t>
      </w:r>
      <w:r w:rsidR="00D01C39" w:rsidRPr="00F259A2">
        <w:rPr>
          <w:color w:val="000000"/>
          <w:sz w:val="24"/>
        </w:rPr>
        <w:t xml:space="preserve"> in genotoxicology</w:t>
      </w:r>
      <w:r w:rsidR="0054665C" w:rsidRPr="00F259A2">
        <w:rPr>
          <w:color w:val="000000"/>
          <w:sz w:val="24"/>
        </w:rPr>
        <w:t xml:space="preserve"> and </w:t>
      </w:r>
      <w:r w:rsidR="008D7B85" w:rsidRPr="00F259A2">
        <w:rPr>
          <w:color w:val="000000"/>
          <w:sz w:val="24"/>
        </w:rPr>
        <w:t xml:space="preserve">could </w:t>
      </w:r>
      <w:r w:rsidR="0054665C" w:rsidRPr="00F259A2">
        <w:rPr>
          <w:color w:val="000000"/>
          <w:sz w:val="24"/>
        </w:rPr>
        <w:t>conclusively identify yet unknown harmful toxicants</w:t>
      </w:r>
      <w:r w:rsidR="00A32509" w:rsidRPr="00F259A2">
        <w:rPr>
          <w:color w:val="000000"/>
          <w:sz w:val="24"/>
        </w:rPr>
        <w:t>.</w:t>
      </w:r>
    </w:p>
    <w:p w14:paraId="53389723" w14:textId="77777777" w:rsidR="001C1B16" w:rsidRPr="00F259A2" w:rsidRDefault="001C1B16" w:rsidP="008A5EE5">
      <w:pPr>
        <w:pStyle w:val="BodyText"/>
        <w:spacing w:line="480" w:lineRule="auto"/>
        <w:ind w:left="426" w:hanging="426"/>
        <w:rPr>
          <w:color w:val="000000"/>
          <w:sz w:val="24"/>
        </w:rPr>
      </w:pPr>
    </w:p>
    <w:p w14:paraId="3D0B0BC2" w14:textId="77777777" w:rsidR="001C1B16" w:rsidRPr="00F259A2" w:rsidRDefault="001C1B16" w:rsidP="008A5EE5">
      <w:pPr>
        <w:pStyle w:val="BodyText"/>
        <w:spacing w:line="480" w:lineRule="auto"/>
        <w:ind w:left="426" w:hanging="426"/>
        <w:rPr>
          <w:color w:val="000000"/>
          <w:sz w:val="24"/>
        </w:rPr>
      </w:pPr>
    </w:p>
    <w:p w14:paraId="6BCED67C" w14:textId="77777777" w:rsidR="001C1B16" w:rsidRPr="00F259A2" w:rsidRDefault="001C1B16" w:rsidP="008A5EE5">
      <w:pPr>
        <w:pStyle w:val="BodyText"/>
        <w:spacing w:line="480" w:lineRule="auto"/>
        <w:ind w:left="426" w:hanging="426"/>
        <w:rPr>
          <w:color w:val="000000"/>
          <w:sz w:val="24"/>
        </w:rPr>
      </w:pPr>
    </w:p>
    <w:p w14:paraId="7907380C" w14:textId="77777777" w:rsidR="001C1B16" w:rsidRPr="00F259A2" w:rsidRDefault="001C1B16" w:rsidP="008A5EE5">
      <w:pPr>
        <w:pStyle w:val="BodyText"/>
        <w:spacing w:line="480" w:lineRule="auto"/>
        <w:ind w:left="426" w:hanging="426"/>
        <w:rPr>
          <w:color w:val="000000"/>
          <w:sz w:val="24"/>
        </w:rPr>
      </w:pPr>
    </w:p>
    <w:p w14:paraId="24FE1EDE" w14:textId="77777777" w:rsidR="001C1B16" w:rsidRPr="00F259A2" w:rsidRDefault="00101599" w:rsidP="008A5EE5">
      <w:pPr>
        <w:pStyle w:val="Heading2"/>
        <w:spacing w:line="480" w:lineRule="auto"/>
        <w:rPr>
          <w:rFonts w:ascii="Times New Roman" w:hAnsi="Times New Roman" w:cs="Times New Roman"/>
          <w:i w:val="0"/>
          <w:iCs w:val="0"/>
          <w:color w:val="000000"/>
          <w:sz w:val="24"/>
          <w:szCs w:val="24"/>
        </w:rPr>
      </w:pPr>
      <w:r w:rsidRPr="00F259A2">
        <w:rPr>
          <w:rFonts w:ascii="Times New Roman" w:hAnsi="Times New Roman" w:cs="Times New Roman"/>
          <w:i w:val="0"/>
          <w:iCs w:val="0"/>
          <w:color w:val="000000"/>
          <w:sz w:val="24"/>
          <w:szCs w:val="24"/>
        </w:rPr>
        <w:t xml:space="preserve">Key Words: </w:t>
      </w:r>
    </w:p>
    <w:p w14:paraId="43F303E3" w14:textId="77777777" w:rsidR="001C1B16" w:rsidRPr="00F259A2" w:rsidRDefault="0063339F" w:rsidP="008A5EE5">
      <w:pPr>
        <w:pStyle w:val="BodyText"/>
        <w:spacing w:line="480" w:lineRule="auto"/>
        <w:rPr>
          <w:color w:val="000000"/>
          <w:sz w:val="24"/>
        </w:rPr>
      </w:pPr>
      <w:r w:rsidRPr="00F259A2">
        <w:rPr>
          <w:color w:val="000000"/>
          <w:sz w:val="24"/>
        </w:rPr>
        <w:br/>
      </w:r>
      <w:r w:rsidR="00101599" w:rsidRPr="00F259A2">
        <w:rPr>
          <w:color w:val="000000"/>
          <w:sz w:val="24"/>
        </w:rPr>
        <w:t xml:space="preserve">Comparative genomic hybridization, CGH, </w:t>
      </w:r>
      <w:r w:rsidR="00972093" w:rsidRPr="00F259A2">
        <w:rPr>
          <w:color w:val="000000"/>
          <w:sz w:val="24"/>
        </w:rPr>
        <w:t xml:space="preserve">array CGH, </w:t>
      </w:r>
      <w:r w:rsidR="007034C7" w:rsidRPr="00F259A2">
        <w:rPr>
          <w:color w:val="000000"/>
          <w:sz w:val="24"/>
        </w:rPr>
        <w:t xml:space="preserve">microarray, </w:t>
      </w:r>
      <w:r w:rsidR="00972093" w:rsidRPr="00F259A2">
        <w:rPr>
          <w:color w:val="000000"/>
          <w:sz w:val="24"/>
        </w:rPr>
        <w:t xml:space="preserve">genomic imbalances, </w:t>
      </w:r>
      <w:r w:rsidR="00101599" w:rsidRPr="00F259A2">
        <w:rPr>
          <w:color w:val="000000"/>
          <w:sz w:val="24"/>
        </w:rPr>
        <w:t>genotoxicology</w:t>
      </w:r>
    </w:p>
    <w:p w14:paraId="5CE9021D" w14:textId="77777777" w:rsidR="00BF0B11" w:rsidRPr="00F259A2" w:rsidRDefault="00BF0B11" w:rsidP="008A5EE5">
      <w:pPr>
        <w:pStyle w:val="Heading2"/>
        <w:spacing w:line="480" w:lineRule="auto"/>
        <w:rPr>
          <w:rFonts w:ascii="Times New Roman" w:hAnsi="Times New Roman" w:cs="Times New Roman"/>
          <w:i w:val="0"/>
          <w:iCs w:val="0"/>
          <w:color w:val="000000"/>
          <w:sz w:val="24"/>
          <w:szCs w:val="24"/>
        </w:rPr>
      </w:pPr>
    </w:p>
    <w:p w14:paraId="72030CE4" w14:textId="77777777" w:rsidR="00BF0B11" w:rsidRPr="00F259A2" w:rsidRDefault="00BF0B11" w:rsidP="008A5EE5">
      <w:pPr>
        <w:pStyle w:val="Heading2"/>
        <w:spacing w:line="480" w:lineRule="auto"/>
        <w:rPr>
          <w:rFonts w:ascii="Times New Roman" w:hAnsi="Times New Roman" w:cs="Times New Roman"/>
          <w:i w:val="0"/>
          <w:iCs w:val="0"/>
          <w:color w:val="000000"/>
          <w:sz w:val="24"/>
          <w:szCs w:val="24"/>
        </w:rPr>
      </w:pPr>
    </w:p>
    <w:p w14:paraId="7A12786B" w14:textId="77777777" w:rsidR="007F3FC0" w:rsidRDefault="007F3FC0" w:rsidP="008A5EE5">
      <w:pPr>
        <w:pStyle w:val="Heading2"/>
        <w:spacing w:line="480" w:lineRule="auto"/>
        <w:rPr>
          <w:rFonts w:ascii="Times New Roman" w:hAnsi="Times New Roman" w:cs="Times New Roman"/>
          <w:i w:val="0"/>
          <w:iCs w:val="0"/>
          <w:color w:val="000000"/>
          <w:sz w:val="24"/>
          <w:szCs w:val="24"/>
        </w:rPr>
      </w:pPr>
      <w:r>
        <w:rPr>
          <w:rFonts w:ascii="Times New Roman" w:hAnsi="Times New Roman" w:cs="Times New Roman"/>
          <w:i w:val="0"/>
          <w:iCs w:val="0"/>
          <w:color w:val="000000"/>
          <w:sz w:val="24"/>
          <w:szCs w:val="24"/>
        </w:rPr>
        <w:t>Running</w:t>
      </w:r>
      <w:r w:rsidR="00BF0B11" w:rsidRPr="00F259A2">
        <w:rPr>
          <w:rFonts w:ascii="Times New Roman" w:hAnsi="Times New Roman" w:cs="Times New Roman"/>
          <w:i w:val="0"/>
          <w:iCs w:val="0"/>
          <w:color w:val="000000"/>
          <w:sz w:val="24"/>
          <w:szCs w:val="24"/>
        </w:rPr>
        <w:t xml:space="preserve"> head</w:t>
      </w:r>
    </w:p>
    <w:p w14:paraId="31A288CC" w14:textId="77777777" w:rsidR="001C1B16" w:rsidRPr="00F259A2" w:rsidRDefault="007F3FC0" w:rsidP="008A5EE5">
      <w:pPr>
        <w:pStyle w:val="Heading2"/>
        <w:spacing w:line="480" w:lineRule="auto"/>
        <w:rPr>
          <w:rFonts w:ascii="Times New Roman" w:hAnsi="Times New Roman" w:cs="Times New Roman"/>
          <w:i w:val="0"/>
          <w:iCs w:val="0"/>
          <w:color w:val="000000"/>
          <w:sz w:val="24"/>
          <w:szCs w:val="24"/>
        </w:rPr>
      </w:pPr>
      <w:r w:rsidRPr="00AE1D49">
        <w:rPr>
          <w:rFonts w:ascii="Times New Roman" w:hAnsi="Times New Roman" w:cs="Times New Roman"/>
          <w:b w:val="0"/>
          <w:bCs w:val="0"/>
          <w:i w:val="0"/>
          <w:iCs w:val="0"/>
          <w:color w:val="000000"/>
          <w:sz w:val="24"/>
          <w:szCs w:val="24"/>
        </w:rPr>
        <w:t>CGH in Genotoxicology</w:t>
      </w:r>
      <w:r w:rsidRPr="00F259A2">
        <w:rPr>
          <w:rFonts w:ascii="Times New Roman" w:hAnsi="Times New Roman" w:cs="Times New Roman"/>
          <w:i w:val="0"/>
          <w:iCs w:val="0"/>
          <w:color w:val="000000"/>
          <w:sz w:val="24"/>
          <w:szCs w:val="24"/>
        </w:rPr>
        <w:t xml:space="preserve"> </w:t>
      </w:r>
      <w:r w:rsidR="00101599" w:rsidRPr="00F259A2">
        <w:rPr>
          <w:rFonts w:ascii="Times New Roman" w:hAnsi="Times New Roman" w:cs="Times New Roman"/>
          <w:i w:val="0"/>
          <w:iCs w:val="0"/>
          <w:color w:val="000000"/>
          <w:sz w:val="24"/>
          <w:szCs w:val="24"/>
        </w:rPr>
        <w:br w:type="page"/>
      </w:r>
      <w:r w:rsidR="00101599" w:rsidRPr="00F259A2">
        <w:rPr>
          <w:rFonts w:ascii="Times New Roman" w:hAnsi="Times New Roman" w:cs="Times New Roman"/>
          <w:i w:val="0"/>
          <w:iCs w:val="0"/>
          <w:color w:val="000000"/>
          <w:sz w:val="24"/>
          <w:szCs w:val="24"/>
        </w:rPr>
        <w:lastRenderedPageBreak/>
        <w:t>1. Introduction</w:t>
      </w:r>
    </w:p>
    <w:p w14:paraId="4366D18D" w14:textId="77777777" w:rsidR="001C1B16" w:rsidRPr="00F259A2" w:rsidRDefault="001C1B16" w:rsidP="008A5EE5">
      <w:pPr>
        <w:pStyle w:val="Bibliography1"/>
        <w:spacing w:line="480" w:lineRule="auto"/>
        <w:jc w:val="left"/>
        <w:rPr>
          <w:color w:val="000000"/>
        </w:rPr>
      </w:pPr>
    </w:p>
    <w:p w14:paraId="5A81E716" w14:textId="77777777" w:rsidR="001C1B16" w:rsidRPr="00F259A2" w:rsidRDefault="00A90966" w:rsidP="008A5EE5">
      <w:pPr>
        <w:pStyle w:val="Bibliography1"/>
        <w:spacing w:line="480" w:lineRule="auto"/>
        <w:jc w:val="left"/>
        <w:rPr>
          <w:color w:val="000000"/>
        </w:rPr>
      </w:pPr>
      <w:r w:rsidRPr="00F259A2">
        <w:rPr>
          <w:color w:val="000000"/>
        </w:rPr>
        <w:t>For cytogenetics and clinical diagnostics</w:t>
      </w:r>
      <w:r w:rsidR="00424E3E" w:rsidRPr="00F259A2">
        <w:rPr>
          <w:color w:val="000000"/>
        </w:rPr>
        <w:t xml:space="preserve">, </w:t>
      </w:r>
      <w:r w:rsidR="009D0A8E" w:rsidRPr="00F259A2">
        <w:rPr>
          <w:color w:val="000000"/>
        </w:rPr>
        <w:t xml:space="preserve">the introduction of a </w:t>
      </w:r>
      <w:r w:rsidR="00376F40" w:rsidRPr="00F259A2">
        <w:rPr>
          <w:color w:val="000000"/>
        </w:rPr>
        <w:t xml:space="preserve">highly versatile </w:t>
      </w:r>
      <w:r w:rsidR="009D0A8E" w:rsidRPr="00F259A2">
        <w:rPr>
          <w:color w:val="000000"/>
        </w:rPr>
        <w:t xml:space="preserve">molecular </w:t>
      </w:r>
      <w:r w:rsidR="006E7B19" w:rsidRPr="00F259A2">
        <w:rPr>
          <w:color w:val="000000"/>
        </w:rPr>
        <w:t xml:space="preserve">cytogenetic </w:t>
      </w:r>
      <w:r w:rsidR="009D0A8E" w:rsidRPr="00F259A2">
        <w:rPr>
          <w:color w:val="000000"/>
        </w:rPr>
        <w:t>technique</w:t>
      </w:r>
      <w:r w:rsidR="00424E3E" w:rsidRPr="00F259A2">
        <w:rPr>
          <w:color w:val="000000"/>
        </w:rPr>
        <w:t xml:space="preserve"> named </w:t>
      </w:r>
      <w:r w:rsidR="009D0A8E" w:rsidRPr="00F259A2">
        <w:rPr>
          <w:color w:val="000000"/>
        </w:rPr>
        <w:t xml:space="preserve">fluorescence </w:t>
      </w:r>
      <w:r w:rsidR="009D0A8E" w:rsidRPr="00F259A2">
        <w:rPr>
          <w:i/>
          <w:color w:val="000000"/>
        </w:rPr>
        <w:t>in situ</w:t>
      </w:r>
      <w:r w:rsidR="009D0A8E" w:rsidRPr="00F259A2">
        <w:rPr>
          <w:color w:val="000000"/>
        </w:rPr>
        <w:t xml:space="preserve"> hybridization (FISH) in the </w:t>
      </w:r>
      <w:proofErr w:type="spellStart"/>
      <w:r w:rsidR="00891785" w:rsidRPr="00F259A2">
        <w:rPr>
          <w:color w:val="000000"/>
        </w:rPr>
        <w:t>mid</w:t>
      </w:r>
      <w:r w:rsidR="00AD5B6B">
        <w:rPr>
          <w:color w:val="000000"/>
        </w:rPr>
        <w:t>--</w:t>
      </w:r>
      <w:r w:rsidR="00891785" w:rsidRPr="00F259A2">
        <w:rPr>
          <w:color w:val="000000"/>
        </w:rPr>
        <w:t>1980s</w:t>
      </w:r>
      <w:proofErr w:type="spellEnd"/>
      <w:r w:rsidR="009D0A8E" w:rsidRPr="00F259A2">
        <w:rPr>
          <w:color w:val="000000"/>
        </w:rPr>
        <w:t xml:space="preserve"> was revolutionary </w:t>
      </w:r>
      <w:r w:rsidRPr="00F259A2">
        <w:rPr>
          <w:color w:val="000000"/>
        </w:rPr>
        <w:t>in order to evaluate cytogenetic aberrations and abno</w:t>
      </w:r>
      <w:r w:rsidR="00F1113E" w:rsidRPr="00F259A2">
        <w:rPr>
          <w:color w:val="000000"/>
        </w:rPr>
        <w:t>rmalities on a molecular basis</w:t>
      </w:r>
      <w:r w:rsidR="003239DE" w:rsidRPr="00F259A2">
        <w:rPr>
          <w:color w:val="000000"/>
        </w:rPr>
        <w:t xml:space="preserve"> </w:t>
      </w:r>
      <w:r w:rsidR="009A377C" w:rsidRPr="00E54B27">
        <w:rPr>
          <w:b/>
          <w:i/>
          <w:color w:val="000000"/>
        </w:rPr>
        <w:fldChar w:fldCharType="begin"/>
      </w:r>
      <w:r w:rsidR="0042106E" w:rsidRPr="00E54B27">
        <w:rPr>
          <w:b/>
          <w:i/>
          <w:color w:val="000000"/>
        </w:rPr>
        <w:instrText xml:space="preserve"> ADDIN ZOTERO_ITEM CSL_CITATION {"citationID":"osVPt0f7","properties":{"formattedCitation":"{\\rtf (\\b \\i 1\\i0{}\\b0{})}","plainCitation":"(1)"},"citationItems":[{"id":7,"uris":["http://zotero.org/users/1046410/items/CURB823R"],"uri":["http://zotero.org/users/1046410/items/CURB823R"],"itemData":{"id":7,"type":"article-journal","title":"Cytogenetic analysis using quantitative, high-sensitivity, fluorescence hybridization","container-title":"Proceedings of the National Academy of Sciences of the United States of America","page":"2934-2938","volume":"83","issue":"9","abstract":"This report describes the use of fluorescence in situ hybridization for chromosome classification and detection of chromosome aberrations. Biotin-labeled DNA was hybridized to target chromosomes and subsequently rendered fluorescent by successive treatments with fluorescein-labeled avidin and biotinylated anti-avidin antibody. Human chromosomes in human-hamster hybrid cell lines were intensely and uniformly stained in metaphase spreads and interphase nuclei when human genomic DNA was used as a probe. Interspecies translocations were detected easily at metaphase. The human-specific fluorescence intensity from cell nuclei and chromosomes was proportional to the amount of target human DNA. Human Y chromosomes were fluorescently stained in metaphase and interphase nuclei by using a 0.8-kilobase DNA probe specific for the Y chromosome. Cells from males were 40 times brighter than those from females. Both Y chromosomal domains were visible in most interphase nuclei of XYY amniocytes. Human 28S ribosomal RNA genes on metaphase chromosomes were distinctly stained by using a 1.5-kilobase DNA probe.","note":"PMID: 3458254","journalAbbreviation":"Proc. Natl. Acad. Sci. U.S.A.","author":[{"family":"Pinkel","given":"D"},{"family":"Straume","given":"T"},{"family":"Gray","given":"J W"}],"issued":{"year":1986,"month":5},"accessed":{"year":2012,"month":5,"day":3},"page-first":"2934"}}],"schema":"https://github.com/citation-style-language/schema/raw/master/csl-citation.json"} </w:instrText>
      </w:r>
      <w:r w:rsidR="009A377C" w:rsidRPr="00E54B27">
        <w:rPr>
          <w:b/>
          <w:i/>
          <w:color w:val="000000"/>
        </w:rPr>
        <w:fldChar w:fldCharType="separate"/>
      </w:r>
      <w:r w:rsidR="007D2E20" w:rsidRPr="00E54B27">
        <w:rPr>
          <w:b/>
          <w:i/>
        </w:rPr>
        <w:t>(</w:t>
      </w:r>
      <w:r w:rsidR="007D2E20" w:rsidRPr="00E54B27">
        <w:rPr>
          <w:b/>
          <w:bCs/>
          <w:i/>
          <w:iCs/>
        </w:rPr>
        <w:t>1</w:t>
      </w:r>
      <w:r w:rsidR="007D2E20" w:rsidRPr="00E54B27">
        <w:rPr>
          <w:b/>
          <w:i/>
        </w:rPr>
        <w:t>)</w:t>
      </w:r>
      <w:r w:rsidR="009A377C" w:rsidRPr="00E54B27">
        <w:rPr>
          <w:b/>
          <w:i/>
          <w:color w:val="000000"/>
        </w:rPr>
        <w:fldChar w:fldCharType="end"/>
      </w:r>
      <w:r w:rsidR="009D0A8E" w:rsidRPr="00E54B27">
        <w:rPr>
          <w:b/>
          <w:color w:val="000000"/>
        </w:rPr>
        <w:t>.</w:t>
      </w:r>
      <w:r w:rsidR="009D0A8E" w:rsidRPr="00F259A2">
        <w:rPr>
          <w:color w:val="000000"/>
        </w:rPr>
        <w:t xml:space="preserve"> </w:t>
      </w:r>
      <w:r w:rsidR="00891785" w:rsidRPr="00F259A2">
        <w:rPr>
          <w:color w:val="000000"/>
        </w:rPr>
        <w:t>Since then</w:t>
      </w:r>
      <w:r w:rsidR="003239DE" w:rsidRPr="00F259A2">
        <w:rPr>
          <w:color w:val="000000"/>
        </w:rPr>
        <w:t>,</w:t>
      </w:r>
      <w:r w:rsidR="00891785" w:rsidRPr="00F259A2">
        <w:rPr>
          <w:color w:val="000000"/>
        </w:rPr>
        <w:t xml:space="preserve"> th</w:t>
      </w:r>
      <w:r w:rsidR="00424E3E" w:rsidRPr="00F259A2">
        <w:rPr>
          <w:color w:val="000000"/>
        </w:rPr>
        <w:t>is</w:t>
      </w:r>
      <w:r w:rsidR="00891785" w:rsidRPr="00F259A2">
        <w:rPr>
          <w:color w:val="000000"/>
        </w:rPr>
        <w:t xml:space="preserve"> technique has been </w:t>
      </w:r>
      <w:r w:rsidR="00B47219" w:rsidRPr="00F259A2">
        <w:rPr>
          <w:color w:val="000000"/>
        </w:rPr>
        <w:t xml:space="preserve">further </w:t>
      </w:r>
      <w:r w:rsidR="00891785" w:rsidRPr="00F259A2">
        <w:rPr>
          <w:color w:val="000000"/>
        </w:rPr>
        <w:t xml:space="preserve">improved and carried out countless times. The plethora of applications </w:t>
      </w:r>
      <w:r w:rsidR="00465C6B" w:rsidRPr="00F259A2">
        <w:rPr>
          <w:color w:val="000000"/>
        </w:rPr>
        <w:t xml:space="preserve">being used </w:t>
      </w:r>
      <w:r w:rsidR="007A5DF0" w:rsidRPr="00F259A2">
        <w:rPr>
          <w:color w:val="000000"/>
        </w:rPr>
        <w:t>range from</w:t>
      </w:r>
      <w:r w:rsidR="003239DE" w:rsidRPr="00F259A2">
        <w:rPr>
          <w:color w:val="000000"/>
        </w:rPr>
        <w:t xml:space="preserve"> </w:t>
      </w:r>
      <w:r w:rsidR="00F83C7E" w:rsidRPr="00F259A2">
        <w:rPr>
          <w:color w:val="000000"/>
        </w:rPr>
        <w:t xml:space="preserve">fibre FISH </w:t>
      </w:r>
      <w:r w:rsidR="009A377C" w:rsidRPr="00E54B27">
        <w:rPr>
          <w:b/>
          <w:i/>
          <w:color w:val="000000"/>
        </w:rPr>
        <w:fldChar w:fldCharType="begin"/>
      </w:r>
      <w:r w:rsidR="0042106E" w:rsidRPr="00E54B27">
        <w:rPr>
          <w:b/>
          <w:i/>
          <w:color w:val="000000"/>
        </w:rPr>
        <w:instrText xml:space="preserve"> ADDIN ZOTERO_ITEM CSL_CITATION {"citationID":"zln28Tad","properties":{"formattedCitation":"{\\rtf (\\b \\i 2\\i0{}\\b0{})}","plainCitation":"(2)"},"citationItems":[{"id":8,"uris":["http://zotero.org/users/1046410/items/EW554W2P"],"uri":["http://zotero.org/users/1046410/items/EW554W2P"],"itemData":{"id":8,"type":"article-journal","title":"High-resolution mapping of mammalian genes by in situ hybridization to free chromatin","container-title":"Proceedings of the National Academy of Sciences of the United States of America","page":"9509-9513","volume":"89","issue":"20","abstract":"Fluorescence in situ hybridization to metaphase chromosomes or chromatin fibers in interphase nuclei is a powerful technique in mapping genes and DNA segments to specific chromosome region. We have been able to release the chromatin fibers from cells arrested at G1 and G2 phases using different drugs and a simple alkaline lysis procedure. We have also demonstrated specific hybridization of fluorescence-labeled probes to single-copy genomic DNA sequences on the free chromatins. Fluorescence in situ hybridization signals have been detected for sequences separated as close as 21 kilobase pairs and as far as 350 kilobase pairs, with excellent correspondence between the observed and expected distances. The resolution of this technique should approach 10 kilobase pairs and its coverage should span millions of base pairs. Therefore, free chromatin mapping can be generally used to study the structure and organization of mammalian genomes.","note":"PMID: 1384055","journalAbbreviation":"Proc. Natl. Acad. Sci. U.S.A.","author":[{"family":"Heng","given":"H H"},{"family":"Squire","given":"J"},{"family":"Tsui","given":"L C"}],"issued":{"year":1992,"month":10,"day":15},"accessed":{"year":2012,"month":5,"day":3},"page-first":"9509"}}],"schema":"https://github.com/citation-style-language/schema/raw/master/csl-citation.json"} </w:instrText>
      </w:r>
      <w:r w:rsidR="009A377C" w:rsidRPr="00E54B27">
        <w:rPr>
          <w:b/>
          <w:i/>
          <w:color w:val="000000"/>
        </w:rPr>
        <w:fldChar w:fldCharType="separate"/>
      </w:r>
      <w:r w:rsidR="007D2E20" w:rsidRPr="00E54B27">
        <w:rPr>
          <w:b/>
          <w:i/>
        </w:rPr>
        <w:t>(</w:t>
      </w:r>
      <w:r w:rsidR="007D2E20" w:rsidRPr="00E54B27">
        <w:rPr>
          <w:b/>
          <w:bCs/>
          <w:i/>
          <w:iCs/>
        </w:rPr>
        <w:t>2</w:t>
      </w:r>
      <w:r w:rsidR="007D2E20" w:rsidRPr="00E54B27">
        <w:rPr>
          <w:b/>
          <w:i/>
        </w:rPr>
        <w:t>)</w:t>
      </w:r>
      <w:r w:rsidR="009A377C" w:rsidRPr="00E54B27">
        <w:rPr>
          <w:b/>
          <w:i/>
          <w:color w:val="000000"/>
        </w:rPr>
        <w:fldChar w:fldCharType="end"/>
      </w:r>
      <w:r w:rsidR="00F83C7E" w:rsidRPr="00F259A2">
        <w:rPr>
          <w:color w:val="000000"/>
        </w:rPr>
        <w:t xml:space="preserve">, </w:t>
      </w:r>
      <w:r w:rsidR="00891785" w:rsidRPr="00F259A2">
        <w:rPr>
          <w:color w:val="000000"/>
        </w:rPr>
        <w:t xml:space="preserve">multiplex FISH </w:t>
      </w:r>
      <w:r w:rsidR="009A377C" w:rsidRPr="00E54B27">
        <w:rPr>
          <w:b/>
          <w:i/>
          <w:color w:val="000000"/>
        </w:rPr>
        <w:fldChar w:fldCharType="begin"/>
      </w:r>
      <w:r w:rsidR="0042106E" w:rsidRPr="00E54B27">
        <w:rPr>
          <w:b/>
          <w:i/>
          <w:color w:val="000000"/>
        </w:rPr>
        <w:instrText xml:space="preserve"> ADDIN ZOTERO_ITEM CSL_CITATION {"citationID":"133fr1e3li","properties":{"formattedCitation":"{\\rtf (\\b \\i 3\\i0{}\\b0{})}","plainCitation":"(3)"},"citationItems":[{"id":10,"uris":["http://zotero.org/users/1046410/items/75HTI86B"],"uri":["http://zotero.org/users/1046410/items/75HTI86B"],"itemData":{"id":10,"type":"article-journal","title":"Karyotyping human chromosomes by combinatorial multi-fluor FISH","container-title":"Nature genetics","page":"368-375","volume":"12","issue":"4","abstract":"We have developed epifluorescence filter sets and computer software for the detection and discrimination of 27 different DNA probes hybridized simultaneously. For karyotype analysis, a pool of human chromosome painting probes, each labelled with a different fluor combination, was hybridized to metaphase chromosomes prepared from normal cells, clinical specimens, and neoplastic cell lines. Both simple and complex chromosomal rearrangements could be detected rapidly and unequivocally; many of the more complex chromosomal abnormalities could not be delineated by conventional cytogenetic banding techniques. Our data suggest that multiplex-fluorescence in situ hybridization (M-FISH) could have wide clinical utility and complement standard cytogenetics, particularly for the characterization of complex karyotypes.","DOI":"10.1038/ng0496-368","note":"PMID: 8630489","journalAbbreviation":"Nat. Genet.","author":[{"family":"Speicher","given":"M R"},{"family":"Gwyn Ballard","given":"S"},{"family":"Ward","given":"D C"}],"issued":{"year":1996,"month":4},"accessed":{"year":2012,"month":5,"day":3},"page-first":"368"}}],"schema":"https://github.com/citation-style-language/schema/raw/master/csl-citation.json"} </w:instrText>
      </w:r>
      <w:r w:rsidR="009A377C" w:rsidRPr="00E54B27">
        <w:rPr>
          <w:b/>
          <w:i/>
          <w:color w:val="000000"/>
        </w:rPr>
        <w:fldChar w:fldCharType="separate"/>
      </w:r>
      <w:r w:rsidR="007D2E20" w:rsidRPr="00E54B27">
        <w:rPr>
          <w:b/>
          <w:i/>
        </w:rPr>
        <w:t>(</w:t>
      </w:r>
      <w:r w:rsidR="007D2E20" w:rsidRPr="00E54B27">
        <w:rPr>
          <w:b/>
          <w:bCs/>
          <w:i/>
          <w:iCs/>
        </w:rPr>
        <w:t>3</w:t>
      </w:r>
      <w:r w:rsidR="007D2E20" w:rsidRPr="00E54B27">
        <w:rPr>
          <w:b/>
          <w:i/>
        </w:rPr>
        <w:t>)</w:t>
      </w:r>
      <w:r w:rsidR="009A377C" w:rsidRPr="00E54B27">
        <w:rPr>
          <w:b/>
          <w:i/>
          <w:color w:val="000000"/>
        </w:rPr>
        <w:fldChar w:fldCharType="end"/>
      </w:r>
      <w:r w:rsidR="00341AA6" w:rsidRPr="00E54B27">
        <w:rPr>
          <w:b/>
          <w:color w:val="000000"/>
        </w:rPr>
        <w:t xml:space="preserve"> </w:t>
      </w:r>
      <w:r w:rsidR="00341AA6" w:rsidRPr="00F259A2">
        <w:rPr>
          <w:color w:val="000000"/>
        </w:rPr>
        <w:t>and</w:t>
      </w:r>
      <w:r w:rsidR="00891785" w:rsidRPr="00F259A2">
        <w:rPr>
          <w:color w:val="000000"/>
        </w:rPr>
        <w:t xml:space="preserve"> spectral karyotyping</w:t>
      </w:r>
      <w:r w:rsidR="00891785" w:rsidRPr="00E54B27">
        <w:rPr>
          <w:b/>
          <w:color w:val="000000"/>
        </w:rPr>
        <w:t xml:space="preserve"> </w:t>
      </w:r>
      <w:r w:rsidR="009A377C" w:rsidRPr="00E54B27">
        <w:rPr>
          <w:b/>
          <w:i/>
          <w:color w:val="000000"/>
        </w:rPr>
        <w:fldChar w:fldCharType="begin"/>
      </w:r>
      <w:r w:rsidR="0042106E" w:rsidRPr="00E54B27">
        <w:rPr>
          <w:b/>
          <w:i/>
          <w:color w:val="000000"/>
        </w:rPr>
        <w:instrText xml:space="preserve"> ADDIN ZOTERO_ITEM CSL_CITATION {"citationID":"1lnco1hn9a","properties":{"formattedCitation":"{\\rtf (\\b \\i 4\\i0{}\\b0{})}","plainCitation":"(4)"},"citationItems":[{"id":11,"uris":["http://zotero.org/users/1046410/items/EA5UMBF3"],"uri":["http://zotero.org/users/1046410/items/EA5UMBF3"],"itemData":{"id":11,"type":"article-journal","title":"Multicolor spectral karyotyping of human chromosomes","container-title":"Science (New York, N.Y.)","page":"494-497","volume":"273","issue":"5274","abstract":"The simultaneous and unequivocal discernment of all human chromosomes in different colors would be of significant clinical and biologic importance. Whole-genome scanning by spectral karyotyping allowed instantaneous visualization of defined emission spectra for each human chromosome after fluorescence in situ hybridization. By means of computer separation (classification) of spectra, spectrally overlapping chromosome-specific DNA probes could be resolved, and all human chromosomes were simultaneously identified.","note":"PMID: 8662537","journalAbbreviation":"Science","author":[{"family":"Schröck","given":"E"},{"family":"du Manoir","given":"S"},{"family":"Veldman","given":"T"},{"family":"Schoell","given":"B"},{"family":"Wienberg","given":"J"},{"family":"Ferguson-Smith","given":"M A"},{"family":"Ning","given":"Y"},{"family":"Ledbetter","given":"D H"},{"family":"Bar-Am","given":"I"},{"family":"Soenksen","given":"D"},{"family":"Garini","given":"Y"},{"family":"Ried","given":"T"}],"issued":{"year":1996,"month":7,"day":26},"accessed":{"year":2012,"month":5,"day":3},"page-first":"494"}}],"schema":"https://github.com/citation-style-language/schema/raw/master/csl-citation.json"} </w:instrText>
      </w:r>
      <w:r w:rsidR="009A377C" w:rsidRPr="00E54B27">
        <w:rPr>
          <w:b/>
          <w:i/>
          <w:color w:val="000000"/>
        </w:rPr>
        <w:fldChar w:fldCharType="separate"/>
      </w:r>
      <w:r w:rsidR="007D2E20" w:rsidRPr="00E54B27">
        <w:rPr>
          <w:b/>
          <w:i/>
        </w:rPr>
        <w:t>(</w:t>
      </w:r>
      <w:r w:rsidR="007D2E20" w:rsidRPr="00E54B27">
        <w:rPr>
          <w:b/>
          <w:bCs/>
          <w:i/>
          <w:iCs/>
        </w:rPr>
        <w:t>4</w:t>
      </w:r>
      <w:r w:rsidR="007D2E20" w:rsidRPr="00E54B27">
        <w:rPr>
          <w:b/>
          <w:i/>
        </w:rPr>
        <w:t>)</w:t>
      </w:r>
      <w:r w:rsidR="009A377C" w:rsidRPr="00E54B27">
        <w:rPr>
          <w:b/>
          <w:i/>
          <w:color w:val="000000"/>
        </w:rPr>
        <w:fldChar w:fldCharType="end"/>
      </w:r>
      <w:r w:rsidR="003239DE" w:rsidRPr="00E54B27">
        <w:rPr>
          <w:b/>
          <w:i/>
          <w:color w:val="000000"/>
        </w:rPr>
        <w:t xml:space="preserve"> </w:t>
      </w:r>
      <w:r w:rsidR="007A5DF0" w:rsidRPr="00F259A2">
        <w:rPr>
          <w:color w:val="000000"/>
        </w:rPr>
        <w:t xml:space="preserve">to </w:t>
      </w:r>
      <w:r w:rsidR="00494C07" w:rsidRPr="00F259A2">
        <w:rPr>
          <w:color w:val="000000"/>
        </w:rPr>
        <w:t xml:space="preserve">combined </w:t>
      </w:r>
      <w:r w:rsidR="00424E3E" w:rsidRPr="00F259A2">
        <w:rPr>
          <w:color w:val="000000"/>
        </w:rPr>
        <w:t>b</w:t>
      </w:r>
      <w:r w:rsidR="00494C07" w:rsidRPr="00F259A2">
        <w:rPr>
          <w:color w:val="000000"/>
        </w:rPr>
        <w:t xml:space="preserve">inary ratio labelling (COBRA) FISH </w:t>
      </w:r>
      <w:r w:rsidR="009A377C" w:rsidRPr="00E54B27">
        <w:rPr>
          <w:b/>
          <w:i/>
          <w:color w:val="000000"/>
        </w:rPr>
        <w:fldChar w:fldCharType="begin"/>
      </w:r>
      <w:r w:rsidR="0042106E" w:rsidRPr="00E54B27">
        <w:rPr>
          <w:b/>
          <w:i/>
          <w:color w:val="000000"/>
        </w:rPr>
        <w:instrText xml:space="preserve"> ADDIN ZOTERO_ITEM CSL_CITATION {"citationID":"qg3nil3sj","properties":{"formattedCitation":"{\\rtf (\\b \\i 5\\i0{}\\b0{})}","plainCitation":"(5)"},"citationItems":[{"id":13,"uris":["http://zotero.org/users/1046410/items/TBITFJGU"],"uri":["http://zotero.org/users/1046410/items/TBITFJGU"],"itemData":{"id":13,"type":"article-journal","title":"New strategy for multi-colour fluorescence in situ hybridisation: COBRA: COmbined Binary RAtio labelling","container-title":"European journal of human genetics: EJHG","page":"2-11","volume":"7","issue":"1","abstract":"Multicolour in situ hybridisation (MFISH) is increasingly applied to karyotyping and detection of chromosomal abnormalities. So far 27 colour analyses have been described using fluorescently labelled chromosome painting probes in a so-called combinatorial approach. In this paper a new strategy is presented to use efficiently the currently available number of spectrally separated fluorophores in order to increase the multiplicity of MFISH. We introduce the principle of COBRA (COmbined Binary RAtio labelling), which is based on the simultaneous use of combinatorial labelling and ratio labelling. Human chromosome painting in 24 colours is accomplished using four fluorophores only. Three fluorophores are used pair wise for ratio labelling of a set of 12 chromosome painting probes. The second set of 12 probes is labelled identically but is also given a binary label (fourth fluorophore). The COBRA method is demonstrated on normal human chromosomes and on a lymphoma (JVM) cell line, using probes enzymatically labelled with fluorescein, lissamine and cy5 as primary fluorophores, and diethylaminocoumarin (DEAC), a blue dye, as combinatorial fourth label to demonstrate incorporated digoxigenin. In addition, the principle was tested using chemical labelling. The first set of 12 painting probes was therefore labelled by ULS (Universal Linkage System), using DEAC, cy3 and cy5 as primary labels, and the second set was labelled similarly, but also contained a digoxigenin-ULS label, which was indirectly stained with fluorescein. Subsequently, a mathematical analysis is presented and methods are indicated for achieving an MFISH multiplicity of 48, 96 or even higher using existing technology.","DOI":"10.1038/sj.ejhg.5200265","note":"PMID: 10094185","shortTitle":"New strategy for multi-colour fluorescence in situ hybridisation","journalAbbreviation":"Eur. J. Hum. Genet.","author":[{"family":"Tanke","given":"H J"},{"family":"Wiegant","given":"J"},{"family":"van Gijlswijk","given":"R P"},{"family":"Bezrookove","given":"V"},{"family":"Pattenier","given":"H"},{"family":"Heetebrij","given":"R J"},{"family":"Talman","given":"E G"},{"family":"Raap","given":"A K"},{"family":"Vrolijk","given":"J"}],"issued":{"year":1999,"month":1},"accessed":{"year":2012,"month":5,"day":3},"page-first":"2"}}],"schema":"https://github.com/citation-style-language/schema/raw/master/csl-citation.json"} </w:instrText>
      </w:r>
      <w:r w:rsidR="009A377C" w:rsidRPr="00E54B27">
        <w:rPr>
          <w:b/>
          <w:i/>
          <w:color w:val="000000"/>
        </w:rPr>
        <w:fldChar w:fldCharType="separate"/>
      </w:r>
      <w:r w:rsidR="007D2E20" w:rsidRPr="00E54B27">
        <w:rPr>
          <w:b/>
          <w:i/>
        </w:rPr>
        <w:t>(</w:t>
      </w:r>
      <w:r w:rsidR="007D2E20" w:rsidRPr="00E54B27">
        <w:rPr>
          <w:b/>
          <w:bCs/>
          <w:i/>
          <w:iCs/>
        </w:rPr>
        <w:t>5</w:t>
      </w:r>
      <w:r w:rsidR="007D2E20" w:rsidRPr="00E54B27">
        <w:rPr>
          <w:b/>
          <w:i/>
        </w:rPr>
        <w:t>)</w:t>
      </w:r>
      <w:r w:rsidR="009A377C" w:rsidRPr="00E54B27">
        <w:rPr>
          <w:b/>
          <w:i/>
          <w:color w:val="000000"/>
        </w:rPr>
        <w:fldChar w:fldCharType="end"/>
      </w:r>
      <w:r w:rsidR="009C2451" w:rsidRPr="00F259A2">
        <w:rPr>
          <w:color w:val="000000"/>
        </w:rPr>
        <w:t xml:space="preserve">. </w:t>
      </w:r>
      <w:r w:rsidR="003B58E1" w:rsidRPr="00F259A2">
        <w:rPr>
          <w:color w:val="000000"/>
        </w:rPr>
        <w:t>Also, 3D FISH applications have been</w:t>
      </w:r>
      <w:r w:rsidR="007A5DF0" w:rsidRPr="00F259A2">
        <w:rPr>
          <w:color w:val="000000"/>
        </w:rPr>
        <w:t xml:space="preserve"> more recently</w:t>
      </w:r>
      <w:r w:rsidR="003B58E1" w:rsidRPr="00F259A2">
        <w:rPr>
          <w:color w:val="000000"/>
        </w:rPr>
        <w:t xml:space="preserve"> developed </w:t>
      </w:r>
      <w:r w:rsidR="00C96C1D" w:rsidRPr="00F259A2">
        <w:rPr>
          <w:color w:val="000000"/>
        </w:rPr>
        <w:t>to study</w:t>
      </w:r>
      <w:r w:rsidR="005D6718" w:rsidRPr="00F259A2">
        <w:rPr>
          <w:color w:val="000000"/>
        </w:rPr>
        <w:t>,</w:t>
      </w:r>
      <w:r w:rsidR="003239DE" w:rsidRPr="00F259A2">
        <w:rPr>
          <w:color w:val="000000"/>
        </w:rPr>
        <w:t xml:space="preserve"> </w:t>
      </w:r>
      <w:r w:rsidR="007A5DF0" w:rsidRPr="00F259A2">
        <w:rPr>
          <w:color w:val="000000"/>
        </w:rPr>
        <w:t>for example</w:t>
      </w:r>
      <w:r w:rsidR="005D6718" w:rsidRPr="00F259A2">
        <w:rPr>
          <w:color w:val="000000"/>
        </w:rPr>
        <w:t>,</w:t>
      </w:r>
      <w:r w:rsidR="003239DE" w:rsidRPr="00F259A2">
        <w:rPr>
          <w:color w:val="000000"/>
        </w:rPr>
        <w:t xml:space="preserve"> </w:t>
      </w:r>
      <w:r w:rsidR="003B58E1" w:rsidRPr="00F259A2">
        <w:rPr>
          <w:color w:val="000000"/>
        </w:rPr>
        <w:t xml:space="preserve">nuclear chromosome compartments in interphases </w:t>
      </w:r>
      <w:r w:rsidR="009A377C" w:rsidRPr="00E54B27">
        <w:rPr>
          <w:b/>
          <w:i/>
          <w:color w:val="000000"/>
        </w:rPr>
        <w:fldChar w:fldCharType="begin"/>
      </w:r>
      <w:r w:rsidR="0042106E" w:rsidRPr="00E54B27">
        <w:rPr>
          <w:b/>
          <w:i/>
          <w:color w:val="000000"/>
        </w:rPr>
        <w:instrText xml:space="preserve"> ADDIN ZOTERO_ITEM CSL_CITATION {"citationID":"24u2shhg51","properties":{"formattedCitation":"{\\rtf (\\b \\i 6\\i0{}\\b0{}; \\b \\i 7\\i0{}\\b0{})}","plainCitation":"(6; 7)"},"citationItems":[{"id":14,"uris":["http://zotero.org/users/1046410/items/TJD9PX9H"],"uri":["http://zotero.org/users/1046410/items/TJD9PX9H"],"itemData":{"id":14,"type":"article-journal","title":"Chromosome territories, nuclear architecture and gene regulation in mammalian cells","container-title":"Nature reviews. Genetics","page":"292-301","volume":"2","issue":"4","abstract":"The expression of genes is regulated at many levels. Perhaps the area in which least is known is how nuclear organization influences gene expression. Studies of higher-order chromatin arrangements and their dynamic interactions with other nuclear components have been boosted by recent technical advances. The emerging view is that chromosomes are compartmentalized into discrete territories. The location of a gene within a chromosome territory seems to influence its access to the machinery responsible for specific nuclear functions, such as transcription and splicing. This view is consistent with a topological model for gene regulation.","DOI":"10.1038/35066075","note":"PMID: 11283701","journalAbbreviation":"Nat. Rev. Genet.","author":[{"family":"Cremer","given":"T"},{"family":"Cremer","given":"C"}],"issued":{"year":2001,"month":4},"accessed":{"year":2012,"month":5,"day":3},"page-first":"292"},"label":"page"},{"id":15,"uris":["http://zotero.org/users/1046410/items/V8ATHJVX"],"uri":["http://zotero.org/users/1046410/items/V8ATHJVX"],"itemData":{"id":15,"type":"article-journal","title":"Three-dimensional maps of all chromosomes in human male fibroblast nuclei and prometaphase rosettes","container-title":"PLoS biology","page":"e157","volume":"3","issue":"5","abstract":"Studies of higher-order chromatin arrangements are an essential part of ongoing attempts to explore changes in epigenome structure and their functional implications during development and cell differentiation. However, the extent and cell-type-specificity of three-dimensional (3D) chromosome arrangements has remained controversial. In order to overcome technical limitations of previous studies, we have developed tools that allow the quantitative 3D positional mapping of all chromosomes simultaneously. We present unequivocal evidence for a probabilistic 3D order of prometaphase chromosomes, as well as of chromosome territories (CTs) in nuclei of quiescent (G0) and cycling (early S-phase) human diploid fibroblasts (46, XY). Radial distance measurements showed a probabilistic, highly nonrandom correlation with chromosome size: small chromosomes-independently of their gene density-were distributed significantly closer to the center of the nucleus or prometaphase rosette, while large chromosomes were located closer to the nuclear or rosette rim. This arrangement was independently confirmed in both human fibroblast and amniotic fluid cell nuclei. Notably, these cell types exhibit flat-ellipsoidal cell nuclei, in contrast to the spherical nuclei of lymphocytes and several other human cell types, for which we and others previously demonstrated gene-density-correlated radial 3D CT arrangements. Modeling of 3D CT arrangements suggests that cell-type-specific differences in radial CT arrangements are not solely due to geometrical constraints that result from nuclear shape differences. We also found gene-density-correlated arrangements of higher-order chromatin shared by all human cell types studied so far. Chromatin domains, which are gene-poor, form a layer beneath the nuclear envelope, while gene-dense chromatin is enriched in the nuclear interior. We discuss the possible functional implications of this finding.","DOI":"10.1371/journal.pbio.0030157","note":"PMID: 15839726","journalAbbreviation":"PLoS Biol.","author":[{"family":"Bolzer","given":"Andreas"},{"family":"Kreth","given":"Gregor"},{"family":"Solovei","given":"Irina"},{"family":"Koehler","given":"Daniela"},{"family":"Saracoglu","given":"Kaan"},{"family":"Fauth","given":"Christine"},{"family":"Müller","given":"Stefan"},{"family":"Eils","given":"Roland"},{"family":"Cremer","given":"Christoph"},{"family":"Speicher","given":"Michael R"},{"family":"Cremer","given":"Thomas"}],"issued":{"year":2005,"month":5},"accessed":{"year":2012,"month":5,"day":3},"page-first":"e157"},"label":"page"}],"schema":"https://github.com/citation-style-language/schema/raw/master/csl-citation.json"} </w:instrText>
      </w:r>
      <w:r w:rsidR="009A377C" w:rsidRPr="00E54B27">
        <w:rPr>
          <w:b/>
          <w:i/>
          <w:color w:val="000000"/>
        </w:rPr>
        <w:fldChar w:fldCharType="separate"/>
      </w:r>
      <w:r w:rsidR="007D2E20" w:rsidRPr="00E54B27">
        <w:rPr>
          <w:b/>
          <w:i/>
        </w:rPr>
        <w:t>(</w:t>
      </w:r>
      <w:r w:rsidR="007D2E20" w:rsidRPr="00E54B27">
        <w:rPr>
          <w:b/>
          <w:bCs/>
          <w:i/>
          <w:iCs/>
        </w:rPr>
        <w:t>6</w:t>
      </w:r>
      <w:r w:rsidR="003239DE" w:rsidRPr="00E54B27">
        <w:rPr>
          <w:b/>
          <w:i/>
        </w:rPr>
        <w:t>,</w:t>
      </w:r>
      <w:r w:rsidR="007D2E20" w:rsidRPr="00E54B27">
        <w:rPr>
          <w:b/>
          <w:i/>
        </w:rPr>
        <w:t xml:space="preserve"> </w:t>
      </w:r>
      <w:r w:rsidR="007D2E20" w:rsidRPr="00E54B27">
        <w:rPr>
          <w:b/>
          <w:bCs/>
          <w:i/>
          <w:iCs/>
        </w:rPr>
        <w:t>7</w:t>
      </w:r>
      <w:r w:rsidR="007D2E20" w:rsidRPr="00E54B27">
        <w:rPr>
          <w:b/>
          <w:i/>
        </w:rPr>
        <w:t>)</w:t>
      </w:r>
      <w:r w:rsidR="009A377C" w:rsidRPr="00E54B27">
        <w:rPr>
          <w:b/>
          <w:i/>
          <w:color w:val="000000"/>
        </w:rPr>
        <w:fldChar w:fldCharType="end"/>
      </w:r>
      <w:r w:rsidR="003B58E1" w:rsidRPr="00F259A2">
        <w:rPr>
          <w:color w:val="000000"/>
        </w:rPr>
        <w:t xml:space="preserve">. </w:t>
      </w:r>
      <w:r w:rsidR="00F83C7E" w:rsidRPr="00F259A2">
        <w:rPr>
          <w:color w:val="000000"/>
        </w:rPr>
        <w:t xml:space="preserve">Depending on the assay </w:t>
      </w:r>
      <w:r w:rsidR="00424E3E" w:rsidRPr="00F259A2">
        <w:rPr>
          <w:color w:val="000000"/>
        </w:rPr>
        <w:t>in use</w:t>
      </w:r>
      <w:r w:rsidR="003239DE" w:rsidRPr="00F259A2">
        <w:rPr>
          <w:color w:val="000000"/>
        </w:rPr>
        <w:t>,</w:t>
      </w:r>
      <w:r w:rsidR="00424E3E" w:rsidRPr="00F259A2">
        <w:rPr>
          <w:color w:val="000000"/>
        </w:rPr>
        <w:t xml:space="preserve"> </w:t>
      </w:r>
      <w:r w:rsidR="00F83C7E" w:rsidRPr="00F259A2">
        <w:rPr>
          <w:color w:val="000000"/>
        </w:rPr>
        <w:t>the resolution varie</w:t>
      </w:r>
      <w:r w:rsidR="005D6718" w:rsidRPr="00F259A2">
        <w:rPr>
          <w:color w:val="000000"/>
        </w:rPr>
        <w:t>s</w:t>
      </w:r>
      <w:r w:rsidR="00F83C7E" w:rsidRPr="00F259A2">
        <w:rPr>
          <w:color w:val="000000"/>
        </w:rPr>
        <w:t xml:space="preserve"> from 5kb to 5Mb</w:t>
      </w:r>
      <w:r w:rsidR="003239DE" w:rsidRPr="00F259A2">
        <w:rPr>
          <w:color w:val="000000"/>
        </w:rPr>
        <w:t xml:space="preserve"> </w:t>
      </w:r>
      <w:r w:rsidR="00F83C7E" w:rsidRPr="00F259A2">
        <w:rPr>
          <w:color w:val="000000"/>
        </w:rPr>
        <w:t xml:space="preserve">when examining fluorescent signals at the level of chromatin strands, interphases or metaphases </w:t>
      </w:r>
      <w:r w:rsidR="009A377C" w:rsidRPr="00E54B27">
        <w:rPr>
          <w:b/>
          <w:i/>
          <w:color w:val="000000"/>
        </w:rPr>
        <w:fldChar w:fldCharType="begin"/>
      </w:r>
      <w:r w:rsidR="0042106E" w:rsidRPr="00E54B27">
        <w:rPr>
          <w:b/>
          <w:i/>
          <w:color w:val="000000"/>
        </w:rPr>
        <w:instrText xml:space="preserve"> ADDIN ZOTERO_ITEM CSL_CITATION {"citationID":"1fj26i8aip","properties":{"formattedCitation":"{\\rtf (\\b \\i 8\\i0{}\\b0{})}","plainCitation":"(8)"},"citationItems":[{"id":12,"uris":["http://zotero.org/users/1046410/items/MN3K6EH7"],"uri":["http://zotero.org/users/1046410/items/MN3K6EH7"],"itemData":{"id":12,"type":"article-journal","title":"The new cytogenetics: blurring the boundaries with molecular biology","container-title":"Nature reviews. Genetics","page":"782-792","volume":"6","issue":"10","abstract":"Exciting advances in fluorescence in situ hybridization and array-based techniques are changing the nature of cytogenetics, in both basic research and molecular diagnostics. Cytogenetic analysis now extends beyond the simple description of the chromosomal status of a genome and allows the study of fundamental biological questions, such as the nature of inherited syndromes, the genomic changes that are involved in tumorigenesis and the three-dimensional organization of the human genome. The high resolution that is achieved by these techniques, particularly by microarray technologies such as array comparative genomic hybridization, is blurring the traditional distinction between cytogenetics and molecular biology.","DOI":"10.1038/nrg1692","note":"PMID: 16145555","shortTitle":"The new cytogenetics","journalAbbreviation":"Nat. Rev. Genet.","author":[{"family":"Speicher","given":"Michael R"},{"family":"Carter","given":"Nigel P"}],"issued":{"year":2005,"month":10},"accessed":{"year":2012,"month":5,"day":3},"page-first":"782"}}],"schema":"https://github.com/citation-style-language/schema/raw/master/csl-citation.json"} </w:instrText>
      </w:r>
      <w:r w:rsidR="009A377C" w:rsidRPr="00E54B27">
        <w:rPr>
          <w:b/>
          <w:i/>
          <w:color w:val="000000"/>
        </w:rPr>
        <w:fldChar w:fldCharType="separate"/>
      </w:r>
      <w:r w:rsidR="007D2E20" w:rsidRPr="00E54B27">
        <w:rPr>
          <w:b/>
          <w:i/>
        </w:rPr>
        <w:t>(</w:t>
      </w:r>
      <w:r w:rsidR="007D2E20" w:rsidRPr="00E54B27">
        <w:rPr>
          <w:b/>
          <w:bCs/>
          <w:i/>
          <w:iCs/>
        </w:rPr>
        <w:t>8</w:t>
      </w:r>
      <w:r w:rsidR="007D2E20" w:rsidRPr="00E54B27">
        <w:rPr>
          <w:b/>
          <w:i/>
        </w:rPr>
        <w:t>)</w:t>
      </w:r>
      <w:r w:rsidR="009A377C" w:rsidRPr="00E54B27">
        <w:rPr>
          <w:b/>
          <w:i/>
          <w:color w:val="000000"/>
        </w:rPr>
        <w:fldChar w:fldCharType="end"/>
      </w:r>
      <w:r w:rsidR="00525B8F" w:rsidRPr="00F259A2">
        <w:rPr>
          <w:color w:val="000000"/>
        </w:rPr>
        <w:t xml:space="preserve">. </w:t>
      </w:r>
      <w:r w:rsidR="0072480A" w:rsidRPr="00F259A2">
        <w:rPr>
          <w:color w:val="000000"/>
        </w:rPr>
        <w:t>All the above</w:t>
      </w:r>
      <w:r w:rsidR="00424E3E" w:rsidRPr="00F259A2">
        <w:rPr>
          <w:color w:val="000000"/>
        </w:rPr>
        <w:t xml:space="preserve"> assays have in common that complementary probes or probe sets </w:t>
      </w:r>
      <w:r w:rsidR="007A5DF0" w:rsidRPr="00F259A2">
        <w:rPr>
          <w:color w:val="000000"/>
        </w:rPr>
        <w:t xml:space="preserve">differentially </w:t>
      </w:r>
      <w:r w:rsidR="00424E3E" w:rsidRPr="00F259A2">
        <w:rPr>
          <w:color w:val="000000"/>
        </w:rPr>
        <w:t xml:space="preserve">labelled with one or more fluorescent dyes </w:t>
      </w:r>
      <w:r w:rsidR="0072480A" w:rsidRPr="00F259A2">
        <w:rPr>
          <w:color w:val="000000"/>
        </w:rPr>
        <w:t>are</w:t>
      </w:r>
      <w:r w:rsidR="00424E3E" w:rsidRPr="00F259A2">
        <w:rPr>
          <w:color w:val="000000"/>
        </w:rPr>
        <w:t xml:space="preserve"> hybridized onto target DNA</w:t>
      </w:r>
      <w:r w:rsidR="003239DE" w:rsidRPr="00F259A2">
        <w:rPr>
          <w:color w:val="000000"/>
        </w:rPr>
        <w:t xml:space="preserve"> </w:t>
      </w:r>
      <w:r w:rsidR="006E7B19" w:rsidRPr="00F259A2">
        <w:rPr>
          <w:color w:val="000000"/>
        </w:rPr>
        <w:t>that needs to be investigated</w:t>
      </w:r>
      <w:r w:rsidR="005D6718" w:rsidRPr="00F259A2">
        <w:rPr>
          <w:color w:val="000000"/>
        </w:rPr>
        <w:t>,</w:t>
      </w:r>
      <w:r w:rsidR="006E7B19" w:rsidRPr="00F259A2">
        <w:rPr>
          <w:color w:val="000000"/>
        </w:rPr>
        <w:t xml:space="preserve"> such as metaphase chromosomes or interphase nuclei</w:t>
      </w:r>
      <w:r w:rsidR="00465C6B" w:rsidRPr="00F259A2">
        <w:rPr>
          <w:color w:val="000000"/>
        </w:rPr>
        <w:t xml:space="preserve">. </w:t>
      </w:r>
      <w:r w:rsidR="006E7B19" w:rsidRPr="00F259A2">
        <w:rPr>
          <w:color w:val="000000"/>
        </w:rPr>
        <w:t xml:space="preserve">Changes within the target DNA can then be </w:t>
      </w:r>
      <w:r w:rsidR="00424E3E" w:rsidRPr="00F259A2">
        <w:rPr>
          <w:color w:val="000000"/>
        </w:rPr>
        <w:t>visualise</w:t>
      </w:r>
      <w:r w:rsidR="006E7B19" w:rsidRPr="00F259A2">
        <w:rPr>
          <w:color w:val="000000"/>
        </w:rPr>
        <w:t>d and evaluated</w:t>
      </w:r>
      <w:r w:rsidR="00424E3E" w:rsidRPr="00F259A2">
        <w:rPr>
          <w:color w:val="000000"/>
        </w:rPr>
        <w:t xml:space="preserve">. However, it </w:t>
      </w:r>
      <w:r w:rsidR="005D6718" w:rsidRPr="00F259A2">
        <w:rPr>
          <w:color w:val="000000"/>
        </w:rPr>
        <w:t xml:space="preserve">has </w:t>
      </w:r>
      <w:r w:rsidR="00424E3E" w:rsidRPr="00F259A2">
        <w:rPr>
          <w:color w:val="000000"/>
        </w:rPr>
        <w:t>proved extremely difficult and challenging to prepare metaphase spreads from</w:t>
      </w:r>
      <w:r w:rsidR="007A5DF0" w:rsidRPr="00F259A2">
        <w:rPr>
          <w:color w:val="000000"/>
        </w:rPr>
        <w:t xml:space="preserve"> certain cells or tissues </w:t>
      </w:r>
      <w:r w:rsidR="00B47219" w:rsidRPr="00F259A2">
        <w:rPr>
          <w:color w:val="000000"/>
        </w:rPr>
        <w:t>like solid</w:t>
      </w:r>
      <w:r w:rsidR="003239DE" w:rsidRPr="00F259A2">
        <w:rPr>
          <w:color w:val="000000"/>
        </w:rPr>
        <w:t xml:space="preserve"> </w:t>
      </w:r>
      <w:r w:rsidR="007A5DF0" w:rsidRPr="00F259A2">
        <w:rPr>
          <w:color w:val="000000"/>
        </w:rPr>
        <w:t>tumours</w:t>
      </w:r>
      <w:r w:rsidR="00424E3E" w:rsidRPr="00F259A2">
        <w:rPr>
          <w:color w:val="000000"/>
        </w:rPr>
        <w:t xml:space="preserve">. Thus, it was just a matter of time until </w:t>
      </w:r>
      <w:r w:rsidR="00376F40" w:rsidRPr="00F259A2">
        <w:rPr>
          <w:color w:val="000000"/>
        </w:rPr>
        <w:t xml:space="preserve">the very extensively used </w:t>
      </w:r>
      <w:r w:rsidR="006E7B19" w:rsidRPr="00F259A2">
        <w:rPr>
          <w:color w:val="000000"/>
        </w:rPr>
        <w:t xml:space="preserve">multicolour FISH </w:t>
      </w:r>
      <w:r w:rsidR="00376F40" w:rsidRPr="00F259A2">
        <w:rPr>
          <w:color w:val="000000"/>
        </w:rPr>
        <w:t xml:space="preserve">technique </w:t>
      </w:r>
      <w:r w:rsidR="00424E3E" w:rsidRPr="00F259A2">
        <w:rPr>
          <w:color w:val="000000"/>
        </w:rPr>
        <w:t>was modified to serve as the basis for comparative genomic hybridization (CGH).</w:t>
      </w:r>
      <w:r w:rsidR="00376F40" w:rsidRPr="00F259A2">
        <w:rPr>
          <w:color w:val="000000"/>
        </w:rPr>
        <w:t xml:space="preserve"> Virtually at the same time, two groups, one in the USA at the U</w:t>
      </w:r>
      <w:r w:rsidR="001070F0" w:rsidRPr="00F259A2">
        <w:rPr>
          <w:color w:val="000000"/>
        </w:rPr>
        <w:t xml:space="preserve">niversity of California </w:t>
      </w:r>
      <w:r w:rsidR="00376F40" w:rsidRPr="00F259A2">
        <w:rPr>
          <w:color w:val="000000"/>
        </w:rPr>
        <w:t>in San Francisco</w:t>
      </w:r>
      <w:r w:rsidR="00045FC7">
        <w:rPr>
          <w:color w:val="000000"/>
        </w:rPr>
        <w:t xml:space="preserve"> </w:t>
      </w:r>
      <w:r w:rsidR="009A377C" w:rsidRPr="00E54B27">
        <w:rPr>
          <w:b/>
          <w:i/>
          <w:color w:val="000000"/>
        </w:rPr>
        <w:fldChar w:fldCharType="begin"/>
      </w:r>
      <w:r w:rsidR="0042106E" w:rsidRPr="00E54B27">
        <w:rPr>
          <w:b/>
          <w:i/>
          <w:color w:val="000000"/>
        </w:rPr>
        <w:instrText xml:space="preserve"> ADDIN ZOTERO_ITEM CSL_CITATION {"citationID":"rprslnpvs","properties":{"formattedCitation":"{\\rtf (\\b \\i 9\\i0{}\\b0{})}","plainCitation":"(9)"},"citationItems":[{"id":20,"uris":["http://zotero.org/users/1046410/items/HSPVHACD"],"uri":["http://zotero.org/users/1046410/items/HSPVHACD"],"itemData":{"id":20,"type":"article-journal","title":"Comparative genomic hybridization for molecular cytogenetic analysis of solid tumors","container-title":"Science (New York, N.Y.)","page":"818-821","volume":"258","issue":"5083","abstract":"Comparative genomic hybridization produces a map of DNA sequence copy number as a function of chromosomal location throughout the entire genome. Differentially labeled test DNA and normal reference DNA are hybridized simultaneously to normal chromosome spreads. The hybridization is detected with two different fluorochromes. Regions of gain or loss of DNA sequences, such as deletions, duplications, or amplifications, are seen as changes in the ratio of the intensities of the two fluorochromes along the target chromosomes. Analysis of tumor cell lines and primary bladder tumors identified 16 different regions of amplification, many in loci not previously known to be amplified.","note":"PMID: 1359641","journalAbbreviation":"Science","author":[{"family":"Kallioniemi","given":"A"},{"family":"Kallioniemi","given":"O P"},{"family":"Sudar","given":"D"},{"family":"Rutovitz","given":"D"},{"family":"Gray","given":"J W"},{"family":"Waldman","given":"F"},{"family":"Pinkel","given":"D"}],"issued":{"year":1992,"month":10,"day":30},"accessed":{"year":2012,"month":5,"day":3},"page-first":"818"}}],"schema":"https://github.com/citation-style-language/schema/raw/master/csl-citation.json"} </w:instrText>
      </w:r>
      <w:r w:rsidR="009A377C" w:rsidRPr="00E54B27">
        <w:rPr>
          <w:b/>
          <w:i/>
          <w:color w:val="000000"/>
        </w:rPr>
        <w:fldChar w:fldCharType="separate"/>
      </w:r>
      <w:r w:rsidR="007D2E20" w:rsidRPr="00E54B27">
        <w:rPr>
          <w:b/>
          <w:i/>
        </w:rPr>
        <w:t>(</w:t>
      </w:r>
      <w:r w:rsidR="007D2E20" w:rsidRPr="00E54B27">
        <w:rPr>
          <w:b/>
          <w:bCs/>
          <w:i/>
          <w:iCs/>
        </w:rPr>
        <w:t>9</w:t>
      </w:r>
      <w:r w:rsidR="007D2E20" w:rsidRPr="00E54B27">
        <w:rPr>
          <w:b/>
          <w:i/>
        </w:rPr>
        <w:t>)</w:t>
      </w:r>
      <w:r w:rsidR="009A377C" w:rsidRPr="00E54B27">
        <w:rPr>
          <w:b/>
          <w:i/>
          <w:color w:val="000000"/>
        </w:rPr>
        <w:fldChar w:fldCharType="end"/>
      </w:r>
      <w:r w:rsidR="00376F40" w:rsidRPr="00F259A2">
        <w:rPr>
          <w:color w:val="000000"/>
        </w:rPr>
        <w:t xml:space="preserve"> and the other</w:t>
      </w:r>
      <w:r w:rsidR="00B47219" w:rsidRPr="00F259A2">
        <w:rPr>
          <w:color w:val="000000"/>
        </w:rPr>
        <w:t xml:space="preserve"> group</w:t>
      </w:r>
      <w:r w:rsidR="00376F40" w:rsidRPr="00F259A2">
        <w:rPr>
          <w:color w:val="000000"/>
        </w:rPr>
        <w:t xml:space="preserve"> in Heidelberg, Germany </w:t>
      </w:r>
      <w:r w:rsidR="009A377C" w:rsidRPr="001776BF">
        <w:rPr>
          <w:b/>
          <w:i/>
          <w:color w:val="000000"/>
        </w:rPr>
        <w:fldChar w:fldCharType="begin"/>
      </w:r>
      <w:r w:rsidR="0042106E" w:rsidRPr="001776BF">
        <w:rPr>
          <w:b/>
          <w:i/>
          <w:color w:val="000000"/>
        </w:rPr>
        <w:instrText xml:space="preserve"> ADDIN ZOTERO_ITEM CSL_CITATION {"citationID":"2a9e75sfg3","properties":{"formattedCitation":"{\\rtf (\\b \\i 10\\i0{}\\b0{})}","plainCitation":"(10)"},"citationItems":[{"id":17,"uris":["http://zotero.org/users/1046410/items/FF79IVGP"],"uri":["http://zotero.org/users/1046410/items/FF79IVGP"],"itemData":{"id":17,"type":"article-journal","title":"Detection of complete and partial chromosome gains and losses by comparative genomic in situ hybridization","container-title":"Human genetics","page":"590-610","volume":"90","issue":"6","abstract":"Comparative genomic in situ hybridization (CGH) provides a new possibility for searching genomes for imbalanced genetic material. Labeled genomic test DNA, prepared from clinical or tumor specimens, is mixed with differently labeled control DNA prepared from cells with normal chromosome complements. The mixed probe is used for chromosomal in situ suppression (CISS) hybridization to normal metaphase spreads (CGH-metaphase spreads). Hybridized test and control DNA sequences are detected via different fluorochromes, e.g., fluorescein isothiocyanate (FITC) and tetraethylrhodamine isothiocyanate (TRITC). The ratios of FITC/TRITC fluorescence intensities for each chromosome or chromosome segment should then reflect its relative copy number in the test genome compared with the control genome, e.g., 0.5 for monosomies, 1 for disomies, 1.5 for trisomies, etc. Initially, model experiments were designed to test the accuracy of fluorescence ratio measurements on single chromosomes. DNAs from up to five human chromosome-specific plasmid libraries were labeled with biotin and digoxigenin in different hapten proportions. Probe mixtures were used for CISS hybridization to normal human metaphase spreads and detected with FITC and TRITC. An epifluorescence microscope equipped with a cooled charge coupled device (CCD) camera was used for image acquisition. Procedures for fluorescence ratio measurements were developed on the basis of commercial image analysis software. For hapten ratios 4/1, 1/1 and 1/4, fluorescence ratio values measured for individual chromosomes could be used as a single reliable parameter for chromosome identification. Our findings indicate (1) a tight correlation of fluorescence ratio values with hapten ratios, and (2) the potential of fluorescence ratio measurements for multiple color chromosome painting. Subsequently, genomic test DNAs, prepared from a patient with Down syndrome, from blood of a patient with T-cell prolymphocytic leukemia, and from cultured cells of a renal papillary carcinoma cell line, were applied in CGH experiments. As expected, significant differences in the fluorescence ratios could be measured for chromosome types present in different copy numbers in these test genomes, including a trisomy of chromosome 21, the smallest autosome of the human complement. In addition, chromosome material involved in partial gains and losses of the different tumors could be mapped to their normal chromosome counterparts in CGH-metaphase spreads. An alternative and simpler evaluation procedure based on visual inspection of CCD images of CGH-metaphase spreads also yielded consistent results from several independent observers. Pitfalls, methodological improvements, and potential applications of CGH analyses are discussed.","note":"PMID: 8444465","journalAbbreviation":"Hum. Genet.","author":[{"family":"du Manoir","given":"S"},{"family":"Speicher","given":"M R"},{"family":"Joos","given":"S"},{"family":"Schröck","given":"E"},{"family":"Popp","given":"S"},{"family":"Döhner","given":"H"},{"family":"Kovacs","given":"G"},{"family":"Robert-Nicoud","given":"M"},{"family":"Lichter","given":"P"},{"family":"Cremer","given":"T"}],"issued":{"year":1993,"month":2},"accessed":{"year":2012,"month":5,"day":3},"page-first":"590"}}],"schema":"https://github.com/citation-style-language/schema/raw/master/csl-citation.json"} </w:instrText>
      </w:r>
      <w:r w:rsidR="009A377C" w:rsidRPr="001776BF">
        <w:rPr>
          <w:b/>
          <w:i/>
          <w:color w:val="000000"/>
        </w:rPr>
        <w:fldChar w:fldCharType="separate"/>
      </w:r>
      <w:r w:rsidR="007D2E20" w:rsidRPr="001776BF">
        <w:rPr>
          <w:b/>
          <w:i/>
        </w:rPr>
        <w:t>(</w:t>
      </w:r>
      <w:r w:rsidR="007D2E20" w:rsidRPr="001776BF">
        <w:rPr>
          <w:b/>
          <w:bCs/>
          <w:i/>
          <w:iCs/>
        </w:rPr>
        <w:t>10</w:t>
      </w:r>
      <w:r w:rsidR="007D2E20" w:rsidRPr="001776BF">
        <w:rPr>
          <w:b/>
          <w:i/>
        </w:rPr>
        <w:t>)</w:t>
      </w:r>
      <w:r w:rsidR="009A377C" w:rsidRPr="001776BF">
        <w:rPr>
          <w:b/>
          <w:i/>
          <w:color w:val="000000"/>
        </w:rPr>
        <w:fldChar w:fldCharType="end"/>
      </w:r>
      <w:r w:rsidR="001070F0" w:rsidRPr="00F259A2">
        <w:rPr>
          <w:color w:val="000000"/>
        </w:rPr>
        <w:t>,</w:t>
      </w:r>
      <w:r w:rsidR="00376F40" w:rsidRPr="00F259A2">
        <w:rPr>
          <w:color w:val="000000"/>
        </w:rPr>
        <w:t xml:space="preserve"> recognized the principles </w:t>
      </w:r>
      <w:r w:rsidR="001070F0" w:rsidRPr="00F259A2">
        <w:rPr>
          <w:color w:val="000000"/>
        </w:rPr>
        <w:t>of</w:t>
      </w:r>
      <w:r w:rsidR="003239DE" w:rsidRPr="00F259A2">
        <w:rPr>
          <w:color w:val="000000"/>
        </w:rPr>
        <w:t xml:space="preserve"> </w:t>
      </w:r>
      <w:r w:rsidR="00376F40" w:rsidRPr="00F259A2">
        <w:rPr>
          <w:color w:val="000000"/>
        </w:rPr>
        <w:t>CGH.</w:t>
      </w:r>
    </w:p>
    <w:p w14:paraId="448B212A" w14:textId="77777777" w:rsidR="001C1B16" w:rsidRPr="00F259A2" w:rsidRDefault="001C1B16" w:rsidP="008A5EE5">
      <w:pPr>
        <w:pStyle w:val="Bibliography1"/>
        <w:spacing w:line="480" w:lineRule="auto"/>
        <w:jc w:val="left"/>
        <w:rPr>
          <w:color w:val="000000"/>
        </w:rPr>
      </w:pPr>
    </w:p>
    <w:p w14:paraId="288430DC" w14:textId="77777777" w:rsidR="004B305D" w:rsidRPr="00F259A2" w:rsidRDefault="004B305D" w:rsidP="008A5EE5">
      <w:pPr>
        <w:pStyle w:val="Heading2"/>
        <w:spacing w:line="480" w:lineRule="auto"/>
        <w:rPr>
          <w:rFonts w:ascii="Times New Roman" w:hAnsi="Times New Roman" w:cs="Times New Roman"/>
          <w:color w:val="000000"/>
          <w:sz w:val="24"/>
          <w:szCs w:val="24"/>
        </w:rPr>
      </w:pPr>
      <w:r w:rsidRPr="00F259A2">
        <w:rPr>
          <w:rFonts w:ascii="Times New Roman" w:hAnsi="Times New Roman" w:cs="Times New Roman"/>
          <w:color w:val="000000"/>
          <w:sz w:val="24"/>
          <w:szCs w:val="24"/>
        </w:rPr>
        <w:lastRenderedPageBreak/>
        <w:t xml:space="preserve">1.1. </w:t>
      </w:r>
      <w:r w:rsidR="006E7B19" w:rsidRPr="00F259A2">
        <w:rPr>
          <w:rFonts w:ascii="Times New Roman" w:hAnsi="Times New Roman" w:cs="Times New Roman"/>
          <w:color w:val="000000"/>
          <w:sz w:val="24"/>
          <w:szCs w:val="24"/>
        </w:rPr>
        <w:t>Chromosomal</w:t>
      </w:r>
      <w:r w:rsidRPr="00F259A2">
        <w:rPr>
          <w:rFonts w:ascii="Times New Roman" w:hAnsi="Times New Roman" w:cs="Times New Roman"/>
          <w:color w:val="000000"/>
          <w:sz w:val="24"/>
          <w:szCs w:val="24"/>
        </w:rPr>
        <w:t xml:space="preserve"> comparative genomic hybridization (CGH)</w:t>
      </w:r>
    </w:p>
    <w:p w14:paraId="72533146" w14:textId="77777777" w:rsidR="0019277F" w:rsidRPr="00F259A2" w:rsidRDefault="0019277F" w:rsidP="008A5EE5">
      <w:pPr>
        <w:tabs>
          <w:tab w:val="left" w:pos="-1440"/>
          <w:tab w:val="left" w:pos="-720"/>
        </w:tabs>
        <w:suppressAutoHyphens/>
        <w:spacing w:line="480" w:lineRule="auto"/>
        <w:rPr>
          <w:color w:val="000000"/>
        </w:rPr>
      </w:pPr>
    </w:p>
    <w:p w14:paraId="7C9643F6" w14:textId="77777777" w:rsidR="00B47F7E" w:rsidRPr="00F259A2" w:rsidRDefault="004B305D" w:rsidP="008A5EE5">
      <w:pPr>
        <w:tabs>
          <w:tab w:val="left" w:pos="-1440"/>
          <w:tab w:val="left" w:pos="-720"/>
        </w:tabs>
        <w:suppressAutoHyphens/>
        <w:spacing w:line="480" w:lineRule="auto"/>
        <w:rPr>
          <w:color w:val="000000"/>
        </w:rPr>
      </w:pPr>
      <w:r w:rsidRPr="00F259A2">
        <w:rPr>
          <w:color w:val="000000"/>
        </w:rPr>
        <w:t xml:space="preserve">The conventional </w:t>
      </w:r>
      <w:r w:rsidR="006E7B19" w:rsidRPr="00F259A2">
        <w:rPr>
          <w:color w:val="000000"/>
        </w:rPr>
        <w:t xml:space="preserve">chromosomal </w:t>
      </w:r>
      <w:r w:rsidRPr="00F259A2">
        <w:rPr>
          <w:color w:val="000000"/>
        </w:rPr>
        <w:t>CGH method exclusively compares whole genomes for copy number changes</w:t>
      </w:r>
      <w:r w:rsidR="00E44CCC" w:rsidRPr="00F259A2">
        <w:rPr>
          <w:color w:val="000000"/>
        </w:rPr>
        <w:t>, e.g. gain and loss of chromosomal DNA sequences</w:t>
      </w:r>
      <w:r w:rsidR="00FC0206" w:rsidRPr="00F259A2">
        <w:rPr>
          <w:color w:val="000000"/>
        </w:rPr>
        <w:t>.</w:t>
      </w:r>
      <w:r w:rsidR="00A5527F" w:rsidRPr="00F259A2">
        <w:rPr>
          <w:color w:val="000000"/>
        </w:rPr>
        <w:t xml:space="preserve"> </w:t>
      </w:r>
      <w:r w:rsidR="00FC0206" w:rsidRPr="00F259A2">
        <w:rPr>
          <w:color w:val="000000"/>
        </w:rPr>
        <w:t>T</w:t>
      </w:r>
      <w:r w:rsidRPr="00F259A2">
        <w:rPr>
          <w:color w:val="000000"/>
        </w:rPr>
        <w:t xml:space="preserve">he major difference between </w:t>
      </w:r>
      <w:r w:rsidR="00FC0206" w:rsidRPr="00F259A2">
        <w:rPr>
          <w:color w:val="000000"/>
        </w:rPr>
        <w:t xml:space="preserve">CGH and </w:t>
      </w:r>
      <w:r w:rsidRPr="00F259A2">
        <w:rPr>
          <w:color w:val="000000"/>
        </w:rPr>
        <w:t>the commonly emp</w:t>
      </w:r>
      <w:r w:rsidR="00B47219" w:rsidRPr="00F259A2">
        <w:rPr>
          <w:color w:val="000000"/>
        </w:rPr>
        <w:t>loyed FISH technique is</w:t>
      </w:r>
      <w:r w:rsidRPr="00F259A2">
        <w:rPr>
          <w:color w:val="000000"/>
        </w:rPr>
        <w:t xml:space="preserve"> the use of metaphase chromosomes </w:t>
      </w:r>
      <w:r w:rsidR="00B47219" w:rsidRPr="00F259A2">
        <w:rPr>
          <w:color w:val="000000"/>
        </w:rPr>
        <w:t xml:space="preserve">serving </w:t>
      </w:r>
      <w:r w:rsidR="00FC0206" w:rsidRPr="00F259A2">
        <w:rPr>
          <w:color w:val="000000"/>
        </w:rPr>
        <w:t>o</w:t>
      </w:r>
      <w:r w:rsidR="00B47219" w:rsidRPr="00F259A2">
        <w:rPr>
          <w:color w:val="000000"/>
        </w:rPr>
        <w:t>nly as a hybridization matrix for comparative genomic hybridization</w:t>
      </w:r>
      <w:r w:rsidR="00FC0206" w:rsidRPr="00F259A2">
        <w:rPr>
          <w:color w:val="000000"/>
        </w:rPr>
        <w:t xml:space="preserve"> and are not representing target structures to be analysed</w:t>
      </w:r>
      <w:r w:rsidRPr="00F259A2">
        <w:rPr>
          <w:color w:val="000000"/>
        </w:rPr>
        <w:t xml:space="preserve">. Metaphase chromosomes </w:t>
      </w:r>
      <w:r w:rsidR="00B47219" w:rsidRPr="00F259A2">
        <w:rPr>
          <w:color w:val="000000"/>
        </w:rPr>
        <w:t xml:space="preserve">spread on glass slides therefore always originate </w:t>
      </w:r>
      <w:r w:rsidRPr="00F259A2">
        <w:rPr>
          <w:color w:val="000000"/>
        </w:rPr>
        <w:t xml:space="preserve">from </w:t>
      </w:r>
      <w:r w:rsidR="00B47219" w:rsidRPr="00F259A2">
        <w:rPr>
          <w:color w:val="000000"/>
        </w:rPr>
        <w:t xml:space="preserve">cultures of stimulated lymphocytes from </w:t>
      </w:r>
      <w:r w:rsidRPr="00F259A2">
        <w:rPr>
          <w:color w:val="000000"/>
        </w:rPr>
        <w:t xml:space="preserve">healthy individuals, </w:t>
      </w:r>
      <w:r w:rsidR="00B47219" w:rsidRPr="00F259A2">
        <w:rPr>
          <w:color w:val="000000"/>
        </w:rPr>
        <w:t xml:space="preserve">either </w:t>
      </w:r>
      <w:proofErr w:type="spellStart"/>
      <w:r w:rsidR="00B47219" w:rsidRPr="00F259A2">
        <w:rPr>
          <w:color w:val="000000"/>
        </w:rPr>
        <w:t>self</w:t>
      </w:r>
      <w:r w:rsidR="00AD5B6B">
        <w:rPr>
          <w:color w:val="000000"/>
        </w:rPr>
        <w:t>--</w:t>
      </w:r>
      <w:r w:rsidR="00B47219" w:rsidRPr="00F259A2">
        <w:rPr>
          <w:color w:val="000000"/>
        </w:rPr>
        <w:t>prepared</w:t>
      </w:r>
      <w:proofErr w:type="spellEnd"/>
      <w:r w:rsidR="00B47219" w:rsidRPr="00F259A2">
        <w:rPr>
          <w:color w:val="000000"/>
        </w:rPr>
        <w:t xml:space="preserve"> or </w:t>
      </w:r>
      <w:r w:rsidRPr="00F259A2">
        <w:rPr>
          <w:color w:val="000000"/>
        </w:rPr>
        <w:t xml:space="preserve">commercially bought. </w:t>
      </w:r>
      <w:r w:rsidR="00B47219" w:rsidRPr="00F259A2">
        <w:rPr>
          <w:color w:val="000000"/>
        </w:rPr>
        <w:t>The quality of the chromosome spreads, the condensation degree of the chromosomes and the density of the spreads on the slide are important criteria for the selection of these slides for CGH. T</w:t>
      </w:r>
      <w:r w:rsidRPr="00F259A2">
        <w:rPr>
          <w:color w:val="000000"/>
        </w:rPr>
        <w:t>wo sets of DNA</w:t>
      </w:r>
      <w:r w:rsidR="004D34BD">
        <w:rPr>
          <w:color w:val="000000"/>
        </w:rPr>
        <w:t>--</w:t>
      </w:r>
      <w:r w:rsidRPr="00F259A2">
        <w:rPr>
          <w:color w:val="000000"/>
        </w:rPr>
        <w:t>probes are co</w:t>
      </w:r>
      <w:r w:rsidR="00A36E61">
        <w:rPr>
          <w:color w:val="000000"/>
        </w:rPr>
        <w:t>--</w:t>
      </w:r>
      <w:r w:rsidRPr="00F259A2">
        <w:rPr>
          <w:color w:val="000000"/>
        </w:rPr>
        <w:t>hybridized</w:t>
      </w:r>
      <w:r w:rsidR="00B47219" w:rsidRPr="00F259A2">
        <w:rPr>
          <w:color w:val="000000"/>
        </w:rPr>
        <w:t xml:space="preserve"> onto the chromosomal matrix (metaphase chromosomes)</w:t>
      </w:r>
      <w:r w:rsidR="00080201" w:rsidRPr="00F259A2">
        <w:rPr>
          <w:color w:val="000000"/>
        </w:rPr>
        <w:t>. These DNA</w:t>
      </w:r>
      <w:r w:rsidR="00A36E61">
        <w:rPr>
          <w:color w:val="000000"/>
        </w:rPr>
        <w:t>--</w:t>
      </w:r>
      <w:r w:rsidR="00080201" w:rsidRPr="00F259A2">
        <w:rPr>
          <w:color w:val="000000"/>
        </w:rPr>
        <w:t>probes are</w:t>
      </w:r>
      <w:r w:rsidRPr="00F259A2">
        <w:rPr>
          <w:color w:val="000000"/>
        </w:rPr>
        <w:t xml:space="preserve"> generated from isolated genomic DNA from cells of a healthy individual or individuals (control DNA) on one hand and from specific target cells / tissue, e.g. a solid tumour, on the other hand </w:t>
      </w:r>
      <w:r w:rsidR="009A377C" w:rsidRPr="004D34BD">
        <w:rPr>
          <w:b/>
          <w:i/>
          <w:color w:val="000000"/>
        </w:rPr>
        <w:fldChar w:fldCharType="begin"/>
      </w:r>
      <w:r w:rsidR="0042106E" w:rsidRPr="004D34BD">
        <w:rPr>
          <w:b/>
          <w:i/>
          <w:color w:val="000000"/>
        </w:rPr>
        <w:instrText xml:space="preserve"> ADDIN ZOTERO_ITEM CSL_CITATION {"citationID":"17v8vunoqc","properties":{"formattedCitation":"{\\rtf (\\b \\i 11\\i0{}\\b0{})}","plainCitation":"(11)"},"citationItems":[{"id":16,"uris":["http://zotero.org/users/1046410/items/NZU5IVI9"],"uri":["http://zotero.org/users/1046410/items/NZU5IVI9"],"itemData":{"id":16,"type":"article-journal","title":"Comparative genomic hybridization: a rapid new method for detecting and mapping DNA amplification in tumors","container-title":"Seminars in cancer biology","page":"41-46","volume":"4","issue":"1","abstract":"Recent evidence indicates that many more genes than the currently known oncogenes may undergo amplification in tumors. We have developed a new technique, Comparative Genomic Hybridization (CGH), which allows rapid detection of DNA amplification anywhere in the tumor genome and maps the amplified sequences on normal chromosomes. CGH is based on a competitive in situ hybridization of differentially labeled tumor DNA and normal DNA to a normal human metaphase spread. Regions of gain of DNA sequences are seen as an increased color ratio of two fluorochromes used to detect the labeled DNAs. Over 20 different regions of amplification have been identified using CGH.","note":"PMID: 8448377","shortTitle":"Comparative genomic hybridization","journalAbbreviation":"Semin. Cancer Biol.","author":[{"family":"Kallioniemi","given":"O P"},{"family":"Kallioniemi","given":"A"},{"family":"Sudar","given":"D"},{"family":"Rutovitz","given":"D"},{"family":"Gray","given":"J W"},{"family":"Waldman","given":"F"},{"family":"Pinkel","given":"D"}],"issued":{"year":1993,"month":2},"accessed":{"year":2012,"month":5,"day":3},"page-first":"41"}}],"schema":"https://github.com/citation-style-language/schema/raw/master/csl-citation.json"} </w:instrText>
      </w:r>
      <w:r w:rsidR="009A377C" w:rsidRPr="004D34BD">
        <w:rPr>
          <w:b/>
          <w:i/>
          <w:color w:val="000000"/>
        </w:rPr>
        <w:fldChar w:fldCharType="separate"/>
      </w:r>
      <w:r w:rsidR="007D2E20" w:rsidRPr="004D34BD">
        <w:rPr>
          <w:b/>
          <w:i/>
        </w:rPr>
        <w:t>(</w:t>
      </w:r>
      <w:r w:rsidR="007D2E20" w:rsidRPr="004D34BD">
        <w:rPr>
          <w:b/>
          <w:bCs/>
          <w:i/>
          <w:iCs/>
        </w:rPr>
        <w:t>11</w:t>
      </w:r>
      <w:r w:rsidR="007D2E20" w:rsidRPr="004D34BD">
        <w:rPr>
          <w:b/>
          <w:i/>
        </w:rPr>
        <w:t>)</w:t>
      </w:r>
      <w:r w:rsidR="009A377C" w:rsidRPr="004D34BD">
        <w:rPr>
          <w:b/>
          <w:i/>
          <w:color w:val="000000"/>
        </w:rPr>
        <w:fldChar w:fldCharType="end"/>
      </w:r>
      <w:r w:rsidRPr="00F259A2">
        <w:rPr>
          <w:color w:val="000000"/>
        </w:rPr>
        <w:t xml:space="preserve">. </w:t>
      </w:r>
      <w:r w:rsidR="00E44CCC" w:rsidRPr="00F259A2">
        <w:rPr>
          <w:color w:val="000000"/>
        </w:rPr>
        <w:t>As a prerequisite, the DNA</w:t>
      </w:r>
      <w:r w:rsidR="006073A1">
        <w:rPr>
          <w:color w:val="000000"/>
        </w:rPr>
        <w:t>--</w:t>
      </w:r>
      <w:r w:rsidR="00E44CCC" w:rsidRPr="00F259A2">
        <w:rPr>
          <w:color w:val="000000"/>
        </w:rPr>
        <w:t xml:space="preserve">probes have to be differently labelled with two kinds of fluorochromes, for instance the control DNA in green </w:t>
      </w:r>
      <w:r w:rsidR="002A6B4B" w:rsidRPr="00F259A2">
        <w:rPr>
          <w:color w:val="000000"/>
        </w:rPr>
        <w:t>[</w:t>
      </w:r>
      <w:r w:rsidR="00E44CCC" w:rsidRPr="00F259A2">
        <w:rPr>
          <w:color w:val="000000"/>
        </w:rPr>
        <w:t>e.g. fluorescein isothiocyanate (FITC)</w:t>
      </w:r>
      <w:r w:rsidR="002A6B4B" w:rsidRPr="00F259A2">
        <w:rPr>
          <w:color w:val="000000"/>
        </w:rPr>
        <w:t>]</w:t>
      </w:r>
      <w:r w:rsidR="00E44CCC" w:rsidRPr="00F259A2">
        <w:rPr>
          <w:color w:val="000000"/>
        </w:rPr>
        <w:t xml:space="preserve"> and the test DNA in red (e.g. Cy3 or rhodamine). After hybridization, the ratio of fluorescence intensities along the metaphase chromosomes now exclusively display</w:t>
      </w:r>
      <w:r w:rsidR="00A831D8" w:rsidRPr="00F259A2">
        <w:rPr>
          <w:color w:val="000000"/>
        </w:rPr>
        <w:t>s</w:t>
      </w:r>
      <w:r w:rsidR="00E44CCC" w:rsidRPr="00F259A2">
        <w:rPr>
          <w:color w:val="000000"/>
        </w:rPr>
        <w:t xml:space="preserve"> the cytogenetic information regarding genomic changes in the test genome in relation to the control DNA (</w:t>
      </w:r>
      <w:r w:rsidR="00E44CCC" w:rsidRPr="00CB7D7B">
        <w:rPr>
          <w:b/>
          <w:color w:val="000000"/>
        </w:rPr>
        <w:t>Figure 1</w:t>
      </w:r>
      <w:r w:rsidR="00E44CCC" w:rsidRPr="00F259A2">
        <w:rPr>
          <w:color w:val="000000"/>
        </w:rPr>
        <w:t>).</w:t>
      </w:r>
    </w:p>
    <w:p w14:paraId="2BBA262F" w14:textId="77777777" w:rsidR="00B47F7E" w:rsidRPr="00F259A2" w:rsidRDefault="00B47F7E" w:rsidP="008A5EE5">
      <w:pPr>
        <w:tabs>
          <w:tab w:val="left" w:pos="-1440"/>
          <w:tab w:val="left" w:pos="-720"/>
        </w:tabs>
        <w:suppressAutoHyphens/>
        <w:spacing w:line="480" w:lineRule="auto"/>
        <w:rPr>
          <w:color w:val="000000"/>
        </w:rPr>
      </w:pPr>
    </w:p>
    <w:p w14:paraId="1F57AF9E" w14:textId="77777777" w:rsidR="00B47F7E" w:rsidRPr="00F259A2" w:rsidRDefault="00B47F7E" w:rsidP="008A5EE5">
      <w:pPr>
        <w:tabs>
          <w:tab w:val="left" w:pos="-1440"/>
          <w:tab w:val="left" w:pos="-720"/>
        </w:tabs>
        <w:suppressAutoHyphens/>
        <w:spacing w:line="480" w:lineRule="auto"/>
        <w:rPr>
          <w:color w:val="000000"/>
        </w:rPr>
      </w:pPr>
    </w:p>
    <w:p w14:paraId="01F91260" w14:textId="77777777" w:rsidR="00B47F7E" w:rsidRPr="00F259A2" w:rsidRDefault="00B47F7E" w:rsidP="008A5EE5">
      <w:pPr>
        <w:tabs>
          <w:tab w:val="left" w:pos="-1440"/>
          <w:tab w:val="left" w:pos="-720"/>
        </w:tabs>
        <w:suppressAutoHyphens/>
        <w:spacing w:line="480" w:lineRule="auto"/>
        <w:rPr>
          <w:color w:val="000000"/>
        </w:rPr>
      </w:pPr>
      <w:r w:rsidRPr="00F259A2">
        <w:rPr>
          <w:color w:val="000000"/>
        </w:rPr>
        <w:t xml:space="preserve">&lt; Insert </w:t>
      </w:r>
      <w:r w:rsidRPr="00F259A2">
        <w:rPr>
          <w:b/>
          <w:color w:val="000000"/>
        </w:rPr>
        <w:t>Figure 1</w:t>
      </w:r>
      <w:r w:rsidRPr="00F259A2">
        <w:rPr>
          <w:color w:val="000000"/>
        </w:rPr>
        <w:t xml:space="preserve"> here &gt;</w:t>
      </w:r>
    </w:p>
    <w:p w14:paraId="4B429569" w14:textId="77777777" w:rsidR="004B305D" w:rsidRPr="00F259A2" w:rsidRDefault="004B305D" w:rsidP="008A5EE5">
      <w:pPr>
        <w:tabs>
          <w:tab w:val="left" w:pos="-1440"/>
          <w:tab w:val="left" w:pos="-720"/>
        </w:tabs>
        <w:suppressAutoHyphens/>
        <w:spacing w:line="480" w:lineRule="auto"/>
        <w:rPr>
          <w:color w:val="000000"/>
        </w:rPr>
      </w:pPr>
      <w:r w:rsidRPr="00F259A2">
        <w:rPr>
          <w:color w:val="000000"/>
        </w:rPr>
        <w:lastRenderedPageBreak/>
        <w:t>Thus, there is no need for culturing and preparing metaphase spreads from t</w:t>
      </w:r>
      <w:r w:rsidR="00381B0A" w:rsidRPr="00F259A2">
        <w:rPr>
          <w:color w:val="000000"/>
        </w:rPr>
        <w:t>arget</w:t>
      </w:r>
      <w:r w:rsidRPr="00F259A2">
        <w:rPr>
          <w:color w:val="000000"/>
        </w:rPr>
        <w:t xml:space="preserve"> cells</w:t>
      </w:r>
      <w:r w:rsidR="00381B0A" w:rsidRPr="00F259A2">
        <w:rPr>
          <w:color w:val="000000"/>
        </w:rPr>
        <w:t xml:space="preserve"> such as tumour cells</w:t>
      </w:r>
      <w:r w:rsidRPr="00F259A2">
        <w:rPr>
          <w:color w:val="000000"/>
        </w:rPr>
        <w:t xml:space="preserve"> in order to analyse copy number changes </w:t>
      </w:r>
      <w:r w:rsidR="00080201" w:rsidRPr="00F259A2">
        <w:rPr>
          <w:color w:val="000000"/>
        </w:rPr>
        <w:t xml:space="preserve">or numerical abnormalities </w:t>
      </w:r>
      <w:r w:rsidRPr="00F259A2">
        <w:rPr>
          <w:color w:val="000000"/>
        </w:rPr>
        <w:t xml:space="preserve">in the </w:t>
      </w:r>
      <w:r w:rsidR="00080201" w:rsidRPr="00F259A2">
        <w:rPr>
          <w:color w:val="000000"/>
        </w:rPr>
        <w:t xml:space="preserve">genome of the </w:t>
      </w:r>
      <w:r w:rsidR="00381B0A" w:rsidRPr="00F259A2">
        <w:rPr>
          <w:color w:val="000000"/>
        </w:rPr>
        <w:t>studied</w:t>
      </w:r>
      <w:r w:rsidR="00080201" w:rsidRPr="00F259A2">
        <w:rPr>
          <w:color w:val="000000"/>
        </w:rPr>
        <w:t xml:space="preserve"> cells</w:t>
      </w:r>
      <w:r w:rsidRPr="00F259A2">
        <w:rPr>
          <w:color w:val="000000"/>
        </w:rPr>
        <w:t xml:space="preserve">. As the two sets of </w:t>
      </w:r>
      <w:r w:rsidR="00080201" w:rsidRPr="00F259A2">
        <w:rPr>
          <w:color w:val="000000"/>
        </w:rPr>
        <w:t>DNA</w:t>
      </w:r>
      <w:r w:rsidR="00AD5B6B">
        <w:rPr>
          <w:color w:val="000000"/>
        </w:rPr>
        <w:t>--</w:t>
      </w:r>
      <w:r w:rsidRPr="00F259A2">
        <w:rPr>
          <w:color w:val="000000"/>
        </w:rPr>
        <w:t xml:space="preserve">probes are applied evenly on the </w:t>
      </w:r>
      <w:r w:rsidR="00080201" w:rsidRPr="00F259A2">
        <w:rPr>
          <w:color w:val="000000"/>
        </w:rPr>
        <w:t>metaphase</w:t>
      </w:r>
      <w:r w:rsidRPr="00F259A2">
        <w:rPr>
          <w:color w:val="000000"/>
        </w:rPr>
        <w:t xml:space="preserve"> chromosomes</w:t>
      </w:r>
      <w:r w:rsidR="00381B0A" w:rsidRPr="00F259A2">
        <w:rPr>
          <w:color w:val="000000"/>
        </w:rPr>
        <w:t xml:space="preserve">, which serve as a hybridization matrix, </w:t>
      </w:r>
      <w:r w:rsidRPr="00F259A2">
        <w:rPr>
          <w:color w:val="000000"/>
        </w:rPr>
        <w:t>the result is a balanced mix of the fluorescent dyes</w:t>
      </w:r>
      <w:r w:rsidR="00080201" w:rsidRPr="00F259A2">
        <w:rPr>
          <w:color w:val="000000"/>
        </w:rPr>
        <w:t>,</w:t>
      </w:r>
      <w:r w:rsidR="00662B08" w:rsidRPr="00F259A2">
        <w:rPr>
          <w:color w:val="000000"/>
        </w:rPr>
        <w:t xml:space="preserve"> </w:t>
      </w:r>
      <w:proofErr w:type="gramStart"/>
      <w:r w:rsidR="00080201" w:rsidRPr="00F259A2">
        <w:rPr>
          <w:color w:val="000000"/>
        </w:rPr>
        <w:t>e.g.</w:t>
      </w:r>
      <w:proofErr w:type="gramEnd"/>
      <w:r w:rsidR="00080201" w:rsidRPr="00F259A2">
        <w:rPr>
          <w:color w:val="000000"/>
        </w:rPr>
        <w:t xml:space="preserve"> appearing yellowish due to an even </w:t>
      </w:r>
      <w:r w:rsidR="00381B0A" w:rsidRPr="00F259A2">
        <w:rPr>
          <w:color w:val="000000"/>
        </w:rPr>
        <w:t>blending</w:t>
      </w:r>
      <w:r w:rsidR="00080201" w:rsidRPr="00F259A2">
        <w:rPr>
          <w:color w:val="000000"/>
        </w:rPr>
        <w:t xml:space="preserve"> of </w:t>
      </w:r>
      <w:r w:rsidRPr="00F259A2">
        <w:rPr>
          <w:color w:val="000000"/>
        </w:rPr>
        <w:t>green and red</w:t>
      </w:r>
      <w:r w:rsidR="00080201" w:rsidRPr="00F259A2">
        <w:rPr>
          <w:color w:val="000000"/>
        </w:rPr>
        <w:t xml:space="preserve"> fluorescence intensities</w:t>
      </w:r>
      <w:r w:rsidRPr="00F259A2">
        <w:rPr>
          <w:color w:val="000000"/>
        </w:rPr>
        <w:t xml:space="preserve">. Areas within the </w:t>
      </w:r>
      <w:r w:rsidR="00381B0A" w:rsidRPr="00F259A2">
        <w:rPr>
          <w:color w:val="000000"/>
        </w:rPr>
        <w:t xml:space="preserve">studied cells’ </w:t>
      </w:r>
      <w:r w:rsidRPr="00F259A2">
        <w:rPr>
          <w:color w:val="000000"/>
        </w:rPr>
        <w:t>chromosomal setup, which are either lost or gained / amplified, lead to an imbalanced mixture of the two probe sets at corres</w:t>
      </w:r>
      <w:r w:rsidR="00381B0A" w:rsidRPr="00F259A2">
        <w:rPr>
          <w:color w:val="000000"/>
        </w:rPr>
        <w:t>ponding complementary sequences along the metaphase chromosomes</w:t>
      </w:r>
      <w:r w:rsidRPr="00F259A2">
        <w:rPr>
          <w:color w:val="000000"/>
        </w:rPr>
        <w:t>. Subsequently, image analysis is employed to qualitatively and quantitatively evaluate information about copy number variations such as deletions, duplications and amplifications</w:t>
      </w:r>
      <w:r w:rsidR="005D6718" w:rsidRPr="00F259A2">
        <w:rPr>
          <w:color w:val="000000"/>
        </w:rPr>
        <w:t>,</w:t>
      </w:r>
      <w:r w:rsidRPr="00F259A2">
        <w:rPr>
          <w:color w:val="000000"/>
        </w:rPr>
        <w:t xml:space="preserve"> within the </w:t>
      </w:r>
      <w:r w:rsidR="00381B0A" w:rsidRPr="00F259A2">
        <w:rPr>
          <w:color w:val="000000"/>
        </w:rPr>
        <w:t>studied cells’</w:t>
      </w:r>
      <w:r w:rsidRPr="00F259A2">
        <w:rPr>
          <w:color w:val="000000"/>
        </w:rPr>
        <w:t xml:space="preserve"> genome. The lowest detection limit of over</w:t>
      </w:r>
      <w:r w:rsidR="00AD5B6B">
        <w:rPr>
          <w:color w:val="000000"/>
        </w:rPr>
        <w:t>--</w:t>
      </w:r>
      <w:r w:rsidRPr="00F259A2">
        <w:rPr>
          <w:color w:val="000000"/>
        </w:rPr>
        <w:t xml:space="preserve">expressed DNA in conventional CGH was found to be 0.25 Mb. In addition, for assessing minor amplifications the rule of thumb states: the smaller the duplication the higher the copy number (≥ 20 copies). The maximum resolution after losing one homologue is </w:t>
      </w:r>
      <w:r w:rsidR="00080201" w:rsidRPr="00F259A2">
        <w:rPr>
          <w:color w:val="000000"/>
        </w:rPr>
        <w:t xml:space="preserve">approximately </w:t>
      </w:r>
      <w:r w:rsidRPr="00F259A2">
        <w:rPr>
          <w:color w:val="000000"/>
        </w:rPr>
        <w:t xml:space="preserve">2 Mb, for the loss of both homologues the resolution decreases to 1 Mb </w:t>
      </w:r>
      <w:r w:rsidR="009A377C" w:rsidRPr="00DC35CF">
        <w:rPr>
          <w:b/>
          <w:i/>
          <w:color w:val="000000"/>
        </w:rPr>
        <w:fldChar w:fldCharType="begin"/>
      </w:r>
      <w:r w:rsidR="0042106E" w:rsidRPr="00DC35CF">
        <w:rPr>
          <w:b/>
          <w:i/>
          <w:color w:val="000000"/>
        </w:rPr>
        <w:instrText xml:space="preserve"> ADDIN ZOTERO_ITEM CSL_CITATION {"citationID":"jcbi7hnqc","properties":{"formattedCitation":"{\\rtf (\\b \\i 12\\i0{}\\b0{})}","plainCitation":"(12)"},"citationItems":[{"id":264,"uris":["http://zotero.org/users/1046410/items/3KKCD8UD"],"uri":["http://zotero.org/users/1046410/items/3KKCD8UD"],"itemData":{"id":264,"type":"article-journal","title":"Comparative genomic hybridisation for the analysis of chromosomal imbalances in solid tumours and haematological malignancies","container-title":"Histochemistry and cell biology","page":"403-417","volume":"108","issue":"4-5","abstract":"Comparative genomic hybridisation (CGH) is based on a two-colour, competitive fluorescence in situ hybridisation of differentially labelled tumour and reference DNA to normal metaphase chromosomes. This new technology has made a great impact in molecular tumour pathology due to its possible application to archival specimens and the ability to create copy number karyotypes throughout the whole genome from very small amounts of DNA. If chromosomal imbalances can be correlated with a etiological and clinical features of tumours, CGH could be able to provide new prognostic and diagnostic criteria. CGH findings further provide starting points for the molecular genetic characterisation of altered chromosomal regions harbouring yet unidentified genes involved in tumorigenesis and tumour progression. An overview of the results of published CGH studies on solid tumours and haematological malignancies is presented. Methodological limitations of the CGH technology are reported, as well as future developments which will improve its use in routine analysis.","note":"PMID: 9387933","journalAbbreviation":"Histochem. Cell Biol.","author":[{"family":"Zitzelsberger","given":"H"},{"family":"Lehmann","given":"L"},{"family":"Werner","given":"M"},{"family":"Bauchinger","given":"M"}],"issued":{"year":1997,"month":11},"accessed":{"year":2012,"month":7,"day":3},"page-first":"403"}}],"schema":"https://github.com/citation-style-language/schema/raw/master/csl-citation.json"} </w:instrText>
      </w:r>
      <w:r w:rsidR="009A377C" w:rsidRPr="00DC35CF">
        <w:rPr>
          <w:b/>
          <w:i/>
          <w:color w:val="000000"/>
        </w:rPr>
        <w:fldChar w:fldCharType="separate"/>
      </w:r>
      <w:r w:rsidR="007D2E20" w:rsidRPr="00DC35CF">
        <w:rPr>
          <w:b/>
          <w:i/>
        </w:rPr>
        <w:t>(</w:t>
      </w:r>
      <w:r w:rsidR="007D2E20" w:rsidRPr="00DC35CF">
        <w:rPr>
          <w:b/>
          <w:bCs/>
          <w:i/>
          <w:iCs/>
        </w:rPr>
        <w:t>12</w:t>
      </w:r>
      <w:r w:rsidR="007D2E20" w:rsidRPr="00DC35CF">
        <w:rPr>
          <w:b/>
          <w:i/>
        </w:rPr>
        <w:t>)</w:t>
      </w:r>
      <w:r w:rsidR="009A377C" w:rsidRPr="00DC35CF">
        <w:rPr>
          <w:b/>
          <w:i/>
          <w:color w:val="000000"/>
        </w:rPr>
        <w:fldChar w:fldCharType="end"/>
      </w:r>
      <w:r w:rsidRPr="00F259A2">
        <w:rPr>
          <w:color w:val="000000"/>
        </w:rPr>
        <w:t xml:space="preserve">. </w:t>
      </w:r>
      <w:r w:rsidR="00662B08" w:rsidRPr="00F259A2">
        <w:rPr>
          <w:color w:val="000000"/>
        </w:rPr>
        <w:t xml:space="preserve">Section </w:t>
      </w:r>
      <w:r w:rsidR="00A831D8" w:rsidRPr="00F259A2">
        <w:rPr>
          <w:color w:val="000000"/>
        </w:rPr>
        <w:t xml:space="preserve">3 of this chapter shows a standard protocol for chromosomal CGH. DNA probes employed in this protocol are directly labelled with fluorochromes by using Nick Translation. </w:t>
      </w:r>
    </w:p>
    <w:p w14:paraId="546AC140" w14:textId="77777777" w:rsidR="004B305D" w:rsidRPr="00F259A2" w:rsidRDefault="004B305D" w:rsidP="008A5EE5">
      <w:pPr>
        <w:tabs>
          <w:tab w:val="left" w:pos="-1440"/>
          <w:tab w:val="left" w:pos="-720"/>
        </w:tabs>
        <w:suppressAutoHyphens/>
        <w:spacing w:line="480" w:lineRule="auto"/>
        <w:rPr>
          <w:color w:val="000000"/>
        </w:rPr>
      </w:pPr>
    </w:p>
    <w:p w14:paraId="1E849882" w14:textId="77777777" w:rsidR="004B305D" w:rsidRPr="00F259A2" w:rsidRDefault="0019277F" w:rsidP="008A5EE5">
      <w:pPr>
        <w:tabs>
          <w:tab w:val="left" w:pos="-1440"/>
          <w:tab w:val="left" w:pos="-720"/>
        </w:tabs>
        <w:suppressAutoHyphens/>
        <w:spacing w:line="480" w:lineRule="auto"/>
        <w:rPr>
          <w:color w:val="000000"/>
        </w:rPr>
      </w:pPr>
      <w:r w:rsidRPr="00F259A2">
        <w:rPr>
          <w:color w:val="000000"/>
        </w:rPr>
        <w:t>Initially d</w:t>
      </w:r>
      <w:r w:rsidR="004B305D" w:rsidRPr="00F259A2">
        <w:rPr>
          <w:color w:val="000000"/>
        </w:rPr>
        <w:t>eveloped to investigate chromosomal changes in the genome within solid tumour</w:t>
      </w:r>
      <w:r w:rsidR="005D6718" w:rsidRPr="00F259A2">
        <w:rPr>
          <w:color w:val="000000"/>
        </w:rPr>
        <w:t>s,</w:t>
      </w:r>
      <w:r w:rsidR="004B305D" w:rsidRPr="00F259A2">
        <w:rPr>
          <w:color w:val="000000"/>
        </w:rPr>
        <w:t xml:space="preserve"> th</w:t>
      </w:r>
      <w:r w:rsidR="005F57D9" w:rsidRPr="00F259A2">
        <w:rPr>
          <w:color w:val="000000"/>
        </w:rPr>
        <w:t>e</w:t>
      </w:r>
      <w:r w:rsidR="00A26927" w:rsidRPr="00F259A2">
        <w:rPr>
          <w:color w:val="000000"/>
        </w:rPr>
        <w:t xml:space="preserve"> </w:t>
      </w:r>
      <w:r w:rsidR="005F57D9" w:rsidRPr="00F259A2">
        <w:rPr>
          <w:color w:val="000000"/>
        </w:rPr>
        <w:t>chromosomal CGH met</w:t>
      </w:r>
      <w:r w:rsidR="004B305D" w:rsidRPr="00F259A2">
        <w:rPr>
          <w:color w:val="000000"/>
        </w:rPr>
        <w:t xml:space="preserve">hod has </w:t>
      </w:r>
      <w:r w:rsidR="005F57D9" w:rsidRPr="00F259A2">
        <w:rPr>
          <w:color w:val="000000"/>
        </w:rPr>
        <w:t xml:space="preserve">also </w:t>
      </w:r>
      <w:r w:rsidR="004B305D" w:rsidRPr="00F259A2">
        <w:rPr>
          <w:color w:val="000000"/>
        </w:rPr>
        <w:t>been employed to study the impact of genotoxins to the genome. Corso and Parry developed the cell line MCL</w:t>
      </w:r>
      <w:r w:rsidR="00AD5B6B">
        <w:rPr>
          <w:color w:val="000000"/>
        </w:rPr>
        <w:t>--</w:t>
      </w:r>
      <w:r w:rsidR="004B305D" w:rsidRPr="00F259A2">
        <w:rPr>
          <w:color w:val="000000"/>
        </w:rPr>
        <w:t xml:space="preserve">5 </w:t>
      </w:r>
      <w:r w:rsidR="00712DA2" w:rsidRPr="00F259A2">
        <w:rPr>
          <w:color w:val="000000"/>
        </w:rPr>
        <w:t>for the us</w:t>
      </w:r>
      <w:r w:rsidR="005F57D9" w:rsidRPr="00F259A2">
        <w:rPr>
          <w:color w:val="000000"/>
        </w:rPr>
        <w:t>e</w:t>
      </w:r>
      <w:r w:rsidR="00712DA2" w:rsidRPr="00F259A2">
        <w:rPr>
          <w:color w:val="000000"/>
        </w:rPr>
        <w:t xml:space="preserve"> with the CGH assay </w:t>
      </w:r>
      <w:r w:rsidR="004B305D" w:rsidRPr="00F259A2">
        <w:rPr>
          <w:color w:val="000000"/>
        </w:rPr>
        <w:t>by transfecting the human B cell</w:t>
      </w:r>
      <w:r w:rsidR="00AD5B6B">
        <w:rPr>
          <w:color w:val="000000"/>
        </w:rPr>
        <w:t>--</w:t>
      </w:r>
      <w:r w:rsidR="004B305D" w:rsidRPr="00F259A2">
        <w:rPr>
          <w:color w:val="000000"/>
        </w:rPr>
        <w:t>derived lymphoblastoid cell line AHH</w:t>
      </w:r>
      <w:r w:rsidR="00AD5B6B">
        <w:rPr>
          <w:color w:val="000000"/>
        </w:rPr>
        <w:t>--</w:t>
      </w:r>
      <w:r w:rsidR="004B305D" w:rsidRPr="00F259A2">
        <w:rPr>
          <w:color w:val="000000"/>
        </w:rPr>
        <w:t>1 TK+/</w:t>
      </w:r>
      <w:r w:rsidR="00AD5B6B">
        <w:rPr>
          <w:color w:val="000000"/>
        </w:rPr>
        <w:t>--</w:t>
      </w:r>
      <w:r w:rsidR="00712DA2" w:rsidRPr="00F259A2">
        <w:rPr>
          <w:color w:val="000000"/>
        </w:rPr>
        <w:t xml:space="preserve"> with cDNAs from CYP1A2, CYP2A6, CYP2E1, CYP3A4 and EPHX1 in plasmids</w:t>
      </w:r>
      <w:r w:rsidR="004B305D" w:rsidRPr="00F259A2">
        <w:rPr>
          <w:color w:val="000000"/>
        </w:rPr>
        <w:t xml:space="preserve">, thus, expressing human cytochrome P450 enzymes as well </w:t>
      </w:r>
      <w:r w:rsidR="004B305D" w:rsidRPr="00F259A2">
        <w:rPr>
          <w:color w:val="000000"/>
        </w:rPr>
        <w:lastRenderedPageBreak/>
        <w:t>as microsomal</w:t>
      </w:r>
      <w:r w:rsidR="00A26927" w:rsidRPr="00F259A2">
        <w:rPr>
          <w:color w:val="000000"/>
        </w:rPr>
        <w:t xml:space="preserve"> </w:t>
      </w:r>
      <w:r w:rsidR="004B305D" w:rsidRPr="00F259A2">
        <w:rPr>
          <w:color w:val="000000"/>
        </w:rPr>
        <w:t xml:space="preserve">epoxide hydrolase. Being metabolically active makes these cells very useful as a screening tool for mutagenicity testing of chemicals </w:t>
      </w:r>
      <w:r w:rsidR="009A377C" w:rsidRPr="00BD677E">
        <w:rPr>
          <w:b/>
          <w:i/>
          <w:color w:val="000000"/>
        </w:rPr>
        <w:fldChar w:fldCharType="begin"/>
      </w:r>
      <w:r w:rsidR="0042106E" w:rsidRPr="00BD677E">
        <w:rPr>
          <w:b/>
          <w:i/>
          <w:color w:val="000000"/>
        </w:rPr>
        <w:instrText xml:space="preserve"> ADDIN ZOTERO_ITEM CSL_CITATION {"citationID":"1l2j1eqapl","properties":{"formattedCitation":"{\\rtf (\\b \\i 13\\i0{}\\b0{})}","plainCitation":"(13)"},"citationItems":[{"id":296,"uris":["http://zotero.org/users/1046410/items/ERWXM2FI"],"uri":["http://zotero.org/users/1046410/items/ERWXM2FI"],"itemData":{"id":296,"type":"article-journal","title":"The application of comparative genomic hybridization and fluorescence in situ hybridization to the characterization of genotoxicity screening tester strains AHH-1 and MCL-5","container-title":"Mutagenesis","page":"417-426","volume":"14","issue":"4","abstract":"AHH-1 TK+/- is a human B cell-derived lymphoblastoid cell line that constitutively expresses a high level of the cytochrome CYP1A1. The MCL-5 cell line was developed by transfection of AHH-1 with cDNAs encoding the human cytochrome P450s, CYP1A2, CYP2A6, CYP2E1, CYP3A4 and microsomal epoxide hydrolase carried in plasmids. The metabolic components of these cell lines make them a useful screening tool for use in mutagenicity studies. Although AHH-1 and MCL-5 are closely related, the two cell lines show differences which cannot be attributed to transfection. In the present study both cell lines were investigated for chromosome stability by comparative genomic hybridization (CGH) and fluorescence in situ hybridization (FISH) using whole chromosome probes and telomeric probes. Amplification in chromosomes 4q, 3q and 9p was observed in both cell lines. To compare the cell lines directly, AHH-1 and MCL-5 DNAs were co-hybridized on the same metaphases using a modified CGH technique. The only difference observed between AHH-1 and MCL-5 was the degree of amplification involving the subtelomeric region of chromosome 4; the additional telomeric region (4q) was translocated onto chromosome 11 and/or chromosome X. FISH was use to show the presence of isochromosomes 3q and 9p in both cell lines with a chromosome number of 48 or higher. These data demonstrate that CGH and FISH with chromosome-specific probes are able to resolve complex karyotypes and to highlight subchromosomal regions involved in rearrangements and potential chromosome fragile sites. Analyses such as those described here may be of considerable value in the determination of the stability of a variety of the cell lines used in the mutagenicity testing of chemicals.","note":"PMID: 10390510","journalAbbreviation":"Mutagenesis","author":[{"family":"Corso","given":"C"},{"family":"Parry","given":"E M"}],"issued":{"year":1999,"month":7},"accessed":{"year":2012,"month":7,"day":6},"page-first":"417"}}],"schema":"https://github.com/citation-style-language/schema/raw/master/csl-citation.json"} </w:instrText>
      </w:r>
      <w:r w:rsidR="009A377C" w:rsidRPr="00BD677E">
        <w:rPr>
          <w:b/>
          <w:i/>
          <w:color w:val="000000"/>
        </w:rPr>
        <w:fldChar w:fldCharType="separate"/>
      </w:r>
      <w:r w:rsidR="007D2E20" w:rsidRPr="00BD677E">
        <w:rPr>
          <w:b/>
          <w:i/>
        </w:rPr>
        <w:t>(</w:t>
      </w:r>
      <w:r w:rsidR="007D2E20" w:rsidRPr="00BD677E">
        <w:rPr>
          <w:b/>
          <w:bCs/>
          <w:i/>
          <w:iCs/>
        </w:rPr>
        <w:t>13</w:t>
      </w:r>
      <w:r w:rsidR="007D2E20" w:rsidRPr="00BD677E">
        <w:rPr>
          <w:b/>
          <w:i/>
        </w:rPr>
        <w:t>)</w:t>
      </w:r>
      <w:r w:rsidR="009A377C" w:rsidRPr="00BD677E">
        <w:rPr>
          <w:b/>
          <w:i/>
          <w:color w:val="000000"/>
        </w:rPr>
        <w:fldChar w:fldCharType="end"/>
      </w:r>
      <w:r w:rsidRPr="00F259A2">
        <w:rPr>
          <w:color w:val="000000"/>
        </w:rPr>
        <w:t>.</w:t>
      </w:r>
      <w:r w:rsidR="00A26927" w:rsidRPr="00F259A2">
        <w:rPr>
          <w:color w:val="000000"/>
        </w:rPr>
        <w:t xml:space="preserve"> </w:t>
      </w:r>
      <w:r w:rsidR="004B305D" w:rsidRPr="00F259A2">
        <w:rPr>
          <w:color w:val="000000"/>
        </w:rPr>
        <w:t xml:space="preserve">In the following years toxicological studies </w:t>
      </w:r>
      <w:r w:rsidR="00712DA2" w:rsidRPr="00F259A2">
        <w:rPr>
          <w:color w:val="000000"/>
        </w:rPr>
        <w:t>have been</w:t>
      </w:r>
      <w:r w:rsidR="004B305D" w:rsidRPr="00F259A2">
        <w:rPr>
          <w:color w:val="000000"/>
        </w:rPr>
        <w:t xml:space="preserve"> undertaken determining copy number variations within the whole genome using various types of cell lines </w:t>
      </w:r>
      <w:r w:rsidR="00712DA2" w:rsidRPr="00F259A2">
        <w:rPr>
          <w:color w:val="000000"/>
        </w:rPr>
        <w:t>such as K562, MCF</w:t>
      </w:r>
      <w:r w:rsidR="00AD5B6B">
        <w:rPr>
          <w:color w:val="000000"/>
        </w:rPr>
        <w:t>--</w:t>
      </w:r>
      <w:r w:rsidR="00712DA2" w:rsidRPr="00F259A2">
        <w:rPr>
          <w:color w:val="000000"/>
        </w:rPr>
        <w:t>7 and MCF</w:t>
      </w:r>
      <w:r w:rsidR="00AD5B6B">
        <w:rPr>
          <w:color w:val="000000"/>
        </w:rPr>
        <w:t>--</w:t>
      </w:r>
      <w:r w:rsidR="00712DA2" w:rsidRPr="00F259A2">
        <w:rPr>
          <w:color w:val="000000"/>
        </w:rPr>
        <w:t xml:space="preserve">10A </w:t>
      </w:r>
      <w:r w:rsidR="004B305D" w:rsidRPr="00F259A2">
        <w:rPr>
          <w:color w:val="000000"/>
        </w:rPr>
        <w:t>or</w:t>
      </w:r>
      <w:r w:rsidR="00712DA2" w:rsidRPr="00F259A2">
        <w:rPr>
          <w:color w:val="000000"/>
        </w:rPr>
        <w:t xml:space="preserve"> by using</w:t>
      </w:r>
      <w:r w:rsidR="004B305D" w:rsidRPr="00F259A2">
        <w:rPr>
          <w:color w:val="000000"/>
        </w:rPr>
        <w:t xml:space="preserve"> animal tumour cells</w:t>
      </w:r>
      <w:r w:rsidR="00712DA2" w:rsidRPr="00F259A2">
        <w:rPr>
          <w:color w:val="000000"/>
        </w:rPr>
        <w:t xml:space="preserve"> (e.g. rat gastric tumour cells)</w:t>
      </w:r>
      <w:r w:rsidR="004B305D" w:rsidRPr="00F259A2">
        <w:rPr>
          <w:color w:val="000000"/>
        </w:rPr>
        <w:t xml:space="preserve">. In particular, the resistance to </w:t>
      </w:r>
      <w:r w:rsidR="002721A7" w:rsidRPr="00F259A2">
        <w:rPr>
          <w:color w:val="000000"/>
        </w:rPr>
        <w:t xml:space="preserve">various </w:t>
      </w:r>
      <w:r w:rsidR="004B305D" w:rsidRPr="00F259A2">
        <w:rPr>
          <w:color w:val="000000"/>
        </w:rPr>
        <w:t>cytostatic drugs</w:t>
      </w:r>
      <w:r w:rsidR="00A26927" w:rsidRPr="00530A9C">
        <w:rPr>
          <w:b/>
          <w:i/>
          <w:color w:val="000000"/>
        </w:rPr>
        <w:t xml:space="preserve"> </w:t>
      </w:r>
      <w:r w:rsidR="009A377C" w:rsidRPr="00530A9C">
        <w:rPr>
          <w:b/>
          <w:i/>
          <w:color w:val="000000"/>
        </w:rPr>
        <w:fldChar w:fldCharType="begin"/>
      </w:r>
      <w:r w:rsidR="0042106E" w:rsidRPr="00530A9C">
        <w:rPr>
          <w:b/>
          <w:i/>
          <w:color w:val="000000"/>
        </w:rPr>
        <w:instrText xml:space="preserve"> ADDIN ZOTERO_ITEM CSL_CITATION {"citationID":"kae2f9q2r","properties":{"formattedCitation":"{\\rtf (\\b \\i 14\\i0{}\\b0{})}","plainCitation":"(14)"},"citationItems":[{"id":298,"uris":["http://zotero.org/users/1046410/items/K82Z4Z7F"],"uri":["http://zotero.org/users/1046410/items/K82Z4Z7F"],"itemData":{"id":298,"type":"article-journal","title":"Characterization of drug-resistant cell lines by comparative genomic hybridization","container-title":"Cancer genetics and cytogenetics","page":"32-36","volume":"111","issue":"1","abstract":"The development of resistance to cytostatic agents is a serious obstacle to the success of cancer therapy and has been the focus of many research efforts. Traditionally, cell lines are selectively cultured in the presence of cytostatic agents and the biochemical and cytogenetic properties of the cell lines are then analyzed. In order to better understand the mechanisms by which drug resistance is mediated, we have analyzed three cell lines, each derived from the parent line K562, which are resistant to vincristine, mitoxantrone, or idarubicin, using comparative genomic hybridization (CGH). In each case, CGH successfully identified amplifications and/or deletions unique to the drug-resistant selected cell lines. Further characterization of the genetic regions identified in the CGH analysis could greatly contribute to our understanding of acquired drug resistance, and could potentially impact the clinical management of cancer.","note":"PMID: 10326588","journalAbbreviation":"Cancer Genet. Cytogenet.","author":[{"family":"Carlson","given":"K M"},{"family":"Gruber","given":"A"},{"family":"Liliemark","given":"E"},{"family":"Larsson","given":"R"},{"family":"Nordenskjöld","given":"M"}],"issued":{"year":1999,"month":5},"accessed":{"year":2012,"month":7,"day":6},"page-first":"32"}}],"schema":"https://github.com/citation-style-language/schema/raw/master/csl-citation.json"} </w:instrText>
      </w:r>
      <w:r w:rsidR="009A377C" w:rsidRPr="00530A9C">
        <w:rPr>
          <w:b/>
          <w:i/>
          <w:color w:val="000000"/>
        </w:rPr>
        <w:fldChar w:fldCharType="separate"/>
      </w:r>
      <w:r w:rsidR="007D2E20" w:rsidRPr="00530A9C">
        <w:rPr>
          <w:b/>
          <w:i/>
        </w:rPr>
        <w:t>(</w:t>
      </w:r>
      <w:r w:rsidR="007D2E20" w:rsidRPr="00530A9C">
        <w:rPr>
          <w:b/>
          <w:bCs/>
          <w:i/>
          <w:iCs/>
        </w:rPr>
        <w:t>14</w:t>
      </w:r>
      <w:r w:rsidR="007D2E20" w:rsidRPr="00530A9C">
        <w:rPr>
          <w:b/>
          <w:i/>
        </w:rPr>
        <w:t>)</w:t>
      </w:r>
      <w:r w:rsidR="009A377C" w:rsidRPr="00530A9C">
        <w:rPr>
          <w:b/>
          <w:i/>
          <w:color w:val="000000"/>
        </w:rPr>
        <w:fldChar w:fldCharType="end"/>
      </w:r>
      <w:r w:rsidR="004B305D" w:rsidRPr="00F259A2">
        <w:rPr>
          <w:color w:val="000000"/>
        </w:rPr>
        <w:t>, the gastric tumour inducer and alkylating agent N</w:t>
      </w:r>
      <w:r w:rsidR="00A26927" w:rsidRPr="00F259A2">
        <w:rPr>
          <w:color w:val="000000"/>
        </w:rPr>
        <w:t>—</w:t>
      </w:r>
      <w:r w:rsidR="004B305D" w:rsidRPr="00F259A2">
        <w:rPr>
          <w:color w:val="000000"/>
        </w:rPr>
        <w:t>methyl</w:t>
      </w:r>
      <w:r w:rsidR="00A26927" w:rsidRPr="00F259A2">
        <w:rPr>
          <w:color w:val="000000"/>
        </w:rPr>
        <w:t>-</w:t>
      </w:r>
      <w:r w:rsidR="004B305D" w:rsidRPr="00F259A2">
        <w:rPr>
          <w:color w:val="000000"/>
        </w:rPr>
        <w:t>-N’</w:t>
      </w:r>
      <w:r w:rsidR="00A26927" w:rsidRPr="00F259A2">
        <w:rPr>
          <w:color w:val="000000"/>
        </w:rPr>
        <w:t>-</w:t>
      </w:r>
      <w:r w:rsidR="004B305D" w:rsidRPr="00F259A2">
        <w:rPr>
          <w:color w:val="000000"/>
        </w:rPr>
        <w:t xml:space="preserve">-nitrosoguanidine (MNNG) </w:t>
      </w:r>
      <w:r w:rsidR="009A377C" w:rsidRPr="00B02A45">
        <w:rPr>
          <w:b/>
          <w:i/>
          <w:color w:val="000000"/>
        </w:rPr>
        <w:fldChar w:fldCharType="begin"/>
      </w:r>
      <w:r w:rsidR="0042106E" w:rsidRPr="00B02A45">
        <w:rPr>
          <w:b/>
          <w:i/>
          <w:color w:val="000000"/>
        </w:rPr>
        <w:instrText xml:space="preserve"> ADDIN ZOTERO_ITEM CSL_CITATION {"citationID":"247in1qimv","properties":{"formattedCitation":"{\\rtf (\\b \\i 15\\i0{}\\b0{})}","plainCitation":"(15)"},"citationItems":[{"id":295,"uris":["http://zotero.org/users/1046410/items/JRC8TGDC"],"uri":["http://zotero.org/users/1046410/items/JRC8TGDC"],"itemData":{"id":295,"type":"article-journal","title":"Comparative genomic hybridization analysis of N-methyl-N'-nitrosoguanidine-induced rat gastrointestinal tumors discloses a cytogenetic fingerprint","container-title":"Environmental and molecular mutagenesis","page":"20-27","volume":"43","issue":"1","abstract":"Exposure to N-nitroso compounds is thought to play a key role in the development of gastric cancer in humans. The alkylating agent N-methyl-N'-nitrosoguanidine (MNNG) is carcinogenic in a number of animal models and its preferential target tissue is the gastrointestinal (GI) tract. The genetic synteny among rats and humans makes the rat a useful model for induced tumorigenesis. However, because of the limited availability of genetic information, cytogenetic and molecular studies are rarely performed in the rat. We report an investigation of eight MNNG-induced rat gastric tumors by comparative genomic hybridization (CGH). The tumors were from forestomach (induced by a single dose of MNNG) and from pylorus (induced by chronic exposure). CGH identified a genetic fingerprint of chromosomal imbalances common to the two types of the tumors. Frequent gains were observed at 9q11-q12, 15q22-25, and Xq11-q12. Forestomach carcinomas were also characterized by gains in 7q11-q12, 20q13, and Yq12. Homology studies between the rat and human genomes indicate the presence of genes within these regions with potential relevance to tumorigenesis in the GI tract. Our findings provide new insights into the location of genes involved in MNNG-induced gastric cancer initiation and/or progression in the rat.","DOI":"10.1002/em.10211","note":"PMID: 14743342","journalAbbreviation":"Environ. Mol. Mutagen.","author":[{"family":"Corso","given":"Chiara"},{"family":"Parry","given":"James M"}],"issued":{"year":2004},"accessed":{"year":2012,"month":7,"day":6},"page-first":"20"}}],"schema":"https://github.com/citation-style-language/schema/raw/master/csl-citation.json"} </w:instrText>
      </w:r>
      <w:r w:rsidR="009A377C" w:rsidRPr="00B02A45">
        <w:rPr>
          <w:b/>
          <w:i/>
          <w:color w:val="000000"/>
        </w:rPr>
        <w:fldChar w:fldCharType="separate"/>
      </w:r>
      <w:r w:rsidR="007D2E20" w:rsidRPr="00B02A45">
        <w:rPr>
          <w:b/>
          <w:i/>
        </w:rPr>
        <w:t>(</w:t>
      </w:r>
      <w:r w:rsidR="007D2E20" w:rsidRPr="00B02A45">
        <w:rPr>
          <w:b/>
          <w:bCs/>
          <w:i/>
          <w:iCs/>
        </w:rPr>
        <w:t>15</w:t>
      </w:r>
      <w:r w:rsidR="007D2E20" w:rsidRPr="00B02A45">
        <w:rPr>
          <w:b/>
          <w:i/>
        </w:rPr>
        <w:t>)</w:t>
      </w:r>
      <w:r w:rsidR="009A377C" w:rsidRPr="00B02A45">
        <w:rPr>
          <w:b/>
          <w:i/>
          <w:color w:val="000000"/>
        </w:rPr>
        <w:fldChar w:fldCharType="end"/>
      </w:r>
      <w:r w:rsidR="004B305D" w:rsidRPr="00B02A45">
        <w:rPr>
          <w:b/>
          <w:i/>
          <w:color w:val="000000"/>
        </w:rPr>
        <w:t>,</w:t>
      </w:r>
      <w:r w:rsidR="004B305D" w:rsidRPr="00F259A2">
        <w:rPr>
          <w:color w:val="000000"/>
        </w:rPr>
        <w:t xml:space="preserve"> xenoestrogens</w:t>
      </w:r>
      <w:r w:rsidR="00096EFB">
        <w:rPr>
          <w:color w:val="000000"/>
        </w:rPr>
        <w:t xml:space="preserve"> </w:t>
      </w:r>
      <w:r w:rsidR="009A377C" w:rsidRPr="00096EFB">
        <w:rPr>
          <w:b/>
          <w:i/>
          <w:color w:val="000000"/>
        </w:rPr>
        <w:fldChar w:fldCharType="begin"/>
      </w:r>
      <w:r w:rsidR="0042106E" w:rsidRPr="00096EFB">
        <w:rPr>
          <w:b/>
          <w:i/>
          <w:color w:val="000000"/>
        </w:rPr>
        <w:instrText xml:space="preserve"> ADDIN ZOTERO_ITEM CSL_CITATION {"citationID":"2i423cetgs","properties":{"formattedCitation":"{\\rtf (\\b \\i 16\\i0{}\\b0{})}","plainCitation":"(16)"},"citationItems":[{"id":283,"uris":["http://zotero.org/users/1046410/items/GTMBRNTX"],"uri":["http://zotero.org/users/1046410/items/GTMBRNTX"],"itemData":{"id":283,"type":"article-journal","title":"Improving the reproducibility of the MCF-7 cell proliferation assay for the detection of xenoestrogens","container-title":"The Science of the total environment","page":"51-62","volume":"248","issue":"1","abstract":"The MCF-7 cell proliferation assay is potentially a simple and highly reproducible tool for the identification of estrogenic compounds. However, its widespread use has been complicated by the lack of a standardised protocol, resulting in considerable inter-laboratory variability. We have explored the sources of variability both in relation to cell lines and test regimens and report on optimised procedures for the identification of estrogenic agents. Two supposedly identical MCF-7 parent cell lines (designated UCL and SOP), and the BUS subline were cultured according to an existing protocol, and responses to 17-estradiol (E2) assessed. Despite yielding almost identical EC50 values, the proliferative response varied widely between cell lines from 0.98-fold over controls (UCL) to 8.9-fold (BUS) indicating major differences between them. The underlying causes may be genetic, and to assess this we used comparative genomic hybridisation (CGH), a technique which allows the detection of DNA sequence copy number changes on a genome-wide scale. Although numerous similarities existed between the different cell lines, the least oestrogen-responsive line (MCF-7/UCL) exhibited the greatest number of cytogenetic changes, many of which were not seen in MCF-7/SOP cells. We suggest that care must be taken, therefore, when choosing a cell line for MCF-7 cell-based experiments. Selecting the MCF-7/SOP line for further work, we carried out a thorough and systematic optimisation of the MCF-7 cell proliferation assay, finding that a 72-h period in oestrogen-free medium before treatment strongly influenced the cells response to E2. With 1 nM E2, proliferation increased from 1.5-fold to 6.5-fold relative to vehicle-treated controls, a response similar to that seen with MCF-7/BUS cells in the E-SCREEN protocol devised by Soto et al. With parent MCF-7 cells, other laboratories have reported only 4.5-fold increases as maximal. Here we present evidence that the choice of cell line and culture conditions are crucial in determining test outcomes, and once chosen and adhered to the assay yields reproducible results.","note":"PMID: 10807042","journalAbbreviation":"Sci. Total Environ.","author":[{"family":"Payne","given":"J"},{"family":"Jones","given":"C"},{"family":"Lakhani","given":"S"},{"family":"Kortenkamp","given":"A"}],"issued":{"year":2000,"month":3,"day":29},"accessed":{"year":2012,"month":7,"day":6},"page-first":"51"}}],"schema":"https://github.com/citation-style-language/schema/raw/master/csl-citation.json"} </w:instrText>
      </w:r>
      <w:r w:rsidR="009A377C" w:rsidRPr="00096EFB">
        <w:rPr>
          <w:b/>
          <w:i/>
          <w:color w:val="000000"/>
        </w:rPr>
        <w:fldChar w:fldCharType="separate"/>
      </w:r>
      <w:r w:rsidR="007D2E20" w:rsidRPr="00096EFB">
        <w:rPr>
          <w:b/>
          <w:i/>
        </w:rPr>
        <w:t>(</w:t>
      </w:r>
      <w:r w:rsidR="007D2E20" w:rsidRPr="00096EFB">
        <w:rPr>
          <w:b/>
          <w:bCs/>
          <w:i/>
          <w:iCs/>
        </w:rPr>
        <w:t>16</w:t>
      </w:r>
      <w:r w:rsidR="007D2E20" w:rsidRPr="00096EFB">
        <w:rPr>
          <w:b/>
          <w:i/>
        </w:rPr>
        <w:t>)</w:t>
      </w:r>
      <w:r w:rsidR="009A377C" w:rsidRPr="00096EFB">
        <w:rPr>
          <w:b/>
          <w:i/>
          <w:color w:val="000000"/>
        </w:rPr>
        <w:fldChar w:fldCharType="end"/>
      </w:r>
      <w:r w:rsidR="004B305D" w:rsidRPr="00096EFB">
        <w:rPr>
          <w:b/>
          <w:i/>
          <w:color w:val="000000"/>
        </w:rPr>
        <w:t xml:space="preserve"> </w:t>
      </w:r>
      <w:r w:rsidR="004B305D" w:rsidRPr="00F259A2">
        <w:rPr>
          <w:color w:val="000000"/>
        </w:rPr>
        <w:t xml:space="preserve">and the soy isoflavone genistein </w:t>
      </w:r>
      <w:r w:rsidR="009A377C" w:rsidRPr="00163766">
        <w:rPr>
          <w:b/>
          <w:i/>
          <w:color w:val="000000"/>
        </w:rPr>
        <w:fldChar w:fldCharType="begin"/>
      </w:r>
      <w:r w:rsidR="0042106E" w:rsidRPr="00163766">
        <w:rPr>
          <w:b/>
          <w:i/>
          <w:color w:val="000000"/>
        </w:rPr>
        <w:instrText xml:space="preserve"> ADDIN ZOTERO_ITEM CSL_CITATION {"citationID":"vd4f6ppnp","properties":{"formattedCitation":"{\\rtf (\\b \\i 17\\i0{}\\b0{})}","plainCitation":"(17)"},"citationItems":[{"id":287,"uris":["http://zotero.org/users/1046410/items/7IE9227M"],"uri":["http://zotero.org/users/1046410/items/7IE9227M"],"itemData":{"id":287,"type":"article-journal","title":"Continuous in vitro exposure to low-dose genistein induces genomic instability in breast epithelial cells","container-title":"Cancer genetics and cytogenetics","page":"78-84","volume":"186","issue":"2","abstract":"Genistein is a major soy isoflavone with multiple properties. The impact of soy genistein on breast cancer is controversial. One of the issues is whether soy genistein has a genotoxic effect at physiological concentrations. To address this question using an in vitro model, we first established MCF-10A/G0 and MCF-10A/G1 cell lines, which were MCF-10A cells exposed to 0.01% dimethyl sulfoxide (as vehicle control), i.e., MCF-10A/G0, or 1 micromol/L of genistein for 3 months, MCF-10A/G1, respectively. Chromosomal changes were compared between the two cell lines by routine G-banded chromosome analyses and both regular and array-based comparative genomic hybridization. After 3 months of exposure to genistein, the cell line MCF-10A/G1 showed loss of a normal chromosome 8 and gain of an extra chromosome 20, as well as loss of a chromosomal segment on the short arm of chromosome 9, leading to a homozygous deletion of the tumor suppressor genes CDKN2A (alias p16(INK4a)) and CDKN2B (alias p15(INK4b)). Our results suggest that long-term, low-concentration exposure to genistein may have the potential to induce chromosomal imbalances. These genotoxic effects may work in concert with other factors to induce genetic lesions that contribute to soy- and genistein-associated risk.","DOI":"10.1016/j.cancergencyto.2008.06.010","note":"PMID: 18940470","journalAbbreviation":"Cancer Genet. Cytogenet.","author":[{"family":"Kim","given":"Young Mi"},{"family":"Yang","given":"Shihe"},{"family":"Xu","given":"Weihong"},{"family":"Li","given":"Shibo"},{"family":"Yang","given":"Xiaohe"}],"issued":{"year":2008,"month":10,"day":15},"accessed":{"year":2012,"month":7,"day":6},"page-first":"78"}}],"schema":"https://github.com/citation-style-language/schema/raw/master/csl-citation.json"} </w:instrText>
      </w:r>
      <w:r w:rsidR="009A377C" w:rsidRPr="00163766">
        <w:rPr>
          <w:b/>
          <w:i/>
          <w:color w:val="000000"/>
        </w:rPr>
        <w:fldChar w:fldCharType="separate"/>
      </w:r>
      <w:r w:rsidR="007D2E20" w:rsidRPr="00163766">
        <w:rPr>
          <w:b/>
          <w:i/>
        </w:rPr>
        <w:t>(</w:t>
      </w:r>
      <w:r w:rsidR="007D2E20" w:rsidRPr="00163766">
        <w:rPr>
          <w:b/>
          <w:bCs/>
          <w:i/>
          <w:iCs/>
        </w:rPr>
        <w:t>17</w:t>
      </w:r>
      <w:r w:rsidR="007D2E20" w:rsidRPr="00163766">
        <w:rPr>
          <w:b/>
          <w:i/>
        </w:rPr>
        <w:t>)</w:t>
      </w:r>
      <w:r w:rsidR="009A377C" w:rsidRPr="00163766">
        <w:rPr>
          <w:b/>
          <w:i/>
          <w:color w:val="000000"/>
        </w:rPr>
        <w:fldChar w:fldCharType="end"/>
      </w:r>
      <w:r w:rsidR="004B305D" w:rsidRPr="00F259A2">
        <w:rPr>
          <w:color w:val="000000"/>
        </w:rPr>
        <w:t xml:space="preserve"> were evaluated. </w:t>
      </w:r>
      <w:r w:rsidR="002721A7" w:rsidRPr="00F259A2">
        <w:rPr>
          <w:color w:val="000000"/>
        </w:rPr>
        <w:t>An interesting approach to evaluate environmental toxins such as mycotoxins</w:t>
      </w:r>
      <w:r w:rsidR="00A26927" w:rsidRPr="00F259A2">
        <w:rPr>
          <w:color w:val="000000"/>
        </w:rPr>
        <w:t xml:space="preserve"> </w:t>
      </w:r>
      <w:r w:rsidR="007A1E9D" w:rsidRPr="00F259A2">
        <w:rPr>
          <w:color w:val="000000"/>
        </w:rPr>
        <w:t xml:space="preserve">and </w:t>
      </w:r>
      <w:r w:rsidR="002721A7" w:rsidRPr="00F259A2">
        <w:rPr>
          <w:color w:val="000000"/>
        </w:rPr>
        <w:t>viruses in relation to carcinogenicity was carried out by Wong and colleagues</w:t>
      </w:r>
      <w:r w:rsidR="001C1B16" w:rsidRPr="00F259A2">
        <w:rPr>
          <w:color w:val="000000"/>
        </w:rPr>
        <w:t>.</w:t>
      </w:r>
      <w:r w:rsidR="002721A7" w:rsidRPr="00F259A2">
        <w:rPr>
          <w:color w:val="000000"/>
        </w:rPr>
        <w:t xml:space="preserve"> </w:t>
      </w:r>
      <w:r w:rsidR="004B305D" w:rsidRPr="00F259A2">
        <w:rPr>
          <w:color w:val="000000"/>
        </w:rPr>
        <w:t xml:space="preserve">Using cells from human </w:t>
      </w:r>
      <w:proofErr w:type="spellStart"/>
      <w:r w:rsidR="004B305D" w:rsidRPr="00F259A2">
        <w:rPr>
          <w:color w:val="000000"/>
        </w:rPr>
        <w:t>hepatocarcinomas</w:t>
      </w:r>
      <w:proofErr w:type="spellEnd"/>
      <w:r w:rsidR="004B305D" w:rsidRPr="00F259A2">
        <w:rPr>
          <w:color w:val="000000"/>
        </w:rPr>
        <w:t xml:space="preserve"> from different geographic locations around the globe</w:t>
      </w:r>
      <w:r w:rsidR="001C1B16" w:rsidRPr="00F259A2">
        <w:rPr>
          <w:color w:val="000000"/>
        </w:rPr>
        <w:t>,</w:t>
      </w:r>
      <w:r w:rsidR="004B305D" w:rsidRPr="00F259A2">
        <w:rPr>
          <w:color w:val="000000"/>
        </w:rPr>
        <w:t xml:space="preserve"> </w:t>
      </w:r>
      <w:r w:rsidR="001C1B16" w:rsidRPr="00F259A2">
        <w:rPr>
          <w:color w:val="000000"/>
        </w:rPr>
        <w:t xml:space="preserve">they </w:t>
      </w:r>
      <w:r w:rsidR="004B305D" w:rsidRPr="00F259A2">
        <w:rPr>
          <w:color w:val="000000"/>
        </w:rPr>
        <w:t>associated with different risk factors such as aflatoxin intoxication or hepatitis B</w:t>
      </w:r>
      <w:r w:rsidR="002721A7" w:rsidRPr="00F259A2">
        <w:rPr>
          <w:color w:val="000000"/>
        </w:rPr>
        <w:t xml:space="preserve"> (HBV) / C (HCV)</w:t>
      </w:r>
      <w:r w:rsidR="004B305D" w:rsidRPr="00F259A2">
        <w:rPr>
          <w:color w:val="000000"/>
        </w:rPr>
        <w:t xml:space="preserve"> virus infection</w:t>
      </w:r>
      <w:r w:rsidR="00A26927" w:rsidRPr="00F259A2">
        <w:rPr>
          <w:color w:val="000000"/>
        </w:rPr>
        <w:t xml:space="preserve"> </w:t>
      </w:r>
      <w:r w:rsidR="00A26927" w:rsidRPr="00963E4E">
        <w:rPr>
          <w:b/>
          <w:i/>
          <w:color w:val="000000"/>
        </w:rPr>
        <w:t>(</w:t>
      </w:r>
      <w:r w:rsidR="008D754A" w:rsidRPr="00963E4E">
        <w:rPr>
          <w:b/>
          <w:i/>
          <w:color w:val="000000"/>
        </w:rPr>
        <w:t>18</w:t>
      </w:r>
      <w:r w:rsidR="00A26927" w:rsidRPr="00963E4E">
        <w:rPr>
          <w:b/>
          <w:i/>
          <w:color w:val="000000"/>
        </w:rPr>
        <w:t>)</w:t>
      </w:r>
      <w:r w:rsidR="007A1E9D" w:rsidRPr="00F259A2">
        <w:rPr>
          <w:color w:val="000000"/>
        </w:rPr>
        <w:t>.</w:t>
      </w:r>
      <w:r w:rsidR="00A26927" w:rsidRPr="00F259A2">
        <w:rPr>
          <w:color w:val="000000"/>
        </w:rPr>
        <w:t xml:space="preserve"> </w:t>
      </w:r>
      <w:r w:rsidR="007A1E9D" w:rsidRPr="00F259A2">
        <w:rPr>
          <w:color w:val="000000"/>
        </w:rPr>
        <w:t>Subsequently, p</w:t>
      </w:r>
      <w:r w:rsidR="004B305D" w:rsidRPr="00F259A2">
        <w:rPr>
          <w:color w:val="000000"/>
        </w:rPr>
        <w:t xml:space="preserve">atterns of chromosomal gains and losses were </w:t>
      </w:r>
      <w:r w:rsidR="007D458C" w:rsidRPr="00F259A2">
        <w:rPr>
          <w:color w:val="000000"/>
        </w:rPr>
        <w:t xml:space="preserve">successfully </w:t>
      </w:r>
      <w:r w:rsidR="002721A7" w:rsidRPr="00F259A2">
        <w:rPr>
          <w:color w:val="000000"/>
        </w:rPr>
        <w:t xml:space="preserve">determined by </w:t>
      </w:r>
      <w:r w:rsidR="007A1E9D" w:rsidRPr="00F259A2">
        <w:rPr>
          <w:color w:val="000000"/>
        </w:rPr>
        <w:t xml:space="preserve">chromosomal </w:t>
      </w:r>
      <w:r w:rsidR="002721A7" w:rsidRPr="00F259A2">
        <w:rPr>
          <w:color w:val="000000"/>
        </w:rPr>
        <w:t xml:space="preserve">CGH. One finding </w:t>
      </w:r>
      <w:r w:rsidR="007A1E9D" w:rsidRPr="00F259A2">
        <w:rPr>
          <w:color w:val="000000"/>
        </w:rPr>
        <w:t xml:space="preserve">indicated </w:t>
      </w:r>
      <w:r w:rsidR="002721A7" w:rsidRPr="00F259A2">
        <w:rPr>
          <w:color w:val="000000"/>
        </w:rPr>
        <w:t>that HCV</w:t>
      </w:r>
      <w:r w:rsidR="00AD5B6B">
        <w:rPr>
          <w:color w:val="000000"/>
        </w:rPr>
        <w:t>--</w:t>
      </w:r>
      <w:r w:rsidR="002721A7" w:rsidRPr="00F259A2">
        <w:rPr>
          <w:color w:val="000000"/>
        </w:rPr>
        <w:t xml:space="preserve">related samples from Japan had a characteristically high incidence of a 11q13 gain in the tumour’s genome </w:t>
      </w:r>
      <w:r w:rsidR="009A377C" w:rsidRPr="00F259A2">
        <w:rPr>
          <w:color w:val="000000"/>
        </w:rPr>
        <w:fldChar w:fldCharType="begin"/>
      </w:r>
      <w:r w:rsidR="0042106E" w:rsidRPr="00F259A2">
        <w:rPr>
          <w:color w:val="000000"/>
        </w:rPr>
        <w:instrText xml:space="preserve"> ADDIN ZOTERO_ITEM CSL_CITATION {"citationID":"i39436u1o","properties":{"formattedCitation":"{\\rtf (\\b \\i 18\\i0{}\\b0{})}","plainCitation":"(18)"},"citationItems":[{"id":278,"uris":["http://zotero.org/users/1046410/items/GPJTF5XH"],"uri":["http://zotero.org/users/1046410/items/GPJTF5XH"],"itemData":{"id":278,"type":"article-journal","title":"Genomic aberrations in human hepatocellular carcinomas of differing etiologies","container-title":"Clinical cancer research: an official journal of the American Association for Cancer Research","page":"4000-4009","volume":"6","issue":"10","abstract":"We sought to assess whether genetic abnormalities in hepatocellular carcinoma differed in geographic locations associated with different risk factors. Comparative genomic hybridization (CGH) was applied to the genome-wide chromosomal analysis in 83 tumor samples from four different geographic origins. Samples were obtained from regions that differed in aflatoxin exposure: China (Hong Kong with low aflatoxin exposure and Shanghai with moderate aflatoxin exposure), Japan, and the United States (negligible aflatoxin exposure). Cases from Hong Kong and Shanghai were all hepatitis B virus (HBV) related, those from Japan were hepatitis C virus related, and those from the United States were HBV negative. In parallel, the mutational pattern of the whole p53 gene (exons 1-11) was also investigated in these cases. CGH revealed a complex pattern of chromosomal gains and losses, with the commonest aberration in each geographic location being chromosome 1q copy number gain (38-60%). Shanghai cases displayed the highest number of total aberrations per sample, with significant copy losses on 4q (75%), 8p (70%), and 16q (65%). Hepatitis C virus-related samples from Japan had a characteristically high incidence of 11q13 gain. p53 mutation(s) was detected in 23% of Hong Kong cases, 40% of Shanghai, 31% of Japan, but only 6% of the United States cases. The \"aflatoxin-associated\" codon 249 mutation was, however, identified only in samples from China (13% Hong Kong and 20% Shanghai). This finding, together with the highly aberrant pattern of genetic changes detected in the Shanghai series, is suggestive of the genotoxic effects of aflatoxin being more broadly based. It is also likely that there is a synergistic effect of HBV infection and high aflatoxin exposure in promoting hepatocellular carcinoma development. It appears from our CGH study that individual risk factors are indeed associated with distinct genetic aberrations, although changes in 1q gain appear common to all.","note":"PMID: 11051249","journalAbbreviation":"Clin. Cancer Res.","author":[{"family":"Wong","given":"N"},{"family":"Lai","given":"P"},{"family":"Pang","given":"E"},{"family":"Fung","given":"L F"},{"family":"Sheng","given":"Z"},{"family":"Wong","given":"V"},{"family":"Wang","given":"W"},{"family":"Hayashi","given":"Y"},{"family":"Perlman","given":"E"},{"family":"Yuna","given":"S"},{"family":"Lau","given":"J W"},{"family":"Johnson","given":"P J"}],"issued":{"year":2000,"month":10},"accessed":{"year":2012,"month":7,"day":6},"page-first":"4000"}}],"schema":"https://github.com/citation-style-language/schema/raw/master/csl-citation.json"} </w:instrText>
      </w:r>
      <w:r w:rsidR="009A377C" w:rsidRPr="00F259A2">
        <w:rPr>
          <w:color w:val="000000"/>
        </w:rPr>
        <w:fldChar w:fldCharType="separate"/>
      </w:r>
      <w:r w:rsidR="007D2E20" w:rsidRPr="00F259A2">
        <w:t>(</w:t>
      </w:r>
      <w:r w:rsidR="007D2E20" w:rsidRPr="00F259A2">
        <w:rPr>
          <w:b/>
          <w:bCs/>
          <w:i/>
          <w:iCs/>
        </w:rPr>
        <w:t>18</w:t>
      </w:r>
      <w:r w:rsidR="007D2E20" w:rsidRPr="00F259A2">
        <w:t>)</w:t>
      </w:r>
      <w:r w:rsidR="009A377C" w:rsidRPr="00F259A2">
        <w:rPr>
          <w:color w:val="000000"/>
        </w:rPr>
        <w:fldChar w:fldCharType="end"/>
      </w:r>
      <w:r w:rsidR="004B305D" w:rsidRPr="00F259A2">
        <w:rPr>
          <w:color w:val="000000"/>
        </w:rPr>
        <w:t>.</w:t>
      </w:r>
      <w:r w:rsidR="0026227E" w:rsidRPr="00F259A2">
        <w:rPr>
          <w:color w:val="000000"/>
        </w:rPr>
        <w:t xml:space="preserve"> With the completion of the Human Genome Project sequence information became </w:t>
      </w:r>
      <w:r w:rsidR="007A1E9D" w:rsidRPr="00F259A2">
        <w:rPr>
          <w:color w:val="000000"/>
        </w:rPr>
        <w:t xml:space="preserve">publicly </w:t>
      </w:r>
      <w:r w:rsidR="0026227E" w:rsidRPr="00F259A2">
        <w:rPr>
          <w:color w:val="000000"/>
        </w:rPr>
        <w:t>available</w:t>
      </w:r>
      <w:r w:rsidR="00FF0062" w:rsidRPr="00F259A2">
        <w:rPr>
          <w:color w:val="000000"/>
        </w:rPr>
        <w:t>,</w:t>
      </w:r>
      <w:r w:rsidR="0026227E" w:rsidRPr="00F259A2">
        <w:rPr>
          <w:color w:val="000000"/>
        </w:rPr>
        <w:t xml:space="preserve"> revolutionizing biochemical research to carry out investigations on a genome wide scale by using microarray technology</w:t>
      </w:r>
      <w:r w:rsidR="0026227E" w:rsidRPr="007F42F0">
        <w:rPr>
          <w:b/>
          <w:i/>
          <w:color w:val="000000"/>
        </w:rPr>
        <w:t xml:space="preserve"> </w:t>
      </w:r>
      <w:r w:rsidR="009A377C" w:rsidRPr="007F42F0">
        <w:rPr>
          <w:b/>
          <w:i/>
          <w:color w:val="000000"/>
        </w:rPr>
        <w:fldChar w:fldCharType="begin"/>
      </w:r>
      <w:r w:rsidR="0042106E" w:rsidRPr="007F42F0">
        <w:rPr>
          <w:b/>
          <w:i/>
          <w:color w:val="000000"/>
        </w:rPr>
        <w:instrText xml:space="preserve"> ADDIN ZOTERO_ITEM CSL_CITATION {"citationID":"pija59v11","properties":{"formattedCitation":"{\\rtf (\\b \\i 19\\i0{}\\b0{})}","plainCitation":"(19)"},"citationItems":[{"id":3,"uris":["http://zotero.org/users/1046410/items/PUMN6SK7"],"uri":["http://zotero.org/users/1046410/items/PUMN6SK7"],"itemData":{"id":3,"type":"article-journal","title":"Gene expression microarray analysis in cancer biology, pharmacology, and drug development: progress and potential","container-title":"Biochemical pharmacology","page":"1311-1336","volume":"62","issue":"10","abstract":"With the imminent completion of the Human Genome Project, biomedical research is being revolutionised by the ability to carry out investigations on a genome wide scale. This is particularly important in cancer, a disease that is caused by accumulating abnormalities in the sequence and expression of a number of critical genes. Gene expression microarray technology is gaining increasingly widespread use as a means to determine the expression of potentially all human genes at the level of messenger RNA. In this commentary, we review developments in gene expression microarray technology and illustrate the progress and potential of the methodology in cancer biology, pharmacology, and drug development. Important applications include: (a) development of a more global understanding of the gene expression abnormalities that contribute to malignant progression; (b) discovery of new diagnostic and prognostic indicators and biomarkers of therapeutic response; (c) identification and validation of new molecular targets for drug development; (d) provision of an improved understanding of the molecular mode of action during lead identification and optimisation, including structure-activity relationships for on-target versus off-target effects; (e) prediction of potential side-effects during preclinical development and toxicology studies; (f) confirmation of a molecular mode of action during hypothesis-testing clinical trials; (g) identification of genes involved in conferring drug sensitivity and resistance; and (h) prediction of patients most likely to benefit from the drug and use in general pharmacogenomic studies. As a result of further technological improvements and decreasing costs, the use of microarrays will become an essential and potentially routine tool for cancer and biomedical research.","note":"PMID: 11709192","shortTitle":"Gene expression microarray analysis in cancer biology, pharmacology, and drug development","journalAbbreviation":"Biochem. Pharmacol.","author":[{"family":"Clarke","given":"P A"},{"family":"te Poele","given":"R"},{"family":"Wooster","given":"R"},{"family":"Workman","given":"P"}],"issued":{"year":2001,"month":11,"day":15},"accessed":{"year":2012,"month":5,"day":23},"page-first":"1311"}}],"schema":"https://github.com/citation-style-language/schema/raw/master/csl-citation.json"} </w:instrText>
      </w:r>
      <w:r w:rsidR="009A377C" w:rsidRPr="007F42F0">
        <w:rPr>
          <w:b/>
          <w:i/>
          <w:color w:val="000000"/>
        </w:rPr>
        <w:fldChar w:fldCharType="separate"/>
      </w:r>
      <w:r w:rsidR="007D2E20" w:rsidRPr="007F42F0">
        <w:rPr>
          <w:b/>
          <w:i/>
        </w:rPr>
        <w:t>(</w:t>
      </w:r>
      <w:r w:rsidR="007D2E20" w:rsidRPr="007F42F0">
        <w:rPr>
          <w:b/>
          <w:bCs/>
          <w:i/>
          <w:iCs/>
        </w:rPr>
        <w:t>19</w:t>
      </w:r>
      <w:r w:rsidR="007D2E20" w:rsidRPr="007F42F0">
        <w:rPr>
          <w:b/>
          <w:i/>
        </w:rPr>
        <w:t>)</w:t>
      </w:r>
      <w:r w:rsidR="009A377C" w:rsidRPr="007F42F0">
        <w:rPr>
          <w:b/>
          <w:i/>
          <w:color w:val="000000"/>
        </w:rPr>
        <w:fldChar w:fldCharType="end"/>
      </w:r>
      <w:r w:rsidR="0026227E" w:rsidRPr="00F830E9">
        <w:rPr>
          <w:color w:val="000000"/>
        </w:rPr>
        <w:t>.</w:t>
      </w:r>
      <w:r w:rsidR="0026227E" w:rsidRPr="00F259A2">
        <w:rPr>
          <w:color w:val="000000"/>
        </w:rPr>
        <w:t xml:space="preserve"> </w:t>
      </w:r>
    </w:p>
    <w:p w14:paraId="5FDB680D" w14:textId="77777777" w:rsidR="0019277F" w:rsidRPr="00F259A2" w:rsidRDefault="0019277F" w:rsidP="008A5EE5">
      <w:pPr>
        <w:pStyle w:val="Bibliography1"/>
        <w:spacing w:line="480" w:lineRule="auto"/>
        <w:jc w:val="left"/>
        <w:rPr>
          <w:color w:val="000000"/>
        </w:rPr>
      </w:pPr>
    </w:p>
    <w:p w14:paraId="7F3396BB" w14:textId="77777777" w:rsidR="00E56EA2" w:rsidRPr="00F259A2" w:rsidRDefault="00E56EA2" w:rsidP="008A5EE5">
      <w:pPr>
        <w:pStyle w:val="Heading2"/>
        <w:spacing w:line="480" w:lineRule="auto"/>
        <w:rPr>
          <w:rFonts w:ascii="Times New Roman" w:hAnsi="Times New Roman" w:cs="Times New Roman"/>
          <w:color w:val="000000"/>
          <w:sz w:val="24"/>
          <w:szCs w:val="24"/>
        </w:rPr>
      </w:pPr>
      <w:r w:rsidRPr="00F259A2">
        <w:rPr>
          <w:rFonts w:ascii="Times New Roman" w:hAnsi="Times New Roman" w:cs="Times New Roman"/>
          <w:color w:val="000000"/>
          <w:sz w:val="24"/>
          <w:szCs w:val="24"/>
        </w:rPr>
        <w:t>1.2. Array CGH</w:t>
      </w:r>
    </w:p>
    <w:p w14:paraId="792A863B" w14:textId="77777777" w:rsidR="0019277F" w:rsidRPr="00F259A2" w:rsidRDefault="0019277F" w:rsidP="008A5EE5">
      <w:pPr>
        <w:tabs>
          <w:tab w:val="left" w:pos="-1440"/>
          <w:tab w:val="left" w:pos="-720"/>
        </w:tabs>
        <w:suppressAutoHyphens/>
        <w:spacing w:line="480" w:lineRule="auto"/>
        <w:rPr>
          <w:color w:val="000000"/>
        </w:rPr>
      </w:pPr>
    </w:p>
    <w:p w14:paraId="6F6C80D7" w14:textId="77777777" w:rsidR="004B6A3B" w:rsidRPr="00F259A2" w:rsidRDefault="00AC6ABB" w:rsidP="008A5EE5">
      <w:pPr>
        <w:tabs>
          <w:tab w:val="left" w:pos="-1440"/>
          <w:tab w:val="left" w:pos="-720"/>
        </w:tabs>
        <w:suppressAutoHyphens/>
        <w:spacing w:line="480" w:lineRule="auto"/>
        <w:rPr>
          <w:color w:val="000000"/>
        </w:rPr>
      </w:pPr>
      <w:r w:rsidRPr="00F259A2">
        <w:rPr>
          <w:color w:val="000000"/>
        </w:rPr>
        <w:t xml:space="preserve">In the late 1990s, </w:t>
      </w:r>
      <w:r w:rsidR="00E56EA2" w:rsidRPr="00F259A2">
        <w:rPr>
          <w:color w:val="000000"/>
        </w:rPr>
        <w:t xml:space="preserve">the </w:t>
      </w:r>
      <w:r w:rsidR="000C35F0" w:rsidRPr="00F259A2">
        <w:rPr>
          <w:color w:val="000000"/>
        </w:rPr>
        <w:t xml:space="preserve">chromosomal </w:t>
      </w:r>
      <w:r w:rsidR="00E56EA2" w:rsidRPr="00F259A2">
        <w:rPr>
          <w:color w:val="000000"/>
        </w:rPr>
        <w:t>CGH method was</w:t>
      </w:r>
      <w:r w:rsidRPr="00F259A2">
        <w:rPr>
          <w:color w:val="000000"/>
        </w:rPr>
        <w:t xml:space="preserve"> consequently</w:t>
      </w:r>
      <w:r w:rsidR="00E56EA2" w:rsidRPr="00F259A2">
        <w:rPr>
          <w:color w:val="000000"/>
        </w:rPr>
        <w:t xml:space="preserve"> further developed </w:t>
      </w:r>
      <w:r w:rsidR="009A377C" w:rsidRPr="00181C07">
        <w:rPr>
          <w:b/>
          <w:i/>
          <w:color w:val="000000"/>
        </w:rPr>
        <w:fldChar w:fldCharType="begin"/>
      </w:r>
      <w:r w:rsidR="0042106E" w:rsidRPr="00181C07">
        <w:rPr>
          <w:b/>
          <w:i/>
          <w:color w:val="000000"/>
        </w:rPr>
        <w:instrText xml:space="preserve"> ADDIN ZOTERO_ITEM CSL_CITATION {"citationID":"2brnnnte5k","properties":{"formattedCitation":"{\\rtf (\\b \\i 20\\i0{}\\b0{})}","plainCitation":"(20)"},"citationItems":[{"id":21,"uris":["http://zotero.org/users/1046410/items/Q8NPGV6F"],"uri":["http://zotero.org/users/1046410/items/Q8NPGV6F"],"itemData":{"id":21,"type":"article-journal","title":"Matrix-based comparative genomic hybridization: biochips to screen for genomic imbalances","container-title":"Genes, chromosomes &amp; cancer","page":"399-407","volume":"20","issue":"4","abstract":"Comparative genomic hybridization (CGH) to metaphase chromosomes has been widely used for the genome-wide screening of genomic imbalances in tumor cells. Substitution of the chromosome targets by a matrix consisting of an ordered set of defined nucleic acid target sequences would greatly enhance the resolution and simplify the analysis procedure, both of which are prerequisites for a broad application of CGH as a diagnostic tool. However, hybridization of whole genomic human DNA to immobilized single-copy DNA fragments with complexities below the megabase pair level has been hampered by the low probability of specific binding because of the high probe complexity. We developed a protocol that allows CGH to chips consisting of glass slides with immobilized target DNAs arrayed in small spots. High-copy-number amplifications contained in tumor cells were rapidly scored by use of target DNAs as small as a cosmid. Low-copy-number gains and losses were identified reliably by their ratios by use of chromosome-specific DNA libraries or genomic fragments as small as 75 kb cloned in PI or PAC vectors as targets, thus greatly improving the resolution achievable by chromosomal CGH. The ratios obtained for the same chromosomal imbalance by matrix CGH and by chromosomal CGH corresponded very well. The new matrix CGH protocol provides a basis for the development of automated diagnostic procedures with biochips designed to meet clinical needs.","note":"PMID: 9408757","shortTitle":"Matrix-based comparative genomic hybridization","journalAbbreviation":"Genes Chromosomes Cancer","author":[{"family":"Solinas-Toldo","given":"S"},{"family":"Lampel","given":"S"},{"family":"Stilgenbauer","given":"S"},{"family":"Nickolenko","given":"J"},{"family":"Benner","given":"A"},{"family":"Döhner","given":"H"},{"family":"Cremer","given":"T"},{"family":"Lichter","given":"P"}],"issued":{"year":1997,"month":12},"accessed":{"year":2012,"month":5,"day":3},"page-first":"399"}}],"schema":"https://github.com/citation-style-language/schema/raw/master/csl-citation.json"} </w:instrText>
      </w:r>
      <w:r w:rsidR="009A377C" w:rsidRPr="00181C07">
        <w:rPr>
          <w:b/>
          <w:i/>
          <w:color w:val="000000"/>
        </w:rPr>
        <w:fldChar w:fldCharType="separate"/>
      </w:r>
      <w:r w:rsidR="007D2E20" w:rsidRPr="00181C07">
        <w:rPr>
          <w:b/>
          <w:i/>
        </w:rPr>
        <w:t>(</w:t>
      </w:r>
      <w:r w:rsidR="007D2E20" w:rsidRPr="00181C07">
        <w:rPr>
          <w:b/>
          <w:bCs/>
          <w:i/>
          <w:iCs/>
        </w:rPr>
        <w:t>20</w:t>
      </w:r>
      <w:r w:rsidR="007D2E20" w:rsidRPr="00181C07">
        <w:rPr>
          <w:b/>
          <w:i/>
        </w:rPr>
        <w:t>)</w:t>
      </w:r>
      <w:r w:rsidR="009A377C" w:rsidRPr="00181C07">
        <w:rPr>
          <w:b/>
          <w:i/>
          <w:color w:val="000000"/>
        </w:rPr>
        <w:fldChar w:fldCharType="end"/>
      </w:r>
      <w:r w:rsidR="00FF0062" w:rsidRPr="00F259A2">
        <w:rPr>
          <w:color w:val="000000"/>
        </w:rPr>
        <w:t xml:space="preserve"> </w:t>
      </w:r>
      <w:r w:rsidRPr="00F259A2">
        <w:rPr>
          <w:color w:val="000000"/>
        </w:rPr>
        <w:t xml:space="preserve">using microarrays </w:t>
      </w:r>
      <w:r w:rsidR="00E56EA2" w:rsidRPr="00F259A2">
        <w:rPr>
          <w:color w:val="000000"/>
        </w:rPr>
        <w:t>of genomic DNA fragments instead of whole metaphase chromosomes as hybridization target</w:t>
      </w:r>
      <w:r w:rsidR="00C35B50" w:rsidRPr="00F259A2">
        <w:rPr>
          <w:color w:val="000000"/>
        </w:rPr>
        <w:t>s</w:t>
      </w:r>
      <w:r w:rsidR="00E56EA2" w:rsidRPr="00F259A2">
        <w:rPr>
          <w:color w:val="000000"/>
        </w:rPr>
        <w:t xml:space="preserve"> which significantly increased th</w:t>
      </w:r>
      <w:r w:rsidRPr="00F259A2">
        <w:rPr>
          <w:color w:val="000000"/>
        </w:rPr>
        <w:t>e</w:t>
      </w:r>
      <w:r w:rsidR="00E56EA2" w:rsidRPr="00F259A2">
        <w:rPr>
          <w:color w:val="000000"/>
        </w:rPr>
        <w:t xml:space="preserve"> resolution</w:t>
      </w:r>
      <w:r w:rsidR="000C35F0" w:rsidRPr="00F259A2">
        <w:rPr>
          <w:color w:val="000000"/>
        </w:rPr>
        <w:t xml:space="preserve"> of </w:t>
      </w:r>
      <w:r w:rsidR="000C35F0" w:rsidRPr="00F259A2">
        <w:rPr>
          <w:color w:val="000000"/>
        </w:rPr>
        <w:lastRenderedPageBreak/>
        <w:t>the methodology</w:t>
      </w:r>
      <w:r w:rsidR="00E56EA2" w:rsidRPr="00F259A2">
        <w:rPr>
          <w:color w:val="000000"/>
        </w:rPr>
        <w:t>. Early assays employed clones with large human DNA inserts</w:t>
      </w:r>
      <w:r w:rsidR="00A831D8" w:rsidRPr="00F259A2">
        <w:rPr>
          <w:color w:val="000000"/>
        </w:rPr>
        <w:t xml:space="preserve"> in plasmids</w:t>
      </w:r>
      <w:r w:rsidR="00E56EA2" w:rsidRPr="00F259A2">
        <w:rPr>
          <w:color w:val="000000"/>
        </w:rPr>
        <w:t xml:space="preserve"> like bacterial artificial chromosomes (BAC), P1</w:t>
      </w:r>
      <w:r w:rsidR="00AD5B6B">
        <w:rPr>
          <w:color w:val="000000"/>
        </w:rPr>
        <w:t>--</w:t>
      </w:r>
      <w:r w:rsidR="00E56EA2" w:rsidRPr="00F259A2">
        <w:rPr>
          <w:color w:val="000000"/>
        </w:rPr>
        <w:t xml:space="preserve">derived artificial chromosomes (PAC) or yeast artificial chromosomes (YAC) but also other sources of well characterized DNA sequences like </w:t>
      </w:r>
      <w:proofErr w:type="spellStart"/>
      <w:r w:rsidR="00E56EA2" w:rsidRPr="00F259A2">
        <w:rPr>
          <w:color w:val="000000"/>
        </w:rPr>
        <w:t>cosmids</w:t>
      </w:r>
      <w:proofErr w:type="spellEnd"/>
      <w:r w:rsidR="00E56EA2" w:rsidRPr="00F259A2">
        <w:rPr>
          <w:color w:val="000000"/>
        </w:rPr>
        <w:t xml:space="preserve"> or sub</w:t>
      </w:r>
      <w:r w:rsidR="00AD5B6B">
        <w:rPr>
          <w:color w:val="000000"/>
        </w:rPr>
        <w:t>--</w:t>
      </w:r>
      <w:r w:rsidR="00E56EA2" w:rsidRPr="00F259A2">
        <w:rPr>
          <w:color w:val="000000"/>
        </w:rPr>
        <w:t xml:space="preserve">cloned cDNA. </w:t>
      </w:r>
      <w:r w:rsidR="00C35B50" w:rsidRPr="00F259A2">
        <w:rPr>
          <w:color w:val="000000"/>
        </w:rPr>
        <w:t>T</w:t>
      </w:r>
      <w:r w:rsidR="00E56EA2" w:rsidRPr="00F259A2">
        <w:rPr>
          <w:color w:val="000000"/>
        </w:rPr>
        <w:t xml:space="preserve">he physical length of a single BAC </w:t>
      </w:r>
      <w:r w:rsidR="004B6A3B" w:rsidRPr="00F259A2">
        <w:rPr>
          <w:color w:val="000000"/>
        </w:rPr>
        <w:t>being</w:t>
      </w:r>
      <w:r w:rsidR="00E56EA2" w:rsidRPr="00F259A2">
        <w:rPr>
          <w:color w:val="000000"/>
        </w:rPr>
        <w:t xml:space="preserve"> spotted as an element on such an array can be up to 200 kb long. These </w:t>
      </w:r>
      <w:r w:rsidR="004B6A3B" w:rsidRPr="00F259A2">
        <w:rPr>
          <w:color w:val="000000"/>
        </w:rPr>
        <w:t>so</w:t>
      </w:r>
      <w:r w:rsidR="00AD5B6B">
        <w:rPr>
          <w:color w:val="000000"/>
        </w:rPr>
        <w:t>--</w:t>
      </w:r>
      <w:r w:rsidR="004B6A3B" w:rsidRPr="00F259A2">
        <w:rPr>
          <w:color w:val="000000"/>
        </w:rPr>
        <w:t>called BAC</w:t>
      </w:r>
      <w:r w:rsidR="00AD5B6B">
        <w:rPr>
          <w:color w:val="000000"/>
        </w:rPr>
        <w:t>--</w:t>
      </w:r>
      <w:r w:rsidR="00E56EA2" w:rsidRPr="00F259A2">
        <w:rPr>
          <w:color w:val="000000"/>
        </w:rPr>
        <w:t xml:space="preserve">arrays reached from 3,000 up to 30,000 spots and the resolution was found to be rather limited at around 3 Mb </w:t>
      </w:r>
      <w:r w:rsidR="009A377C" w:rsidRPr="007C19C6">
        <w:rPr>
          <w:b/>
          <w:i/>
          <w:color w:val="000000"/>
        </w:rPr>
        <w:fldChar w:fldCharType="begin"/>
      </w:r>
      <w:r w:rsidR="0042106E" w:rsidRPr="007C19C6">
        <w:rPr>
          <w:b/>
          <w:i/>
          <w:color w:val="000000"/>
        </w:rPr>
        <w:instrText xml:space="preserve"> ADDIN ZOTERO_ITEM CSL_CITATION {"citationID":"zFibkpSb","properties":{"formattedCitation":"{\\rtf (\\b \\i 21\\i0{}\\b0{})}","plainCitation":"(21)"},"citationItems":[{"id":22,"uris":["http://zotero.org/users/1046410/items/BZ2EUZK8"],"uri":["http://zotero.org/users/1046410/items/BZ2EUZK8"],"itemData":{"id":22,"type":"article-journal","title":"BAC to the future! or oligonucleotides: a perspective for micro array comparative genomic hybridization (array CGH)","container-title":"Nucleic acids research","page":"445-450","volume":"34","issue":"2","abstract":"The array CGH technique (Array Comparative Genome Hybridization) has been developed to detect chromosomal copy number changes on a genome-wide and/or high-resolution scale. It is used in human genetics and oncology, with great promise for clinical application. Until recently primarily PCR amplified bacterial artificial chromosomes (BACs) or cDNAs have been spotted as elements on the array. The large-scale DNA isolations or PCR amplifications of the large-insert clones necessary for manufacturing the arrays are elaborate and time-consuming. Lack of a high-resolution highly sensitive (commercial) alternative has undoubtedly hindered the implementation of array CGH in research and diagnostics. Recently, synthetic oligonucleotides as arrayed elements have been introduced as an alternative substrate for array CGH, both by academic institutions as well as by commercial providers. Oligonucleotide libraries or ready-made arrays can be bought off-the-shelf saving considerable time and efforts. For RNA expression profiling, we have seen a gradual transition from in-house printed cDNA-based expression arrays to oligonucleotide arrays and we expect a similar transition for array CGH. This review compares the different platforms and will attempt to shine a light on the 'BAC to the future' of the array CGH technique.","DOI":"10.1093/nar/gkj456","note":"PMID: 16439806","shortTitle":"BAC to the future! or oligonucleotides","journalAbbreviation":"Nucleic Acids Res.","author":[{"family":"Ylstra","given":"Bauke"},{"family":"van den Ijssel","given":"Paul"},{"family":"Carvalho","given":"Beatriz"},{"family":"Brakenhoff","given":"Ruud H"},{"family":"Meijer","given":"Gerrit A"}],"issued":{"year":2006},"accessed":{"year":2012,"month":5,"day":3},"page-first":"445"}}],"schema":"https://github.com/citation-style-language/schema/raw/master/csl-citation.json"} </w:instrText>
      </w:r>
      <w:r w:rsidR="009A377C" w:rsidRPr="007C19C6">
        <w:rPr>
          <w:b/>
          <w:i/>
          <w:color w:val="000000"/>
        </w:rPr>
        <w:fldChar w:fldCharType="separate"/>
      </w:r>
      <w:r w:rsidR="007D2E20" w:rsidRPr="007C19C6">
        <w:rPr>
          <w:b/>
          <w:i/>
        </w:rPr>
        <w:t>(</w:t>
      </w:r>
      <w:r w:rsidR="007D2E20" w:rsidRPr="007C19C6">
        <w:rPr>
          <w:b/>
          <w:bCs/>
          <w:i/>
          <w:iCs/>
        </w:rPr>
        <w:t>21</w:t>
      </w:r>
      <w:r w:rsidR="007D2E20" w:rsidRPr="007C19C6">
        <w:rPr>
          <w:b/>
          <w:i/>
        </w:rPr>
        <w:t>)</w:t>
      </w:r>
      <w:r w:rsidR="009A377C" w:rsidRPr="007C19C6">
        <w:rPr>
          <w:b/>
          <w:i/>
          <w:color w:val="000000"/>
        </w:rPr>
        <w:fldChar w:fldCharType="end"/>
      </w:r>
      <w:r w:rsidR="00E56EA2" w:rsidRPr="00F259A2">
        <w:rPr>
          <w:color w:val="000000"/>
        </w:rPr>
        <w:t>.</w:t>
      </w:r>
      <w:r w:rsidR="004B6A3B" w:rsidRPr="00F259A2">
        <w:rPr>
          <w:color w:val="000000"/>
        </w:rPr>
        <w:t xml:space="preserve"> Such arrays are mostly being produced in</w:t>
      </w:r>
      <w:r w:rsidR="00AD5B6B">
        <w:rPr>
          <w:color w:val="000000"/>
        </w:rPr>
        <w:t>--</w:t>
      </w:r>
      <w:r w:rsidR="004B6A3B" w:rsidRPr="00F259A2">
        <w:rPr>
          <w:color w:val="000000"/>
        </w:rPr>
        <w:t xml:space="preserve">house using </w:t>
      </w:r>
      <w:proofErr w:type="spellStart"/>
      <w:r w:rsidR="004B6A3B" w:rsidRPr="00F259A2">
        <w:rPr>
          <w:color w:val="000000"/>
        </w:rPr>
        <w:t>self</w:t>
      </w:r>
      <w:r w:rsidR="00AD5B6B">
        <w:rPr>
          <w:color w:val="000000"/>
        </w:rPr>
        <w:t>--</w:t>
      </w:r>
      <w:r w:rsidR="004B6A3B" w:rsidRPr="00F259A2">
        <w:rPr>
          <w:color w:val="000000"/>
        </w:rPr>
        <w:t>made</w:t>
      </w:r>
      <w:proofErr w:type="spellEnd"/>
      <w:r w:rsidR="004B6A3B" w:rsidRPr="00F259A2">
        <w:rPr>
          <w:color w:val="000000"/>
        </w:rPr>
        <w:t xml:space="preserve"> or commercially bought </w:t>
      </w:r>
      <w:proofErr w:type="spellStart"/>
      <w:r w:rsidR="004B6A3B" w:rsidRPr="00F259A2">
        <w:rPr>
          <w:color w:val="000000"/>
        </w:rPr>
        <w:t>arrayers</w:t>
      </w:r>
      <w:proofErr w:type="spellEnd"/>
      <w:r w:rsidR="004B6A3B" w:rsidRPr="00F259A2">
        <w:rPr>
          <w:color w:val="000000"/>
        </w:rPr>
        <w:t>.</w:t>
      </w:r>
    </w:p>
    <w:p w14:paraId="3097983D" w14:textId="77777777" w:rsidR="00AE09D5" w:rsidRPr="00F259A2" w:rsidRDefault="00AC6ABB" w:rsidP="008A5EE5">
      <w:pPr>
        <w:tabs>
          <w:tab w:val="left" w:pos="-1440"/>
          <w:tab w:val="left" w:pos="-720"/>
        </w:tabs>
        <w:suppressAutoHyphens/>
        <w:spacing w:line="480" w:lineRule="auto"/>
        <w:rPr>
          <w:color w:val="000000"/>
        </w:rPr>
      </w:pPr>
      <w:r w:rsidRPr="00F259A2">
        <w:rPr>
          <w:color w:val="000000"/>
        </w:rPr>
        <w:t>Soon after</w:t>
      </w:r>
      <w:r w:rsidR="004B6A3B" w:rsidRPr="00F259A2">
        <w:rPr>
          <w:color w:val="000000"/>
        </w:rPr>
        <w:t xml:space="preserve"> or even in parallel to the development of BAC</w:t>
      </w:r>
      <w:r w:rsidR="00AD5B6B">
        <w:rPr>
          <w:color w:val="000000"/>
        </w:rPr>
        <w:t>--</w:t>
      </w:r>
      <w:r w:rsidR="004B6A3B" w:rsidRPr="00F259A2">
        <w:rPr>
          <w:color w:val="000000"/>
        </w:rPr>
        <w:t>arrays</w:t>
      </w:r>
      <w:r w:rsidRPr="00F259A2">
        <w:rPr>
          <w:color w:val="000000"/>
        </w:rPr>
        <w:t>,</w:t>
      </w:r>
      <w:r w:rsidR="00E56EA2" w:rsidRPr="00F259A2">
        <w:rPr>
          <w:color w:val="000000"/>
        </w:rPr>
        <w:t xml:space="preserve"> oligonucleotide</w:t>
      </w:r>
      <w:r w:rsidR="0071309A">
        <w:rPr>
          <w:color w:val="000000"/>
        </w:rPr>
        <w:t>--</w:t>
      </w:r>
      <w:r w:rsidR="00E56EA2" w:rsidRPr="00F259A2">
        <w:rPr>
          <w:color w:val="000000"/>
        </w:rPr>
        <w:t xml:space="preserve">based microarrays </w:t>
      </w:r>
      <w:r w:rsidR="002A47D5" w:rsidRPr="00F259A2">
        <w:rPr>
          <w:color w:val="000000"/>
        </w:rPr>
        <w:t>(</w:t>
      </w:r>
      <w:r w:rsidR="002A47D5" w:rsidRPr="007308B1">
        <w:rPr>
          <w:b/>
          <w:color w:val="000000"/>
        </w:rPr>
        <w:t>Figure 2</w:t>
      </w:r>
      <w:r w:rsidR="002A47D5" w:rsidRPr="00F259A2">
        <w:rPr>
          <w:color w:val="000000"/>
        </w:rPr>
        <w:t xml:space="preserve">) </w:t>
      </w:r>
      <w:r w:rsidR="00E56EA2" w:rsidRPr="00F259A2">
        <w:rPr>
          <w:color w:val="000000"/>
        </w:rPr>
        <w:t xml:space="preserve">were introduced with elements of 25 to 85mer </w:t>
      </w:r>
      <w:r w:rsidRPr="00F259A2">
        <w:rPr>
          <w:color w:val="000000"/>
        </w:rPr>
        <w:t>high</w:t>
      </w:r>
      <w:r w:rsidR="00AD5B6B">
        <w:rPr>
          <w:color w:val="000000"/>
        </w:rPr>
        <w:t>--</w:t>
      </w:r>
      <w:r w:rsidRPr="00F259A2">
        <w:rPr>
          <w:color w:val="000000"/>
        </w:rPr>
        <w:t xml:space="preserve">density synthetic </w:t>
      </w:r>
      <w:r w:rsidR="00E56EA2" w:rsidRPr="00F259A2">
        <w:rPr>
          <w:color w:val="000000"/>
        </w:rPr>
        <w:t xml:space="preserve">oligonucleotides </w:t>
      </w:r>
      <w:r w:rsidRPr="00F259A2">
        <w:rPr>
          <w:color w:val="000000"/>
        </w:rPr>
        <w:t xml:space="preserve">or expressed sequence tags (EST) </w:t>
      </w:r>
      <w:r w:rsidR="00693EAA" w:rsidRPr="00F259A2">
        <w:rPr>
          <w:color w:val="000000"/>
        </w:rPr>
        <w:t>on up to 250,000 printed spots per slide / chip providing a higher resolution of 50</w:t>
      </w:r>
      <w:r w:rsidR="00AD5B6B">
        <w:rPr>
          <w:color w:val="000000"/>
        </w:rPr>
        <w:t>--</w:t>
      </w:r>
      <w:r w:rsidR="00693EAA" w:rsidRPr="00F259A2">
        <w:rPr>
          <w:color w:val="000000"/>
        </w:rPr>
        <w:t>100 kb</w:t>
      </w:r>
      <w:r w:rsidR="005D162D" w:rsidRPr="00F259A2">
        <w:rPr>
          <w:color w:val="000000"/>
        </w:rPr>
        <w:t xml:space="preserve"> </w:t>
      </w:r>
      <w:r w:rsidR="009A377C" w:rsidRPr="00BF3BC1">
        <w:rPr>
          <w:b/>
          <w:i/>
          <w:color w:val="000000"/>
        </w:rPr>
        <w:fldChar w:fldCharType="begin"/>
      </w:r>
      <w:r w:rsidR="0042106E" w:rsidRPr="00BF3BC1">
        <w:rPr>
          <w:b/>
          <w:i/>
          <w:color w:val="000000"/>
        </w:rPr>
        <w:instrText xml:space="preserve"> ADDIN ZOTERO_ITEM CSL_CITATION {"citationID":"1pdqdi34lk","properties":{"formattedCitation":"{\\rtf (\\b \\i 22\\i0{}\\b0{}; \\b \\i 23\\i0{}\\b0{})}","plainCitation":"(22; 23)"},"citationItems":[{"id":"UxNzfD7n/KWulXtBf","uris":["http://zotero.org/users/local/6gDngD9g/items/MX9GRRG3"],"itemData":{"id":"UxNzfD7n/KWulXtBf","type":"article-journal","title":"High-resolution global profiling of genomic alterations with long oligonucleotide microarray","container-title":"Cancer research","page":"4744-4748","volume":"64","issue":"14","abstract":"Cancer represents the phenotypic end point of multiple genetic lesions that endow cells with a full range of biological properties required for tumorigenesis. Among the hallmark features of the cancer genome are recurrent regional gains and losses that, upon detailed characterization, have provided highly productive discovery paths for new oncogenes and tumor suppressor genes. In this study, we describe the use of an oligonucleotide-based microarray platform and development of requisite assay conditions and bioinformatic mining tools that permits high-resolution genome-wide array-comparative genome hybridization profiling of human and mouse tumors. Using a commercially available 60-mer oligonucleotide microarray, we demonstrate that this platform provides sufficient sensitivity to detect single-copy difference in gene dosage of full complexity genomic DNA while offering high resolution. The commercial availability of the microarrays and associated reagents, along with the technical protocols and analytical tools described in this report, should provide investigators with the immediate capacity to perform DNA analysis of normal and diseased genomes in a global and detailed manner.","DOI":"10.1158/0008-5472.CAN-04-1241","note":"PMID: 15256441","journalAbbreviation":"Cancer Res.","author":[{"family":"Brennan","given":"Cameron"},{"family":"Zhang","given":"Yunyu"},{"family":"Leo","given":"Christopher"},{"family":"Feng","given":"Bin"},{"family":"Cauwels","given":"Craig"},{"family":"Aguirre","given":"Andrew J"},{"family":"Kim","given":"Minjung"},{"family":"Protopopov","given":"Alexei"},{"family":"Chin","given":"Lynda"}],"issued":{"year":2004,"month":7,"day":15},"accessed":{"year":2012,"month":5,"day":3},"page-first":"4744"}},{"id":227,"uris":["http://zotero.org/users/1046410/items/QEBNF2CP"],"uri":["http://zotero.org/users/1046410/items/QEBNF2CP"],"itemData":{"id":227,"type":"article-journal","title":"The use of toxicogenomic data in risk assessment: a regulatory perspective","container-title":"Clinical toxicology (Philadelphia, Pa.)","page":"121-126","volume":"43","issue":"2","abstract":"Recent advances in genomic research have provided new insights into mechanisms of toxicity evoked by drugs or xenobiotics. Several governmental and commercial organizations are at present actively building up databases containing large amounts of toxicogenomics information. With promises to improve our ability to characterize hazard, scientists are facing the challenge as to how to link patterns of gene expression and gene clustering to specific adverse effects of toxicants or classes of toxicants. The future of toxicogenomics lies in the robustness of the databases generated. Regulators are working together with institutes and industry in exploring the potential use of these databases in regulatory purposes. It is, however, anticipated that regulatory use of the toxicogenomic databases as supportive information in the assessment procedure of new drug applications will be on a case-by-case basis until the predictive value of the databases is firmly established.","note":"PMID: 15822767","shortTitle":"The use of toxicogenomic data in risk assessment","journalAbbreviation":"Clin Toxicol (Phila)","author":[{"family":"Chan","given":"Vivian S W"},{"family":"Theilade","given":"Mette Due"}],"issued":{"year":2005},"accessed":{"year":2012,"month":6,"day":29},"page-first":"121"}}],"schema":"https://github.com/citation-style-language/schema/raw/master/csl-citation.json"} </w:instrText>
      </w:r>
      <w:r w:rsidR="009A377C" w:rsidRPr="00BF3BC1">
        <w:rPr>
          <w:b/>
          <w:i/>
          <w:color w:val="000000"/>
        </w:rPr>
        <w:fldChar w:fldCharType="separate"/>
      </w:r>
      <w:r w:rsidR="007D2E20" w:rsidRPr="00BF3BC1">
        <w:rPr>
          <w:b/>
          <w:i/>
        </w:rPr>
        <w:t>(</w:t>
      </w:r>
      <w:r w:rsidR="007D2E20" w:rsidRPr="00BF3BC1">
        <w:rPr>
          <w:b/>
          <w:bCs/>
          <w:i/>
          <w:iCs/>
        </w:rPr>
        <w:t>22</w:t>
      </w:r>
      <w:r w:rsidR="005D162D" w:rsidRPr="00BF3BC1">
        <w:rPr>
          <w:b/>
          <w:i/>
        </w:rPr>
        <w:t>,</w:t>
      </w:r>
      <w:r w:rsidR="007D2E20" w:rsidRPr="00BF3BC1">
        <w:rPr>
          <w:b/>
          <w:i/>
        </w:rPr>
        <w:t xml:space="preserve"> </w:t>
      </w:r>
      <w:r w:rsidR="007D2E20" w:rsidRPr="00BF3BC1">
        <w:rPr>
          <w:b/>
          <w:bCs/>
          <w:i/>
          <w:iCs/>
        </w:rPr>
        <w:t>23</w:t>
      </w:r>
      <w:r w:rsidR="007D2E20" w:rsidRPr="00BF3BC1">
        <w:rPr>
          <w:b/>
          <w:i/>
        </w:rPr>
        <w:t>)</w:t>
      </w:r>
      <w:r w:rsidR="009A377C" w:rsidRPr="00BF3BC1">
        <w:rPr>
          <w:b/>
          <w:i/>
          <w:color w:val="000000"/>
        </w:rPr>
        <w:fldChar w:fldCharType="end"/>
      </w:r>
      <w:r w:rsidR="009D3919" w:rsidRPr="00F259A2">
        <w:rPr>
          <w:color w:val="000000"/>
        </w:rPr>
        <w:t xml:space="preserve">. </w:t>
      </w:r>
      <w:r w:rsidR="00C72CF7" w:rsidRPr="00F259A2">
        <w:rPr>
          <w:color w:val="000000"/>
        </w:rPr>
        <w:t>On an array, t</w:t>
      </w:r>
      <w:r w:rsidR="005A00B4" w:rsidRPr="00F259A2">
        <w:rPr>
          <w:color w:val="000000"/>
        </w:rPr>
        <w:t xml:space="preserve">he oligonucleotides </w:t>
      </w:r>
      <w:r w:rsidR="00C72CF7" w:rsidRPr="00F259A2">
        <w:rPr>
          <w:color w:val="000000"/>
        </w:rPr>
        <w:t>are covalently bound to</w:t>
      </w:r>
      <w:r w:rsidR="005A00B4" w:rsidRPr="00F259A2">
        <w:rPr>
          <w:color w:val="000000"/>
        </w:rPr>
        <w:t xml:space="preserve"> the surface of a glass slide or </w:t>
      </w:r>
      <w:r w:rsidR="00286E78" w:rsidRPr="00F259A2">
        <w:rPr>
          <w:color w:val="000000"/>
        </w:rPr>
        <w:t xml:space="preserve">any </w:t>
      </w:r>
      <w:r w:rsidR="005A00B4" w:rsidRPr="00F259A2">
        <w:rPr>
          <w:color w:val="000000"/>
        </w:rPr>
        <w:t xml:space="preserve">other solid substrate </w:t>
      </w:r>
      <w:r w:rsidR="00C72CF7" w:rsidRPr="00F259A2">
        <w:rPr>
          <w:color w:val="000000"/>
        </w:rPr>
        <w:t xml:space="preserve">and </w:t>
      </w:r>
      <w:r w:rsidR="005A00B4" w:rsidRPr="00F259A2">
        <w:rPr>
          <w:color w:val="000000"/>
        </w:rPr>
        <w:t xml:space="preserve">are conjugated with fluorochromes. </w:t>
      </w:r>
      <w:r w:rsidR="00286E78" w:rsidRPr="00F259A2">
        <w:rPr>
          <w:color w:val="000000"/>
        </w:rPr>
        <w:t xml:space="preserve">After </w:t>
      </w:r>
      <w:r w:rsidR="005A00B4" w:rsidRPr="00F259A2">
        <w:rPr>
          <w:color w:val="000000"/>
        </w:rPr>
        <w:t>hybridization of the sample</w:t>
      </w:r>
      <w:r w:rsidR="00286E78" w:rsidRPr="00F259A2">
        <w:rPr>
          <w:color w:val="000000"/>
        </w:rPr>
        <w:t xml:space="preserve"> </w:t>
      </w:r>
      <w:r w:rsidR="0071309A">
        <w:rPr>
          <w:color w:val="000000"/>
        </w:rPr>
        <w:t>--</w:t>
      </w:r>
      <w:r w:rsidR="0071309A" w:rsidRPr="00F259A2">
        <w:rPr>
          <w:color w:val="000000"/>
        </w:rPr>
        <w:t xml:space="preserve"> </w:t>
      </w:r>
      <w:r w:rsidR="00286E78" w:rsidRPr="00F259A2">
        <w:rPr>
          <w:color w:val="000000"/>
        </w:rPr>
        <w:t>fragmented genomic DNA also being labelled with fluorescent molecules</w:t>
      </w:r>
      <w:r w:rsidR="00C72CF7" w:rsidRPr="00F259A2">
        <w:rPr>
          <w:color w:val="000000"/>
        </w:rPr>
        <w:t xml:space="preserve"> </w:t>
      </w:r>
      <w:r w:rsidR="0071309A">
        <w:rPr>
          <w:color w:val="000000"/>
        </w:rPr>
        <w:t>--</w:t>
      </w:r>
      <w:r w:rsidR="0071309A" w:rsidRPr="00F259A2">
        <w:rPr>
          <w:color w:val="000000"/>
        </w:rPr>
        <w:t xml:space="preserve"> </w:t>
      </w:r>
      <w:r w:rsidR="00286E78" w:rsidRPr="00F259A2">
        <w:rPr>
          <w:color w:val="000000"/>
        </w:rPr>
        <w:t>on</w:t>
      </w:r>
      <w:r w:rsidR="005A00B4" w:rsidRPr="00F259A2">
        <w:rPr>
          <w:color w:val="000000"/>
        </w:rPr>
        <w:t xml:space="preserve">to the </w:t>
      </w:r>
      <w:r w:rsidR="00286E78" w:rsidRPr="00F259A2">
        <w:rPr>
          <w:color w:val="000000"/>
        </w:rPr>
        <w:t>oligonucleotides</w:t>
      </w:r>
      <w:r w:rsidR="00352626" w:rsidRPr="00F259A2">
        <w:rPr>
          <w:color w:val="000000"/>
        </w:rPr>
        <w:t>,</w:t>
      </w:r>
      <w:r w:rsidR="00286E78" w:rsidRPr="00F259A2">
        <w:rPr>
          <w:color w:val="000000"/>
        </w:rPr>
        <w:t xml:space="preserve"> the ratio of intensities of both fluorescent dyes can be visualised and subsequently evaluated. The amount of fluorescence conjugate bound to each microarray spot corresponds to the level of genes expressed</w:t>
      </w:r>
      <w:r w:rsidR="00C72CF7" w:rsidRPr="00F259A2">
        <w:rPr>
          <w:color w:val="000000"/>
        </w:rPr>
        <w:t xml:space="preserve"> in the examined cell</w:t>
      </w:r>
      <w:r w:rsidR="00352626" w:rsidRPr="00F259A2">
        <w:rPr>
          <w:color w:val="000000"/>
        </w:rPr>
        <w:t xml:space="preserve"> </w:t>
      </w:r>
      <w:r w:rsidR="009A377C" w:rsidRPr="00A541C3">
        <w:rPr>
          <w:b/>
          <w:i/>
          <w:color w:val="000000"/>
        </w:rPr>
        <w:fldChar w:fldCharType="begin"/>
      </w:r>
      <w:r w:rsidR="0042106E" w:rsidRPr="00A541C3">
        <w:rPr>
          <w:b/>
          <w:i/>
          <w:color w:val="000000"/>
        </w:rPr>
        <w:instrText xml:space="preserve"> ADDIN ZOTERO_ITEM CSL_CITATION {"citationID":"p1r1jfnup","properties":{"formattedCitation":"{\\rtf (\\b \\i 23\\i0{}\\b0{}; \\b \\i 24\\i0{}\\b0{})}","plainCitation":"(23; 24)"},"citationItems":[{"id":39,"uris":["http://zotero.org/users/1046410/items/ID5FRX93"],"uri":["http://zotero.org/users/1046410/items/ID5FRX93"],"itemData":{"id":39,"type":"article-journal","title":"Genomic interrogation of mechanism(s) underlying cellular responses to toxicants","container-title":"Toxicology","page":"555-563","volume":"181-182","abstract":"Assessment of the impact of xenobiotic exposure on human health and disease progression is complex. Knowledge of mode(s) of action, including mechanism(s) contributing to toxicity and disease progression, is valuable for evaluating compounds. Toxicogenomics, the subdiscipline which merges genomics with toxicology, holds the promise to contributing significantly toward the goal of elucidating mechanism(s) by studying genome-wide effects of xenobiotics. Global gene expression profiling, revolutionized by microarray technology and a crucial aspect of a toxicogenomic study, allows measuring transcriptional modulation of thousands of genes following exposure to a xenobiotic. We use our results from previous studies on compounds representing two different classes of xenobiotics (barbiturate and peroxisome proliferator) to discuss the application of computational approaches for analyzing microarray data to elucidate mechanism(s) underlying cellular responses to toxicants. In particular, our laboratory demonstrated that chemical-specific patterns of gene expression can be revealed using cDNA microarrays. Transcript profiling provides discrimination between classes of toxicants, as well as, genome-wide insight into mechanism(s) of toxicity and disease progression. Ultimately, the expectation is that novel approaches for predicting xenobiotic toxicity in humans will emerge from such information.","note":"PMID: 12505366","journalAbbreviation":"Toxicology","author":[{"family":"Amin","given":"Rupesh P"},{"family":"Hamadeh","given":"Hisham K"},{"family":"Bushel","given":"Pierre R"},{"family":"Bennett","given":"Lee"},{"family":"Afshari","given":"Cynthia A"},{"family":"Paules","given":"Richard S"}],"issued":{"year":2002,"month":12,"day":27},"accessed":{"year":2012,"month":7,"day":24},"page-first":"555"}},{"id":227,"uris":["http://zotero.org/users/1046410/items/QEBNF2CP"],"uri":["http://zotero.org/users/1046410/items/QEBNF2CP"],"itemData":{"id":227,"type":"article-journal","title":"The use of toxicogenomic data in risk assessment: a regulatory perspective","container-title":"Clinical toxicology (Philadelphia, Pa.)","page":"121-126","volume":"43","issue":"2","abstract":"Recent advances in genomic research have provided new insights into mechanisms of toxicity evoked by drugs or xenobiotics. Several governmental and commercial organizations are at present actively building up databases containing large amounts of toxicogenomics information. With promises to improve our ability to characterize hazard, scientists are facing the challenge as to how to link patterns of gene expression and gene clustering to specific adverse effects of toxicants or classes of toxicants. The future of toxicogenomics lies in the robustness of the databases generated. Regulators are working together with institutes and industry in exploring the potential use of these databases in regulatory purposes. It is, however, anticipated that regulatory use of the toxicogenomic databases as supportive information in the assessment procedure of new drug applications will be on a case-by-case basis until the predictive value of the databases is firmly established.","note":"PMID: 15822767","shortTitle":"The use of toxicogenomic data in risk assessment","journalAbbreviation":"Clin Toxicol (Phila)","author":[{"family":"Chan","given":"Vivian S W"},{"family":"Theilade","given":"Mette Due"}],"issued":{"year":2005},"accessed":{"year":2012,"month":6,"day":29},"page-first":"121"}}],"schema":"https://github.com/citation-style-language/schema/raw/master/csl-citation.json"} </w:instrText>
      </w:r>
      <w:r w:rsidR="009A377C" w:rsidRPr="00A541C3">
        <w:rPr>
          <w:b/>
          <w:i/>
          <w:color w:val="000000"/>
        </w:rPr>
        <w:fldChar w:fldCharType="separate"/>
      </w:r>
      <w:r w:rsidR="007D2E20" w:rsidRPr="00A541C3">
        <w:rPr>
          <w:b/>
          <w:i/>
        </w:rPr>
        <w:t>(</w:t>
      </w:r>
      <w:r w:rsidR="007D2E20" w:rsidRPr="00A541C3">
        <w:rPr>
          <w:b/>
          <w:bCs/>
          <w:i/>
          <w:iCs/>
        </w:rPr>
        <w:t>23</w:t>
      </w:r>
      <w:r w:rsidR="00352626" w:rsidRPr="00A541C3">
        <w:rPr>
          <w:b/>
          <w:i/>
        </w:rPr>
        <w:t>,</w:t>
      </w:r>
      <w:r w:rsidR="007D2E20" w:rsidRPr="00A541C3">
        <w:rPr>
          <w:b/>
          <w:i/>
        </w:rPr>
        <w:t xml:space="preserve"> </w:t>
      </w:r>
      <w:r w:rsidR="007D2E20" w:rsidRPr="00A541C3">
        <w:rPr>
          <w:b/>
          <w:bCs/>
          <w:i/>
          <w:iCs/>
        </w:rPr>
        <w:t>24</w:t>
      </w:r>
      <w:r w:rsidR="007D2E20" w:rsidRPr="00A541C3">
        <w:rPr>
          <w:b/>
          <w:i/>
        </w:rPr>
        <w:t>)</w:t>
      </w:r>
      <w:r w:rsidR="009A377C" w:rsidRPr="00A541C3">
        <w:rPr>
          <w:b/>
          <w:i/>
          <w:color w:val="000000"/>
        </w:rPr>
        <w:fldChar w:fldCharType="end"/>
      </w:r>
      <w:r w:rsidR="009D3919" w:rsidRPr="00F259A2">
        <w:rPr>
          <w:color w:val="000000"/>
        </w:rPr>
        <w:t xml:space="preserve">. </w:t>
      </w:r>
      <w:r w:rsidR="003C1EDD" w:rsidRPr="00F259A2">
        <w:rPr>
          <w:color w:val="000000"/>
        </w:rPr>
        <w:t>In the dawn</w:t>
      </w:r>
      <w:r w:rsidR="00EB216C">
        <w:rPr>
          <w:color w:val="000000"/>
        </w:rPr>
        <w:t xml:space="preserve"> of </w:t>
      </w:r>
      <w:r w:rsidR="003C1EDD" w:rsidRPr="00F259A2">
        <w:rPr>
          <w:color w:val="000000"/>
        </w:rPr>
        <w:t>oligonucleotide array</w:t>
      </w:r>
      <w:r w:rsidR="00693EAA" w:rsidRPr="00F259A2">
        <w:rPr>
          <w:color w:val="000000"/>
        </w:rPr>
        <w:t>s</w:t>
      </w:r>
      <w:r w:rsidR="003C1EDD" w:rsidRPr="00F259A2">
        <w:rPr>
          <w:color w:val="000000"/>
        </w:rPr>
        <w:t xml:space="preserve">, a feasibility study showed that this technology can only provide a </w:t>
      </w:r>
      <w:r w:rsidR="003C1EDD" w:rsidRPr="00F259A2">
        <w:t xml:space="preserve">facile overview of </w:t>
      </w:r>
      <w:r w:rsidR="003C1EDD" w:rsidRPr="00F259A2">
        <w:rPr>
          <w:rStyle w:val="highlight"/>
        </w:rPr>
        <w:t>gene expression</w:t>
      </w:r>
      <w:r w:rsidR="003C1EDD" w:rsidRPr="00F259A2">
        <w:t xml:space="preserve"> responses relevant to </w:t>
      </w:r>
      <w:r w:rsidR="003C1EDD" w:rsidRPr="00F259A2">
        <w:rPr>
          <w:rStyle w:val="highlight"/>
        </w:rPr>
        <w:t>drug</w:t>
      </w:r>
      <w:r w:rsidR="00352626" w:rsidRPr="00F259A2">
        <w:rPr>
          <w:rStyle w:val="highlight"/>
        </w:rPr>
        <w:t xml:space="preserve"> </w:t>
      </w:r>
      <w:r w:rsidR="003C1EDD" w:rsidRPr="00F259A2">
        <w:rPr>
          <w:rStyle w:val="highlight"/>
        </w:rPr>
        <w:t>metabolism</w:t>
      </w:r>
      <w:r w:rsidR="003C1EDD" w:rsidRPr="00F259A2">
        <w:t xml:space="preserve"> and </w:t>
      </w:r>
      <w:r w:rsidR="003C1EDD" w:rsidRPr="00F259A2">
        <w:rPr>
          <w:rStyle w:val="highlight"/>
        </w:rPr>
        <w:t xml:space="preserve">toxicology </w:t>
      </w:r>
      <w:r w:rsidR="009A377C" w:rsidRPr="00041457">
        <w:rPr>
          <w:rStyle w:val="highlight"/>
          <w:b/>
          <w:i/>
        </w:rPr>
        <w:fldChar w:fldCharType="begin"/>
      </w:r>
      <w:r w:rsidR="0042106E" w:rsidRPr="00041457">
        <w:rPr>
          <w:rStyle w:val="highlight"/>
          <w:b/>
          <w:i/>
        </w:rPr>
        <w:instrText xml:space="preserve"> ADDIN ZOTERO_ITEM CSL_CITATION {"citationID":"1551fn73g4","properties":{"formattedCitation":"{\\rtf (\\b \\i 25\\i0{}\\b0{})}","plainCitation":"(25)"},"citationItems":[{"id":35,"uris":["http://zotero.org/users/1046410/items/D9JMQCPC"],"uri":["http://zotero.org/users/1046410/items/D9JMQCPC"],"itemData":{"id":35,"type":"article-journal","title":"Monitoring expression of genes involved in drug metabolism and toxicology using DNA microarrays","container-title":"Physiological genomics","page":"161-170","volume":"5","issue":"4","abstract":"Oligonucleotide DNA microarrays were investigated for utility in measuring global expression profiles of drug metabolism genes. This study was performed to investigate the feasibility of using microarray technology to minimize the long, expensive process of testing drug candidates for safety in animals. In an evaluation of hybridization specificity, microarray technology from Affymetrix distinguished genes up to a threshold of approximately 90% DNA identity. Oligonucleotides representing human cytochrome P-450 gene CYP3A5 showed heterologous hybridization to CYP3A4 and CYP3A7 RNAs. These genes could be clearly distinguished by selecting a subset of oligonucleotides that hybridized selectively to CYP3A5. Further validation of the technology was performed by measuring gene expression profiles in livers of rats treated with vehicle, 3-methylcholanthrene (3MC), phenobarbital, dexamethasone, or clofibrate and by confirming data for six genes using quantitative RT-PCR. Responses of drug metabolism genes, including CYPs, epoxide hydrolases (EHs), UDP-glucuronosyl transferases (UGTs), glutathione sulfotransferases (GSTs), sulfotransferases (STs), drug transporter genes, and peroxisomal genes, to these well-studied compounds agreed well with, and extended, published observations. Additional gene regulatory responses were noted that characterize metabolic effects or stress responses to these compounds. Thus microarray technology can provide a facile overview of gene expression responses relevant to drug metabolism and toxicology.","note":"PMID: 11328961","journalAbbreviation":"Physiol. Genomics","author":[{"family":"Gerhold","given":"D"},{"family":"Lu","given":"M"},{"family":"Xu","given":"J"},{"family":"Austin","given":"C"},{"family":"Caskey","given":"C T"},{"family":"Rushmore","given":"T"}],"issued":{"year":2001,"month":4,"day":27},"accessed":{"year":2012,"month":7,"day":26},"page-first":"161"}}],"schema":"https://github.com/citation-style-language/schema/raw/master/csl-citation.json"} </w:instrText>
      </w:r>
      <w:r w:rsidR="009A377C" w:rsidRPr="00041457">
        <w:rPr>
          <w:rStyle w:val="highlight"/>
          <w:b/>
          <w:i/>
        </w:rPr>
        <w:fldChar w:fldCharType="separate"/>
      </w:r>
      <w:r w:rsidR="007D2E20" w:rsidRPr="00041457">
        <w:rPr>
          <w:b/>
          <w:i/>
        </w:rPr>
        <w:t>(</w:t>
      </w:r>
      <w:r w:rsidR="007D2E20" w:rsidRPr="00041457">
        <w:rPr>
          <w:b/>
          <w:bCs/>
          <w:i/>
          <w:iCs/>
        </w:rPr>
        <w:t>25</w:t>
      </w:r>
      <w:r w:rsidR="007D2E20" w:rsidRPr="00041457">
        <w:rPr>
          <w:b/>
          <w:i/>
        </w:rPr>
        <w:t>)</w:t>
      </w:r>
      <w:r w:rsidR="009A377C" w:rsidRPr="00041457">
        <w:rPr>
          <w:rStyle w:val="highlight"/>
          <w:b/>
          <w:i/>
        </w:rPr>
        <w:fldChar w:fldCharType="end"/>
      </w:r>
      <w:r w:rsidR="003C1EDD" w:rsidRPr="00041457">
        <w:rPr>
          <w:rStyle w:val="highlight"/>
          <w:b/>
          <w:i/>
        </w:rPr>
        <w:t>.</w:t>
      </w:r>
      <w:r w:rsidR="003C1EDD" w:rsidRPr="00F259A2">
        <w:rPr>
          <w:rStyle w:val="highlight"/>
        </w:rPr>
        <w:t xml:space="preserve"> But with growing numbers</w:t>
      </w:r>
      <w:r w:rsidR="00693EAA" w:rsidRPr="00F259A2">
        <w:rPr>
          <w:rStyle w:val="highlight"/>
        </w:rPr>
        <w:t xml:space="preserve"> of</w:t>
      </w:r>
      <w:r w:rsidR="00352626" w:rsidRPr="00F259A2">
        <w:rPr>
          <w:rStyle w:val="highlight"/>
        </w:rPr>
        <w:t xml:space="preserve"> </w:t>
      </w:r>
      <w:r w:rsidR="003C1EDD" w:rsidRPr="00F259A2">
        <w:rPr>
          <w:rStyle w:val="highlight"/>
        </w:rPr>
        <w:t xml:space="preserve">mapped oligonucleotides resolution and efficiency increased leading </w:t>
      </w:r>
      <w:r w:rsidR="00693EAA" w:rsidRPr="00F259A2">
        <w:rPr>
          <w:rStyle w:val="highlight"/>
        </w:rPr>
        <w:t xml:space="preserve">even </w:t>
      </w:r>
      <w:r w:rsidR="003C1EDD" w:rsidRPr="00F259A2">
        <w:rPr>
          <w:rStyle w:val="highlight"/>
        </w:rPr>
        <w:t xml:space="preserve">to </w:t>
      </w:r>
      <w:r w:rsidR="00AE09D5" w:rsidRPr="00F259A2">
        <w:rPr>
          <w:color w:val="000000"/>
        </w:rPr>
        <w:t>v</w:t>
      </w:r>
      <w:r w:rsidR="00E56EA2" w:rsidRPr="00F259A2">
        <w:rPr>
          <w:color w:val="000000"/>
        </w:rPr>
        <w:t>ariant</w:t>
      </w:r>
      <w:r w:rsidR="003C1EDD" w:rsidRPr="00F259A2">
        <w:rPr>
          <w:color w:val="000000"/>
        </w:rPr>
        <w:t>s</w:t>
      </w:r>
      <w:r w:rsidR="00E56EA2" w:rsidRPr="00F259A2">
        <w:rPr>
          <w:color w:val="000000"/>
        </w:rPr>
        <w:t xml:space="preserve"> of </w:t>
      </w:r>
      <w:r w:rsidR="005A00B4" w:rsidRPr="00F259A2">
        <w:rPr>
          <w:color w:val="000000"/>
        </w:rPr>
        <w:t>this</w:t>
      </w:r>
      <w:r w:rsidR="00E56EA2" w:rsidRPr="00F259A2">
        <w:rPr>
          <w:color w:val="000000"/>
        </w:rPr>
        <w:t xml:space="preserve"> array-</w:t>
      </w:r>
      <w:r w:rsidR="00352626" w:rsidRPr="00F259A2">
        <w:rPr>
          <w:color w:val="000000"/>
        </w:rPr>
        <w:t>-</w:t>
      </w:r>
      <w:r w:rsidR="00E56EA2" w:rsidRPr="00F259A2">
        <w:rPr>
          <w:color w:val="000000"/>
        </w:rPr>
        <w:t>based method</w:t>
      </w:r>
      <w:r w:rsidR="00693EAA" w:rsidRPr="00F259A2">
        <w:rPr>
          <w:color w:val="000000"/>
        </w:rPr>
        <w:t>. T</w:t>
      </w:r>
      <w:r w:rsidR="00E56EA2" w:rsidRPr="00F259A2">
        <w:rPr>
          <w:color w:val="000000"/>
        </w:rPr>
        <w:t xml:space="preserve">he exon array CGH assay </w:t>
      </w:r>
      <w:r w:rsidR="00693EAA" w:rsidRPr="00F259A2">
        <w:rPr>
          <w:color w:val="000000"/>
        </w:rPr>
        <w:t xml:space="preserve">for instance </w:t>
      </w:r>
      <w:r w:rsidR="00E56EA2" w:rsidRPr="00F259A2">
        <w:rPr>
          <w:color w:val="000000"/>
        </w:rPr>
        <w:t>evaluat</w:t>
      </w:r>
      <w:r w:rsidR="00693EAA" w:rsidRPr="00F259A2">
        <w:rPr>
          <w:color w:val="000000"/>
        </w:rPr>
        <w:t>es</w:t>
      </w:r>
      <w:r w:rsidR="00E56EA2" w:rsidRPr="00F259A2">
        <w:rPr>
          <w:color w:val="000000"/>
        </w:rPr>
        <w:t xml:space="preserve"> exogenic copy number variations</w:t>
      </w:r>
      <w:r w:rsidR="003C1EDD" w:rsidRPr="00F259A2">
        <w:rPr>
          <w:color w:val="000000"/>
        </w:rPr>
        <w:t xml:space="preserve">, hence, only targeting exons within genes </w:t>
      </w:r>
      <w:r w:rsidR="009A377C" w:rsidRPr="0065635D">
        <w:rPr>
          <w:b/>
          <w:i/>
          <w:color w:val="000000"/>
        </w:rPr>
        <w:fldChar w:fldCharType="begin"/>
      </w:r>
      <w:r w:rsidR="0042106E" w:rsidRPr="0065635D">
        <w:rPr>
          <w:b/>
          <w:i/>
          <w:color w:val="000000"/>
        </w:rPr>
        <w:instrText xml:space="preserve"> ADDIN ZOTERO_ITEM CSL_CITATION {"citationID":"qua3sctuo","properties":{"formattedCitation":"{\\rtf (\\b \\i 26\\i0{}\\b0{}; \\b \\i 27\\i0{}\\b0{})}","plainCitation":"(26; 27)"},"citationItems":[{"id":9,"uris":["http://zotero.org/users/1046410/items/IIWP6PC4"],"uri":["http://zotero.org/users/1046410/items/IIWP6PC4"],"itemData":{"id":9,"type":"article-journal","title":"Exon-level array CGH in a large clinical cohort demonstrates increased sensitivity of diagnostic testing for Mendelian disorders","container-title":"Genetics in medicine: official journal of the American College of Medical Genetics","page":"594-603","volume":"14","issue":"6","abstract":"Purpose:Mendelian disorders are most commonly caused by mutations identifiable by DNA sequencing. Exonic deletions and duplications can go undetected by sequencing, and their frequency in most Mendelian disorders is unknown.Methods:We designed an array comparative genomic hybridization (CGH) test with probes in exonic regions of 589 genes. Targeted testing was performed for 219 genes in 3,018 patients. We demonstrate for the first time the utility of exon-level array CGH in a large clinical cohort by testing for 136 autosomal dominant, 53 autosomal recessive, and 30 X-linked disorders.Results:Overall, 98 deletions and two duplications were identified in 53 genes, corresponding to a detection rate of 3.3%. Approximately 40% of positive findings were deletions of only one or two exons. A high frequency of deletions was observed for several autosomal dominant disorders, with a detection rate of 2.9%. For autosomal recessive disorders, array CGH was usually performed after a single mutation was identified by sequencing. Among 138 individuals tested for recessive disorders, 10.1% had intragenic deletions. For X-linked disorders, 3.5% of 313 patients carried a deletion or duplication.Conclusion:Our results demonstrate that exon-level array CGH provides a robust option for intragenic copy number analysis and should routinely supplement sequence analysis for Mendelian disorders.Genet Med advance online publication 1 March 2012.","DOI":"10.1038/gim.2011.65","note":"PMID: 22382802","journalAbbreviation":"Genet. Med","author":[{"family":"Aradhya","given":"Swaroop"},{"family":"Lewis","given":"Rachel"},{"family":"Bonaga","given":"Tahrra"},{"family":"Nwokekeh","given":"Nnenna"},{"family":"Stafford","given":"Amanda"},{"family":"Boggs","given":"Barbara"},{"family":"Hruska","given":"Kathleen"},{"family":"Smaoui","given":"Nizar"},{"family":"Compton","given":"John G"},{"family":"Richard","given":"Gabriele"},{"family":"Suchy","given":"Sharon"}],"issued":{"year":2012,"month":3,"day":1},"accessed":{"year":2012,"month":5,"day":23},"page-first":"594"},"label":"page"},{"id":18,"uris":["http://zotero.org/users/1046410/items/N96K4CHT"],"uri":["http://zotero.org/users/1046410/items/N96K4CHT"],"itemData":{"id":18,"type":"article-journal","title":"Targeted array CGH as a valuable molecular diagnostic approach: Experience in the diagnosis of mitochondrial and metabolic disorders","container-title":"Molecular genetics and metabolism","page":"221-230","volume":"106","issue":"2","abstract":"Oligonucleotide array-based comparative genomic hybridization (aCGH) targeted to coding exons of genes of interest has been proven to be a valuable diagnostic tool to complement with Sanger sequencing for the detection of large deletions/duplications. We have developed a custom designed oligonucleotide aCGH platform for this purpose. This array platform provides tiled coverage of the entire mitochondrial genome and high-density coverage of a set of nuclear genes involving mitochondrial and metabolic disorders and can be used to evaluate large deletions in targeted genes. A total of 1280 DNA samples from patients suspected of having mitochondrial or metabolic disorders were evaluated using this targeted aCGH. We detected 40 (3%) pathogenic large deletions in unrelated individuals, including 6 in genes responsible for mitochondrial DNA (mtDNA) depletion syndromes, 23 in urea cycle genes, 11 in metabolic and related genes. Deletion breakpoints have been confirmed in 31 cases by PCR and sequencing. The possible deletion mechanism has been discussed. These results illustrate the successful utilization of targeted aCGH to detect large deletions in nuclear and mitochondrial genomes. This technology is particularly useful as a complementary diagnostic test in the context of a recessive disease when only one mutant allele is found by sequencing. For female carriers of X-linked disorders, if sequencing analysis does not detect point mutations, targeted aCGH should be considered for the detection of large heterozygous deletions.","DOI":"10.1016/j.ymgme.2012.03.005","note":"PMID: 22494545","shortTitle":"Targeted array CGH as a valuable molecular diagnostic approach","journalAbbreviation":"Mol. Genet. Metab.","author":[{"family":"Wang","given":"Jing"},{"family":"Zhan","given":"Hongli"},{"family":"Li","given":"Fang-Yuan"},{"family":"Pursley","given":"Amber N"},{"family":"Schmitt","given":"Eric S"},{"family":"Wong","given":"Lee-Jun"}],"issued":{"year":2012,"month":6},"accessed":{"year":2012,"month":5,"day":23},"page-first":"221"},"label":"page"}],"schema":"https://github.com/citation-style-language/schema/raw/master/csl-citation.json"} </w:instrText>
      </w:r>
      <w:r w:rsidR="009A377C" w:rsidRPr="0065635D">
        <w:rPr>
          <w:b/>
          <w:i/>
          <w:color w:val="000000"/>
        </w:rPr>
        <w:fldChar w:fldCharType="separate"/>
      </w:r>
      <w:r w:rsidR="007D2E20" w:rsidRPr="0065635D">
        <w:rPr>
          <w:b/>
          <w:i/>
        </w:rPr>
        <w:t>(</w:t>
      </w:r>
      <w:r w:rsidR="007D2E20" w:rsidRPr="0065635D">
        <w:rPr>
          <w:b/>
          <w:bCs/>
          <w:i/>
          <w:iCs/>
        </w:rPr>
        <w:t>26</w:t>
      </w:r>
      <w:r w:rsidR="00352626" w:rsidRPr="0065635D">
        <w:rPr>
          <w:b/>
          <w:i/>
        </w:rPr>
        <w:t>,</w:t>
      </w:r>
      <w:r w:rsidR="007D2E20" w:rsidRPr="0065635D">
        <w:rPr>
          <w:b/>
          <w:i/>
        </w:rPr>
        <w:t xml:space="preserve"> </w:t>
      </w:r>
      <w:r w:rsidR="007D2E20" w:rsidRPr="0065635D">
        <w:rPr>
          <w:b/>
          <w:bCs/>
          <w:i/>
          <w:iCs/>
        </w:rPr>
        <w:t>27</w:t>
      </w:r>
      <w:r w:rsidR="007D2E20" w:rsidRPr="0065635D">
        <w:rPr>
          <w:b/>
          <w:i/>
        </w:rPr>
        <w:t>)</w:t>
      </w:r>
      <w:r w:rsidR="009A377C" w:rsidRPr="0065635D">
        <w:rPr>
          <w:b/>
          <w:i/>
          <w:color w:val="000000"/>
        </w:rPr>
        <w:fldChar w:fldCharType="end"/>
      </w:r>
      <w:r w:rsidR="00AE09D5" w:rsidRPr="0065635D">
        <w:rPr>
          <w:b/>
          <w:i/>
          <w:color w:val="000000"/>
        </w:rPr>
        <w:t xml:space="preserve">. </w:t>
      </w:r>
      <w:r w:rsidR="00AE09D5" w:rsidRPr="00F259A2">
        <w:rPr>
          <w:color w:val="000000"/>
        </w:rPr>
        <w:t>Although developed for pre</w:t>
      </w:r>
      <w:r w:rsidR="00205670" w:rsidRPr="00F259A2">
        <w:rPr>
          <w:color w:val="000000"/>
        </w:rPr>
        <w:t>-</w:t>
      </w:r>
      <w:r w:rsidR="00C72CF7" w:rsidRPr="00F259A2">
        <w:rPr>
          <w:color w:val="000000"/>
        </w:rPr>
        <w:t>-</w:t>
      </w:r>
      <w:r w:rsidR="00AE09D5" w:rsidRPr="00F259A2">
        <w:rPr>
          <w:color w:val="000000"/>
        </w:rPr>
        <w:t xml:space="preserve">implantation genetic diagnosis to assess for </w:t>
      </w:r>
      <w:r w:rsidR="00AE09D5" w:rsidRPr="00F259A2">
        <w:rPr>
          <w:color w:val="000000"/>
        </w:rPr>
        <w:lastRenderedPageBreak/>
        <w:t>numerical abnormalities on single blastomeres array</w:t>
      </w:r>
      <w:r w:rsidR="00693EAA" w:rsidRPr="00F259A2">
        <w:rPr>
          <w:color w:val="000000"/>
        </w:rPr>
        <w:t>,</w:t>
      </w:r>
      <w:r w:rsidR="00AE09D5" w:rsidRPr="00F259A2">
        <w:rPr>
          <w:color w:val="000000"/>
        </w:rPr>
        <w:t xml:space="preserve"> CGH can also be employed to </w:t>
      </w:r>
      <w:r w:rsidR="00693EAA" w:rsidRPr="00F259A2">
        <w:rPr>
          <w:color w:val="000000"/>
        </w:rPr>
        <w:t>focus on the genotoxic impact at the</w:t>
      </w:r>
      <w:r w:rsidR="00AE09D5" w:rsidRPr="00F259A2">
        <w:rPr>
          <w:color w:val="000000"/>
        </w:rPr>
        <w:t xml:space="preserve"> single cell level </w:t>
      </w:r>
      <w:r w:rsidR="009A377C" w:rsidRPr="006831EC">
        <w:rPr>
          <w:b/>
          <w:i/>
          <w:color w:val="000000"/>
        </w:rPr>
        <w:fldChar w:fldCharType="begin"/>
      </w:r>
      <w:r w:rsidR="0042106E" w:rsidRPr="006831EC">
        <w:rPr>
          <w:b/>
          <w:i/>
          <w:color w:val="000000"/>
        </w:rPr>
        <w:instrText xml:space="preserve"> ADDIN ZOTERO_ITEM CSL_CITATION {"citationID":"23g6viqva7","properties":{"formattedCitation":"{\\rtf (\\b \\i 28\\i0{}\\b0{})}","plainCitation":"(28)"},"citationItems":[{"id":275,"uris":["http://zotero.org/users/1046410/items/9USZWTIV"],"uri":["http://zotero.org/users/1046410/items/9USZWTIV"],"itemData":{"id":275,"type":"article-journal","title":"Aneuploidy detection in single cells using DNA array-based comparative genomic hybridization","container-title":"Molecular human reproduction","page":"283-289","volume":"10","issue":"4","abstract":"The use of metaphase comparative genomic hybridization (CGH) to screen all human chromosomes for aneuploidy in preimplantation embryos is hindered by the time required to perform the analysis. We report in this paper a novel approach to manufacture a DNA microarray for CGH for the detection of aneuploidy in single cells. We spotted human chromosome-specific libraries on glass slides that were depleted of repetitive sequences and tested our array CGH method in 14 experiments using either single male and/or single female lymphocytes. For the autosomes, the mean normalized ratios were all close to the expected ratio of 1.0 with overall 300/308 (97%) of the normalized ratios falling within the range 0.75 to 1.25. It was possible to deduce the correct copy number of the X chromosome in 13/14 (92.9%) separate array CGH experiments but the Y chromosome in only 4/14 (29%). We tested our microarray CGH method on a single fibroblast from each of three cell lines containing a specific chromosome aneuploidy (trisomy 13, 15 or 18) and in each case our microarray analysis was able to obtain a diagnosis based on the fact that the aneuploid chromosome gave the highest ratio (1.32, 1.27 and 1.27 respectively) with the ratios of all other chromosomes falling within the range 0.75-1.25. Requiring just 30 h, our method may be more suitable for PGD aneuploidy screening than metaphase CGH.","DOI":"10.1093/humrep/gah038","note":"PMID: 14985479","journalAbbreviation":"Mol. Hum. Reprod.","author":[{"family":"Hu","given":"Dong Gui"},{"family":"Webb","given":"Graham"},{"family":"Hussey","given":"Nicole"}],"issued":{"year":2004,"month":4},"accessed":{"year":2012,"month":7,"day":6},"page-first":"283"}}],"schema":"https://github.com/citation-style-language/schema/raw/master/csl-citation.json"} </w:instrText>
      </w:r>
      <w:r w:rsidR="009A377C" w:rsidRPr="006831EC">
        <w:rPr>
          <w:b/>
          <w:i/>
          <w:color w:val="000000"/>
        </w:rPr>
        <w:fldChar w:fldCharType="separate"/>
      </w:r>
      <w:r w:rsidR="007D2E20" w:rsidRPr="006831EC">
        <w:rPr>
          <w:b/>
          <w:i/>
        </w:rPr>
        <w:t>(</w:t>
      </w:r>
      <w:r w:rsidR="007D2E20" w:rsidRPr="006831EC">
        <w:rPr>
          <w:b/>
          <w:bCs/>
          <w:i/>
          <w:iCs/>
        </w:rPr>
        <w:t>28</w:t>
      </w:r>
      <w:r w:rsidR="007D2E20" w:rsidRPr="006831EC">
        <w:rPr>
          <w:b/>
          <w:i/>
        </w:rPr>
        <w:t>)</w:t>
      </w:r>
      <w:r w:rsidR="009A377C" w:rsidRPr="006831EC">
        <w:rPr>
          <w:b/>
          <w:i/>
          <w:color w:val="000000"/>
        </w:rPr>
        <w:fldChar w:fldCharType="end"/>
      </w:r>
      <w:r w:rsidR="00AE09D5" w:rsidRPr="00F259A2">
        <w:rPr>
          <w:color w:val="000000"/>
        </w:rPr>
        <w:t xml:space="preserve"> using the</w:t>
      </w:r>
      <w:r w:rsidR="00E56EA2" w:rsidRPr="00F259A2">
        <w:rPr>
          <w:color w:val="000000"/>
        </w:rPr>
        <w:t xml:space="preserve"> single</w:t>
      </w:r>
      <w:r w:rsidR="00AD5B6B">
        <w:rPr>
          <w:color w:val="000000"/>
        </w:rPr>
        <w:t>--</w:t>
      </w:r>
      <w:r w:rsidR="00E56EA2" w:rsidRPr="00F259A2">
        <w:rPr>
          <w:color w:val="000000"/>
        </w:rPr>
        <w:t xml:space="preserve">cell array CGH assay where </w:t>
      </w:r>
      <w:r w:rsidR="005A00B4" w:rsidRPr="00F259A2">
        <w:rPr>
          <w:color w:val="000000"/>
        </w:rPr>
        <w:t xml:space="preserve">only one specific cell </w:t>
      </w:r>
      <w:r w:rsidR="00C72CF7" w:rsidRPr="00F259A2">
        <w:rPr>
          <w:color w:val="000000"/>
        </w:rPr>
        <w:t xml:space="preserve">such as </w:t>
      </w:r>
      <w:r w:rsidR="005A00B4" w:rsidRPr="00F259A2">
        <w:rPr>
          <w:color w:val="000000"/>
        </w:rPr>
        <w:t>a blastomere</w:t>
      </w:r>
      <w:r w:rsidR="00205670" w:rsidRPr="00F259A2">
        <w:rPr>
          <w:color w:val="000000"/>
        </w:rPr>
        <w:t xml:space="preserve"> </w:t>
      </w:r>
      <w:r w:rsidR="005A00B4" w:rsidRPr="00F259A2">
        <w:rPr>
          <w:color w:val="000000"/>
        </w:rPr>
        <w:t>is</w:t>
      </w:r>
      <w:r w:rsidR="00E56EA2" w:rsidRPr="00F259A2">
        <w:rPr>
          <w:color w:val="000000"/>
        </w:rPr>
        <w:t xml:space="preserve"> analysed for </w:t>
      </w:r>
      <w:r w:rsidR="005A00B4" w:rsidRPr="00F259A2">
        <w:rPr>
          <w:color w:val="000000"/>
        </w:rPr>
        <w:t xml:space="preserve">its </w:t>
      </w:r>
      <w:r w:rsidR="00E56EA2" w:rsidRPr="00F259A2">
        <w:rPr>
          <w:color w:val="000000"/>
        </w:rPr>
        <w:t xml:space="preserve">genomic copy number variations </w:t>
      </w:r>
      <w:r w:rsidR="009A377C" w:rsidRPr="008D2C51">
        <w:rPr>
          <w:b/>
          <w:i/>
          <w:color w:val="000000"/>
        </w:rPr>
        <w:fldChar w:fldCharType="begin"/>
      </w:r>
      <w:r w:rsidR="0042106E" w:rsidRPr="008D2C51">
        <w:rPr>
          <w:b/>
          <w:i/>
          <w:color w:val="000000"/>
        </w:rPr>
        <w:instrText xml:space="preserve"> ADDIN ZOTERO_ITEM CSL_CITATION {"citationID":"o7ehbna8u","properties":{"formattedCitation":"{\\rtf (\\b \\i 29\\i0{}\\b0{}; \\b \\i 30\\i0{}\\b0{})}","plainCitation":"(29; 30)"},"citationItems":[{"id":19,"uris":["http://zotero.org/users/1046410/items/XQ8M58EI"],"uri":["http://zotero.org/users/1046410/items/XQ8M58EI"],"itemData":{"id":19,"type":"article-journal","title":"High resolution array-CGH analysis of single cells","container-title":"Nucleic acids research","page":"e15","volume":"35","issue":"3","abstract":"Heterogeneity in the genome copy number of tissues is of particular importance in solid tumor biology. Furthermore, many clinical applications such as pre-implantation and non-invasive prenatal diagnosis would benefit from the ability to characterize individual single cells. As the amount of DNA from single cells is so small, several PCR protocols have been developed in an attempt to achieve unbiased amplification. Many of these approaches are suitable for subsequent cytogenetic analyses using conventional methodologies such as comparative genomic hybridization (CGH) to metaphase spreads. However, attempts to harness array-CGH for single-cell analysis to provide improved resolution have been disappointing. Here we describe a strategy that combines single-cell amplification using GenomePlex library technology (GenomePlex) Single Cell Whole Genome Amplification Kit, Sigma-Aldrich, UK) and detailed analysis of genomic copy number changes by high-resolution array-CGH. We show that single copy changes as small as 8.3 Mb in single cells are detected reliably with single cells derived from various tumor cell lines as well as patients presenting with trisomy 21 and Prader-Willi syndrome. Our results demonstrate the potential of this technology for studies of tumor biology and for clinical diagnostics.","DOI":"10.1093/nar/gkl1030","note":"PMID: 17178751","journalAbbreviation":"Nucleic Acids Res.","author":[{"family":"Fiegler","given":"Heike"},{"family":"Geigl","given":"Jochen B"},{"family":"Langer","given":"Sabine"},{"family":"Rigler","given":"Diane"},{"family":"Porter","given":"Keith"},{"family":"Unger","given":"Kristian"},{"family":"Carter","given":"Nigel P"},{"family":"Speicher","given":"Michael R"}],"issued":{"year":2007},"accessed":{"year":2012,"month":5,"day":23},"page-first":"e15"},"label":"page"},{"id":25,"uris":["http://zotero.org/users/1046410/items/WRIXK4QT"],"uri":["http://zotero.org/users/1046410/items/WRIXK4QT"],"itemData":{"id":25,"type":"article-journal","title":"Single-cell copy number variation detection","container-title":"Genome biology","page":"R80","volume":"12","issue":"8","abstract":"Detection of chromosomal aberrations from a single cell by array comparative genomic hybridization (single-cell array CGH), instead of from a population of cells, is an emerging technique. However, such detection is challenging because of the genome artifacts and the DNA amplification process inherent to the single cell approach. Current normalization algorithms result in inaccurate aberration detection for single-cell data. We propose a normalization method based on channel, genome composition and recurrent genome artifact corrections. We demonstrate that the proposed channel clone normalization significantly improves the copy number variation detection in both simulated and real single-cell array CGH data.","DOI":"10.1186/gb-2011-12-8-r80","note":"PMID: 21854607","journalAbbreviation":"Genome Biol.","author":[{"family":"Cheng","given":"Jiqiu"},{"family":"Vanneste","given":"Evelyne"},{"family":"Konings","given":"Peter"},{"family":"Voet","given":"Thierry"},{"family":"Vermeesch","given":"Joris R"},{"family":"Moreau","given":"Yves"}],"issued":{"year":2011},"accessed":{"year":2012,"month":5,"day":23},"page-first":"R80"},"label":"page"}],"schema":"https://github.com/citation-style-language/schema/raw/master/csl-citation.json"} </w:instrText>
      </w:r>
      <w:r w:rsidR="009A377C" w:rsidRPr="008D2C51">
        <w:rPr>
          <w:b/>
          <w:i/>
          <w:color w:val="000000"/>
        </w:rPr>
        <w:fldChar w:fldCharType="separate"/>
      </w:r>
      <w:r w:rsidR="007D2E20" w:rsidRPr="008D2C51">
        <w:rPr>
          <w:b/>
          <w:i/>
        </w:rPr>
        <w:t>(</w:t>
      </w:r>
      <w:r w:rsidR="007D2E20" w:rsidRPr="008D2C51">
        <w:rPr>
          <w:b/>
          <w:bCs/>
          <w:i/>
          <w:iCs/>
        </w:rPr>
        <w:t>29</w:t>
      </w:r>
      <w:r w:rsidR="00C96874" w:rsidRPr="008D2C51">
        <w:rPr>
          <w:b/>
          <w:i/>
        </w:rPr>
        <w:t>,</w:t>
      </w:r>
      <w:r w:rsidR="007D2E20" w:rsidRPr="008D2C51">
        <w:rPr>
          <w:b/>
          <w:i/>
        </w:rPr>
        <w:t xml:space="preserve"> </w:t>
      </w:r>
      <w:r w:rsidR="007D2E20" w:rsidRPr="008D2C51">
        <w:rPr>
          <w:b/>
          <w:bCs/>
          <w:i/>
          <w:iCs/>
        </w:rPr>
        <w:t>30</w:t>
      </w:r>
      <w:r w:rsidR="007D2E20" w:rsidRPr="008D2C51">
        <w:rPr>
          <w:b/>
          <w:i/>
        </w:rPr>
        <w:t>)</w:t>
      </w:r>
      <w:r w:rsidR="009A377C" w:rsidRPr="008D2C51">
        <w:rPr>
          <w:b/>
          <w:i/>
          <w:color w:val="000000"/>
        </w:rPr>
        <w:fldChar w:fldCharType="end"/>
      </w:r>
      <w:r w:rsidR="005A00B4" w:rsidRPr="00F259A2">
        <w:rPr>
          <w:color w:val="000000"/>
        </w:rPr>
        <w:t>.</w:t>
      </w:r>
    </w:p>
    <w:p w14:paraId="42B837CC" w14:textId="77777777" w:rsidR="00AE09D5" w:rsidRPr="00F259A2" w:rsidRDefault="00AE09D5" w:rsidP="008A5EE5">
      <w:pPr>
        <w:tabs>
          <w:tab w:val="left" w:pos="-1440"/>
          <w:tab w:val="left" w:pos="-720"/>
        </w:tabs>
        <w:suppressAutoHyphens/>
        <w:spacing w:line="480" w:lineRule="auto"/>
        <w:rPr>
          <w:color w:val="000000"/>
        </w:rPr>
      </w:pPr>
    </w:p>
    <w:p w14:paraId="30416C92" w14:textId="77777777" w:rsidR="00693EAA" w:rsidRPr="00F259A2" w:rsidRDefault="005A00B4" w:rsidP="008A5EE5">
      <w:pPr>
        <w:tabs>
          <w:tab w:val="left" w:pos="-1440"/>
          <w:tab w:val="left" w:pos="-720"/>
        </w:tabs>
        <w:suppressAutoHyphens/>
        <w:spacing w:line="480" w:lineRule="auto"/>
        <w:rPr>
          <w:color w:val="000000"/>
        </w:rPr>
      </w:pPr>
      <w:r w:rsidRPr="00F259A2">
        <w:rPr>
          <w:color w:val="000000"/>
        </w:rPr>
        <w:t>A</w:t>
      </w:r>
      <w:r w:rsidR="00E56EA2" w:rsidRPr="00F259A2">
        <w:rPr>
          <w:color w:val="000000"/>
        </w:rPr>
        <w:t xml:space="preserve"> disadvantage of the above </w:t>
      </w:r>
      <w:r w:rsidR="00C72CF7" w:rsidRPr="00F259A2">
        <w:rPr>
          <w:color w:val="000000"/>
        </w:rPr>
        <w:t>described</w:t>
      </w:r>
      <w:r w:rsidR="00205670" w:rsidRPr="00F259A2">
        <w:rPr>
          <w:color w:val="000000"/>
        </w:rPr>
        <w:t xml:space="preserve"> </w:t>
      </w:r>
      <w:r w:rsidR="00E56EA2" w:rsidRPr="00F259A2">
        <w:rPr>
          <w:color w:val="000000"/>
        </w:rPr>
        <w:t xml:space="preserve">microarray CGH methods </w:t>
      </w:r>
      <w:r w:rsidR="00C72CF7" w:rsidRPr="00F259A2">
        <w:rPr>
          <w:color w:val="000000"/>
        </w:rPr>
        <w:t>is unapparent at first as</w:t>
      </w:r>
      <w:r w:rsidRPr="00F259A2">
        <w:rPr>
          <w:color w:val="000000"/>
        </w:rPr>
        <w:t xml:space="preserve"> it is </w:t>
      </w:r>
      <w:r w:rsidR="007D458C" w:rsidRPr="00F259A2">
        <w:rPr>
          <w:color w:val="000000"/>
        </w:rPr>
        <w:t>intrinsic to its set</w:t>
      </w:r>
      <w:r w:rsidR="00AD5B6B">
        <w:rPr>
          <w:color w:val="000000"/>
        </w:rPr>
        <w:t>--</w:t>
      </w:r>
      <w:r w:rsidR="007D458C" w:rsidRPr="00F259A2">
        <w:rPr>
          <w:color w:val="000000"/>
        </w:rPr>
        <w:t>up</w:t>
      </w:r>
      <w:r w:rsidR="00C72CF7" w:rsidRPr="00F259A2">
        <w:rPr>
          <w:color w:val="000000"/>
        </w:rPr>
        <w:t xml:space="preserve">. Due to </w:t>
      </w:r>
      <w:r w:rsidR="00617C50" w:rsidRPr="00F259A2">
        <w:rPr>
          <w:color w:val="000000"/>
        </w:rPr>
        <w:t xml:space="preserve">the particular use of chromosomal DNA fragments as target structures </w:t>
      </w:r>
      <w:r w:rsidR="00E56EA2" w:rsidRPr="00F259A2">
        <w:rPr>
          <w:color w:val="000000"/>
        </w:rPr>
        <w:t>no information on zygosity can be obtained</w:t>
      </w:r>
      <w:r w:rsidR="00C72CF7" w:rsidRPr="00F259A2">
        <w:rPr>
          <w:color w:val="000000"/>
        </w:rPr>
        <w:t xml:space="preserve"> </w:t>
      </w:r>
      <w:r w:rsidR="00205670" w:rsidRPr="00F259A2">
        <w:rPr>
          <w:color w:val="000000"/>
        </w:rPr>
        <w:t>--</w:t>
      </w:r>
      <w:r w:rsidR="00C72CF7" w:rsidRPr="00F259A2">
        <w:rPr>
          <w:color w:val="000000"/>
        </w:rPr>
        <w:t xml:space="preserve"> this also applies to conventional </w:t>
      </w:r>
      <w:r w:rsidR="00693EAA" w:rsidRPr="00F259A2">
        <w:rPr>
          <w:color w:val="000000"/>
        </w:rPr>
        <w:t xml:space="preserve">chromosomal </w:t>
      </w:r>
      <w:r w:rsidR="00C72CF7" w:rsidRPr="00F259A2">
        <w:rPr>
          <w:color w:val="000000"/>
        </w:rPr>
        <w:t>CGH</w:t>
      </w:r>
      <w:r w:rsidR="00E56EA2" w:rsidRPr="00F259A2">
        <w:rPr>
          <w:color w:val="000000"/>
        </w:rPr>
        <w:t>. Thus, manufacturers of array</w:t>
      </w:r>
      <w:r w:rsidR="00AD5B6B">
        <w:rPr>
          <w:color w:val="000000"/>
        </w:rPr>
        <w:t>--</w:t>
      </w:r>
      <w:r w:rsidR="00E56EA2" w:rsidRPr="00F259A2">
        <w:rPr>
          <w:color w:val="000000"/>
        </w:rPr>
        <w:t>based chips are adding single nucleotide polymorphism (SNP) nucleic acids sequences (25 bp long with a centred SNP) together with oligonucleotides</w:t>
      </w:r>
      <w:r w:rsidR="00617C50" w:rsidRPr="00F259A2">
        <w:rPr>
          <w:color w:val="000000"/>
        </w:rPr>
        <w:t xml:space="preserve"> onto microarrays</w:t>
      </w:r>
      <w:r w:rsidR="00E56EA2" w:rsidRPr="00F259A2">
        <w:rPr>
          <w:color w:val="000000"/>
        </w:rPr>
        <w:t xml:space="preserve">. </w:t>
      </w:r>
      <w:r w:rsidR="00693EAA" w:rsidRPr="00F259A2">
        <w:rPr>
          <w:color w:val="000000"/>
        </w:rPr>
        <w:t>Moreover</w:t>
      </w:r>
      <w:r w:rsidR="00E56EA2" w:rsidRPr="00F259A2">
        <w:rPr>
          <w:color w:val="000000"/>
        </w:rPr>
        <w:t xml:space="preserve">, straight SNP arrays are able to assess DNA sequence variations within chromosomes, individuals or even species </w:t>
      </w:r>
      <w:r w:rsidR="009A377C" w:rsidRPr="0042215D">
        <w:rPr>
          <w:b/>
          <w:i/>
          <w:color w:val="000000"/>
        </w:rPr>
        <w:fldChar w:fldCharType="begin"/>
      </w:r>
      <w:r w:rsidR="0042106E" w:rsidRPr="0042215D">
        <w:rPr>
          <w:b/>
          <w:i/>
          <w:color w:val="000000"/>
        </w:rPr>
        <w:instrText xml:space="preserve"> ADDIN ZOTERO_ITEM CSL_CITATION {"citationID":"1qjdo59dq1","properties":{"formattedCitation":"{\\rtf (\\b \\i 31\\i0{}\\b0{})}","plainCitation":"(31)"},"citationItems":[{"id":24,"uris":["http://zotero.org/users/1046410/items/3ZBRBTPI"],"uri":["http://zotero.org/users/1046410/items/3ZBRBTPI"],"itemData":{"id":24,"type":"article-journal","title":"Advances in whole-genome genetic testing: from chromosomes to microarrays","container-title":"Current problems in pediatric and adolescent health care","page":"47-73","volume":"42","issue":"3","abstract":"Whole-genome genetic diagnostics has changed the clinical landscape of pediatric and adolescent medicine. In this article, we review the history of clinical cytogenetics as the field has progressed from studying chromosomes prepared from cells squashed between 2 slides to the high-resolution, whole-genome technology in use today, which has allowed for the identification of numerous previously unrecognized microdeletion and microduplication syndromes. Types of arrays and the data they collect are addressed, as are the types of results that array comparative genomic hybridization studies may generate. Throughout the review, we present case stories to illustrate the familiar (Down syndrome) and the new (a never-before reported microdeletion on the long arm of chromosome 12).","DOI":"10.1016/j.cppeds.2011.10.004","note":"PMID: 22325474","shortTitle":"Advances in whole-genome genetic testing","journalAbbreviation":"Curr Probl Pediatr Adolesc Health Care","author":[{"family":"Crotwell","given":"Patricia L"},{"family":"Hoyme","given":"H Eugene"}],"issued":{"year":2012,"month":3},"accessed":{"year":2012,"month":5,"day":3},"page-first":"47"}}],"schema":"https://github.com/citation-style-language/schema/raw/master/csl-citation.json"} </w:instrText>
      </w:r>
      <w:r w:rsidR="009A377C" w:rsidRPr="0042215D">
        <w:rPr>
          <w:b/>
          <w:i/>
          <w:color w:val="000000"/>
        </w:rPr>
        <w:fldChar w:fldCharType="separate"/>
      </w:r>
      <w:r w:rsidR="007D2E20" w:rsidRPr="0042215D">
        <w:rPr>
          <w:b/>
          <w:i/>
        </w:rPr>
        <w:t>(</w:t>
      </w:r>
      <w:r w:rsidR="007D2E20" w:rsidRPr="0042215D">
        <w:rPr>
          <w:b/>
          <w:bCs/>
          <w:i/>
          <w:iCs/>
        </w:rPr>
        <w:t>31</w:t>
      </w:r>
      <w:r w:rsidR="007D2E20" w:rsidRPr="0042215D">
        <w:rPr>
          <w:b/>
          <w:i/>
        </w:rPr>
        <w:t>)</w:t>
      </w:r>
      <w:r w:rsidR="009A377C" w:rsidRPr="0042215D">
        <w:rPr>
          <w:b/>
          <w:i/>
          <w:color w:val="000000"/>
        </w:rPr>
        <w:fldChar w:fldCharType="end"/>
      </w:r>
      <w:r w:rsidR="00E56EA2" w:rsidRPr="00F259A2">
        <w:rPr>
          <w:color w:val="000000"/>
        </w:rPr>
        <w:t xml:space="preserve">. </w:t>
      </w:r>
      <w:r w:rsidR="00693EAA" w:rsidRPr="00F259A2">
        <w:rPr>
          <w:color w:val="000000"/>
        </w:rPr>
        <w:t>Besides</w:t>
      </w:r>
      <w:r w:rsidR="00E56EA2" w:rsidRPr="00F259A2">
        <w:rPr>
          <w:color w:val="000000"/>
        </w:rPr>
        <w:t xml:space="preserve"> distinguishing loss of heterozygosity events, </w:t>
      </w:r>
      <w:r w:rsidR="00617C50" w:rsidRPr="00F259A2">
        <w:rPr>
          <w:color w:val="000000"/>
        </w:rPr>
        <w:t xml:space="preserve">these </w:t>
      </w:r>
      <w:r w:rsidR="00E56EA2" w:rsidRPr="00F259A2">
        <w:rPr>
          <w:color w:val="000000"/>
        </w:rPr>
        <w:t>high density SNP arrays also proved to be highly efficient for evaluating genome</w:t>
      </w:r>
      <w:r w:rsidR="00AD5B6B">
        <w:rPr>
          <w:color w:val="000000"/>
        </w:rPr>
        <w:t>--</w:t>
      </w:r>
      <w:r w:rsidR="00E56EA2" w:rsidRPr="00F259A2">
        <w:rPr>
          <w:color w:val="000000"/>
        </w:rPr>
        <w:t xml:space="preserve">wide copy number changes such as genomic amplifications or homozygous deletions </w:t>
      </w:r>
      <w:r w:rsidR="009A377C" w:rsidRPr="003A78A6">
        <w:rPr>
          <w:b/>
          <w:i/>
          <w:color w:val="000000"/>
        </w:rPr>
        <w:fldChar w:fldCharType="begin"/>
      </w:r>
      <w:r w:rsidR="0042106E" w:rsidRPr="003A78A6">
        <w:rPr>
          <w:b/>
          <w:i/>
          <w:color w:val="000000"/>
        </w:rPr>
        <w:instrText xml:space="preserve"> ADDIN ZOTERO_ITEM CSL_CITATION {"citationID":"15o5l7dijc","properties":{"formattedCitation":"{\\rtf (\\b \\i 32\\i0{}\\b0{}; \\b \\i 33\\i0{}\\b0{})}","plainCitation":"(32; 33)"},"citationItems":[{"id":2,"uris":["http://zotero.org/users/1046410/items/4CT9DDR7"],"uri":["http://zotero.org/users/1046410/items/4CT9DDR7"],"itemData":{"id":2,"type":"article-journal","title":"An integrated view of copy number and allelic alterations in the cancer genome using single nucleotide polymorphism arrays","container-title":"Cancer research","page":"3060-3071","volume":"64","issue":"9","abstract":"Changes in DNA copy number contribute to cancer pathogenesis. We now show that high-density single nucleotide polymorphism (SNP) arrays can detect copy number alterations. By hybridizing genomic representations of breast and lung carcinoma cell line and lung tumor DNA to SNP arrays, and measuring locus-specific hybridization intensity, we detected both known and novel genomic amplifications and homozygous deletions in these cancer samples. Moreover, by combining genotyping with SNP quantitation, we could distinguish loss of heterozygosity events caused by hemizygous deletion from those that occur by copy-neutral events. The simultaneous measurement of DNA copy number changes and loss of heterozygosity events by SNP arrays should strengthen our ability to discover cancer-causing genes and to refine cancer diagnosis.","note":"PMID: 15126342","journalAbbreviation":"Cancer Res.","author":[{"family":"Zhao","given":"Xiaojun"},{"family":"Li","given":"Cheng"},{"family":"Paez","given":"J Guillermo"},{"family":"Chin","given":"Koei"},{"family":"Jänne","given":"Pasi A"},{"family":"Chen","given":"Tzu-Hsiu"},{"family":"Girard","given":"Luc"},{"family":"Minna","given":"John"},{"family":"Christiani","given":"David"},{"family":"Leo","given":"Chris"},{"family":"Gray","given":"Joe W"},{"family":"Sellers","given":"William R"},{"family":"Meyerson","given":"Matthew"}],"issued":{"year":2004,"month":5,"day":1},"accessed":{"year":2012,"month":5,"day":23},"page-first":"3060"},"label":"page"},{"id":6,"uris":["http://zotero.org/users/1046410/items/GDW3FVUV"],"uri":["http://zotero.org/users/1046410/items/GDW3FVUV"],"itemData":{"id":6,"type":"article-journal","title":"Gene-resolution analysis of DNA copy number variation using oligonucleotide expression microarrays","container-title":"BMC genomics","page":"111","volume":"8","abstract":"BACKGROUND\n\nArray-based comparative genomic hybridization (aCGH) is a high-throughput method for measuring genome-wide DNA copy number changes. Current aCGH methods have limited resolution, sensitivity and reproducibility. Microarrays for aCGH are available only for a few organisms and combination of aCGH data with expression data is cumbersome.\n\n\nRESULTS\n\nWe present a novel method of using commercial oligonucleotide expression microarrays for aCGH, enabling DNA copy number measurements and expression profiles to be combined using the same platform. This method yields aCGH data from genomic DNA without complexity reduction at a median resolution of approximately 17,500 base pairs. Due to the well-defined nature of oligonucleotide probes, DNA amplification and deletion can be defined at the level of individual genes and can easily be combined with gene expression data.\n\n\nCONCLUSION\n\nA novel method of gene resolution analysis of copy number variation (graCNV) yields high-resolution maps of DNA copy number changes and is applicable to a broad range of organisms for which commercial oligonucleotide expression microarrays are available. Due to the standardization of oligonucleotide microarrays, graCNV results can reliably be compared between laboratories and can easily be combined with gene expression data using the same platform.","DOI":"10.1186/1471-2164-8-111","note":"PMID: 17470268","journalAbbreviation":"BMC Genomics","author":[{"family":"Auer","given":"Herbert"},{"family":"Newsom","given":"David L"},{"family":"Nowak","given":"Norma J"},{"family":"McHugh","given":"Kirk M"},{"family":"Singh","given":"Sunita"},{"family":"Yu","given":"Chack-Yung"},{"family":"Yang","given":"Yan"},{"family":"Wenger","given":"Gail D"},{"family":"Gastier-Foster","given":"Julie M"},{"family":"Kornacker","given":"Karl"}],"issued":{"year":2007},"accessed":{"year":2012,"month":5,"day":23},"page-first":"111"},"label":"page"}],"schema":"https://github.com/citation-style-language/schema/raw/master/csl-citation.json"} </w:instrText>
      </w:r>
      <w:r w:rsidR="009A377C" w:rsidRPr="003A78A6">
        <w:rPr>
          <w:b/>
          <w:i/>
          <w:color w:val="000000"/>
        </w:rPr>
        <w:fldChar w:fldCharType="separate"/>
      </w:r>
      <w:r w:rsidR="007D2E20" w:rsidRPr="003A78A6">
        <w:rPr>
          <w:b/>
          <w:i/>
        </w:rPr>
        <w:t>(</w:t>
      </w:r>
      <w:r w:rsidR="007D2E20" w:rsidRPr="003A78A6">
        <w:rPr>
          <w:b/>
          <w:bCs/>
          <w:i/>
          <w:iCs/>
        </w:rPr>
        <w:t>32</w:t>
      </w:r>
      <w:r w:rsidR="00205670" w:rsidRPr="003A78A6">
        <w:rPr>
          <w:b/>
          <w:i/>
        </w:rPr>
        <w:t>,</w:t>
      </w:r>
      <w:r w:rsidR="007D2E20" w:rsidRPr="003A78A6">
        <w:rPr>
          <w:b/>
          <w:i/>
        </w:rPr>
        <w:t xml:space="preserve"> </w:t>
      </w:r>
      <w:r w:rsidR="007D2E20" w:rsidRPr="003A78A6">
        <w:rPr>
          <w:b/>
          <w:bCs/>
          <w:i/>
          <w:iCs/>
        </w:rPr>
        <w:t>33</w:t>
      </w:r>
      <w:r w:rsidR="007D2E20" w:rsidRPr="003A78A6">
        <w:rPr>
          <w:b/>
          <w:i/>
        </w:rPr>
        <w:t>)</w:t>
      </w:r>
      <w:r w:rsidR="009A377C" w:rsidRPr="003A78A6">
        <w:rPr>
          <w:b/>
          <w:i/>
          <w:color w:val="000000"/>
        </w:rPr>
        <w:fldChar w:fldCharType="end"/>
      </w:r>
      <w:r w:rsidR="007D458C" w:rsidRPr="00F259A2">
        <w:rPr>
          <w:color w:val="000000"/>
        </w:rPr>
        <w:t>.</w:t>
      </w:r>
      <w:r w:rsidR="00E56EA2" w:rsidRPr="00F259A2">
        <w:rPr>
          <w:color w:val="000000"/>
        </w:rPr>
        <w:t>Modern state</w:t>
      </w:r>
      <w:r w:rsidR="00A07843" w:rsidRPr="00F259A2">
        <w:rPr>
          <w:color w:val="000000"/>
        </w:rPr>
        <w:t>—</w:t>
      </w:r>
      <w:r w:rsidR="00E56EA2" w:rsidRPr="00F259A2">
        <w:rPr>
          <w:color w:val="000000"/>
        </w:rPr>
        <w:t>of</w:t>
      </w:r>
      <w:r w:rsidR="00A07843" w:rsidRPr="00F259A2">
        <w:rPr>
          <w:color w:val="000000"/>
        </w:rPr>
        <w:t>—</w:t>
      </w:r>
      <w:r w:rsidR="00E56EA2" w:rsidRPr="00F259A2">
        <w:rPr>
          <w:color w:val="000000"/>
        </w:rPr>
        <w:t>the</w:t>
      </w:r>
      <w:r w:rsidR="00A07843" w:rsidRPr="00F259A2">
        <w:rPr>
          <w:color w:val="000000"/>
        </w:rPr>
        <w:t>—</w:t>
      </w:r>
      <w:r w:rsidR="00E56EA2" w:rsidRPr="00F259A2">
        <w:rPr>
          <w:color w:val="000000"/>
        </w:rPr>
        <w:t>art</w:t>
      </w:r>
      <w:r w:rsidR="00A07843" w:rsidRPr="00F259A2">
        <w:rPr>
          <w:color w:val="000000"/>
        </w:rPr>
        <w:t xml:space="preserve"> </w:t>
      </w:r>
      <w:r w:rsidR="00E56EA2" w:rsidRPr="00F259A2">
        <w:rPr>
          <w:color w:val="000000"/>
        </w:rPr>
        <w:t>high resolution CGH arrays are now</w:t>
      </w:r>
      <w:r w:rsidRPr="00F259A2">
        <w:rPr>
          <w:color w:val="000000"/>
        </w:rPr>
        <w:t>adays</w:t>
      </w:r>
      <w:r w:rsidR="00E56EA2" w:rsidRPr="00F259A2">
        <w:rPr>
          <w:color w:val="000000"/>
        </w:rPr>
        <w:t xml:space="preserve"> capable </w:t>
      </w:r>
      <w:r w:rsidR="00617C50" w:rsidRPr="00F259A2">
        <w:rPr>
          <w:color w:val="000000"/>
        </w:rPr>
        <w:t>of</w:t>
      </w:r>
      <w:r w:rsidR="00E56EA2" w:rsidRPr="00F259A2">
        <w:rPr>
          <w:color w:val="000000"/>
        </w:rPr>
        <w:t xml:space="preserve"> detect</w:t>
      </w:r>
      <w:r w:rsidR="00617C50" w:rsidRPr="00F259A2">
        <w:rPr>
          <w:color w:val="000000"/>
        </w:rPr>
        <w:t>ing</w:t>
      </w:r>
      <w:r w:rsidR="00E56EA2" w:rsidRPr="00F259A2">
        <w:rPr>
          <w:color w:val="000000"/>
        </w:rPr>
        <w:t xml:space="preserve"> and assess</w:t>
      </w:r>
      <w:r w:rsidR="00617C50" w:rsidRPr="00F259A2">
        <w:rPr>
          <w:color w:val="000000"/>
        </w:rPr>
        <w:t>ing</w:t>
      </w:r>
      <w:r w:rsidR="00E56EA2" w:rsidRPr="00F259A2">
        <w:rPr>
          <w:color w:val="000000"/>
        </w:rPr>
        <w:t xml:space="preserve"> segmental DNA copy</w:t>
      </w:r>
      <w:r w:rsidR="00A07843" w:rsidRPr="00F259A2">
        <w:rPr>
          <w:color w:val="000000"/>
        </w:rPr>
        <w:t>-</w:t>
      </w:r>
      <w:r w:rsidR="00E56EA2" w:rsidRPr="00F259A2">
        <w:rPr>
          <w:color w:val="000000"/>
        </w:rPr>
        <w:t>-number variations at a kilo base pair resolution (spatial resolution at around 35 kb) with more than 900,000 SNPs and close to one million probes for the detection of copy number variation, e.g. the Genome</w:t>
      </w:r>
      <w:r w:rsidR="00AD5B6B">
        <w:rPr>
          <w:color w:val="000000"/>
        </w:rPr>
        <w:t>--</w:t>
      </w:r>
      <w:r w:rsidR="00E56EA2" w:rsidRPr="00F259A2">
        <w:rPr>
          <w:color w:val="000000"/>
        </w:rPr>
        <w:t xml:space="preserve">Wide Human SNP Array 6.0 from </w:t>
      </w:r>
      <w:proofErr w:type="spellStart"/>
      <w:r w:rsidR="00E56EA2" w:rsidRPr="00F259A2">
        <w:rPr>
          <w:color w:val="000000"/>
        </w:rPr>
        <w:t>Affimetrix</w:t>
      </w:r>
      <w:proofErr w:type="spellEnd"/>
      <w:r w:rsidR="00B72C3D" w:rsidRPr="00F259A2">
        <w:rPr>
          <w:color w:val="000000"/>
        </w:rPr>
        <w:t xml:space="preserve"> </w:t>
      </w:r>
      <w:r w:rsidR="009A377C" w:rsidRPr="00E74864">
        <w:rPr>
          <w:b/>
          <w:i/>
          <w:color w:val="000000"/>
        </w:rPr>
        <w:fldChar w:fldCharType="begin"/>
      </w:r>
      <w:r w:rsidR="0042106E" w:rsidRPr="00E74864">
        <w:rPr>
          <w:b/>
          <w:i/>
          <w:color w:val="000000"/>
        </w:rPr>
        <w:instrText xml:space="preserve"> ADDIN ZOTERO_ITEM CSL_CITATION {"citationID":"2clr4uk9l8","properties":{"formattedCitation":"{\\rtf (\\b \\i 34\\i0{}\\b0{}; \\b \\i 35\\i0{}\\b0{})}","plainCitation":"(34; 35)"},"citationItems":[{"id":45,"uris":["http://zotero.org/users/1046410/items/B5BE8P66"],"uri":["http://zotero.org/users/1046410/items/B5BE8P66"],"itemData":{"id":45,"type":"article-journal","title":"Characterising chromosome rearrangements: recent technical advances in molecular cytogenetics","container-title":"Heredity","page":"75-85","volume":"108","issue":"1","abstract":"Genomic rearrangements can result in losses, amplifications, translocations and inversions of DNA fragments thereby modifying genome architecture, and potentially having clinical consequences. Many genomic disorders caused by structural variation have initially been uncovered by early cytogenetic methods. The last decade has seen significant progression in molecular cytogenetic techniques, allowing rapid and precise detection of structural rearrangements on a whole-genome scale. The high resolution attainable with these recently developed techniques has also uncovered the role of structural variants in normal genetic variation alongside single-nucleotide polymorphisms (SNPs). We describe how array-based comparative genomic hybridisation, SNP arrays, array painting and next-generation sequencing analytical methods (read depth, read pair and split read) allow the extensive characterisation of chromosome rearrangements in human genomes.","DOI":"10.1038/hdy.2011.100","note":"PMID: 22086080","shortTitle":"Characterising chromosome rearrangements","journalAbbreviation":"Heredity (Edinb)","author":[{"family":"Le Scouarnec","given":"S"},{"family":"Gribble","given":"S M"}],"issued":{"year":2012,"month":1},"accessed":{"year":2012,"month":7,"day":27},"page-first":"75"}},{"id":4,"uris":["http://zotero.org/users/1046410/items/MPEHNG8K"],"uri":["http://zotero.org/users/1046410/items/MPEHNG8K"],"itemData":{"id":4,"type":"article-journal","title":"Genotype calling for the Affymetrix platform","container-title":"Methods in molecular biology (Clifton, N.J.)","page":"513-523","volume":"850","abstract":"The analysis of high-throughput genotyping data in genome-wide association (GWA) studies has become a standard approach in genetic epidemiology. Data of high quality are crucial for the success of these studies. The first step in the statistical analysis is the generation of genotypes from signal intensities, and several approaches have been proposed for obtaining as accurate genotypes as possible. For the Affymetrix Genome-Wide Human SNP Array 6.0, the genotype calling algorithms Birdseed and CRLMM are commonly used in applications. After a brief description of the statistical methods for both algorithms, their usage is described in detail. Links are provided to the software and to sample code for the installation and execution of the algorithms. Additionally, a suggestion for processing the result files is made.","DOI":"10.1007/978-1-61779-555-8_28","note":"PMID: 22307717","journalAbbreviation":"Methods Mol. Biol.","author":[{"family":"Schillert","given":"Arne"},{"family":"Ziegler","given":"Andreas"}],"issued":{"year":2012},"accessed":{"year":2012,"month":5,"day":23},"page-first":"513"}}],"schema":"https://github.com/citation-style-language/schema/raw/master/csl-citation.json"} </w:instrText>
      </w:r>
      <w:r w:rsidR="009A377C" w:rsidRPr="00E74864">
        <w:rPr>
          <w:b/>
          <w:i/>
          <w:color w:val="000000"/>
        </w:rPr>
        <w:fldChar w:fldCharType="separate"/>
      </w:r>
      <w:r w:rsidR="007D2E20" w:rsidRPr="00E74864">
        <w:rPr>
          <w:b/>
          <w:i/>
        </w:rPr>
        <w:t>(</w:t>
      </w:r>
      <w:r w:rsidR="007D2E20" w:rsidRPr="00E74864">
        <w:rPr>
          <w:b/>
          <w:bCs/>
          <w:i/>
          <w:iCs/>
        </w:rPr>
        <w:t>34</w:t>
      </w:r>
      <w:r w:rsidR="00B72C3D" w:rsidRPr="00E74864">
        <w:rPr>
          <w:b/>
          <w:i/>
        </w:rPr>
        <w:t>,</w:t>
      </w:r>
      <w:r w:rsidR="007D2E20" w:rsidRPr="00E74864">
        <w:rPr>
          <w:b/>
          <w:i/>
        </w:rPr>
        <w:t xml:space="preserve"> </w:t>
      </w:r>
      <w:r w:rsidR="007D2E20" w:rsidRPr="00E74864">
        <w:rPr>
          <w:b/>
          <w:bCs/>
          <w:i/>
          <w:iCs/>
        </w:rPr>
        <w:t>35</w:t>
      </w:r>
      <w:r w:rsidR="007D2E20" w:rsidRPr="00E74864">
        <w:rPr>
          <w:b/>
          <w:i/>
        </w:rPr>
        <w:t>)</w:t>
      </w:r>
      <w:r w:rsidR="009A377C" w:rsidRPr="00E74864">
        <w:rPr>
          <w:b/>
          <w:i/>
          <w:color w:val="000000"/>
        </w:rPr>
        <w:fldChar w:fldCharType="end"/>
      </w:r>
      <w:r w:rsidR="00E56EA2" w:rsidRPr="00F259A2">
        <w:rPr>
          <w:color w:val="000000"/>
        </w:rPr>
        <w:t>. Nevertheless, despite the growing number of very sophisticated microarray chips</w:t>
      </w:r>
      <w:r w:rsidR="005D6718" w:rsidRPr="00F259A2">
        <w:rPr>
          <w:color w:val="000000"/>
        </w:rPr>
        <w:t>,</w:t>
      </w:r>
      <w:r w:rsidR="003A5213" w:rsidRPr="00F259A2">
        <w:rPr>
          <w:color w:val="000000"/>
        </w:rPr>
        <w:t xml:space="preserve"> </w:t>
      </w:r>
      <w:r w:rsidR="00617C50" w:rsidRPr="00F259A2">
        <w:rPr>
          <w:color w:val="000000"/>
        </w:rPr>
        <w:t xml:space="preserve">common </w:t>
      </w:r>
      <w:r w:rsidR="00E56EA2" w:rsidRPr="00F259A2">
        <w:rPr>
          <w:color w:val="000000"/>
        </w:rPr>
        <w:t>BAC arrays with a spatial resolution in the 150 kb range</w:t>
      </w:r>
      <w:r w:rsidR="003A5213" w:rsidRPr="00F259A2">
        <w:rPr>
          <w:color w:val="000000"/>
        </w:rPr>
        <w:t>,</w:t>
      </w:r>
      <w:r w:rsidR="00E56EA2" w:rsidRPr="00F259A2">
        <w:rPr>
          <w:color w:val="000000"/>
        </w:rPr>
        <w:t xml:space="preserve"> exhibit the highest signal</w:t>
      </w:r>
      <w:r w:rsidR="003A5213" w:rsidRPr="00F259A2">
        <w:rPr>
          <w:color w:val="000000"/>
        </w:rPr>
        <w:t>—</w:t>
      </w:r>
      <w:r w:rsidR="00E56EA2" w:rsidRPr="00F259A2">
        <w:rPr>
          <w:color w:val="000000"/>
        </w:rPr>
        <w:t>to</w:t>
      </w:r>
      <w:r w:rsidR="0071309A">
        <w:rPr>
          <w:color w:val="000000"/>
        </w:rPr>
        <w:t>--</w:t>
      </w:r>
      <w:r w:rsidR="00E56EA2" w:rsidRPr="00F259A2">
        <w:rPr>
          <w:color w:val="000000"/>
        </w:rPr>
        <w:t>noise ratio when compared to oligonucleotide array platforms and might be better suited to detect single</w:t>
      </w:r>
      <w:r w:rsidR="00EE6941" w:rsidRPr="00F259A2">
        <w:rPr>
          <w:color w:val="000000"/>
        </w:rPr>
        <w:t>-</w:t>
      </w:r>
      <w:r w:rsidR="00E56EA2" w:rsidRPr="00F259A2">
        <w:rPr>
          <w:color w:val="000000"/>
        </w:rPr>
        <w:t>copy</w:t>
      </w:r>
      <w:r w:rsidR="00EE6941" w:rsidRPr="00F259A2">
        <w:rPr>
          <w:color w:val="000000"/>
        </w:rPr>
        <w:t xml:space="preserve"> </w:t>
      </w:r>
      <w:r w:rsidR="00E56EA2" w:rsidRPr="00F259A2">
        <w:rPr>
          <w:color w:val="000000"/>
        </w:rPr>
        <w:t xml:space="preserve"> aberrations </w:t>
      </w:r>
      <w:r w:rsidR="009A377C" w:rsidRPr="00AD632F">
        <w:rPr>
          <w:b/>
          <w:i/>
          <w:color w:val="000000"/>
        </w:rPr>
        <w:fldChar w:fldCharType="begin"/>
      </w:r>
      <w:r w:rsidR="0042106E" w:rsidRPr="00AD632F">
        <w:rPr>
          <w:b/>
          <w:i/>
          <w:color w:val="000000"/>
        </w:rPr>
        <w:instrText xml:space="preserve"> ADDIN ZOTERO_ITEM CSL_CITATION {"citationID":"1ar6pqbbe5","properties":{"formattedCitation":"{\\rtf (\\b \\i 36\\i0{}\\b0{})}","plainCitation":"(36)"},"citationItems":[{"id":5,"uris":["http://zotero.org/users/1046410/items/RJTVK75F"],"uri":["http://zotero.org/users/1046410/items/RJTVK75F"],"itemData":{"id":5,"type":"article-journal","title":"Comparison of comparative genomic hybridization technologies across microarray platforms","container-title":"Journal of biomolecular techniques: JBT","page":"135-151","volume":"20","issue":"2","abstract":"In the 2007 Association of Biomolecular Resource Facilities Microarray Research Group project, we analyzed HL-60 DNA with five platforms: Agilent, Affymetrix 500K, Affymetrix U133 Plus 2.0, Illumina, and RPCI 19K BAC arrays. Copy number variation was analyzed using circular binary segmentation (CBS) analysis of log ratio scores from four independently assessed hybridizations of each platform. Data obtained from these platforms were assessed for reproducibility and the ability to detect formerly reported copy number variations in HL-60. In HL-60, all of the tested platforms detected genomic DNA amplification of the 8q24 locus, trisomy 18, and monosomy X; and deletions at loci 5q11.2~q31, 9p21.3~p22, 10p12~p15, 14q22~q31, and 17p12~p13.3. In the HL-60 genome, at least two of the five platforms detected five novel losses and five novel gains. This report provides guidance in the selection of platforms based on this wide-ranging evaluation of available CGH platforms.","note":"PMID: 19503625","journalAbbreviation":"J Biomol Tech","author":[{"family":"Hester","given":"Susan D"},{"family":"Reid","given":"Laura"},{"family":"Nowak","given":"Norma"},{"family":"Jones","given":"Wendell D"},{"family":"Parker","given":"Joel S"},{"family":"Knudtson","given":"Kevin"},{"family":"Ward","given":"William"},{"family":"Tiesman","given":"Jay"},{"family":"Denslow","given":"Nancy D"}],"issued":{"year":2009,"month":4},"accessed":{"year":2012,"month":5,"day":23},"page-first":"135"}}],"schema":"https://github.com/citation-style-language/schema/raw/master/csl-citation.json"} </w:instrText>
      </w:r>
      <w:r w:rsidR="009A377C" w:rsidRPr="00AD632F">
        <w:rPr>
          <w:b/>
          <w:i/>
          <w:color w:val="000000"/>
        </w:rPr>
        <w:fldChar w:fldCharType="separate"/>
      </w:r>
      <w:r w:rsidR="007D2E20" w:rsidRPr="00AD632F">
        <w:rPr>
          <w:b/>
          <w:i/>
        </w:rPr>
        <w:t>(</w:t>
      </w:r>
      <w:r w:rsidR="007D2E20" w:rsidRPr="00AD632F">
        <w:rPr>
          <w:b/>
          <w:bCs/>
          <w:i/>
          <w:iCs/>
        </w:rPr>
        <w:t>36</w:t>
      </w:r>
      <w:r w:rsidR="007D2E20" w:rsidRPr="00AD632F">
        <w:rPr>
          <w:b/>
          <w:i/>
        </w:rPr>
        <w:t>)</w:t>
      </w:r>
      <w:r w:rsidR="009A377C" w:rsidRPr="00AD632F">
        <w:rPr>
          <w:b/>
          <w:i/>
          <w:color w:val="000000"/>
        </w:rPr>
        <w:fldChar w:fldCharType="end"/>
      </w:r>
      <w:r w:rsidR="00E56EA2" w:rsidRPr="00F259A2">
        <w:rPr>
          <w:color w:val="000000"/>
        </w:rPr>
        <w:t xml:space="preserve">. </w:t>
      </w:r>
    </w:p>
    <w:p w14:paraId="58EEE040" w14:textId="77777777" w:rsidR="00693EAA" w:rsidRPr="00F259A2" w:rsidRDefault="00693EAA" w:rsidP="008A5EE5">
      <w:pPr>
        <w:tabs>
          <w:tab w:val="left" w:pos="-1440"/>
          <w:tab w:val="left" w:pos="-720"/>
        </w:tabs>
        <w:suppressAutoHyphens/>
        <w:spacing w:line="480" w:lineRule="auto"/>
        <w:rPr>
          <w:color w:val="000000"/>
        </w:rPr>
      </w:pPr>
    </w:p>
    <w:p w14:paraId="5F1DCE77" w14:textId="77777777" w:rsidR="00E56EA2" w:rsidRPr="00F259A2" w:rsidRDefault="00AE09D5" w:rsidP="008A5EE5">
      <w:pPr>
        <w:tabs>
          <w:tab w:val="left" w:pos="-1440"/>
          <w:tab w:val="left" w:pos="-720"/>
        </w:tabs>
        <w:suppressAutoHyphens/>
        <w:spacing w:line="480" w:lineRule="auto"/>
        <w:rPr>
          <w:color w:val="000000"/>
        </w:rPr>
      </w:pPr>
      <w:r w:rsidRPr="00F259A2">
        <w:rPr>
          <w:color w:val="000000"/>
        </w:rPr>
        <w:t>For genotoxicity evaluations and toxicogenomics</w:t>
      </w:r>
      <w:r w:rsidR="005D6718" w:rsidRPr="00F259A2">
        <w:rPr>
          <w:color w:val="000000"/>
        </w:rPr>
        <w:t>,</w:t>
      </w:r>
      <w:r w:rsidRPr="00F259A2">
        <w:rPr>
          <w:color w:val="000000"/>
        </w:rPr>
        <w:t xml:space="preserve"> both types of microarrays</w:t>
      </w:r>
      <w:r w:rsidR="005D6718" w:rsidRPr="00F259A2">
        <w:rPr>
          <w:color w:val="000000"/>
        </w:rPr>
        <w:t xml:space="preserve"> – </w:t>
      </w:r>
      <w:r w:rsidR="00693EAA" w:rsidRPr="00F259A2">
        <w:rPr>
          <w:color w:val="000000"/>
        </w:rPr>
        <w:t>BAC and oligonucleotide arrays,</w:t>
      </w:r>
      <w:r w:rsidR="00EE6941" w:rsidRPr="00F259A2">
        <w:rPr>
          <w:color w:val="000000"/>
        </w:rPr>
        <w:t xml:space="preserve"> </w:t>
      </w:r>
      <w:r w:rsidRPr="00F259A2">
        <w:rPr>
          <w:color w:val="000000"/>
        </w:rPr>
        <w:t>have been employed using mainly but not exclusively cell lines as target cells for toxicants.</w:t>
      </w:r>
      <w:r w:rsidR="00EE6941" w:rsidRPr="00F259A2">
        <w:rPr>
          <w:color w:val="000000"/>
        </w:rPr>
        <w:t xml:space="preserve"> </w:t>
      </w:r>
      <w:r w:rsidR="00E56EA2" w:rsidRPr="00F259A2">
        <w:rPr>
          <w:color w:val="000000"/>
        </w:rPr>
        <w:t>By using BAC array CGH containing approx. 6</w:t>
      </w:r>
      <w:r w:rsidR="00693EAA" w:rsidRPr="00F259A2">
        <w:rPr>
          <w:color w:val="000000"/>
        </w:rPr>
        <w:t>,</w:t>
      </w:r>
      <w:r w:rsidR="00E56EA2" w:rsidRPr="00F259A2">
        <w:rPr>
          <w:color w:val="000000"/>
        </w:rPr>
        <w:t xml:space="preserve">500 BAC clones representing 0.5 Mb genomic resolution, Herzog </w:t>
      </w:r>
      <w:r w:rsidR="008B5C98" w:rsidRPr="008B5C98">
        <w:rPr>
          <w:i/>
          <w:color w:val="000000"/>
        </w:rPr>
        <w:t>et al</w:t>
      </w:r>
      <w:r w:rsidR="00E56EA2" w:rsidRPr="00F259A2">
        <w:rPr>
          <w:color w:val="000000"/>
        </w:rPr>
        <w:t xml:space="preserve">. </w:t>
      </w:r>
      <w:r w:rsidR="000A1F10" w:rsidRPr="00AD632F">
        <w:rPr>
          <w:b/>
          <w:i/>
          <w:color w:val="000000"/>
        </w:rPr>
        <w:fldChar w:fldCharType="begin"/>
      </w:r>
      <w:r w:rsidR="000A1F10" w:rsidRPr="00AD632F">
        <w:rPr>
          <w:b/>
          <w:i/>
          <w:color w:val="000000"/>
        </w:rPr>
        <w:instrText xml:space="preserve"> ADDIN ZOTERO_ITEM CSL_CITATION {"citationID":"3741v4lg7","properties":{"formattedCitation":"{\\rtf (\\b \\i 37\\i0{}\\b0{})}","plainCitation":"(37)"},"citationItems":[{"id":290,"uris":["http://zotero.org/users/1046410/items/XRWVP38H"],"uri":["http://zotero.org/users/1046410/items/XRWVP38H"],"itemData":{"id":290,"type":"article-journal","title":"Array CGH analysis reveals chromosomal aberrations in mouse lung adenocarcinomas induced by the human lung carcinogen 4-(methylnitrosamino)-1-(3-pyridyl)-1-butanone","container-title":"Biochemical and biophysical research communications","page":"856-863","volume":"341","issue":"3","abstract":"Exposure to genotoxic carcinogens in tobacco smoke is a major cause of lung cancer. However, the effect this has on DNA copy number and genomic stability during lung carcinogenesis is unclear. Here we used bacterial artificial chromosome array-based comparative genomic hybridization to examine the effect of NNK, a potent human lung carcinogen present in tobacco smoke, on the major genomic changes occurring during mouse lung adenocarcinogenesis. Observed were significantly more gross chromosomal changes in NNK-induced tumors compared with the spontaneous tumors. An average of 5.6 chromosomes were affected by large-scale changes in DNA copy number per NNK-induced tumor compared with only 2.0 in spontaneous lung tumors (p = 0.017). Further analysis showed that gains on chromosomes 6 and 8, and losses on chromosomes 11 and 14 were more common in NNK-induced tumors (p &lt;or= 0.002). The changes on chromosomes 8, 11, and 14 were positively (p &lt;or= 0.001) associated with the degree of chromosome instability (CIN). This association was less significant for gains on chromosomes 6 and 12 (p = 0.035). In contrast, loss of distal chromosome 4 was very frequent (71%) in both NNK-induced and spontaneous tumors, and showed no association with CIN phenotype. Each of these chromosomes contains sites of orthology with those altered in human lung adenocarcinomas, suggesting similar roles in human lung cancer. We next investigated the mechanism of NNK-induced CIN and found that a genotoxic metabolite of this carcinogen causes numerous karyotypic changes in lung epithelial cells. With similar changes evident in NNK-induced tumors, this suggests that the persistence of such damage in exposed lung epithelia may initiate CIN during lung carcinogenesis. These results show for the first time that NNK potently induces gross chromosomal alterations in lung adenocarcinogenesis and modulates the evolutionary pathway of these tumors through the recruitment of genes with altered DNA copy number.","DOI":"10.1016/j.bbrc.2006.01.043","note":"PMID: 16455056","journalAbbreviation":"Biochem. Biophys. Res. Commun.","author":[{"family":"Herzog","given":"Christopher R"},{"family":"Desai","given":"Dhimant"},{"family":"Amin","given":"Shantu"}],"issued":{"year":2006,"month":3,"day":17},"accessed":{"year":2012,"month":7,"day":6},"page-first":"856"}}],"schema":"https://github.com/citation-style-language/schema/raw/master/csl-citation.json"} </w:instrText>
      </w:r>
      <w:r w:rsidR="000A1F10" w:rsidRPr="00AD632F">
        <w:rPr>
          <w:b/>
          <w:i/>
          <w:color w:val="000000"/>
        </w:rPr>
        <w:fldChar w:fldCharType="separate"/>
      </w:r>
      <w:r w:rsidR="000A1F10" w:rsidRPr="00AD632F">
        <w:rPr>
          <w:b/>
          <w:i/>
        </w:rPr>
        <w:t>(</w:t>
      </w:r>
      <w:r w:rsidR="000A1F10" w:rsidRPr="00AD632F">
        <w:rPr>
          <w:b/>
          <w:bCs/>
          <w:i/>
          <w:iCs/>
        </w:rPr>
        <w:t>37</w:t>
      </w:r>
      <w:r w:rsidR="000A1F10" w:rsidRPr="00AD632F">
        <w:rPr>
          <w:b/>
          <w:i/>
        </w:rPr>
        <w:t>)</w:t>
      </w:r>
      <w:r w:rsidR="000A1F10" w:rsidRPr="00AD632F">
        <w:rPr>
          <w:b/>
          <w:i/>
          <w:color w:val="000000"/>
        </w:rPr>
        <w:fldChar w:fldCharType="end"/>
      </w:r>
      <w:r w:rsidR="00BC591F">
        <w:rPr>
          <w:b/>
          <w:i/>
          <w:color w:val="000000"/>
        </w:rPr>
        <w:t xml:space="preserve"> </w:t>
      </w:r>
      <w:r w:rsidR="00E56EA2" w:rsidRPr="00F259A2">
        <w:rPr>
          <w:color w:val="000000"/>
        </w:rPr>
        <w:t xml:space="preserve">evaluated copy number changes and chromosomal instability in mouse lung adenocarcinoma cells induced by the potent human lung carcinogen </w:t>
      </w:r>
      <w:r w:rsidR="00CD1590" w:rsidRPr="00F259A2">
        <w:rPr>
          <w:color w:val="000000"/>
        </w:rPr>
        <w:t>nicot</w:t>
      </w:r>
      <w:r w:rsidR="00693EAA" w:rsidRPr="00F259A2">
        <w:rPr>
          <w:color w:val="000000"/>
        </w:rPr>
        <w:t>ine</w:t>
      </w:r>
      <w:r w:rsidR="00AD5B6B">
        <w:rPr>
          <w:color w:val="000000"/>
        </w:rPr>
        <w:t>--</w:t>
      </w:r>
      <w:r w:rsidR="00693EAA" w:rsidRPr="00F259A2">
        <w:rPr>
          <w:color w:val="000000"/>
        </w:rPr>
        <w:t xml:space="preserve">derived nitrosamine ketone </w:t>
      </w:r>
      <w:r w:rsidR="00CD1590" w:rsidRPr="00F259A2">
        <w:rPr>
          <w:color w:val="000000"/>
        </w:rPr>
        <w:t>NNK</w:t>
      </w:r>
      <w:r w:rsidR="00693EAA" w:rsidRPr="00F259A2">
        <w:rPr>
          <w:color w:val="000000"/>
        </w:rPr>
        <w:t xml:space="preserve"> (</w:t>
      </w:r>
      <w:r w:rsidR="00CD1590" w:rsidRPr="00F259A2">
        <w:rPr>
          <w:color w:val="000000"/>
        </w:rPr>
        <w:t>4</w:t>
      </w:r>
      <w:r w:rsidR="00AD5B6B">
        <w:rPr>
          <w:color w:val="000000"/>
        </w:rPr>
        <w:t>--</w:t>
      </w:r>
      <w:r w:rsidR="00CD1590" w:rsidRPr="00F259A2">
        <w:rPr>
          <w:color w:val="000000"/>
        </w:rPr>
        <w:t>(</w:t>
      </w:r>
      <w:proofErr w:type="spellStart"/>
      <w:r w:rsidR="00CD1590" w:rsidRPr="00F259A2">
        <w:rPr>
          <w:color w:val="000000"/>
        </w:rPr>
        <w:t>methylnitrosamino</w:t>
      </w:r>
      <w:proofErr w:type="spellEnd"/>
      <w:r w:rsidR="00CD1590" w:rsidRPr="00F259A2">
        <w:rPr>
          <w:color w:val="000000"/>
        </w:rPr>
        <w:t>)</w:t>
      </w:r>
      <w:r w:rsidR="00EE6941" w:rsidRPr="00F259A2">
        <w:rPr>
          <w:color w:val="000000"/>
        </w:rPr>
        <w:t>—</w:t>
      </w:r>
      <w:r w:rsidR="00CD1590" w:rsidRPr="00F259A2">
        <w:rPr>
          <w:color w:val="000000"/>
        </w:rPr>
        <w:t>1</w:t>
      </w:r>
      <w:r w:rsidR="00EE6941" w:rsidRPr="00F259A2">
        <w:rPr>
          <w:color w:val="000000"/>
        </w:rPr>
        <w:t>-</w:t>
      </w:r>
      <w:r w:rsidR="00CD1590" w:rsidRPr="00F259A2">
        <w:rPr>
          <w:color w:val="000000"/>
        </w:rPr>
        <w:t>-(3</w:t>
      </w:r>
      <w:r w:rsidR="00EE6941" w:rsidRPr="00F259A2">
        <w:rPr>
          <w:color w:val="000000"/>
        </w:rPr>
        <w:t>-</w:t>
      </w:r>
      <w:r w:rsidR="00CD1590" w:rsidRPr="00F259A2">
        <w:rPr>
          <w:color w:val="000000"/>
        </w:rPr>
        <w:t>-pyridyl)</w:t>
      </w:r>
      <w:r w:rsidR="00EE6941" w:rsidRPr="00F259A2">
        <w:rPr>
          <w:color w:val="000000"/>
        </w:rPr>
        <w:t>—</w:t>
      </w:r>
      <w:r w:rsidR="00CD1590" w:rsidRPr="00F259A2">
        <w:rPr>
          <w:color w:val="000000"/>
        </w:rPr>
        <w:t>1</w:t>
      </w:r>
      <w:r w:rsidR="00EE6941" w:rsidRPr="00F259A2">
        <w:rPr>
          <w:color w:val="000000"/>
        </w:rPr>
        <w:t>-</w:t>
      </w:r>
      <w:r w:rsidR="00CD1590" w:rsidRPr="00F259A2">
        <w:rPr>
          <w:color w:val="000000"/>
        </w:rPr>
        <w:t xml:space="preserve">-butanone) </w:t>
      </w:r>
      <w:r w:rsidR="00E56EA2" w:rsidRPr="00F259A2">
        <w:rPr>
          <w:color w:val="000000"/>
        </w:rPr>
        <w:t>present in tobacco smoke</w:t>
      </w:r>
      <w:r w:rsidR="00025FF9" w:rsidRPr="00AD632F">
        <w:rPr>
          <w:b/>
          <w:i/>
          <w:color w:val="000000"/>
        </w:rPr>
        <w:t xml:space="preserve"> </w:t>
      </w:r>
      <w:r w:rsidR="009A377C" w:rsidRPr="00AD632F">
        <w:rPr>
          <w:b/>
          <w:i/>
          <w:color w:val="000000"/>
        </w:rPr>
        <w:fldChar w:fldCharType="begin"/>
      </w:r>
      <w:r w:rsidR="00025FF9" w:rsidRPr="00AD632F">
        <w:rPr>
          <w:b/>
          <w:i/>
          <w:color w:val="000000"/>
        </w:rPr>
        <w:instrText xml:space="preserve"> ADDIN ZOTERO_ITEM CSL_CITATION {"citationID":"3741v4lg7","properties":{"formattedCitation":"{\\rtf (\\b \\i 37\\i0{}\\b0{})}","plainCitation":"(37)"},"citationItems":[{"id":290,"uris":["http://zotero.org/users/1046410/items/XRWVP38H"],"uri":["http://zotero.org/users/1046410/items/XRWVP38H"],"itemData":{"id":290,"type":"article-journal","title":"Array CGH analysis reveals chromosomal aberrations in mouse lung adenocarcinomas induced by the human lung carcinogen 4-(methylnitrosamino)-1-(3-pyridyl)-1-butanone","container-title":"Biochemical and biophysical research communications","page":"856-863","volume":"341","issue":"3","abstract":"Exposure to genotoxic carcinogens in tobacco smoke is a major cause of lung cancer. However, the effect this has on DNA copy number and genomic stability during lung carcinogenesis is unclear. Here we used bacterial artificial chromosome array-based comparative genomic hybridization to examine the effect of NNK, a potent human lung carcinogen present in tobacco smoke, on the major genomic changes occurring during mouse lung adenocarcinogenesis. Observed were significantly more gross chromosomal changes in NNK-induced tumors compared with the spontaneous tumors. An average of 5.6 chromosomes were affected by large-scale changes in DNA copy number per NNK-induced tumor compared with only 2.0 in spontaneous lung tumors (p = 0.017). Further analysis showed that gains on chromosomes 6 and 8, and losses on chromosomes 11 and 14 were more common in NNK-induced tumors (p &lt;or= 0.002). The changes on chromosomes 8, 11, and 14 were positively (p &lt;or= 0.001) associated with the degree of chromosome instability (CIN). This association was less significant for gains on chromosomes 6 and 12 (p = 0.035). In contrast, loss of distal chromosome 4 was very frequent (71%) in both NNK-induced and spontaneous tumors, and showed no association with CIN phenotype. Each of these chromosomes contains sites of orthology with those altered in human lung adenocarcinomas, suggesting similar roles in human lung cancer. We next investigated the mechanism of NNK-induced CIN and found that a genotoxic metabolite of this carcinogen causes numerous karyotypic changes in lung epithelial cells. With similar changes evident in NNK-induced tumors, this suggests that the persistence of such damage in exposed lung epithelia may initiate CIN during lung carcinogenesis. These results show for the first time that NNK potently induces gross chromosomal alterations in lung adenocarcinogenesis and modulates the evolutionary pathway of these tumors through the recruitment of genes with altered DNA copy number.","DOI":"10.1016/j.bbrc.2006.01.043","note":"PMID: 16455056","journalAbbreviation":"Biochem. Biophys. Res. Commun.","author":[{"family":"Herzog","given":"Christopher R"},{"family":"Desai","given":"Dhimant"},{"family":"Amin","given":"Shantu"}],"issued":{"year":2006,"month":3,"day":17},"accessed":{"year":2012,"month":7,"day":6},"page-first":"856"}}],"schema":"https://github.com/citation-style-language/schema/raw/master/csl-citation.json"} </w:instrText>
      </w:r>
      <w:r w:rsidR="009A377C" w:rsidRPr="00AD632F">
        <w:rPr>
          <w:b/>
          <w:i/>
          <w:color w:val="000000"/>
        </w:rPr>
        <w:fldChar w:fldCharType="separate"/>
      </w:r>
      <w:r w:rsidR="00025FF9" w:rsidRPr="00AD632F">
        <w:rPr>
          <w:b/>
          <w:i/>
        </w:rPr>
        <w:t>(</w:t>
      </w:r>
      <w:r w:rsidR="00025FF9" w:rsidRPr="00AD632F">
        <w:rPr>
          <w:b/>
          <w:bCs/>
          <w:i/>
          <w:iCs/>
        </w:rPr>
        <w:t>37</w:t>
      </w:r>
      <w:r w:rsidR="00025FF9" w:rsidRPr="00AD632F">
        <w:rPr>
          <w:b/>
          <w:i/>
        </w:rPr>
        <w:t>)</w:t>
      </w:r>
      <w:r w:rsidR="009A377C" w:rsidRPr="00AD632F">
        <w:rPr>
          <w:b/>
          <w:i/>
          <w:color w:val="000000"/>
        </w:rPr>
        <w:fldChar w:fldCharType="end"/>
      </w:r>
      <w:r w:rsidR="00CD1590" w:rsidRPr="00F259A2">
        <w:rPr>
          <w:color w:val="000000"/>
        </w:rPr>
        <w:t>. Signiﬁcantly</w:t>
      </w:r>
      <w:r w:rsidR="00560A8C" w:rsidRPr="00F259A2">
        <w:rPr>
          <w:color w:val="000000"/>
        </w:rPr>
        <w:t>,</w:t>
      </w:r>
      <w:r w:rsidR="00CD1590" w:rsidRPr="00F259A2">
        <w:rPr>
          <w:color w:val="000000"/>
        </w:rPr>
        <w:t xml:space="preserve"> more gross chromosomal changes were found in NNK</w:t>
      </w:r>
      <w:r w:rsidR="00AD5B6B">
        <w:rPr>
          <w:color w:val="000000"/>
        </w:rPr>
        <w:t>--</w:t>
      </w:r>
      <w:r w:rsidR="00CD1590" w:rsidRPr="00F259A2">
        <w:rPr>
          <w:color w:val="000000"/>
        </w:rPr>
        <w:t xml:space="preserve">induced tumours compared with spontaneous tumours </w:t>
      </w:r>
      <w:r w:rsidR="009A377C" w:rsidRPr="00AD632F">
        <w:rPr>
          <w:b/>
          <w:i/>
          <w:color w:val="000000"/>
        </w:rPr>
        <w:fldChar w:fldCharType="begin"/>
      </w:r>
      <w:r w:rsidR="0042106E" w:rsidRPr="00AD632F">
        <w:rPr>
          <w:b/>
          <w:i/>
          <w:color w:val="000000"/>
        </w:rPr>
        <w:instrText xml:space="preserve"> ADDIN ZOTERO_ITEM CSL_CITATION {"citationID":"3741v4lg7","properties":{"formattedCitation":"{\\rtf (\\b \\i 37\\i0{}\\b0{})}","plainCitation":"(37)"},"citationItems":[{"id":290,"uris":["http://zotero.org/users/1046410/items/XRWVP38H"],"uri":["http://zotero.org/users/1046410/items/XRWVP38H"],"itemData":{"id":290,"type":"article-journal","title":"Array CGH analysis reveals chromosomal aberrations in mouse lung adenocarcinomas induced by the human lung carcinogen 4-(methylnitrosamino)-1-(3-pyridyl)-1-butanone","container-title":"Biochemical and biophysical research communications","page":"856-863","volume":"341","issue":"3","abstract":"Exposure to genotoxic carcinogens in tobacco smoke is a major cause of lung cancer. However, the effect this has on DNA copy number and genomic stability during lung carcinogenesis is unclear. Here we used bacterial artificial chromosome array-based comparative genomic hybridization to examine the effect of NNK, a potent human lung carcinogen present in tobacco smoke, on the major genomic changes occurring during mouse lung adenocarcinogenesis. Observed were significantly more gross chromosomal changes in NNK-induced tumors compared with the spontaneous tumors. An average of 5.6 chromosomes were affected by large-scale changes in DNA copy number per NNK-induced tumor compared with only 2.0 in spontaneous lung tumors (p = 0.017). Further analysis showed that gains on chromosomes 6 and 8, and losses on chromosomes 11 and 14 were more common in NNK-induced tumors (p &lt;or= 0.002). The changes on chromosomes 8, 11, and 14 were positively (p &lt;or= 0.001) associated with the degree of chromosome instability (CIN). This association was less significant for gains on chromosomes 6 and 12 (p = 0.035). In contrast, loss of distal chromosome 4 was very frequent (71%) in both NNK-induced and spontaneous tumors, and showed no association with CIN phenotype. Each of these chromosomes contains sites of orthology with those altered in human lung adenocarcinomas, suggesting similar roles in human lung cancer. We next investigated the mechanism of NNK-induced CIN and found that a genotoxic metabolite of this carcinogen causes numerous karyotypic changes in lung epithelial cells. With similar changes evident in NNK-induced tumors, this suggests that the persistence of such damage in exposed lung epithelia may initiate CIN during lung carcinogenesis. These results show for the first time that NNK potently induces gross chromosomal alterations in lung adenocarcinogenesis and modulates the evolutionary pathway of these tumors through the recruitment of genes with altered DNA copy number.","DOI":"10.1016/j.bbrc.2006.01.043","note":"PMID: 16455056","journalAbbreviation":"Biochem. Biophys. Res. Commun.","author":[{"family":"Herzog","given":"Christopher R"},{"family":"Desai","given":"Dhimant"},{"family":"Amin","given":"Shantu"}],"issued":{"year":2006,"month":3,"day":17},"accessed":{"year":2012,"month":7,"day":6},"page-first":"856"}}],"schema":"https://github.com/citation-style-language/schema/raw/master/csl-citation.json"} </w:instrText>
      </w:r>
      <w:r w:rsidR="009A377C" w:rsidRPr="00AD632F">
        <w:rPr>
          <w:b/>
          <w:i/>
          <w:color w:val="000000"/>
        </w:rPr>
        <w:fldChar w:fldCharType="separate"/>
      </w:r>
      <w:r w:rsidR="007D2E20" w:rsidRPr="00AD632F">
        <w:rPr>
          <w:b/>
          <w:i/>
        </w:rPr>
        <w:t>(</w:t>
      </w:r>
      <w:r w:rsidR="007D2E20" w:rsidRPr="00AD632F">
        <w:rPr>
          <w:b/>
          <w:bCs/>
          <w:i/>
          <w:iCs/>
        </w:rPr>
        <w:t>37</w:t>
      </w:r>
      <w:r w:rsidR="007D2E20" w:rsidRPr="00AD632F">
        <w:rPr>
          <w:b/>
          <w:i/>
        </w:rPr>
        <w:t>)</w:t>
      </w:r>
      <w:r w:rsidR="009A377C" w:rsidRPr="00AD632F">
        <w:rPr>
          <w:b/>
          <w:i/>
          <w:color w:val="000000"/>
        </w:rPr>
        <w:fldChar w:fldCharType="end"/>
      </w:r>
      <w:r w:rsidR="00E56EA2" w:rsidRPr="00AD632F">
        <w:rPr>
          <w:b/>
          <w:i/>
          <w:color w:val="000000"/>
        </w:rPr>
        <w:t>.</w:t>
      </w:r>
      <w:r w:rsidR="00025FF9" w:rsidRPr="00F259A2">
        <w:rPr>
          <w:color w:val="000000"/>
        </w:rPr>
        <w:t xml:space="preserve"> </w:t>
      </w:r>
      <w:r w:rsidR="00E56EA2" w:rsidRPr="00F259A2">
        <w:rPr>
          <w:color w:val="000000"/>
        </w:rPr>
        <w:t>A 32 K BAC re</w:t>
      </w:r>
      <w:r w:rsidR="00025FF9" w:rsidRPr="00F259A2">
        <w:rPr>
          <w:color w:val="000000"/>
        </w:rPr>
        <w:t>-</w:t>
      </w:r>
      <w:r w:rsidR="00E56EA2" w:rsidRPr="00F259A2">
        <w:rPr>
          <w:color w:val="000000"/>
        </w:rPr>
        <w:t>-array collection (CHORI) tiling path array CGH platform was used to characterize various cell lines with and without amplifications</w:t>
      </w:r>
      <w:r w:rsidR="00CD1590" w:rsidRPr="00F259A2">
        <w:rPr>
          <w:color w:val="000000"/>
        </w:rPr>
        <w:t xml:space="preserve"> of the EMSY gene. This</w:t>
      </w:r>
      <w:r w:rsidR="00E56EA2" w:rsidRPr="00F259A2">
        <w:rPr>
          <w:color w:val="000000"/>
        </w:rPr>
        <w:t xml:space="preserve"> gene plays a role as a potential oncogenic driver in the development of breast cancer. </w:t>
      </w:r>
      <w:r w:rsidR="00AC3375" w:rsidRPr="00F259A2">
        <w:rPr>
          <w:color w:val="000000"/>
        </w:rPr>
        <w:t>The ten cancer cell lines were treated with cis</w:t>
      </w:r>
      <w:r w:rsidR="0008011E" w:rsidRPr="00F259A2">
        <w:rPr>
          <w:color w:val="000000"/>
        </w:rPr>
        <w:t>-</w:t>
      </w:r>
      <w:r w:rsidR="00AC3375" w:rsidRPr="00F259A2">
        <w:rPr>
          <w:color w:val="000000"/>
        </w:rPr>
        <w:t xml:space="preserve">-platinum or </w:t>
      </w:r>
      <w:proofErr w:type="spellStart"/>
      <w:r w:rsidR="00AC3375" w:rsidRPr="00F259A2">
        <w:rPr>
          <w:color w:val="000000"/>
        </w:rPr>
        <w:t>olapirib</w:t>
      </w:r>
      <w:proofErr w:type="spellEnd"/>
      <w:r w:rsidR="00AC3375" w:rsidRPr="00F259A2">
        <w:rPr>
          <w:color w:val="000000"/>
        </w:rPr>
        <w:t xml:space="preserve"> to analyse for increased sensitivity to genotoxic therapies, i.e. for platinum salts or poly(ADP</w:t>
      </w:r>
      <w:r w:rsidR="0008011E" w:rsidRPr="00F259A2">
        <w:rPr>
          <w:color w:val="000000"/>
        </w:rPr>
        <w:t>-</w:t>
      </w:r>
      <w:r w:rsidR="00AC3375" w:rsidRPr="00F259A2">
        <w:rPr>
          <w:color w:val="000000"/>
        </w:rPr>
        <w:t xml:space="preserve">-ribose) polymerase (PARP) inhibitors, in the presence of an amplified EMSY gene </w:t>
      </w:r>
      <w:r w:rsidR="009A377C" w:rsidRPr="00243371">
        <w:rPr>
          <w:b/>
          <w:i/>
          <w:color w:val="000000"/>
        </w:rPr>
        <w:fldChar w:fldCharType="begin"/>
      </w:r>
      <w:r w:rsidR="0042106E" w:rsidRPr="00243371">
        <w:rPr>
          <w:b/>
          <w:i/>
          <w:color w:val="000000"/>
        </w:rPr>
        <w:instrText xml:space="preserve"> ADDIN ZOTERO_ITEM CSL_CITATION {"citationID":"4rno66ge7","properties":{"formattedCitation":"{\\rtf (\\b \\i 38\\i0{}\\b0{})}","plainCitation":"(38)"},"citationItems":[{"id":279,"uris":["http://zotero.org/users/1046410/items/MRJ4KGII"],"uri":["http://zotero.org/users/1046410/items/MRJ4KGII"],"itemData":{"id":279,"type":"article-journal","title":"Functional characterization of EMSY gene amplification in human cancers","container-title":"The Journal of pathology","page":"29-42","volume":"225","issue":"1","abstract":"The 11q13-q14 locus is frequently amplified in human cancers, with a complex structure harbouring multiple potential oncogenic drivers. The EMSY gene has been proposed as a driver of the third core of the 11q13-q14 amplicon. This gene encodes a protein reported to be a BRCA2-binding partner, which when over-expressed would lead to impairment of BRCA2 functions and could constitute a mechanism for BRCA2 inactivation in non-hereditary breast and ovarian cancers. We hypothesized that if EMSY amplification abrogates BRCA2 functions, cells harbouring this aberration would be unable to elicit competent homologous recombination DNA repair and, therefore, may have increased sensitivity to genotoxic therapies and potent PARP inhibitors. Microarray-based comparative genomic hybridization of cell lines from distinct tumour sites, including breast, ovary, pancreas, oesophagus, lung and the oral cavity, led to the identification of 10 cell lines with EMSY amplification and 18 without. EMSY amplification was shown to correlate with EMSY mRNA levels, although not all cell lines harbouring EMSY amplification displayed EMSY mRNA or protein over-expression. RNA interference-mediated silencing of EMSY did not lead to a reduction in cell viability in tumour models harbouring EMSY amplification. Cell lines with and without EMSY amplification displayed a similar ability to elicit RAD51 foci in response to DNA damaging agents, and similar sensitivity to cisplatin and olaparib. Taken together, this suggests that EMSY is unlikely to be a driver of the 11q13-q14 amplicon and does not have a dominant role in modulating the response to agents targeting cells with defective homologous recombination.","DOI":"10.1002/path.2944","note":"PMID: 21735447","journalAbbreviation":"J. Pathol.","author":[{"family":"Wilkerson","given":"Paul M"},{"family":"Dedes","given":"Konstantin J"},{"family":"Wetterskog","given":"Daniel"},{"family":"Mackay","given":"Alan"},{"family":"Lambros","given":"Maryou B"},{"family":"Mansour","given":"Marthe"},{"family":"Frankum","given":"Jessica"},{"family":"Lord","given":"Christopher J"},{"family":"Natrajan","given":"Rachael"},{"family":"Ashworth","given":"Alan"},{"family":"Reis-Filho","given":"Jorge S"}],"issued":{"year":2011,"month":9},"accessed":{"year":2012,"month":7,"day":6},"page-first":"29"}}],"schema":"https://github.com/citation-style-language/schema/raw/master/csl-citation.json"} </w:instrText>
      </w:r>
      <w:r w:rsidR="009A377C" w:rsidRPr="00243371">
        <w:rPr>
          <w:b/>
          <w:i/>
          <w:color w:val="000000"/>
        </w:rPr>
        <w:fldChar w:fldCharType="separate"/>
      </w:r>
      <w:r w:rsidR="007D2E20" w:rsidRPr="00243371">
        <w:rPr>
          <w:b/>
          <w:i/>
        </w:rPr>
        <w:t>(</w:t>
      </w:r>
      <w:r w:rsidR="007D2E20" w:rsidRPr="00243371">
        <w:rPr>
          <w:b/>
          <w:bCs/>
          <w:i/>
          <w:iCs/>
        </w:rPr>
        <w:t>38</w:t>
      </w:r>
      <w:r w:rsidR="007D2E20" w:rsidRPr="00243371">
        <w:rPr>
          <w:b/>
          <w:i/>
        </w:rPr>
        <w:t>)</w:t>
      </w:r>
      <w:r w:rsidR="009A377C" w:rsidRPr="00243371">
        <w:rPr>
          <w:b/>
          <w:i/>
          <w:color w:val="000000"/>
        </w:rPr>
        <w:fldChar w:fldCharType="end"/>
      </w:r>
      <w:r w:rsidR="00E56EA2" w:rsidRPr="00F259A2">
        <w:rPr>
          <w:color w:val="000000"/>
        </w:rPr>
        <w:t>.</w:t>
      </w:r>
      <w:r w:rsidR="00DD43F9">
        <w:rPr>
          <w:color w:val="000000"/>
        </w:rPr>
        <w:t xml:space="preserve"> </w:t>
      </w:r>
      <w:r w:rsidR="00E56EA2" w:rsidRPr="00F259A2">
        <w:rPr>
          <w:color w:val="000000"/>
        </w:rPr>
        <w:t xml:space="preserve">A cell line from normal human foetal colonic mucosa has been established by </w:t>
      </w:r>
      <w:proofErr w:type="spellStart"/>
      <w:r w:rsidR="00E56EA2" w:rsidRPr="00F259A2">
        <w:rPr>
          <w:color w:val="000000"/>
        </w:rPr>
        <w:t>Soucek</w:t>
      </w:r>
      <w:proofErr w:type="spellEnd"/>
      <w:r w:rsidR="00184C67" w:rsidRPr="00F259A2">
        <w:rPr>
          <w:color w:val="000000"/>
        </w:rPr>
        <w:t xml:space="preserve"> </w:t>
      </w:r>
      <w:r w:rsidR="00CD1590" w:rsidRPr="00F259A2">
        <w:rPr>
          <w:color w:val="000000"/>
        </w:rPr>
        <w:t>and colleagues</w:t>
      </w:r>
      <w:r w:rsidR="00E56EA2" w:rsidRPr="00F259A2">
        <w:rPr>
          <w:color w:val="000000"/>
        </w:rPr>
        <w:t xml:space="preserve"> and has been characterized for their mechanism of spontaneously acquired immortality </w:t>
      </w:r>
      <w:r w:rsidR="009A377C" w:rsidRPr="00DD43F9">
        <w:rPr>
          <w:b/>
          <w:i/>
          <w:color w:val="000000"/>
        </w:rPr>
        <w:fldChar w:fldCharType="begin"/>
      </w:r>
      <w:r w:rsidR="0042106E" w:rsidRPr="00DD43F9">
        <w:rPr>
          <w:b/>
          <w:i/>
          <w:color w:val="000000"/>
        </w:rPr>
        <w:instrText xml:space="preserve"> ADDIN ZOTERO_ITEM CSL_CITATION {"citationID":"253es84stq","properties":{"formattedCitation":"{\\rtf (\\b \\i 39\\i0{}\\b0{})}","plainCitation":"(39)"},"citationItems":[{"id":280,"uris":["http://zotero.org/users/1046410/items/2VDTMBA2"],"uri":["http://zotero.org/users/1046410/items/2VDTMBA2"],"itemData":{"id":280,"type":"article-journal","title":"Fetal colon cell line FHC exhibits tumorigenic phenotype, complex karyotype, and TP53 gene mutation","container-title":"Cancer genetics and cytogenetics","page":"107-116","volume":"197","issue":"2","abstract":"Stable cell lines obtained by spontaneous immortalization might represent early stages of malignant transformation and be useful experimental models for studies of mechanisms of cancer development. The FHC (fetal human cells) cell line has been established from normal fetal colonic mucosa. Detailed characterization of this cell line and mechanism of spontaneously acquired immortality have not been described yet. Therefore, we characterized the FHC cell line in terms of its tumorigenicity, cytogenetics, and TP53 gene mutation analysis. FHC cells displayed capability for anchorage-independent growth in semisolid media in vitro and formed solid tumors after transplantation into SCID (severe combined immunodeficiency) mice. This tumorigenic phenotype was associated with hypotriploidy and chromosome number ranging from 66 to 69. Results of comparative genetic hybridization arrays showed that most chromosomes included regions of copy number gains or losses. Region 8q23 approximately 8q24.3 (containing, e.g., MYC proto-oncogene) was present in more than 20 copies per nucleus. Moreover, we identified mutation of TP53 gene in codon 273; triplet CGT coding Arg was changed to CAG coding His. Expression of Pro codon 72 polymorphic variant of p53 was also detected. Mutation of TP53 gene was associated with abolished induction of p21(Waf1/Cip1) and MDM-2 proteins and resistance to apoptosis after genotoxic treatment. Because of their origin from normal fetal colon and their relative resistance to the induction of apoptosis, FHC cells can be considered a valuable experimental model for various studies.","DOI":"10.1016/j.cancergencyto.2009.11.009","note":"PMID: 20193843","journalAbbreviation":"Cancer Genet. Cytogenet.","author":[{"family":"Soucek","given":"Karel"},{"family":"Gajdusková","given":"Pavla"},{"family":"Brázdová","given":"Marie"},{"family":"Hýzd'alová","given":"Martina"},{"family":"Kocí","given":"Lenka"},{"family":"Vydra","given":"David"},{"family":"Trojanec","given":"Radek"},{"family":"Pernicová","given":"Zuzana"},{"family":"Lentvorská","given":"Lenka"},{"family":"Hajdúch","given":"Marián"},{"family":"Hofmanová","given":"Jirina"},{"family":"Kozubík","given":"Alois"}],"issued":{"year":2010,"month":3},"accessed":{"year":2012,"month":7,"day":6},"page-first":"107"}}],"schema":"https://github.com/citation-style-language/schema/raw/master/csl-citation.json"} </w:instrText>
      </w:r>
      <w:r w:rsidR="009A377C" w:rsidRPr="00DD43F9">
        <w:rPr>
          <w:b/>
          <w:i/>
          <w:color w:val="000000"/>
        </w:rPr>
        <w:fldChar w:fldCharType="separate"/>
      </w:r>
      <w:r w:rsidR="007D2E20" w:rsidRPr="00DD43F9">
        <w:rPr>
          <w:b/>
          <w:i/>
        </w:rPr>
        <w:t>(</w:t>
      </w:r>
      <w:r w:rsidR="007D2E20" w:rsidRPr="00DD43F9">
        <w:rPr>
          <w:b/>
          <w:bCs/>
          <w:i/>
          <w:iCs/>
        </w:rPr>
        <w:t>39</w:t>
      </w:r>
      <w:r w:rsidR="007D2E20" w:rsidRPr="00DD43F9">
        <w:rPr>
          <w:b/>
          <w:i/>
        </w:rPr>
        <w:t>)</w:t>
      </w:r>
      <w:r w:rsidR="009A377C" w:rsidRPr="00DD43F9">
        <w:rPr>
          <w:b/>
          <w:i/>
          <w:color w:val="000000"/>
        </w:rPr>
        <w:fldChar w:fldCharType="end"/>
      </w:r>
      <w:r w:rsidR="00E56EA2" w:rsidRPr="00F259A2">
        <w:rPr>
          <w:color w:val="000000"/>
        </w:rPr>
        <w:t xml:space="preserve">. </w:t>
      </w:r>
    </w:p>
    <w:p w14:paraId="1586958E" w14:textId="77777777" w:rsidR="00F21479" w:rsidRPr="00F259A2" w:rsidRDefault="00F21479" w:rsidP="008A5EE5">
      <w:pPr>
        <w:tabs>
          <w:tab w:val="left" w:pos="-1440"/>
          <w:tab w:val="left" w:pos="-720"/>
        </w:tabs>
        <w:suppressAutoHyphens/>
        <w:spacing w:line="480" w:lineRule="auto"/>
        <w:rPr>
          <w:color w:val="000000"/>
        </w:rPr>
      </w:pPr>
    </w:p>
    <w:p w14:paraId="672438C2" w14:textId="77777777" w:rsidR="00226230" w:rsidRPr="00F259A2" w:rsidRDefault="009537B8" w:rsidP="008A5EE5">
      <w:pPr>
        <w:tabs>
          <w:tab w:val="left" w:pos="-1440"/>
          <w:tab w:val="left" w:pos="-720"/>
        </w:tabs>
        <w:suppressAutoHyphens/>
        <w:spacing w:line="480" w:lineRule="auto"/>
      </w:pPr>
      <w:r w:rsidRPr="00F259A2">
        <w:rPr>
          <w:color w:val="000000"/>
        </w:rPr>
        <w:t>O</w:t>
      </w:r>
      <w:r w:rsidR="00FD3CCF" w:rsidRPr="00F259A2">
        <w:rPr>
          <w:color w:val="000000"/>
        </w:rPr>
        <w:t>ligonucleotide array</w:t>
      </w:r>
      <w:r w:rsidRPr="00F259A2">
        <w:rPr>
          <w:color w:val="000000"/>
        </w:rPr>
        <w:t>s</w:t>
      </w:r>
      <w:r w:rsidR="00FD3CCF" w:rsidRPr="00F259A2">
        <w:rPr>
          <w:color w:val="000000"/>
        </w:rPr>
        <w:t xml:space="preserve"> have been employed to evaluate genotoxins</w:t>
      </w:r>
      <w:r w:rsidRPr="00F259A2">
        <w:rPr>
          <w:color w:val="000000"/>
        </w:rPr>
        <w:t xml:space="preserve"> as well</w:t>
      </w:r>
      <w:r w:rsidR="00FD3CCF" w:rsidRPr="00F259A2">
        <w:rPr>
          <w:color w:val="000000"/>
        </w:rPr>
        <w:t xml:space="preserve">. </w:t>
      </w:r>
      <w:r w:rsidR="0049262C" w:rsidRPr="00F259A2">
        <w:rPr>
          <w:color w:val="000000"/>
        </w:rPr>
        <w:t xml:space="preserve">Usually, cell lines but also human and animal tumour cells </w:t>
      </w:r>
      <w:r w:rsidRPr="00F259A2">
        <w:rPr>
          <w:color w:val="000000"/>
        </w:rPr>
        <w:t xml:space="preserve">deriving </w:t>
      </w:r>
      <w:r w:rsidR="0049262C" w:rsidRPr="00F259A2">
        <w:rPr>
          <w:color w:val="000000"/>
        </w:rPr>
        <w:t>from primary cells are the cells</w:t>
      </w:r>
      <w:r w:rsidR="00AD5B6B">
        <w:rPr>
          <w:color w:val="000000"/>
        </w:rPr>
        <w:t>--</w:t>
      </w:r>
      <w:r w:rsidR="0049262C" w:rsidRPr="00F259A2">
        <w:rPr>
          <w:color w:val="000000"/>
        </w:rPr>
        <w:t>of</w:t>
      </w:r>
      <w:r w:rsidR="00AD5B6B">
        <w:rPr>
          <w:color w:val="000000"/>
        </w:rPr>
        <w:t>--</w:t>
      </w:r>
      <w:r w:rsidR="0049262C" w:rsidRPr="00F259A2">
        <w:rPr>
          <w:color w:val="000000"/>
        </w:rPr>
        <w:t xml:space="preserve">choice to study the impact of genotoxins to the DNA, genes and underlying regulatory and signalling pathways. </w:t>
      </w:r>
      <w:r w:rsidR="00226230" w:rsidRPr="00F259A2">
        <w:rPr>
          <w:color w:val="000000"/>
        </w:rPr>
        <w:t xml:space="preserve">At around the turn of this century, the </w:t>
      </w:r>
      <w:r w:rsidR="00226230" w:rsidRPr="00F259A2">
        <w:t xml:space="preserve">NIEHS Microarray Centre developed a </w:t>
      </w:r>
      <w:r w:rsidRPr="00F259A2">
        <w:t>so</w:t>
      </w:r>
      <w:r w:rsidR="00AD5B6B">
        <w:t>--</w:t>
      </w:r>
      <w:r w:rsidRPr="00F259A2">
        <w:t xml:space="preserve">called </w:t>
      </w:r>
      <w:proofErr w:type="spellStart"/>
      <w:r w:rsidR="00226230" w:rsidRPr="00F259A2">
        <w:t>ToxChip</w:t>
      </w:r>
      <w:proofErr w:type="spellEnd"/>
      <w:r w:rsidR="00226230" w:rsidRPr="00F259A2">
        <w:t xml:space="preserve"> with spotted human cDNAs </w:t>
      </w:r>
      <w:r w:rsidR="00226230" w:rsidRPr="00F259A2">
        <w:lastRenderedPageBreak/>
        <w:t xml:space="preserve">containing clusters of up to 12,000 different cloned genes </w:t>
      </w:r>
      <w:r w:rsidR="009A377C" w:rsidRPr="00E06D7F">
        <w:rPr>
          <w:b/>
          <w:i/>
        </w:rPr>
        <w:fldChar w:fldCharType="begin"/>
      </w:r>
      <w:r w:rsidR="0042106E" w:rsidRPr="00E06D7F">
        <w:rPr>
          <w:b/>
          <w:i/>
        </w:rPr>
        <w:instrText xml:space="preserve"> ADDIN ZOTERO_ITEM CSL_CITATION {"citationID":"p7i2n2t2v","properties":{"formattedCitation":"{\\rtf (\\b \\i 40\\i0{}\\b0{})}","plainCitation":"(40)"},"citationItems":[{"id":40,"uris":["http://zotero.org/users/1046410/items/QIP8ZXST"],"uri":["http://zotero.org/users/1046410/items/QIP8ZXST"],"itemData":{"id":40,"type":"article-journal","title":"Timely toxicology","container-title":"Environmental health perspectives","page":"A256-258","volume":"107","issue":"5","abstract":"The ToxChip, a DNA microarray chip, allows the monitoring of the expression levels of thousands of different genes at a time, thereby condensing months of painstaking laboratory tasks into a day's work. For toxicology researchers in particular, this tool is important because it promises a more effective way to identify environmental hazards and their effects on DNA. The ToxChip, developed by NIEHS scientists J. Carl Barrett, Cynthia Afshari, and Emile F. Nuwaysir, could transform the way toxicologists approach environmental problems.","note":"PMID: 10210703","journalAbbreviation":"Environ. Health Perspect.","author":[{"family":"Medlin","given":"J F"}],"issued":{"year":1999,"month":5},"accessed":{"year":2012,"month":7,"day":26},"page-first":"A256"}}],"schema":"https://github.com/citation-style-language/schema/raw/master/csl-citation.json"} </w:instrText>
      </w:r>
      <w:r w:rsidR="009A377C" w:rsidRPr="00E06D7F">
        <w:rPr>
          <w:b/>
          <w:i/>
        </w:rPr>
        <w:fldChar w:fldCharType="separate"/>
      </w:r>
      <w:r w:rsidR="007D2E20" w:rsidRPr="00E06D7F">
        <w:rPr>
          <w:b/>
          <w:i/>
        </w:rPr>
        <w:t>(</w:t>
      </w:r>
      <w:r w:rsidR="007D2E20" w:rsidRPr="00E06D7F">
        <w:rPr>
          <w:b/>
          <w:bCs/>
          <w:i/>
          <w:iCs/>
        </w:rPr>
        <w:t>40</w:t>
      </w:r>
      <w:r w:rsidR="007D2E20" w:rsidRPr="00E06D7F">
        <w:rPr>
          <w:b/>
          <w:i/>
        </w:rPr>
        <w:t>)</w:t>
      </w:r>
      <w:r w:rsidR="009A377C" w:rsidRPr="00E06D7F">
        <w:rPr>
          <w:b/>
          <w:i/>
        </w:rPr>
        <w:fldChar w:fldCharType="end"/>
      </w:r>
      <w:r w:rsidR="00226230" w:rsidRPr="00F259A2">
        <w:t>. This array CGH chip technology allowed the screening and classification of toxicants due to their gene expression pattern</w:t>
      </w:r>
      <w:r w:rsidRPr="00F259A2">
        <w:t>,</w:t>
      </w:r>
      <w:r w:rsidR="00226230" w:rsidRPr="00F259A2">
        <w:t xml:space="preserve"> i.e. mechanism of action. Accrued toxicant signatures then permitted the evaluation of unknown compounds by comparison with </w:t>
      </w:r>
      <w:proofErr w:type="spellStart"/>
      <w:r w:rsidR="00226230" w:rsidRPr="00F259A2">
        <w:t>well</w:t>
      </w:r>
      <w:r w:rsidR="00AD5B6B">
        <w:t>--</w:t>
      </w:r>
      <w:r w:rsidR="00226230" w:rsidRPr="00F259A2">
        <w:t>known</w:t>
      </w:r>
      <w:proofErr w:type="spellEnd"/>
      <w:r w:rsidR="00226230" w:rsidRPr="00F259A2">
        <w:t xml:space="preserve"> toxicants.</w:t>
      </w:r>
      <w:r w:rsidR="00184C67" w:rsidRPr="00F259A2">
        <w:t xml:space="preserve"> </w:t>
      </w:r>
      <w:proofErr w:type="spellStart"/>
      <w:r w:rsidR="0066125D" w:rsidRPr="00F259A2">
        <w:t>Heinloth</w:t>
      </w:r>
      <w:proofErr w:type="spellEnd"/>
      <w:r w:rsidR="00184C67" w:rsidRPr="00F259A2">
        <w:t xml:space="preserve"> </w:t>
      </w:r>
      <w:r w:rsidR="008B5C98" w:rsidRPr="008B5C98">
        <w:rPr>
          <w:i/>
        </w:rPr>
        <w:t>et al</w:t>
      </w:r>
      <w:r w:rsidR="0066125D" w:rsidRPr="00F259A2">
        <w:t xml:space="preserve">. </w:t>
      </w:r>
      <w:r w:rsidR="00285AA7" w:rsidRPr="00285AA7">
        <w:rPr>
          <w:b/>
          <w:i/>
        </w:rPr>
        <w:fldChar w:fldCharType="begin"/>
      </w:r>
      <w:r w:rsidR="00285AA7" w:rsidRPr="00285AA7">
        <w:rPr>
          <w:b/>
          <w:i/>
        </w:rPr>
        <w:instrText xml:space="preserve"> ADDIN ZOTERO_ITEM CSL_CITATION {"citationID":"9alcetv6f","properties":{"formattedCitation":"{\\rtf (\\b \\i 41\\i0{}\\b0{})}","plainCitation":"(41)"},"citationItems":[{"id":41,"uris":["http://zotero.org/users/1046410/items/SGSBU2G6"],"uri":["http://zotero.org/users/1046410/items/SGSBU2G6"],"itemData":{"id":41,"type":"article-journal","title":"ATM-dependent and -independent gene expression changes in response to oxidative stress, gamma irradiation, and UV irradiation","container-title":"Radiation research","page":"273-290","volume":"160","issue":"3","abstract":"Ataxia telangiectasia (AT) is an autosomal recessive disorder characterized by progressive cerebellar degeneration, immunodeficiencies, telangiectasias, sensitivity to ionizing radiation, and high predisposition for malignancies. The ataxia telangiectasia mutated (ATM) gene encodes a protein (ATM) with serine/threonine kinase activity. DNA-double strand breaks are known to increase its kinase activity. While cells from individuals with AT are attenuated in their G(1)-, S- and G(2)-phase cell cycle checkpoint functions in response to gamma irradiation and oxidative stress, their response to UV irradiation appears to be equivalent to that of wild-type cells. In this study, we investigated changes in gene expression in response to gamma irradiation, oxidative stress, and UV irradiation, focusing on the dependence on ATM. Doses for all three treatments were selected that resulted in roughly an equivalent induction of a G(1) checkpoint response and inhibition of progression through S phase. To investigate gene expression changes, logarithmically growing wild-type and AT dermal diploid fibroblasts were exposed to either gamma radiation (5 Gy), oxidative stress (75 micro M t-butyl-hydroperoxide), or UV radiation (7.5 J/m(2)), and RNA was harvested 6 h after treatment. Gene expression analysis was performed using the NIEHS Human ToxChip 2.0 with approximately 1900 cDNA clones representing known genes and ESTs. All three treatments resulted in distinct patterns of gene expression changes, as shown previously. ATM-dependent and ATM-independent components were detected within these patterns, as were novel indications of involvement of ATM in regulation of transcription factors such as SP1, AP1 and MTF1.","note":"PMID: 12926986","journalAbbreviation":"Radiat. Res.","author":[{"family":"Heinloth","given":"Alexandra N"},{"family":"Shackelford","given":"Rodney E"},{"family":"Innes","given":"Cynthia L"},{"family":"Bennett","given":"Lee"},{"family":"Li","given":"Leping"},{"family":"Amin","given":"Rupesh P"},{"family":"Sieber","given":"Stella O"},{"family":"Flores","given":"Kristina G"},{"family":"Bushel","given":"Pierre R"},{"family":"Paules","given":"Richard S"}],"issued":{"year":2003,"month":9},"accessed":{"year":2012,"month":7,"day":26},"page-first":"273"}}],"schema":"https://github.com/citation-style-language/schema/raw/master/csl-citation.json"} </w:instrText>
      </w:r>
      <w:r w:rsidR="00285AA7" w:rsidRPr="00285AA7">
        <w:rPr>
          <w:b/>
          <w:i/>
        </w:rPr>
        <w:fldChar w:fldCharType="separate"/>
      </w:r>
      <w:r w:rsidR="00285AA7" w:rsidRPr="00285AA7">
        <w:rPr>
          <w:b/>
          <w:i/>
        </w:rPr>
        <w:t>(</w:t>
      </w:r>
      <w:r w:rsidR="00285AA7" w:rsidRPr="00285AA7">
        <w:rPr>
          <w:b/>
          <w:bCs/>
          <w:i/>
          <w:iCs/>
        </w:rPr>
        <w:t>41</w:t>
      </w:r>
      <w:r w:rsidR="003958BE">
        <w:rPr>
          <w:b/>
          <w:bCs/>
          <w:i/>
          <w:iCs/>
        </w:rPr>
        <w:t>, 42</w:t>
      </w:r>
      <w:r w:rsidR="00285AA7" w:rsidRPr="00285AA7">
        <w:rPr>
          <w:b/>
          <w:i/>
        </w:rPr>
        <w:t>)</w:t>
      </w:r>
      <w:r w:rsidR="00285AA7" w:rsidRPr="00285AA7">
        <w:rPr>
          <w:b/>
          <w:i/>
        </w:rPr>
        <w:fldChar w:fldCharType="end"/>
      </w:r>
      <w:r w:rsidR="00285AA7" w:rsidRPr="00F259A2">
        <w:t xml:space="preserve"> </w:t>
      </w:r>
      <w:r w:rsidR="0066125D" w:rsidRPr="00F259A2">
        <w:t xml:space="preserve">used these chips to assess the effect of 5 </w:t>
      </w:r>
      <w:proofErr w:type="spellStart"/>
      <w:r w:rsidR="0066125D" w:rsidRPr="00F259A2">
        <w:t>Gy</w:t>
      </w:r>
      <w:r w:rsidR="00DA383C" w:rsidRPr="00F259A2">
        <w:t>γ</w:t>
      </w:r>
      <w:proofErr w:type="spellEnd"/>
      <w:r w:rsidR="00AD5B6B">
        <w:t>--</w:t>
      </w:r>
      <w:r w:rsidR="0066125D" w:rsidRPr="00F259A2">
        <w:t>radiation, 7.5 J/m</w:t>
      </w:r>
      <w:r w:rsidR="0066125D" w:rsidRPr="00F259A2">
        <w:rPr>
          <w:vertAlign w:val="superscript"/>
        </w:rPr>
        <w:t>2</w:t>
      </w:r>
      <w:r w:rsidR="0066125D" w:rsidRPr="00F259A2">
        <w:t xml:space="preserve"> UV</w:t>
      </w:r>
      <w:r w:rsidR="0071309A">
        <w:t>--</w:t>
      </w:r>
      <w:r w:rsidR="0066125D" w:rsidRPr="00F259A2">
        <w:t xml:space="preserve">radiation and oxidative stress (75 µM </w:t>
      </w:r>
      <w:proofErr w:type="spellStart"/>
      <w:r w:rsidR="002746CB" w:rsidRPr="00F259A2">
        <w:rPr>
          <w:i/>
        </w:rPr>
        <w:t>tert</w:t>
      </w:r>
      <w:proofErr w:type="spellEnd"/>
      <w:r w:rsidR="00AD5B6B">
        <w:t>--</w:t>
      </w:r>
      <w:r w:rsidR="002746CB" w:rsidRPr="00F259A2">
        <w:t>butyl hydroperoxide</w:t>
      </w:r>
      <w:r w:rsidR="0066125D" w:rsidRPr="00F259A2">
        <w:t xml:space="preserve">) on dermal fibroblasts. The three treatments resulted in distinct patterns, indicating an involvement of ATM in regulation of transcription factors such as SP1, AP1 and MTF1 </w:t>
      </w:r>
      <w:r w:rsidR="009A377C" w:rsidRPr="00740A0A">
        <w:rPr>
          <w:b/>
          <w:i/>
        </w:rPr>
        <w:fldChar w:fldCharType="begin"/>
      </w:r>
      <w:r w:rsidR="0042106E" w:rsidRPr="00740A0A">
        <w:rPr>
          <w:b/>
          <w:i/>
        </w:rPr>
        <w:instrText xml:space="preserve"> ADDIN ZOTERO_ITEM CSL_CITATION {"citationID":"9alcetv6f","properties":{"formattedCitation":"{\\rtf (\\b \\i 41\\i0{}\\b0{})}","plainCitation":"(41)"},"citationItems":[{"id":41,"uris":["http://zotero.org/users/1046410/items/SGSBU2G6"],"uri":["http://zotero.org/users/1046410/items/SGSBU2G6"],"itemData":{"id":41,"type":"article-journal","title":"ATM-dependent and -independent gene expression changes in response to oxidative stress, gamma irradiation, and UV irradiation","container-title":"Radiation research","page":"273-290","volume":"160","issue":"3","abstract":"Ataxia telangiectasia (AT) is an autosomal recessive disorder characterized by progressive cerebellar degeneration, immunodeficiencies, telangiectasias, sensitivity to ionizing radiation, and high predisposition for malignancies. The ataxia telangiectasia mutated (ATM) gene encodes a protein (ATM) with serine/threonine kinase activity. DNA-double strand breaks are known to increase its kinase activity. While cells from individuals with AT are attenuated in their G(1)-, S- and G(2)-phase cell cycle checkpoint functions in response to gamma irradiation and oxidative stress, their response to UV irradiation appears to be equivalent to that of wild-type cells. In this study, we investigated changes in gene expression in response to gamma irradiation, oxidative stress, and UV irradiation, focusing on the dependence on ATM. Doses for all three treatments were selected that resulted in roughly an equivalent induction of a G(1) checkpoint response and inhibition of progression through S phase. To investigate gene expression changes, logarithmically growing wild-type and AT dermal diploid fibroblasts were exposed to either gamma radiation (5 Gy), oxidative stress (75 micro M t-butyl-hydroperoxide), or UV radiation (7.5 J/m(2)), and RNA was harvested 6 h after treatment. Gene expression analysis was performed using the NIEHS Human ToxChip 2.0 with approximately 1900 cDNA clones representing known genes and ESTs. All three treatments resulted in distinct patterns of gene expression changes, as shown previously. ATM-dependent and ATM-independent components were detected within these patterns, as were novel indications of involvement of ATM in regulation of transcription factors such as SP1, AP1 and MTF1.","note":"PMID: 12926986","journalAbbreviation":"Radiat. Res.","author":[{"family":"Heinloth","given":"Alexandra N"},{"family":"Shackelford","given":"Rodney E"},{"family":"Innes","given":"Cynthia L"},{"family":"Bennett","given":"Lee"},{"family":"Li","given":"Leping"},{"family":"Amin","given":"Rupesh P"},{"family":"Sieber","given":"Stella O"},{"family":"Flores","given":"Kristina G"},{"family":"Bushel","given":"Pierre R"},{"family":"Paules","given":"Richard S"}],"issued":{"year":2003,"month":9},"accessed":{"year":2012,"month":7,"day":26},"page-first":"273"}}],"schema":"https://github.com/citation-style-language/schema/raw/master/csl-citation.json"} </w:instrText>
      </w:r>
      <w:r w:rsidR="009A377C" w:rsidRPr="00740A0A">
        <w:rPr>
          <w:b/>
          <w:i/>
        </w:rPr>
        <w:fldChar w:fldCharType="separate"/>
      </w:r>
      <w:r w:rsidR="007D2E20" w:rsidRPr="00740A0A">
        <w:rPr>
          <w:b/>
          <w:i/>
        </w:rPr>
        <w:t>(</w:t>
      </w:r>
      <w:r w:rsidR="007D2E20" w:rsidRPr="00740A0A">
        <w:rPr>
          <w:b/>
          <w:bCs/>
          <w:i/>
          <w:iCs/>
        </w:rPr>
        <w:t>41</w:t>
      </w:r>
      <w:r w:rsidR="007D2E20" w:rsidRPr="00740A0A">
        <w:rPr>
          <w:b/>
          <w:i/>
        </w:rPr>
        <w:t>)</w:t>
      </w:r>
      <w:r w:rsidR="009A377C" w:rsidRPr="00740A0A">
        <w:rPr>
          <w:b/>
          <w:i/>
        </w:rPr>
        <w:fldChar w:fldCharType="end"/>
      </w:r>
      <w:r w:rsidR="00184C67" w:rsidRPr="00F259A2">
        <w:t xml:space="preserve"> </w:t>
      </w:r>
      <w:r w:rsidRPr="00F259A2">
        <w:t>as well as</w:t>
      </w:r>
      <w:r w:rsidR="00184C67" w:rsidRPr="00F259A2">
        <w:t xml:space="preserve"> </w:t>
      </w:r>
      <w:r w:rsidR="0066125D" w:rsidRPr="00F259A2">
        <w:t>cyclin E</w:t>
      </w:r>
      <w:r w:rsidR="00AD5B6B">
        <w:t>--</w:t>
      </w:r>
      <w:r w:rsidR="0066125D" w:rsidRPr="00F259A2">
        <w:t>associated kinase activity reduction</w:t>
      </w:r>
      <w:r w:rsidR="00184C67" w:rsidRPr="00F259A2">
        <w:t xml:space="preserve"> </w:t>
      </w:r>
      <w:r w:rsidR="009A377C" w:rsidRPr="00740A0A">
        <w:rPr>
          <w:b/>
          <w:i/>
        </w:rPr>
        <w:fldChar w:fldCharType="begin"/>
      </w:r>
      <w:r w:rsidR="0042106E" w:rsidRPr="00740A0A">
        <w:rPr>
          <w:b/>
          <w:i/>
        </w:rPr>
        <w:instrText xml:space="preserve"> ADDIN ZOTERO_ITEM CSL_CITATION {"citationID":"2ep092fajg","properties":{"formattedCitation":"{\\rtf (\\b \\i 42\\i0{}\\b0{})}","plainCitation":"(42)"},"citationItems":[{"id":34,"uris":["http://zotero.org/users/1046410/items/CQV8HPC8"],"uri":["http://zotero.org/users/1046410/items/CQV8HPC8"],"itemData":{"id":34,"type":"article-journal","title":"Identification of distinct and common gene expression changes after oxidative stress and gamma and ultraviolet radiation","container-title":"Molecular carcinogenesis","page":"65-82","volume":"37","issue":"2","abstract":"The human genome is exposed to many different kinds of DNA-damaging agents. While most damage is detected and repaired through complex damage recognition and repair machineries, some damage has the potential to escape these mechanisms. Unrepaired DNA damage can give rise to alterations and mutations in the genome in an individual cell, which can result in malignant transformation, especially when critical genes are deregulated. In this study, we investigated gene expression changes in response to oxidative stress, gamma (gamma) radiation, and ultraviolet (UV) radiation and their potential implications in cancer development. Doses were selected for each of the three treatments, based on their ability to cause a similar G(1) checkpoint induction and slow down in early S-phase progression, as reflected by a comparable reduction in cyclin E-associated kinase activity of at least 75% in logarithmically growing human dermal diploid fibroblasts. To investigate gene expression changes, logarithmically growing dermal diploid fibroblasts were exposed to either gamma radiation (5 Gy), oxidative stress (75 microM of tert-butyl hydroperoxide (t-butyl-OOH)), or UV radiation (UVC) (7.5 J/m(2)) and RNA was harvested 6 h after treatment. Gene expression was analyzed using the NIEHS Human ToxChip 2.0 with approximately 1901 cDNA clones representing known genes and expressed sequence tags (ESTs). We were able to identify common and distinct responses in dermal diploid fibroblasts to the three different stimuli used. Within our analysis, gene expression profiles in response to gamma radiation and oxidative stress appeared to be more similar than profiles expressed after UV radiation. Interestingly, equivalent cyclin E-associated kinase activity reduction with all the three treatments was associated with greater transcriptional changes after UV radiation than after gamma radiation and oxidative stress. While samples treated with UV radiation displayed modulations of their mitogen activated protein kinase (MAPK) pathway, gamma radiation had its major influence on cell-cycle progression in S-phase and mitosis. In addition, cell cultures from different individuals displayed significant differences in their gene expression responses to DNA damage.","DOI":"10.1002/mc.10122","note":"PMID: 12766906","journalAbbreviation":"Mol. Carcinog.","author":[{"family":"Heinloth","given":"Alexandra N"},{"family":"Shackelford","given":"Rodney E"},{"family":"Innes","given":"Cynthia L"},{"family":"Bennett","given":"Lee"},{"family":"Li","given":"Leping"},{"family":"Amin","given":"Rupesh P"},{"family":"Sieber","given":"Stella O"},{"family":"Flores","given":"Kristina G"},{"family":"Bushel","given":"Pierre R"},{"family":"Paules","given":"Richard S"}],"issued":{"year":2003,"month":6},"accessed":{"year":2012,"month":7,"day":26},"page-first":"65"}}],"schema":"https://github.com/citation-style-language/schema/raw/master/csl-citation.json"} </w:instrText>
      </w:r>
      <w:r w:rsidR="009A377C" w:rsidRPr="00740A0A">
        <w:rPr>
          <w:b/>
          <w:i/>
        </w:rPr>
        <w:fldChar w:fldCharType="separate"/>
      </w:r>
      <w:r w:rsidR="007D2E20" w:rsidRPr="00740A0A">
        <w:rPr>
          <w:b/>
          <w:i/>
        </w:rPr>
        <w:t>(</w:t>
      </w:r>
      <w:r w:rsidR="007D2E20" w:rsidRPr="00740A0A">
        <w:rPr>
          <w:b/>
          <w:bCs/>
          <w:i/>
          <w:iCs/>
        </w:rPr>
        <w:t>42</w:t>
      </w:r>
      <w:r w:rsidR="007D2E20" w:rsidRPr="00740A0A">
        <w:rPr>
          <w:b/>
          <w:i/>
        </w:rPr>
        <w:t>)</w:t>
      </w:r>
      <w:r w:rsidR="009A377C" w:rsidRPr="00740A0A">
        <w:rPr>
          <w:b/>
          <w:i/>
        </w:rPr>
        <w:fldChar w:fldCharType="end"/>
      </w:r>
      <w:r w:rsidR="00DA383C" w:rsidRPr="00F259A2">
        <w:t>. For a detailed study on multidrug resistance a custom</w:t>
      </w:r>
      <w:r w:rsidR="00AD5B6B">
        <w:t>--</w:t>
      </w:r>
      <w:r w:rsidR="00DA383C" w:rsidRPr="00F259A2">
        <w:t>designed ABC</w:t>
      </w:r>
      <w:r w:rsidR="0071309A" w:rsidRPr="0071309A">
        <w:t>--</w:t>
      </w:r>
      <w:r w:rsidR="00DA383C" w:rsidRPr="00F259A2">
        <w:t xml:space="preserve">Tox microarray was </w:t>
      </w:r>
      <w:r w:rsidRPr="00F259A2">
        <w:t xml:space="preserve">also </w:t>
      </w:r>
      <w:r w:rsidR="00DA383C" w:rsidRPr="00F259A2">
        <w:t>developed to focus</w:t>
      </w:r>
      <w:r w:rsidRPr="00F259A2">
        <w:t xml:space="preserve"> exclusively </w:t>
      </w:r>
      <w:r w:rsidR="00DA383C" w:rsidRPr="00F259A2">
        <w:t>on ABC-</w:t>
      </w:r>
      <w:r w:rsidR="00184C67" w:rsidRPr="00F259A2">
        <w:t>-</w:t>
      </w:r>
      <w:r w:rsidR="00DA383C" w:rsidRPr="00F259A2">
        <w:t xml:space="preserve">transporter </w:t>
      </w:r>
      <w:r w:rsidR="009A377C" w:rsidRPr="005A62F5">
        <w:rPr>
          <w:b/>
          <w:i/>
        </w:rPr>
        <w:fldChar w:fldCharType="begin"/>
      </w:r>
      <w:r w:rsidR="0042106E" w:rsidRPr="005A62F5">
        <w:rPr>
          <w:b/>
          <w:i/>
        </w:rPr>
        <w:instrText xml:space="preserve"> ADDIN ZOTERO_ITEM CSL_CITATION {"citationID":"2e9nkqge8j","properties":{"formattedCitation":"{\\rtf (\\b \\i 43\\i0{}\\b0{})}","plainCitation":"(43)"},"citationItems":[{"id":38,"uris":["http://zotero.org/users/1046410/items/EBPJ397J"],"uri":["http://zotero.org/users/1046410/items/EBPJ397J"],"itemData":{"id":38,"type":"article-journal","title":"Analysis of ATP-binding cassette transporter expression in drug-selected cell lines by a microarray dedicated to multidrug resistance","container-title":"Molecular pharmacology","page":"1397-1405","volume":"66","issue":"6","abstract":"Discovery of the multidrug resistance protein 1 (MDR1), an ATP-binding cassette (ABC) transporter able to transport many anticancer drugs, was a clinically relevant breakthrough in multidrug resistance research. Although the overexpression of ABC transporters such as P-glycoprotein/ABCB1, MRP1/ABCC1, and MXR/ABCG2 seems to be a major cause of failure in the treatment of cancer, acquired resistance to multiple anticancer drugs may also be multifactorial, involving alteration of detoxification processes, apoptosis, DNA repair, drug uptake, and overexpression of other ABC transporters. As a tool for the study of such phenomena, we designed and created a microarray platform, the ABC-ToxChip, to evaluate relative levels of transcriptional activation among genes involved in the various mechanisms of resistance. In the ABC-ToxChip, a comprehensive set of genes important in toxicological responses (represented by 2200 cDNA probes) is complemented with probes specifically matching ABC transporters as well as oligonucleotides representing 18,000 unique human genes. By comparing the transcriptional profiles of KB-3-1 and DU-145 parental cells with resistant derivatives selected in colchicine (KB-8-5), and 9-nitro-camptothecin (RCO.1), respectively, we demonstrate that ABC transporters (ABCB1/MDR1 and ABCC2/MRP2, respectively) show dramatic overexpression, whereas the glutathione S-transferase gene GST-Pi shows the strongest decrease in expression among the 20,000 genes studied. The results were confirmed by quantitative reverse transcription-polymerase chain reaction and immunohistochemistry. The custom-designed ABC-Tox microarray presented here will be helpful to elucidate mechanisms leading to anticancer drug resistance.","DOI":"10.1124/mol.104.005009","note":"PMID: 15342794","journalAbbreviation":"Mol. Pharmacol.","author":[{"family":"Annereau","given":"Jean-Philippe"},{"family":"Szakács","given":"Gergely"},{"family":"Tucker","given":"Charles J"},{"family":"Arciello","given":"Angela"},{"family":"Cardarelli","given":"Carol"},{"family":"Collins","given":"Jennifer"},{"family":"Grissom","given":"Sherry"},{"family":"Zeeberg","given":"Barry R"},{"family":"Reinhold","given":"William"},{"family":"Weinstein","given":"John N"},{"family":"Pommier","given":"Yves"},{"family":"Paules","given":"Richard S"},{"family":"Gottesman","given":"Michael M"}],"issued":{"year":2004,"month":12},"accessed":{"year":2012,"month":7,"day":26},"page-first":"1397"}}],"schema":"https://github.com/citation-style-language/schema/raw/master/csl-citation.json"} </w:instrText>
      </w:r>
      <w:r w:rsidR="009A377C" w:rsidRPr="005A62F5">
        <w:rPr>
          <w:b/>
          <w:i/>
        </w:rPr>
        <w:fldChar w:fldCharType="separate"/>
      </w:r>
      <w:r w:rsidR="007D2E20" w:rsidRPr="005A62F5">
        <w:rPr>
          <w:b/>
          <w:i/>
        </w:rPr>
        <w:t>(</w:t>
      </w:r>
      <w:r w:rsidR="007D2E20" w:rsidRPr="005A62F5">
        <w:rPr>
          <w:b/>
          <w:bCs/>
          <w:i/>
          <w:iCs/>
        </w:rPr>
        <w:t>43</w:t>
      </w:r>
      <w:r w:rsidR="007D2E20" w:rsidRPr="005A62F5">
        <w:rPr>
          <w:b/>
          <w:i/>
        </w:rPr>
        <w:t>)</w:t>
      </w:r>
      <w:r w:rsidR="009A377C" w:rsidRPr="005A62F5">
        <w:rPr>
          <w:b/>
          <w:i/>
        </w:rPr>
        <w:fldChar w:fldCharType="end"/>
      </w:r>
      <w:r w:rsidR="00DA383C" w:rsidRPr="00F259A2">
        <w:t xml:space="preserve">. </w:t>
      </w:r>
    </w:p>
    <w:p w14:paraId="73A251F3" w14:textId="77777777" w:rsidR="003C1EDD" w:rsidRPr="00F259A2" w:rsidRDefault="0049262C" w:rsidP="008A5EE5">
      <w:pPr>
        <w:tabs>
          <w:tab w:val="left" w:pos="-1440"/>
          <w:tab w:val="left" w:pos="-720"/>
        </w:tabs>
        <w:suppressAutoHyphens/>
        <w:spacing w:line="480" w:lineRule="auto"/>
        <w:rPr>
          <w:color w:val="000000"/>
        </w:rPr>
      </w:pPr>
      <w:r w:rsidRPr="00F259A2">
        <w:rPr>
          <w:color w:val="000000"/>
        </w:rPr>
        <w:t>Genistein a major soy isoﬂavone has multiple properties and its impact on breast cancer is still controversially discussed. Therefore, MCF-</w:t>
      </w:r>
      <w:r w:rsidR="00184C67" w:rsidRPr="00F259A2">
        <w:rPr>
          <w:color w:val="000000"/>
        </w:rPr>
        <w:t>-</w:t>
      </w:r>
      <w:r w:rsidRPr="00F259A2">
        <w:rPr>
          <w:color w:val="000000"/>
        </w:rPr>
        <w:t xml:space="preserve">10A cells were treated with genistein for three months and then evaluated using conventional </w:t>
      </w:r>
      <w:r w:rsidR="009537B8" w:rsidRPr="00F259A2">
        <w:rPr>
          <w:color w:val="000000"/>
        </w:rPr>
        <w:t xml:space="preserve">chromosomal </w:t>
      </w:r>
      <w:r w:rsidRPr="00F259A2">
        <w:rPr>
          <w:color w:val="000000"/>
        </w:rPr>
        <w:t xml:space="preserve">CGH </w:t>
      </w:r>
      <w:r w:rsidR="009537B8" w:rsidRPr="00F259A2">
        <w:rPr>
          <w:color w:val="000000"/>
        </w:rPr>
        <w:t xml:space="preserve">and </w:t>
      </w:r>
      <w:r w:rsidRPr="00F259A2">
        <w:rPr>
          <w:color w:val="000000"/>
        </w:rPr>
        <w:t>also high</w:t>
      </w:r>
      <w:r w:rsidR="00184C67" w:rsidRPr="00F259A2">
        <w:rPr>
          <w:color w:val="000000"/>
        </w:rPr>
        <w:t>-</w:t>
      </w:r>
      <w:r w:rsidRPr="00F259A2">
        <w:rPr>
          <w:color w:val="000000"/>
        </w:rPr>
        <w:t>-density oligonucleotide microarray</w:t>
      </w:r>
      <w:r w:rsidR="009537B8" w:rsidRPr="00F259A2">
        <w:rPr>
          <w:color w:val="000000"/>
        </w:rPr>
        <w:t xml:space="preserve"> CGH in</w:t>
      </w:r>
      <w:r w:rsidRPr="00F259A2">
        <w:rPr>
          <w:color w:val="000000"/>
        </w:rPr>
        <w:t xml:space="preserve"> order to</w:t>
      </w:r>
      <w:r w:rsidR="009537B8" w:rsidRPr="00F259A2">
        <w:rPr>
          <w:color w:val="000000"/>
        </w:rPr>
        <w:t xml:space="preserve"> detect </w:t>
      </w:r>
      <w:r w:rsidRPr="00F259A2">
        <w:rPr>
          <w:color w:val="000000"/>
        </w:rPr>
        <w:t>small copy number changes</w:t>
      </w:r>
      <w:r w:rsidR="009537B8" w:rsidRPr="00F259A2">
        <w:rPr>
          <w:color w:val="000000"/>
        </w:rPr>
        <w:t>.</w:t>
      </w:r>
      <w:r w:rsidR="00184C67" w:rsidRPr="00F259A2">
        <w:rPr>
          <w:color w:val="000000"/>
        </w:rPr>
        <w:t xml:space="preserve"> </w:t>
      </w:r>
      <w:r w:rsidR="009537B8" w:rsidRPr="00F259A2">
        <w:rPr>
          <w:color w:val="000000"/>
        </w:rPr>
        <w:t>A characteristic d</w:t>
      </w:r>
      <w:r w:rsidR="001904ED" w:rsidRPr="00F259A2">
        <w:rPr>
          <w:color w:val="000000"/>
        </w:rPr>
        <w:t xml:space="preserve">eletion </w:t>
      </w:r>
      <w:r w:rsidR="009537B8" w:rsidRPr="00F259A2">
        <w:rPr>
          <w:color w:val="000000"/>
        </w:rPr>
        <w:t>o</w:t>
      </w:r>
      <w:r w:rsidR="001904ED" w:rsidRPr="00F259A2">
        <w:rPr>
          <w:color w:val="000000"/>
        </w:rPr>
        <w:t>n 9p21</w:t>
      </w:r>
      <w:r w:rsidR="009537B8" w:rsidRPr="00F259A2">
        <w:rPr>
          <w:color w:val="000000"/>
        </w:rPr>
        <w:t xml:space="preserve"> was found. In general, </w:t>
      </w:r>
      <w:r w:rsidR="001904ED" w:rsidRPr="00F259A2">
        <w:rPr>
          <w:color w:val="000000"/>
        </w:rPr>
        <w:t>long</w:t>
      </w:r>
      <w:r w:rsidR="00184C67" w:rsidRPr="00F259A2">
        <w:rPr>
          <w:color w:val="000000"/>
        </w:rPr>
        <w:t>-</w:t>
      </w:r>
      <w:r w:rsidR="001904ED" w:rsidRPr="00F259A2">
        <w:rPr>
          <w:color w:val="000000"/>
        </w:rPr>
        <w:t xml:space="preserve">-term exposure might increase chromosomal imbalance </w:t>
      </w:r>
      <w:r w:rsidR="009A377C" w:rsidRPr="006B5CA7">
        <w:rPr>
          <w:b/>
          <w:i/>
          <w:color w:val="000000"/>
        </w:rPr>
        <w:fldChar w:fldCharType="begin"/>
      </w:r>
      <w:r w:rsidR="0042106E" w:rsidRPr="006B5CA7">
        <w:rPr>
          <w:b/>
          <w:i/>
          <w:color w:val="000000"/>
        </w:rPr>
        <w:instrText xml:space="preserve"> ADDIN ZOTERO_ITEM CSL_CITATION {"citationID":"l4genvbaa","properties":{"formattedCitation":"{\\rtf (\\b \\i 17\\i0{}\\b0{})}","plainCitation":"(17)"},"citationItems":[{"id":287,"uris":["http://zotero.org/users/1046410/items/7IE9227M"],"uri":["http://zotero.org/users/1046410/items/7IE9227M"],"itemData":{"id":287,"type":"article-journal","title":"Continuous in vitro exposure to low-dose genistein induces genomic instability in breast epithelial cells","container-title":"Cancer genetics and cytogenetics","page":"78-84","volume":"186","issue":"2","abstract":"Genistein is a major soy isoflavone with multiple properties. The impact of soy genistein on breast cancer is controversial. One of the issues is whether soy genistein has a genotoxic effect at physiological concentrations. To address this question using an in vitro model, we first established MCF-10A/G0 and MCF-10A/G1 cell lines, which were MCF-10A cells exposed to 0.01% dimethyl sulfoxide (as vehicle control), i.e., MCF-10A/G0, or 1 micromol/L of genistein for 3 months, MCF-10A/G1, respectively. Chromosomal changes were compared between the two cell lines by routine G-banded chromosome analyses and both regular and array-based comparative genomic hybridization. After 3 months of exposure to genistein, the cell line MCF-10A/G1 showed loss of a normal chromosome 8 and gain of an extra chromosome 20, as well as loss of a chromosomal segment on the short arm of chromosome 9, leading to a homozygous deletion of the tumor suppressor genes CDKN2A (alias p16(INK4a)) and CDKN2B (alias p15(INK4b)). Our results suggest that long-term, low-concentration exposure to genistein may have the potential to induce chromosomal imbalances. These genotoxic effects may work in concert with other factors to induce genetic lesions that contribute to soy- and genistein-associated risk.","DOI":"10.1016/j.cancergencyto.2008.06.010","note":"PMID: 18940470","journalAbbreviation":"Cancer Genet. Cytogenet.","author":[{"family":"Kim","given":"Young Mi"},{"family":"Yang","given":"Shihe"},{"family":"Xu","given":"Weihong"},{"family":"Li","given":"Shibo"},{"family":"Yang","given":"Xiaohe"}],"issued":{"year":2008,"month":10,"day":15},"accessed":{"year":2012,"month":7,"day":6},"page-first":"78"}}],"schema":"https://github.com/citation-style-language/schema/raw/master/csl-citation.json"} </w:instrText>
      </w:r>
      <w:r w:rsidR="009A377C" w:rsidRPr="006B5CA7">
        <w:rPr>
          <w:b/>
          <w:i/>
          <w:color w:val="000000"/>
        </w:rPr>
        <w:fldChar w:fldCharType="separate"/>
      </w:r>
      <w:r w:rsidR="007D2E20" w:rsidRPr="006B5CA7">
        <w:rPr>
          <w:b/>
          <w:i/>
        </w:rPr>
        <w:t>(</w:t>
      </w:r>
      <w:r w:rsidR="007D2E20" w:rsidRPr="006B5CA7">
        <w:rPr>
          <w:b/>
          <w:bCs/>
          <w:i/>
          <w:iCs/>
        </w:rPr>
        <w:t>17</w:t>
      </w:r>
      <w:r w:rsidR="007D2E20" w:rsidRPr="006B5CA7">
        <w:rPr>
          <w:b/>
          <w:i/>
        </w:rPr>
        <w:t>)</w:t>
      </w:r>
      <w:r w:rsidR="009A377C" w:rsidRPr="006B5CA7">
        <w:rPr>
          <w:b/>
          <w:i/>
          <w:color w:val="000000"/>
        </w:rPr>
        <w:fldChar w:fldCharType="end"/>
      </w:r>
      <w:r w:rsidRPr="00F259A2">
        <w:rPr>
          <w:color w:val="000000"/>
        </w:rPr>
        <w:t xml:space="preserve">. </w:t>
      </w:r>
      <w:proofErr w:type="spellStart"/>
      <w:r w:rsidR="005B5C88" w:rsidRPr="00F259A2">
        <w:rPr>
          <w:color w:val="000000"/>
        </w:rPr>
        <w:t>Castagnola</w:t>
      </w:r>
      <w:proofErr w:type="spellEnd"/>
      <w:r w:rsidR="00184C67" w:rsidRPr="00F259A2">
        <w:rPr>
          <w:color w:val="000000"/>
        </w:rPr>
        <w:t xml:space="preserve"> </w:t>
      </w:r>
      <w:r w:rsidR="008B5C98" w:rsidRPr="008B5C98">
        <w:rPr>
          <w:i/>
          <w:color w:val="000000"/>
        </w:rPr>
        <w:t>et al</w:t>
      </w:r>
      <w:r w:rsidR="009537B8" w:rsidRPr="00F259A2">
        <w:rPr>
          <w:color w:val="000000"/>
        </w:rPr>
        <w:t>.</w:t>
      </w:r>
      <w:r w:rsidR="005B5C88" w:rsidRPr="00F259A2">
        <w:rPr>
          <w:color w:val="000000"/>
        </w:rPr>
        <w:t xml:space="preserve"> </w:t>
      </w:r>
      <w:r w:rsidR="002D3315" w:rsidRPr="002D3315">
        <w:rPr>
          <w:b/>
          <w:i/>
          <w:color w:val="000000"/>
        </w:rPr>
        <w:fldChar w:fldCharType="begin"/>
      </w:r>
      <w:r w:rsidR="002D3315" w:rsidRPr="002D3315">
        <w:rPr>
          <w:b/>
          <w:i/>
          <w:color w:val="000000"/>
        </w:rPr>
        <w:instrText xml:space="preserve"> ADDIN ZOTERO_ITEM CSL_CITATION {"citationID":"e219vfkvn","properties":{"formattedCitation":"{\\rtf (\\b \\i 44\\i0{}\\b0{})}","plainCitation":"(44)"},"citationItems":[{"id":297,"uris":["http://zotero.org/users/1046410/items/SF633VFD"],"uri":["http://zotero.org/users/1046410/items/SF633VFD"],"itemData":{"id":297,"type":"article-journal","title":"Chromosomal aberrations and aneuploidy in oral potentially malignant lesions: distinctive features for tongue","container-title":"BMC cancer","page":"445","volume":"11","abstract":"BACKGROUND\n\nThe mucosae of the oral cavity are different at the histological level but appear all equally exposed to common genotoxic agents. As a result of this exposure, changes in the mucosal epithelia may develop giving rise to Oral Potentially Malignant Lesions (OPMLs), which with time may in turn progress to Oral Squamous Cell Carcinomas (OSCCs). Therefore, much effort should be devoted to identify features able to predict the likeliness of progression associated with an OPML. Such features may be helpful in assisting the clinician to establish both appropriate therapies and follow-up schedules. Here, we report a pilot study that compared the occurrence of DNA aneuploidy and chromosomal copy number aberrations (CNAs) in the OPMLs from different oral anatomical subsites.\n\n\nMETHODS\n\nSamples from histologically diagnosed OPMLs were processed for high resolution DNA flow cytometry (hr DNA-FCM) in order to determine the relative DNA content expressed by the DNA index (DI). Additionally, array-Comparative Genomic Hybridization (a-CGH) analysis was performed on DNA obtained from diploid nuclei suspensions directly. When aneuploid nuclei were detected, these were physically separated from diploid nuclei on the base of their DI values by means of a DNA-FCM-Sorter in order to improve the a-CGH analysis.\n\n\nRESULTS\n\nTongue OPMLs were more frequently associated with DNA aneuploidy and CNAs than OPMLs arising from all the other mucosal subsites.\n\n\nCONCLUSIONS\n\nWe suggest that the follow-up and the management of the patients with tongue OPMLs should receive a distinctive special attention. Clearly, this hypothesis should be validated in a prospective clinical study.","DOI":"10.1186/1471-2407-11-445","note":"PMID: 21995418","shortTitle":"Chromosomal aberrations and aneuploidy in oral potentially malignant lesions","journalAbbreviation":"BMC Cancer","author":[{"family":"Castagnola","given":"Patrizio"},{"family":"Malacarne","given":"Davide"},{"family":"Scaruffi","given":"Paola"},{"family":"Maffei","given":"Massimo"},{"family":"Donadini","given":"Alessandra"},{"family":"Di Nallo","given":"Emanuela"},{"family":"Coco","given":"Simona"},{"family":"Tonini","given":"Gian Paolo"},{"family":"Pentenero","given":"Monica"},{"family":"Gandolfo","given":"Sergio"},{"family":"Giaretti","given":"Walter"}],"issued":{"year":2011},"accessed":{"year":2012,"month":7,"day":6},"page-first":"445"}}],"schema":"https://github.com/citation-style-language/schema/raw/master/csl-citation.json"} </w:instrText>
      </w:r>
      <w:r w:rsidR="002D3315" w:rsidRPr="002D3315">
        <w:rPr>
          <w:b/>
          <w:i/>
          <w:color w:val="000000"/>
        </w:rPr>
        <w:fldChar w:fldCharType="separate"/>
      </w:r>
      <w:r w:rsidR="002D3315" w:rsidRPr="002D3315">
        <w:rPr>
          <w:b/>
          <w:i/>
        </w:rPr>
        <w:t>(</w:t>
      </w:r>
      <w:r w:rsidR="002D3315" w:rsidRPr="002D3315">
        <w:rPr>
          <w:b/>
          <w:bCs/>
          <w:i/>
          <w:iCs/>
        </w:rPr>
        <w:t>44</w:t>
      </w:r>
      <w:r w:rsidR="002D3315" w:rsidRPr="002D3315">
        <w:rPr>
          <w:b/>
          <w:i/>
        </w:rPr>
        <w:t>)</w:t>
      </w:r>
      <w:r w:rsidR="002D3315" w:rsidRPr="002D3315">
        <w:rPr>
          <w:b/>
          <w:i/>
          <w:color w:val="000000"/>
        </w:rPr>
        <w:fldChar w:fldCharType="end"/>
      </w:r>
      <w:r w:rsidR="002D3315">
        <w:rPr>
          <w:color w:val="000000"/>
        </w:rPr>
        <w:t xml:space="preserve"> </w:t>
      </w:r>
      <w:r w:rsidR="005B5C88" w:rsidRPr="00F259A2">
        <w:rPr>
          <w:color w:val="000000"/>
        </w:rPr>
        <w:t xml:space="preserve">focussed on oral potentially malignant lesions of the mucosal epithelium with regard to cigarette smoke and alcohol consumption. A human oligonucleotide array showed significant copy number aberrations in the genome of these cells highlighting the potential transformation risk towards carcinoma </w:t>
      </w:r>
      <w:r w:rsidR="009A377C" w:rsidRPr="00DF2D2E">
        <w:rPr>
          <w:b/>
          <w:i/>
          <w:color w:val="000000"/>
        </w:rPr>
        <w:fldChar w:fldCharType="begin"/>
      </w:r>
      <w:r w:rsidR="0042106E" w:rsidRPr="00DF2D2E">
        <w:rPr>
          <w:b/>
          <w:i/>
          <w:color w:val="000000"/>
        </w:rPr>
        <w:instrText xml:space="preserve"> ADDIN ZOTERO_ITEM CSL_CITATION {"citationID":"e219vfkvn","properties":{"formattedCitation":"{\\rtf (\\b \\i 44\\i0{}\\b0{})}","plainCitation":"(44)"},"citationItems":[{"id":297,"uris":["http://zotero.org/users/1046410/items/SF633VFD"],"uri":["http://zotero.org/users/1046410/items/SF633VFD"],"itemData":{"id":297,"type":"article-journal","title":"Chromosomal aberrations and aneuploidy in oral potentially malignant lesions: distinctive features for tongue","container-title":"BMC cancer","page":"445","volume":"11","abstract":"BACKGROUND\n\nThe mucosae of the oral cavity are different at the histological level but appear all equally exposed to common genotoxic agents. As a result of this exposure, changes in the mucosal epithelia may develop giving rise to Oral Potentially Malignant Lesions (OPMLs), which with time may in turn progress to Oral Squamous Cell Carcinomas (OSCCs). Therefore, much effort should be devoted to identify features able to predict the likeliness of progression associated with an OPML. Such features may be helpful in assisting the clinician to establish both appropriate therapies and follow-up schedules. Here, we report a pilot study that compared the occurrence of DNA aneuploidy and chromosomal copy number aberrations (CNAs) in the OPMLs from different oral anatomical subsites.\n\n\nMETHODS\n\nSamples from histologically diagnosed OPMLs were processed for high resolution DNA flow cytometry (hr DNA-FCM) in order to determine the relative DNA content expressed by the DNA index (DI). Additionally, array-Comparative Genomic Hybridization (a-CGH) analysis was performed on DNA obtained from diploid nuclei suspensions directly. When aneuploid nuclei were detected, these were physically separated from diploid nuclei on the base of their DI values by means of a DNA-FCM-Sorter in order to improve the a-CGH analysis.\n\n\nRESULTS\n\nTongue OPMLs were more frequently associated with DNA aneuploidy and CNAs than OPMLs arising from all the other mucosal subsites.\n\n\nCONCLUSIONS\n\nWe suggest that the follow-up and the management of the patients with tongue OPMLs should receive a distinctive special attention. Clearly, this hypothesis should be validated in a prospective clinical study.","DOI":"10.1186/1471-2407-11-445","note":"PMID: 21995418","shortTitle":"Chromosomal aberrations and aneuploidy in oral potentially malignant lesions","journalAbbreviation":"BMC Cancer","author":[{"family":"Castagnola","given":"Patrizio"},{"family":"Malacarne","given":"Davide"},{"family":"Scaruffi","given":"Paola"},{"family":"Maffei","given":"Massimo"},{"family":"Donadini","given":"Alessandra"},{"family":"Di Nallo","given":"Emanuela"},{"family":"Coco","given":"Simona"},{"family":"Tonini","given":"Gian Paolo"},{"family":"Pentenero","given":"Monica"},{"family":"Gandolfo","given":"Sergio"},{"family":"Giaretti","given":"Walter"}],"issued":{"year":2011},"accessed":{"year":2012,"month":7,"day":6},"page-first":"445"}}],"schema":"https://github.com/citation-style-language/schema/raw/master/csl-citation.json"} </w:instrText>
      </w:r>
      <w:r w:rsidR="009A377C" w:rsidRPr="00DF2D2E">
        <w:rPr>
          <w:b/>
          <w:i/>
          <w:color w:val="000000"/>
        </w:rPr>
        <w:fldChar w:fldCharType="separate"/>
      </w:r>
      <w:r w:rsidR="007D2E20" w:rsidRPr="00DF2D2E">
        <w:rPr>
          <w:b/>
          <w:i/>
        </w:rPr>
        <w:t>(</w:t>
      </w:r>
      <w:r w:rsidR="007D2E20" w:rsidRPr="00DF2D2E">
        <w:rPr>
          <w:b/>
          <w:bCs/>
          <w:i/>
          <w:iCs/>
        </w:rPr>
        <w:t>44</w:t>
      </w:r>
      <w:r w:rsidR="007D2E20" w:rsidRPr="00DF2D2E">
        <w:rPr>
          <w:b/>
          <w:i/>
        </w:rPr>
        <w:t>)</w:t>
      </w:r>
      <w:r w:rsidR="009A377C" w:rsidRPr="00DF2D2E">
        <w:rPr>
          <w:b/>
          <w:i/>
          <w:color w:val="000000"/>
        </w:rPr>
        <w:fldChar w:fldCharType="end"/>
      </w:r>
      <w:r w:rsidR="005B5C88" w:rsidRPr="00F259A2">
        <w:rPr>
          <w:color w:val="000000"/>
        </w:rPr>
        <w:t>.</w:t>
      </w:r>
      <w:r w:rsidR="002D496D">
        <w:rPr>
          <w:color w:val="000000"/>
        </w:rPr>
        <w:t xml:space="preserve"> </w:t>
      </w:r>
      <w:r w:rsidR="00217A65" w:rsidRPr="00F259A2">
        <w:rPr>
          <w:color w:val="000000"/>
        </w:rPr>
        <w:t>Young Gprc5a-</w:t>
      </w:r>
      <w:r w:rsidR="00184C67" w:rsidRPr="00F259A2">
        <w:rPr>
          <w:color w:val="000000"/>
        </w:rPr>
        <w:t>-</w:t>
      </w:r>
      <w:r w:rsidR="00217A65" w:rsidRPr="00F259A2">
        <w:rPr>
          <w:color w:val="000000"/>
        </w:rPr>
        <w:t xml:space="preserve">KO mice were treated with the tobacco carcinogen </w:t>
      </w:r>
      <w:r w:rsidR="009537B8" w:rsidRPr="00F259A2">
        <w:rPr>
          <w:color w:val="000000"/>
        </w:rPr>
        <w:t xml:space="preserve">NNK </w:t>
      </w:r>
      <w:r w:rsidR="00217A65" w:rsidRPr="00F259A2">
        <w:rPr>
          <w:color w:val="000000"/>
        </w:rPr>
        <w:t>and it was found that lung tumourigenesis was augmented by NNK in this mouse model. Microarray analysis revealed that gene expression changes induced by tobacco carcinogen(s) may be conserved between mouse and human lung epithelial cells</w:t>
      </w:r>
      <w:r w:rsidR="00217A65" w:rsidRPr="002D496D">
        <w:rPr>
          <w:b/>
          <w:i/>
          <w:color w:val="000000"/>
        </w:rPr>
        <w:t xml:space="preserve"> </w:t>
      </w:r>
      <w:r w:rsidR="009A377C" w:rsidRPr="002D496D">
        <w:rPr>
          <w:b/>
          <w:i/>
          <w:color w:val="000000"/>
        </w:rPr>
        <w:fldChar w:fldCharType="begin"/>
      </w:r>
      <w:r w:rsidR="0042106E" w:rsidRPr="002D496D">
        <w:rPr>
          <w:b/>
          <w:i/>
          <w:color w:val="000000"/>
        </w:rPr>
        <w:instrText xml:space="preserve"> ADDIN ZOTERO_ITEM CSL_CITATION {"citationID":"25b0k0bafb","properties":{"formattedCitation":"{\\rtf (\\b \\i 45\\i0{}\\b0{})}","plainCitation":"(45)"},"citationItems":[{"id":293,"uris":["http://zotero.org/users/1046410/items/2IHF4WXT"],"uri":["http://zotero.org/users/1046410/items/2IHF4WXT"],"itemData":{"id":293,"type":"article-journal","title":"Comparative functional genomics analysis of NNK tobacco-carcinogen induced lung adenocarcinoma development in Gprc5a-knockout mice","container-title":"PloS one","page":"e11847","volume":"5","issue":"7","abstract":"BACKGROUND\n\nImproved understanding of lung cancer development and progression, including insights from studies of animal models, are needed to combat this fatal disease. Previously, we found that mice with a knockout (KO) of G-protein coupled receptor 5A (Gprc5a) develop lung tumors after a long latent period (12 to 24 months).\n\n\nMETHODOLOGY/PRINCIPAL FINDINGS\n\nTo determine whether a tobacco carcinogen will enhance tumorigenesis in this model, we administered 4-(methylnitrosamino)-1-(3-pyridyl)-1-butanone (NNK) i.p. to 2-months old Gprc5a-KO mice and sacrificed groups (n=5) of mice at 6, 9, 12, and 18 months later. Compared to control Gprc5a-KO mice, NNK-treated mice developed lung tumors at least 6 months earlier, exhibited 2- to 4-fold increased tumor incidence and multiplicity, and showed a dramatic increase in lesion size. A gene expression signature, NNK-ADC, of differentially expressed genes derived by transcriptome analysis of epithelial cell lines from normal lungs of Gprc5a-KO mice and from NNK-induced adenocarcinoma was highly similar to differential expression patterns observed between normal and tumorigenic human lung cells. The NNK-ADC expression signature also separated both mouse and human adenocarcinomas from adjacent normal lung tissues based on publicly available microarray datasets. A key feature of the signature, up-regulation of Ube2c, Mcm2, and Fen1, was validated in mouse normal lung and adenocarcinoma tissues and cells by immunohistochemistry and western blotting, respectively.\n\n\nCONCLUSIONS/SIGNIFICANCE\n\nOur findings demonstrate that lung tumorigenesis in the Gprc5a-KO mouse model is augmented by NNK and that gene expression changes induced by tobacco carcinogen(s) may be conserved between mouse and human lung epithelial cells. Further experimentation to prove the reliability of the Gprc5a knockout mouse model for the study of tobacco-induced lung carcinogenesis is warranted.","DOI":"10.1371/journal.pone.0011847","note":"PMID: 20686609","journalAbbreviation":"PLoS ONE","author":[{"family":"Fujimoto","given":"Junya"},{"family":"Kadara","given":"Humam"},{"family":"Men","given":"Taoyan"},{"family":"van Pelt","given":"Carolyn"},{"family":"Lotan","given":"Dafna"},{"family":"Lotan","given":"Reuben"}],"issued":{"year":2010},"accessed":{"year":2012,"month":7,"day":6},"page-first":"e11847"}}],"schema":"https://github.com/citation-style-language/schema/raw/master/csl-citation.json"} </w:instrText>
      </w:r>
      <w:r w:rsidR="009A377C" w:rsidRPr="002D496D">
        <w:rPr>
          <w:b/>
          <w:i/>
          <w:color w:val="000000"/>
        </w:rPr>
        <w:fldChar w:fldCharType="separate"/>
      </w:r>
      <w:r w:rsidR="007D2E20" w:rsidRPr="002D496D">
        <w:rPr>
          <w:b/>
          <w:i/>
        </w:rPr>
        <w:t>(</w:t>
      </w:r>
      <w:r w:rsidR="007D2E20" w:rsidRPr="002D496D">
        <w:rPr>
          <w:b/>
          <w:bCs/>
          <w:i/>
          <w:iCs/>
        </w:rPr>
        <w:t>45</w:t>
      </w:r>
      <w:r w:rsidR="007D2E20" w:rsidRPr="002D496D">
        <w:rPr>
          <w:b/>
          <w:i/>
        </w:rPr>
        <w:t>)</w:t>
      </w:r>
      <w:r w:rsidR="009A377C" w:rsidRPr="002D496D">
        <w:rPr>
          <w:b/>
          <w:i/>
          <w:color w:val="000000"/>
        </w:rPr>
        <w:fldChar w:fldCharType="end"/>
      </w:r>
      <w:r w:rsidR="00217A65" w:rsidRPr="00F259A2">
        <w:rPr>
          <w:color w:val="000000"/>
        </w:rPr>
        <w:t xml:space="preserve">. </w:t>
      </w:r>
      <w:r w:rsidR="00177056" w:rsidRPr="00F259A2">
        <w:rPr>
          <w:color w:val="000000"/>
        </w:rPr>
        <w:t xml:space="preserve">In an extensive study, another group </w:t>
      </w:r>
      <w:r w:rsidR="00177056" w:rsidRPr="00F259A2">
        <w:rPr>
          <w:color w:val="000000"/>
        </w:rPr>
        <w:lastRenderedPageBreak/>
        <w:t>looked at the impact hepato</w:t>
      </w:r>
      <w:r w:rsidR="00177056" w:rsidRPr="00F259A2">
        <w:rPr>
          <w:color w:val="000000"/>
        </w:rPr>
        <w:softHyphen/>
        <w:t xml:space="preserve">carcinogens like the mycotoxin aflatoxin </w:t>
      </w:r>
      <w:r w:rsidR="00F042ED" w:rsidRPr="00F259A2">
        <w:rPr>
          <w:color w:val="000000"/>
        </w:rPr>
        <w:t xml:space="preserve">as well as </w:t>
      </w:r>
      <w:proofErr w:type="spellStart"/>
      <w:r w:rsidR="00177056" w:rsidRPr="00F259A2">
        <w:rPr>
          <w:color w:val="000000"/>
        </w:rPr>
        <w:t>non</w:t>
      </w:r>
      <w:r w:rsidR="00AD5B6B">
        <w:rPr>
          <w:color w:val="000000"/>
        </w:rPr>
        <w:t>--</w:t>
      </w:r>
      <w:r w:rsidR="00177056" w:rsidRPr="00F259A2">
        <w:rPr>
          <w:color w:val="000000"/>
        </w:rPr>
        <w:t>hepato</w:t>
      </w:r>
      <w:r w:rsidR="00177056" w:rsidRPr="00F259A2">
        <w:rPr>
          <w:color w:val="000000"/>
        </w:rPr>
        <w:softHyphen/>
        <w:t>carcinogens</w:t>
      </w:r>
      <w:proofErr w:type="spellEnd"/>
      <w:r w:rsidR="00177056" w:rsidRPr="00F259A2">
        <w:rPr>
          <w:color w:val="000000"/>
        </w:rPr>
        <w:t xml:space="preserve"> on F344/N rat liver cells over a 2 year period. Gene expression patterns revealed </w:t>
      </w:r>
      <w:r w:rsidR="00F042ED" w:rsidRPr="00F259A2">
        <w:rPr>
          <w:color w:val="000000"/>
        </w:rPr>
        <w:t>that</w:t>
      </w:r>
      <w:r w:rsidR="00184C67" w:rsidRPr="00F259A2">
        <w:rPr>
          <w:color w:val="000000"/>
        </w:rPr>
        <w:t xml:space="preserve"> </w:t>
      </w:r>
      <w:r w:rsidR="00F042ED" w:rsidRPr="00F259A2">
        <w:rPr>
          <w:color w:val="000000"/>
        </w:rPr>
        <w:t xml:space="preserve">the </w:t>
      </w:r>
      <w:r w:rsidR="00177056" w:rsidRPr="00F259A2">
        <w:rPr>
          <w:color w:val="000000"/>
        </w:rPr>
        <w:t xml:space="preserve">formerly untested compounds myristicin and </w:t>
      </w:r>
      <w:proofErr w:type="spellStart"/>
      <w:r w:rsidR="00E7142D" w:rsidRPr="00F259A2">
        <w:rPr>
          <w:color w:val="000000"/>
        </w:rPr>
        <w:t>isosafrole</w:t>
      </w:r>
      <w:r w:rsidR="00F042ED" w:rsidRPr="00F259A2">
        <w:rPr>
          <w:color w:val="000000"/>
        </w:rPr>
        <w:t>may</w:t>
      </w:r>
      <w:proofErr w:type="spellEnd"/>
      <w:r w:rsidR="00F042ED" w:rsidRPr="00F259A2">
        <w:rPr>
          <w:color w:val="000000"/>
        </w:rPr>
        <w:t xml:space="preserve"> act </w:t>
      </w:r>
      <w:r w:rsidR="00D500DA" w:rsidRPr="00F259A2">
        <w:rPr>
          <w:color w:val="000000"/>
        </w:rPr>
        <w:t xml:space="preserve">in an </w:t>
      </w:r>
      <w:r w:rsidR="00177056" w:rsidRPr="00F259A2">
        <w:rPr>
          <w:color w:val="000000"/>
        </w:rPr>
        <w:t>hepatocarcinogenic</w:t>
      </w:r>
      <w:r w:rsidR="00D500DA" w:rsidRPr="00F259A2">
        <w:rPr>
          <w:color w:val="000000"/>
        </w:rPr>
        <w:t xml:space="preserve"> manner</w:t>
      </w:r>
      <w:r w:rsidR="00984B80" w:rsidRPr="00F259A2">
        <w:rPr>
          <w:color w:val="000000"/>
        </w:rPr>
        <w:t xml:space="preserve"> </w:t>
      </w:r>
      <w:r w:rsidR="009A377C" w:rsidRPr="00880BEA">
        <w:rPr>
          <w:b/>
          <w:i/>
          <w:color w:val="000000"/>
        </w:rPr>
        <w:fldChar w:fldCharType="begin"/>
      </w:r>
      <w:r w:rsidR="0042106E" w:rsidRPr="00880BEA">
        <w:rPr>
          <w:b/>
          <w:i/>
          <w:color w:val="000000"/>
        </w:rPr>
        <w:instrText xml:space="preserve"> ADDIN ZOTERO_ITEM CSL_CITATION {"citationID":"l2g5f865u","properties":{"formattedCitation":"{\\rtf (\\b \\i 46\\i0{}\\b0{})}","plainCitation":"(46)"},"citationItems":[{"id":260,"uris":["http://zotero.org/users/1046410/items/NKJVF55K"],"uri":["http://zotero.org/users/1046410/items/NKJVF55K"],"itemData":{"id":260,"type":"article-journal","title":"Predicting the hepatocarcinogenic potential of alkenylbenzene flavoring agents using toxicogenomics and machine learning","container-title":"Toxicology and applied pharmacology","page":"300-314","volume":"243","issue":"3","abstract":"Identification of carcinogenic activity is the primary goal of the 2-year bioassay. The expense of these studies limits the number of chemicals that can be studied and therefore chemicals need to be prioritized based on a variety of parameters. We have developed an ensemble of support vector machine classification models based on male F344 rat liver gene expression following 2, 14 or 90 days of exposure to a collection of hepatocarcinogens (aflatoxin B1, 1-amino-2,4-dibromoanthraquinone, N-nitrosodimethylamine, methyleugenol) and non-hepatocarcinogens (acetaminophen, ascorbic acid, tryptophan). Seven models were generated based on individual exposure durations (2, 14 or 90 days) or a combination of exposures (2+14, 2+90, 14+90 and 2+14+90 days). All sets of data, with the exception of one yielded models with 0% cross-validation error. Independent validation of the models was performed using expression data from the liver of rats exposed at 2 dose levels to a collection of alkenylbenzene flavoring agents. Depending on the model used and the exposure duration of the test data, independent validation error rates ranged from 47% to 10%. The variable with the most notable effect on independent validation accuracy was exposure duration of the alkenylbenzene test data. All models generally exhibited improved performance as the exposure duration of the alkenylbenzene data increased. The models differentiated between hepatocarcinogenic (estragole and safrole) and non-hepatocarcinogenic (anethole, eugenol and isoeugenol) alkenylbenzenes previously studied in a carcinogenicity bioassay. In the case of safrole the models correctly differentiated between carcinogenic and non-carcinogenic dose levels. The models predict that two alkenylbenzenes not previously assessed in a carcinogenicity bioassay, myristicin and isosafrole, would be weakly hepatocarcinogenic if studied at a dose level of 2 mmol/kg bw/day for 2 years in male F344 rats; therefore suggesting that these chemicals should be a higher priority relative to other untested alkenylbenzenes for evaluation in the carcinogenicity bioassay. The results of the study indicate that gene expression-based predictive models are an effective tool for identifying hepatocarcinogens. Furthermore, we find that exposure duration is a critical variable in the success or failure of such an approach, particularly when evaluating chemicals with unknown carcinogenic potency.","DOI":"10.1016/j.taap.2009.11.021","note":"PMID: 20004213","journalAbbreviation":"Toxicol. Appl. Pharmacol.","author":[{"family":"Auerbach","given":"Scott S"},{"family":"Shah","given":"Ruchir R"},{"family":"Mav","given":"Deepak"},{"family":"Smith","given":"Cynthia S"},{"family":"Walker","given":"Nigel J"},{"family":"Vallant","given":"Molly K"},{"family":"Boorman","given":"Gary A"},{"family":"Irwin","given":"Richard D"}],"issued":{"year":2010,"month":3,"day":15},"accessed":{"year":2012,"month":6,"day":29},"page-first":"300"}}],"schema":"https://github.com/citation-style-language/schema/raw/master/csl-citation.json"} </w:instrText>
      </w:r>
      <w:r w:rsidR="009A377C" w:rsidRPr="00880BEA">
        <w:rPr>
          <w:b/>
          <w:i/>
          <w:color w:val="000000"/>
        </w:rPr>
        <w:fldChar w:fldCharType="separate"/>
      </w:r>
      <w:r w:rsidR="007D2E20" w:rsidRPr="00880BEA">
        <w:rPr>
          <w:b/>
          <w:i/>
        </w:rPr>
        <w:t>(</w:t>
      </w:r>
      <w:r w:rsidR="007D2E20" w:rsidRPr="00880BEA">
        <w:rPr>
          <w:b/>
          <w:bCs/>
          <w:i/>
          <w:iCs/>
        </w:rPr>
        <w:t>46</w:t>
      </w:r>
      <w:r w:rsidR="007D2E20" w:rsidRPr="00880BEA">
        <w:rPr>
          <w:b/>
          <w:i/>
        </w:rPr>
        <w:t>)</w:t>
      </w:r>
      <w:r w:rsidR="009A377C" w:rsidRPr="00880BEA">
        <w:rPr>
          <w:b/>
          <w:i/>
          <w:color w:val="000000"/>
        </w:rPr>
        <w:fldChar w:fldCharType="end"/>
      </w:r>
      <w:r w:rsidR="00177056" w:rsidRPr="00F259A2">
        <w:rPr>
          <w:color w:val="000000"/>
        </w:rPr>
        <w:t>.</w:t>
      </w:r>
      <w:r w:rsidR="00FD3CCF" w:rsidRPr="00F259A2">
        <w:rPr>
          <w:color w:val="000000"/>
        </w:rPr>
        <w:t xml:space="preserve">Gene expression profiles </w:t>
      </w:r>
      <w:r w:rsidR="00E7142D" w:rsidRPr="00F259A2">
        <w:rPr>
          <w:color w:val="000000"/>
        </w:rPr>
        <w:t>can also be</w:t>
      </w:r>
      <w:r w:rsidR="00FD3CCF" w:rsidRPr="00F259A2">
        <w:rPr>
          <w:color w:val="000000"/>
        </w:rPr>
        <w:t xml:space="preserve"> monitored in the yeast </w:t>
      </w:r>
      <w:r w:rsidR="00FD3CCF" w:rsidRPr="00F259A2">
        <w:rPr>
          <w:i/>
          <w:color w:val="000000"/>
        </w:rPr>
        <w:t>Saccharomyces cerevisiae</w:t>
      </w:r>
      <w:r w:rsidR="00FD3CCF" w:rsidRPr="00F259A2">
        <w:rPr>
          <w:color w:val="000000"/>
        </w:rPr>
        <w:t xml:space="preserve"> strain S288C to assess the genotoxic impact of the mycotoxin </w:t>
      </w:r>
      <w:r w:rsidR="00FD7320" w:rsidRPr="00F259A2">
        <w:rPr>
          <w:color w:val="000000"/>
        </w:rPr>
        <w:t xml:space="preserve">citrinin suggesting that this compound found in food such as cereals and bread significantly induces oxidative stress response genes but also other genes associated with metabolism, cell response, defence, virulence and energy </w:t>
      </w:r>
      <w:r w:rsidR="009A377C" w:rsidRPr="00647C35">
        <w:rPr>
          <w:b/>
          <w:i/>
          <w:color w:val="000000"/>
        </w:rPr>
        <w:fldChar w:fldCharType="begin"/>
      </w:r>
      <w:r w:rsidR="0042106E" w:rsidRPr="00647C35">
        <w:rPr>
          <w:b/>
          <w:i/>
          <w:color w:val="000000"/>
        </w:rPr>
        <w:instrText xml:space="preserve"> ADDIN ZOTERO_ITEM CSL_CITATION {"citationID":"8acdlio1n","properties":{"formattedCitation":"{\\rtf (\\b \\i 47\\i0{}\\b0{})}","plainCitation":"(47)"},"citationItems":[{"id":288,"uris":["http://zotero.org/users/1046410/items/RHU8HVI2"],"uri":["http://zotero.org/users/1046410/items/RHU8HVI2"],"itemData":{"id":288,"type":"article-journal","title":"Evaluation of toxicity of the mycotoxin citrinin using yeast ORF DNA microarray and Oligo DNA microarray","container-title":"BMC genomics","page":"95","volume":"8","abstract":"BACKGROUND\n\nMycotoxins are fungal secondary metabolites commonly present in feed and food, and are widely regarded as hazardous contaminants. Citrinin, one of the very well known mycotoxins that was first isolated from Penicillium citrinum, is produced by more than 10 kinds of fungi, and is possibly spread all over the world. However, the information on the action mechanism of the toxin is limited. Thus, we investigated the citrinin-induced genomic response for evaluating its toxicity.\n\n\nRESULTS\n\nCitrinin inhibited growth of yeast cells at a concentration higher than 100 ppm. We monitored the citrinin-induced mRNA expression profiles in yeast using the ORF DNA microarray and Oligo DNA microarray, and the expression profiles were compared with those of the other stress-inducing agents. Results obtained from both microarray experiments clustered together, but were different from those of the mycotoxin patulin. The oxidative stress response genes--AADs, FLR1, OYE3, GRE2, and MET17--were significantly induced. In the functional category, expression of genes involved in \"metabolism\", \"cell rescue, defense and virulence\", and \"energy\" were significantly activated. In the category of \"metabolism\", genes involved in the glutathione synthesis pathway were activated, and in the category of \"cell rescue, defense and virulence\", the ABC transporter genes were induced. To alleviate the induced stress, these cells might pump out the citrinin after modification with glutathione. While, the citrinin treatment did not induce the genes involved in the DNA repair.\n\n\nCONCLUSION\n\nResults from both microarray studies suggest that citrinin treatment induced oxidative stress in yeast cells. The genotoxicity was less severe than the patulin, suggesting that citrinin is less toxic than patulin. The reproducibility of the expression profiles was much better with the Oligo DNA microarray. However, the Oligo DNA microarray did not completely overcome cross hybridization.","DOI":"10.1186/1471-2164-8-95","note":"PMID: 17408496","journalAbbreviation":"BMC Genomics","author":[{"family":"Iwahashi","given":"Hitoshi"},{"family":"Kitagawa","given":"Emiko"},{"family":"Suzuki","given":"Yoshiteru"},{"family":"Ueda","given":"Youji"},{"family":"Ishizawa","given":"Yo-hei"},{"family":"Nobumasa","given":"Hitoshi"},{"family":"Kuboki","given":"Yoshihide"},{"family":"Hosoda","given":"Hiroshi"},{"family":"Iwahashi","given":"Yumiko"}],"issued":{"year":2007},"accessed":{"year":2012,"month":7,"day":6},"page-first":"95"}}],"schema":"https://github.com/citation-style-language/schema/raw/master/csl-citation.json"} </w:instrText>
      </w:r>
      <w:r w:rsidR="009A377C" w:rsidRPr="00647C35">
        <w:rPr>
          <w:b/>
          <w:i/>
          <w:color w:val="000000"/>
        </w:rPr>
        <w:fldChar w:fldCharType="separate"/>
      </w:r>
      <w:r w:rsidR="007D2E20" w:rsidRPr="00647C35">
        <w:rPr>
          <w:b/>
          <w:i/>
        </w:rPr>
        <w:t>(</w:t>
      </w:r>
      <w:r w:rsidR="007D2E20" w:rsidRPr="00647C35">
        <w:rPr>
          <w:b/>
          <w:bCs/>
          <w:i/>
          <w:iCs/>
        </w:rPr>
        <w:t>47</w:t>
      </w:r>
      <w:r w:rsidR="007D2E20" w:rsidRPr="00647C35">
        <w:rPr>
          <w:b/>
          <w:i/>
        </w:rPr>
        <w:t>)</w:t>
      </w:r>
      <w:r w:rsidR="009A377C" w:rsidRPr="00647C35">
        <w:rPr>
          <w:b/>
          <w:i/>
          <w:color w:val="000000"/>
        </w:rPr>
        <w:fldChar w:fldCharType="end"/>
      </w:r>
      <w:r w:rsidR="00FD7320" w:rsidRPr="00F259A2">
        <w:rPr>
          <w:color w:val="000000"/>
        </w:rPr>
        <w:t xml:space="preserve">. </w:t>
      </w:r>
      <w:r w:rsidR="00BD76D1" w:rsidRPr="00F259A2">
        <w:rPr>
          <w:color w:val="000000"/>
        </w:rPr>
        <w:t xml:space="preserve">Huang </w:t>
      </w:r>
      <w:r w:rsidR="008B5C98" w:rsidRPr="008B5C98">
        <w:rPr>
          <w:i/>
          <w:color w:val="000000"/>
        </w:rPr>
        <w:t>et al</w:t>
      </w:r>
      <w:r w:rsidR="00F042ED" w:rsidRPr="00F259A2">
        <w:rPr>
          <w:color w:val="000000"/>
        </w:rPr>
        <w:t>.</w:t>
      </w:r>
      <w:r w:rsidR="00984B80" w:rsidRPr="00F259A2">
        <w:rPr>
          <w:color w:val="000000"/>
        </w:rPr>
        <w:t xml:space="preserve"> </w:t>
      </w:r>
      <w:r w:rsidR="00647C35" w:rsidRPr="00647C35">
        <w:rPr>
          <w:b/>
          <w:i/>
          <w:color w:val="000000"/>
        </w:rPr>
        <w:fldChar w:fldCharType="begin"/>
      </w:r>
      <w:r w:rsidR="00647C35" w:rsidRPr="00647C35">
        <w:rPr>
          <w:b/>
          <w:i/>
          <w:color w:val="000000"/>
        </w:rPr>
        <w:instrText xml:space="preserve"> ADDIN ZOTERO_ITEM CSL_CITATION {"citationID":"1d26qutd3v","properties":{"formattedCitation":"{\\rtf (\\b \\i 48\\i0{}\\b0{})}","plainCitation":"(48)"},"citationItems":[{"id":289,"uris":["http://zotero.org/users/1046410/items/RXWT6QH5"],"uri":["http://zotero.org/users/1046410/items/RXWT6QH5"],"itemData":{"id":289,"type":"article-journal","title":"Epithelial to mesenchymal transition in human breast epithelial cells transformed by 17beta-estradiol","container-title":"Cancer research","page":"11147-11157","volume":"67","issue":"23","abstract":"The estrogen dependence of breast cancer has long been recognized; however, the role of 17beta-estradiol (E(2)) in cancer initiation was not known until we showed that it induces complete neoplastic transformation of the human breast epithelial cells MCF-10F. E(2) treatment of MCF-10F cells progressively induced high colony efficiency and loss of ductulogenesis in early transformed (trMCF) cells and invasiveness in Matrigel invasion chambers. The cells that crossed the chamber membrane were collected and identified as bsMCF; their subclones were designated bcMCF; and the cells harvested from carcinoma formation in severe combined immunodeficient mice were designated caMCF. These phenotypes correlated with gene dysregulation during the progression of the transformation. The highest number of dysregulated genes was observed in caMCF, being slightly lower in bcMCF, and lowest in trMCF. This order was consistent with the extent of chromosome aberrations (caMCF &gt; bcMCF &gt; trMCF). Chromosomal amplifications were found in 1p36.12-pter, 5q21.1-qter, and 13q21.31-qter. Losses of the complete chromosome 4 and 8p11.21-23.1 were found only in tumorigenic cells. In tumor-derived cell lines, additional losses were found in 3p12.1-14.1, 9p22.1-pter, and 18q11.21-qter. Functional profiling of dysregulated genes revealed progressive changes in the integrin signaling pathway, inhibition of apoptosis, acquisition of tumorigenic cell surface markers, and epithelial-mesenchymal transition. In tumorigenic cells, the levels of E-cadherin, epithelial membrane antigen, and various keratins were low and CD44E/CD24 were negative, whereas SNAI2, vimentin, S100A4, FN1, HRAS, transforming growth factor beta1, and CD44H were high. The phenotypic and genomic changes triggered by estrogen exposure that lead normal cells to tumorigenesis confirm the role of this steroid hormone in cancer initiation.","DOI":"10.1158/0008-5472.CAN-07-1371","note":"PMID: 18056439","journalAbbreviation":"Cancer Res.","author":[{"family":"Huang","given":"Yong"},{"family":"Fernandez","given":"Sandra V"},{"family":"Goodwin","given":"Shirlean"},{"family":"Russo","given":"Patricia A"},{"family":"Russo","given":"Irma H"},{"family":"Sutter","given":"Thomas R"},{"family":"Russo","given":"Jose"}],"issued":{"year":2007,"month":12,"day":1},"accessed":{"year":2012,"month":7,"day":6},"page-first":"11147"}}],"schema":"https://github.com/citation-style-language/schema/raw/master/csl-citation.json"} </w:instrText>
      </w:r>
      <w:r w:rsidR="00647C35" w:rsidRPr="00647C35">
        <w:rPr>
          <w:b/>
          <w:i/>
          <w:color w:val="000000"/>
        </w:rPr>
        <w:fldChar w:fldCharType="separate"/>
      </w:r>
      <w:r w:rsidR="00647C35" w:rsidRPr="00647C35">
        <w:rPr>
          <w:b/>
          <w:i/>
        </w:rPr>
        <w:t>(</w:t>
      </w:r>
      <w:r w:rsidR="00647C35" w:rsidRPr="00647C35">
        <w:rPr>
          <w:b/>
          <w:bCs/>
          <w:i/>
          <w:iCs/>
        </w:rPr>
        <w:t>48</w:t>
      </w:r>
      <w:r w:rsidR="00647C35" w:rsidRPr="00647C35">
        <w:rPr>
          <w:b/>
          <w:i/>
        </w:rPr>
        <w:t>)</w:t>
      </w:r>
      <w:r w:rsidR="00647C35" w:rsidRPr="00647C35">
        <w:rPr>
          <w:b/>
          <w:i/>
          <w:color w:val="000000"/>
        </w:rPr>
        <w:fldChar w:fldCharType="end"/>
      </w:r>
      <w:r w:rsidR="00647C35">
        <w:rPr>
          <w:b/>
          <w:i/>
          <w:color w:val="000000"/>
        </w:rPr>
        <w:t xml:space="preserve"> </w:t>
      </w:r>
      <w:r w:rsidR="00954108" w:rsidRPr="00F259A2">
        <w:rPr>
          <w:color w:val="000000"/>
        </w:rPr>
        <w:t xml:space="preserve">used a microarray expression and genotyping assay to assess gene expression and </w:t>
      </w:r>
      <w:r w:rsidR="005313E5" w:rsidRPr="00F259A2">
        <w:rPr>
          <w:color w:val="000000"/>
        </w:rPr>
        <w:t>genotypes (heterozygous or homozygous) in the MCF</w:t>
      </w:r>
      <w:r w:rsidR="0071309A" w:rsidRPr="0071309A">
        <w:rPr>
          <w:color w:val="000000"/>
        </w:rPr>
        <w:t>--</w:t>
      </w:r>
      <w:r w:rsidR="005313E5" w:rsidRPr="00F259A2">
        <w:rPr>
          <w:color w:val="000000"/>
        </w:rPr>
        <w:t>10F cell</w:t>
      </w:r>
      <w:r w:rsidR="0071309A" w:rsidRPr="0071309A">
        <w:rPr>
          <w:color w:val="000000"/>
        </w:rPr>
        <w:t>--</w:t>
      </w:r>
      <w:r w:rsidR="005313E5" w:rsidRPr="00F259A2">
        <w:rPr>
          <w:color w:val="000000"/>
        </w:rPr>
        <w:t>line after treating with</w:t>
      </w:r>
      <w:r w:rsidR="00CB4156" w:rsidRPr="00F259A2">
        <w:rPr>
          <w:color w:val="000000"/>
        </w:rPr>
        <w:t xml:space="preserve"> the</w:t>
      </w:r>
      <w:r w:rsidR="00984B80" w:rsidRPr="00F259A2">
        <w:rPr>
          <w:color w:val="000000"/>
        </w:rPr>
        <w:t xml:space="preserve"> </w:t>
      </w:r>
      <w:r w:rsidR="00CB4156" w:rsidRPr="00F259A2">
        <w:rPr>
          <w:color w:val="000000"/>
        </w:rPr>
        <w:t xml:space="preserve">steroid hormone </w:t>
      </w:r>
      <w:r w:rsidR="005313E5" w:rsidRPr="00F259A2">
        <w:rPr>
          <w:color w:val="000000"/>
        </w:rPr>
        <w:t>17β</w:t>
      </w:r>
      <w:r w:rsidR="0071309A" w:rsidRPr="0071309A">
        <w:rPr>
          <w:color w:val="000000"/>
        </w:rPr>
        <w:t>--</w:t>
      </w:r>
      <w:r w:rsidR="005313E5" w:rsidRPr="00F259A2">
        <w:rPr>
          <w:color w:val="000000"/>
        </w:rPr>
        <w:t>oestradiol</w:t>
      </w:r>
      <w:r w:rsidR="00CB4156" w:rsidRPr="00F259A2">
        <w:rPr>
          <w:color w:val="000000"/>
        </w:rPr>
        <w:t xml:space="preserve"> (E</w:t>
      </w:r>
      <w:r w:rsidR="00CB4156" w:rsidRPr="00F259A2">
        <w:rPr>
          <w:color w:val="000000"/>
          <w:vertAlign w:val="subscript"/>
        </w:rPr>
        <w:t>2</w:t>
      </w:r>
      <w:r w:rsidR="00CB4156" w:rsidRPr="00F259A2">
        <w:rPr>
          <w:color w:val="000000"/>
        </w:rPr>
        <w:t>)</w:t>
      </w:r>
      <w:r w:rsidR="005313E5" w:rsidRPr="00F259A2">
        <w:rPr>
          <w:color w:val="000000"/>
        </w:rPr>
        <w:t>, which is capable of inducing complete neoplastic transformation of the human breast MCF</w:t>
      </w:r>
      <w:r w:rsidR="0071309A" w:rsidRPr="0071309A">
        <w:rPr>
          <w:color w:val="000000"/>
        </w:rPr>
        <w:t>--</w:t>
      </w:r>
      <w:r w:rsidR="005313E5" w:rsidRPr="00F259A2">
        <w:rPr>
          <w:color w:val="000000"/>
        </w:rPr>
        <w:t>10F epithelial cells.</w:t>
      </w:r>
      <w:r w:rsidR="00984B80" w:rsidRPr="00F259A2">
        <w:rPr>
          <w:color w:val="000000"/>
        </w:rPr>
        <w:t xml:space="preserve"> </w:t>
      </w:r>
      <w:r w:rsidR="00CB4156" w:rsidRPr="00F259A2">
        <w:t xml:space="preserve">Functional profiling revealed </w:t>
      </w:r>
      <w:r w:rsidR="005313E5" w:rsidRPr="00F259A2">
        <w:rPr>
          <w:color w:val="000000"/>
        </w:rPr>
        <w:t xml:space="preserve">progressive </w:t>
      </w:r>
      <w:r w:rsidR="00CB4156" w:rsidRPr="00F259A2">
        <w:rPr>
          <w:color w:val="000000"/>
        </w:rPr>
        <w:t>alterations</w:t>
      </w:r>
      <w:r w:rsidR="005313E5" w:rsidRPr="00F259A2">
        <w:rPr>
          <w:color w:val="000000"/>
        </w:rPr>
        <w:t xml:space="preserve"> in the integrin signa</w:t>
      </w:r>
      <w:r w:rsidR="00CB4156" w:rsidRPr="00F259A2">
        <w:rPr>
          <w:color w:val="000000"/>
        </w:rPr>
        <w:t>l</w:t>
      </w:r>
      <w:r w:rsidR="005313E5" w:rsidRPr="00F259A2">
        <w:rPr>
          <w:color w:val="000000"/>
        </w:rPr>
        <w:t>ling pathway,</w:t>
      </w:r>
      <w:r w:rsidR="00CB4156" w:rsidRPr="00F259A2">
        <w:rPr>
          <w:color w:val="000000"/>
        </w:rPr>
        <w:t xml:space="preserve"> apoptosis </w:t>
      </w:r>
      <w:r w:rsidR="005313E5" w:rsidRPr="00F259A2">
        <w:rPr>
          <w:color w:val="000000"/>
        </w:rPr>
        <w:t>inhibition</w:t>
      </w:r>
      <w:r w:rsidR="00CB4156" w:rsidRPr="00F259A2">
        <w:rPr>
          <w:color w:val="000000"/>
        </w:rPr>
        <w:t xml:space="preserve"> and gain </w:t>
      </w:r>
      <w:r w:rsidR="005313E5" w:rsidRPr="00F259A2">
        <w:rPr>
          <w:color w:val="000000"/>
        </w:rPr>
        <w:t>of</w:t>
      </w:r>
      <w:r w:rsidR="00984B80" w:rsidRPr="00F259A2">
        <w:rPr>
          <w:color w:val="000000"/>
        </w:rPr>
        <w:t xml:space="preserve"> </w:t>
      </w:r>
      <w:r w:rsidR="005313E5" w:rsidRPr="00F259A2">
        <w:rPr>
          <w:color w:val="000000"/>
        </w:rPr>
        <w:t>tumo</w:t>
      </w:r>
      <w:r w:rsidR="00CB4156" w:rsidRPr="00F259A2">
        <w:rPr>
          <w:color w:val="000000"/>
        </w:rPr>
        <w:t>u</w:t>
      </w:r>
      <w:r w:rsidR="005313E5" w:rsidRPr="00F259A2">
        <w:rPr>
          <w:color w:val="000000"/>
        </w:rPr>
        <w:t>rigenic</w:t>
      </w:r>
      <w:r w:rsidR="00CB4156" w:rsidRPr="00F259A2">
        <w:rPr>
          <w:color w:val="000000"/>
        </w:rPr>
        <w:t xml:space="preserve"> cell </w:t>
      </w:r>
      <w:r w:rsidR="005313E5" w:rsidRPr="00F259A2">
        <w:rPr>
          <w:color w:val="000000"/>
        </w:rPr>
        <w:t>surface</w:t>
      </w:r>
      <w:r w:rsidR="00984B80" w:rsidRPr="00F259A2">
        <w:rPr>
          <w:color w:val="000000"/>
        </w:rPr>
        <w:t xml:space="preserve"> </w:t>
      </w:r>
      <w:r w:rsidR="005313E5" w:rsidRPr="00F259A2">
        <w:rPr>
          <w:color w:val="000000"/>
        </w:rPr>
        <w:t>markers</w:t>
      </w:r>
      <w:r w:rsidR="00CB4156" w:rsidRPr="00F259A2">
        <w:rPr>
          <w:color w:val="000000"/>
        </w:rPr>
        <w:t xml:space="preserve">. </w:t>
      </w:r>
      <w:r w:rsidR="00F042ED" w:rsidRPr="00F259A2">
        <w:rPr>
          <w:color w:val="000000"/>
        </w:rPr>
        <w:t>O</w:t>
      </w:r>
      <w:r w:rsidR="00CB4156" w:rsidRPr="00F259A2">
        <w:rPr>
          <w:color w:val="000000"/>
        </w:rPr>
        <w:t>estrogen exposure</w:t>
      </w:r>
      <w:r w:rsidR="00F042ED" w:rsidRPr="00F259A2">
        <w:rPr>
          <w:color w:val="000000"/>
        </w:rPr>
        <w:t xml:space="preserve"> thus</w:t>
      </w:r>
      <w:r w:rsidR="00CB4156" w:rsidRPr="00F259A2">
        <w:rPr>
          <w:color w:val="000000"/>
        </w:rPr>
        <w:t xml:space="preserve"> triggered </w:t>
      </w:r>
      <w:r w:rsidR="005313E5" w:rsidRPr="00F259A2">
        <w:rPr>
          <w:color w:val="000000"/>
        </w:rPr>
        <w:t xml:space="preserve">phenotypic and genomic changes </w:t>
      </w:r>
      <w:r w:rsidR="00CB4156" w:rsidRPr="00F259A2">
        <w:rPr>
          <w:color w:val="000000"/>
        </w:rPr>
        <w:t>causing</w:t>
      </w:r>
      <w:r w:rsidR="00984B80" w:rsidRPr="00F259A2">
        <w:rPr>
          <w:color w:val="000000"/>
        </w:rPr>
        <w:t xml:space="preserve"> </w:t>
      </w:r>
      <w:r w:rsidR="00CB4156" w:rsidRPr="00F259A2">
        <w:rPr>
          <w:color w:val="000000"/>
        </w:rPr>
        <w:t xml:space="preserve">tumourigenesis, which </w:t>
      </w:r>
      <w:r w:rsidR="005313E5" w:rsidRPr="00F259A2">
        <w:rPr>
          <w:color w:val="000000"/>
        </w:rPr>
        <w:t>confirm</w:t>
      </w:r>
      <w:r w:rsidR="00CB4156" w:rsidRPr="00F259A2">
        <w:rPr>
          <w:color w:val="000000"/>
        </w:rPr>
        <w:t xml:space="preserve">s </w:t>
      </w:r>
      <w:r w:rsidR="005313E5" w:rsidRPr="00F259A2">
        <w:rPr>
          <w:color w:val="000000"/>
        </w:rPr>
        <w:t xml:space="preserve">the role of </w:t>
      </w:r>
      <w:r w:rsidR="00984B80" w:rsidRPr="00F259A2">
        <w:rPr>
          <w:color w:val="000000"/>
        </w:rPr>
        <w:t xml:space="preserve"> </w:t>
      </w:r>
      <w:r w:rsidR="00CB4156" w:rsidRPr="00F259A2">
        <w:rPr>
          <w:color w:val="000000"/>
        </w:rPr>
        <w:t>E</w:t>
      </w:r>
      <w:r w:rsidR="00CB4156" w:rsidRPr="00F259A2">
        <w:rPr>
          <w:color w:val="000000"/>
          <w:vertAlign w:val="subscript"/>
        </w:rPr>
        <w:t>2</w:t>
      </w:r>
      <w:r w:rsidR="00984B80" w:rsidRPr="00F259A2">
        <w:rPr>
          <w:color w:val="000000"/>
          <w:vertAlign w:val="subscript"/>
        </w:rPr>
        <w:t xml:space="preserve"> </w:t>
      </w:r>
      <w:r w:rsidR="005313E5" w:rsidRPr="00F259A2">
        <w:rPr>
          <w:color w:val="000000"/>
        </w:rPr>
        <w:t>in cancer initiation</w:t>
      </w:r>
      <w:r w:rsidR="00DF7603" w:rsidRPr="00F259A2">
        <w:rPr>
          <w:color w:val="000000"/>
        </w:rPr>
        <w:t xml:space="preserve"> </w:t>
      </w:r>
      <w:r w:rsidR="009A377C" w:rsidRPr="00647C35">
        <w:rPr>
          <w:b/>
          <w:i/>
          <w:color w:val="000000"/>
        </w:rPr>
        <w:fldChar w:fldCharType="begin"/>
      </w:r>
      <w:r w:rsidR="0042106E" w:rsidRPr="00647C35">
        <w:rPr>
          <w:b/>
          <w:i/>
          <w:color w:val="000000"/>
        </w:rPr>
        <w:instrText xml:space="preserve"> ADDIN ZOTERO_ITEM CSL_CITATION {"citationID":"1d26qutd3v","properties":{"formattedCitation":"{\\rtf (\\b \\i 48\\i0{}\\b0{})}","plainCitation":"(48)"},"citationItems":[{"id":289,"uris":["http://zotero.org/users/1046410/items/RXWT6QH5"],"uri":["http://zotero.org/users/1046410/items/RXWT6QH5"],"itemData":{"id":289,"type":"article-journal","title":"Epithelial to mesenchymal transition in human breast epithelial cells transformed by 17beta-estradiol","container-title":"Cancer research","page":"11147-11157","volume":"67","issue":"23","abstract":"The estrogen dependence of breast cancer has long been recognized; however, the role of 17beta-estradiol (E(2)) in cancer initiation was not known until we showed that it induces complete neoplastic transformation of the human breast epithelial cells MCF-10F. E(2) treatment of MCF-10F cells progressively induced high colony efficiency and loss of ductulogenesis in early transformed (trMCF) cells and invasiveness in Matrigel invasion chambers. The cells that crossed the chamber membrane were collected and identified as bsMCF; their subclones were designated bcMCF; and the cells harvested from carcinoma formation in severe combined immunodeficient mice were designated caMCF. These phenotypes correlated with gene dysregulation during the progression of the transformation. The highest number of dysregulated genes was observed in caMCF, being slightly lower in bcMCF, and lowest in trMCF. This order was consistent with the extent of chromosome aberrations (caMCF &gt; bcMCF &gt; trMCF). Chromosomal amplifications were found in 1p36.12-pter, 5q21.1-qter, and 13q21.31-qter. Losses of the complete chromosome 4 and 8p11.21-23.1 were found only in tumorigenic cells. In tumor-derived cell lines, additional losses were found in 3p12.1-14.1, 9p22.1-pter, and 18q11.21-qter. Functional profiling of dysregulated genes revealed progressive changes in the integrin signaling pathway, inhibition of apoptosis, acquisition of tumorigenic cell surface markers, and epithelial-mesenchymal transition. In tumorigenic cells, the levels of E-cadherin, epithelial membrane antigen, and various keratins were low and CD44E/CD24 were negative, whereas SNAI2, vimentin, S100A4, FN1, HRAS, transforming growth factor beta1, and CD44H were high. The phenotypic and genomic changes triggered by estrogen exposure that lead normal cells to tumorigenesis confirm the role of this steroid hormone in cancer initiation.","DOI":"10.1158/0008-5472.CAN-07-1371","note":"PMID: 18056439","journalAbbreviation":"Cancer Res.","author":[{"family":"Huang","given":"Yong"},{"family":"Fernandez","given":"Sandra V"},{"family":"Goodwin","given":"Shirlean"},{"family":"Russo","given":"Patricia A"},{"family":"Russo","given":"Irma H"},{"family":"Sutter","given":"Thomas R"},{"family":"Russo","given":"Jose"}],"issued":{"year":2007,"month":12,"day":1},"accessed":{"year":2012,"month":7,"day":6},"page-first":"11147"}}],"schema":"https://github.com/citation-style-language/schema/raw/master/csl-citation.json"} </w:instrText>
      </w:r>
      <w:r w:rsidR="009A377C" w:rsidRPr="00647C35">
        <w:rPr>
          <w:b/>
          <w:i/>
          <w:color w:val="000000"/>
        </w:rPr>
        <w:fldChar w:fldCharType="separate"/>
      </w:r>
      <w:r w:rsidR="007D2E20" w:rsidRPr="00647C35">
        <w:rPr>
          <w:b/>
          <w:i/>
        </w:rPr>
        <w:t>(</w:t>
      </w:r>
      <w:r w:rsidR="007D2E20" w:rsidRPr="00647C35">
        <w:rPr>
          <w:b/>
          <w:bCs/>
          <w:i/>
          <w:iCs/>
        </w:rPr>
        <w:t>48</w:t>
      </w:r>
      <w:r w:rsidR="007D2E20" w:rsidRPr="00647C35">
        <w:rPr>
          <w:b/>
          <w:i/>
        </w:rPr>
        <w:t>)</w:t>
      </w:r>
      <w:r w:rsidR="009A377C" w:rsidRPr="00647C35">
        <w:rPr>
          <w:b/>
          <w:i/>
          <w:color w:val="000000"/>
        </w:rPr>
        <w:fldChar w:fldCharType="end"/>
      </w:r>
      <w:r w:rsidR="005313E5" w:rsidRPr="00F259A2">
        <w:rPr>
          <w:color w:val="000000"/>
        </w:rPr>
        <w:t>.</w:t>
      </w:r>
    </w:p>
    <w:p w14:paraId="352ED190" w14:textId="77777777" w:rsidR="00DF7603" w:rsidRPr="00F259A2" w:rsidRDefault="00DF7603" w:rsidP="008A5EE5">
      <w:pPr>
        <w:tabs>
          <w:tab w:val="left" w:pos="-1440"/>
          <w:tab w:val="left" w:pos="-720"/>
        </w:tabs>
        <w:suppressAutoHyphens/>
        <w:spacing w:line="480" w:lineRule="auto"/>
        <w:rPr>
          <w:color w:val="000000"/>
        </w:rPr>
      </w:pPr>
    </w:p>
    <w:p w14:paraId="602A4592" w14:textId="77777777" w:rsidR="003C1EDD" w:rsidRPr="00F259A2" w:rsidRDefault="003C1EDD" w:rsidP="008A5EE5">
      <w:pPr>
        <w:tabs>
          <w:tab w:val="left" w:pos="-1440"/>
          <w:tab w:val="left" w:pos="-720"/>
        </w:tabs>
        <w:suppressAutoHyphens/>
        <w:spacing w:line="480" w:lineRule="auto"/>
        <w:rPr>
          <w:color w:val="000000"/>
        </w:rPr>
      </w:pPr>
      <w:r w:rsidRPr="00F259A2">
        <w:rPr>
          <w:color w:val="000000"/>
        </w:rPr>
        <w:t xml:space="preserve">The development of microarray platforms for other species such as the very recent transcriptomic microarray platform for the Manila clam </w:t>
      </w:r>
      <w:r w:rsidR="009A377C" w:rsidRPr="00AC6D89">
        <w:rPr>
          <w:b/>
          <w:i/>
          <w:color w:val="000000"/>
        </w:rPr>
        <w:fldChar w:fldCharType="begin"/>
      </w:r>
      <w:r w:rsidR="0042106E" w:rsidRPr="00AC6D89">
        <w:rPr>
          <w:b/>
          <w:i/>
          <w:color w:val="000000"/>
        </w:rPr>
        <w:instrText xml:space="preserve"> ADDIN ZOTERO_ITEM CSL_CITATION {"citationID":"1l5sjo7c13","properties":{"formattedCitation":"{\\rtf (\\b \\i 49\\i0{}\\b0{})}","plainCitation":"(49)"},"citationItems":[{"id":42,"uris":["http://zotero.org/users/1046410/items/VJ8ZZEAU"],"uri":["http://zotero.org/users/1046410/items/VJ8ZZEAU"],"itemData":{"id":42,"type":"article-journal","title":"Transcriptome sequencing and microarray development for the Manila clam, Ruditapes philippinarum: genomic tools for environmental monitoring","container-title":"BMC genomics","page":"234","volume":"12","abstract":"BACKGROUND\n\nThe Manila clam, Ruditapes philippinarum, is one of the major aquaculture species in the world and a potential sentinel organism for monitoring the status of marine ecosystems. However, genomic resources for R. philippinarum are still extremely limited. Global analysis of gene expression profiles is increasingly used to evaluate the biological effects of various environmental stressors on aquatic animals under either artificial conditions or in the wild. Here, we report on the development of a transcriptomic platform for global gene expression profiling in the Manila clam.\n\n\nRESULTS\n\nA normalized cDNA library representing a mixture of adult tissues was sequenced using a ultra high-throughput sequencing technology (Roche 454). A database consisting of 32,606 unique transcripts was constructed, 9,747 (30%) of which could be annotated by similarity. An oligo-DNA microarray platform was designed and applied to profile gene expression of digestive gland and gills. Functional annotation of differentially expressed genes between different tissues was performed by enrichment analysis. Expression of Natural Antisense Transcripts (NAT) analysis was also performed and bi-directional transcription appears a common phenomenon in the R. philippinarum transcriptome. A preliminary study on clam samples collected in a highly polluted area of the Venice Lagoon demonstrated the applicability of genomic tools to environmental monitoring.\n\n\nCONCLUSIONS\n\nThe transcriptomic platform developed for the Manila clam confirmed the high level of reproducibility of current microarray technology. Next-generation sequencing provided a good representation of the clam transcriptome. Despite the known limitations in transcript annotation and sequence coverage for non model species, sufficient information was obtained to identify a large set of genes potentially involved in cellular response to environmental stress.","DOI":"10.1186/1471-2164-12-234","note":"PMID: 21569398","shortTitle":"Transcriptome sequencing and microarray development for the Manila clam, Ruditapes philippinarum","journalAbbreviation":"BMC Genomics","author":[{"family":"Milan","given":"Massimo"},{"family":"Coppe","given":"Alessandro"},{"family":"Reinhardt","given":"Richard"},{"family":"Cancela","given":"Leonor M"},{"family":"Leite","given":"Ricardo B"},{"family":"Saavedra","given":"Carlos"},{"family":"Ciofi","given":"Claudio"},{"family":"Chelazzi","given":"Guido"},{"family":"Patarnello","given":"Tomaso"},{"family":"Bortoluzzi","given":"Stefania"},{"family":"Bargelloni","given":"Luca"}],"issued":{"year":2011},"accessed":{"year":2012,"month":7,"day":26},"page-first":"234"}}],"schema":"https://github.com/citation-style-language/schema/raw/master/csl-citation.json"} </w:instrText>
      </w:r>
      <w:r w:rsidR="009A377C" w:rsidRPr="00AC6D89">
        <w:rPr>
          <w:b/>
          <w:i/>
          <w:color w:val="000000"/>
        </w:rPr>
        <w:fldChar w:fldCharType="separate"/>
      </w:r>
      <w:r w:rsidR="007D2E20" w:rsidRPr="00AC6D89">
        <w:rPr>
          <w:b/>
          <w:i/>
        </w:rPr>
        <w:t>(</w:t>
      </w:r>
      <w:r w:rsidR="007D2E20" w:rsidRPr="00AC6D89">
        <w:rPr>
          <w:b/>
          <w:bCs/>
          <w:i/>
          <w:iCs/>
        </w:rPr>
        <w:t>49</w:t>
      </w:r>
      <w:r w:rsidR="007D2E20" w:rsidRPr="00AC6D89">
        <w:rPr>
          <w:b/>
          <w:i/>
        </w:rPr>
        <w:t>)</w:t>
      </w:r>
      <w:r w:rsidR="009A377C" w:rsidRPr="00AC6D89">
        <w:rPr>
          <w:b/>
          <w:i/>
          <w:color w:val="000000"/>
        </w:rPr>
        <w:fldChar w:fldCharType="end"/>
      </w:r>
      <w:r w:rsidRPr="00F259A2">
        <w:rPr>
          <w:color w:val="000000"/>
        </w:rPr>
        <w:t xml:space="preserve"> will</w:t>
      </w:r>
      <w:r w:rsidR="00F042ED" w:rsidRPr="00F259A2">
        <w:rPr>
          <w:color w:val="000000"/>
        </w:rPr>
        <w:t xml:space="preserve"> additionally</w:t>
      </w:r>
      <w:r w:rsidRPr="00F259A2">
        <w:rPr>
          <w:color w:val="000000"/>
        </w:rPr>
        <w:t xml:space="preserve"> allow the rapid evaluation of toxicants in our environment</w:t>
      </w:r>
      <w:r w:rsidR="00DF7603" w:rsidRPr="00F259A2">
        <w:rPr>
          <w:color w:val="000000"/>
        </w:rPr>
        <w:t>,</w:t>
      </w:r>
      <w:r w:rsidRPr="00F259A2">
        <w:rPr>
          <w:color w:val="000000"/>
        </w:rPr>
        <w:t xml:space="preserve"> </w:t>
      </w:r>
      <w:r w:rsidR="00F042ED" w:rsidRPr="00F259A2">
        <w:rPr>
          <w:color w:val="000000"/>
        </w:rPr>
        <w:t xml:space="preserve">more efficiently </w:t>
      </w:r>
      <w:r w:rsidRPr="00F259A2">
        <w:rPr>
          <w:color w:val="000000"/>
        </w:rPr>
        <w:t xml:space="preserve">protecting </w:t>
      </w:r>
      <w:r w:rsidR="00F042ED" w:rsidRPr="00F259A2">
        <w:rPr>
          <w:color w:val="000000"/>
        </w:rPr>
        <w:t>wild life</w:t>
      </w:r>
      <w:r w:rsidRPr="00F259A2">
        <w:rPr>
          <w:color w:val="000000"/>
        </w:rPr>
        <w:t>.</w:t>
      </w:r>
    </w:p>
    <w:p w14:paraId="50BBDE16" w14:textId="77777777" w:rsidR="003C1EDD" w:rsidRPr="00F259A2" w:rsidRDefault="003C1EDD" w:rsidP="008A5EE5">
      <w:pPr>
        <w:spacing w:line="480" w:lineRule="auto"/>
        <w:rPr>
          <w:color w:val="000000"/>
        </w:rPr>
      </w:pPr>
    </w:p>
    <w:p w14:paraId="5243C8FC" w14:textId="77777777" w:rsidR="00DA781E" w:rsidRPr="00F259A2" w:rsidRDefault="00DA781E" w:rsidP="008A5EE5">
      <w:pPr>
        <w:pStyle w:val="Heading1"/>
        <w:tabs>
          <w:tab w:val="left" w:pos="-1440"/>
          <w:tab w:val="left" w:pos="-720"/>
        </w:tabs>
        <w:suppressAutoHyphens/>
        <w:spacing w:line="480" w:lineRule="auto"/>
        <w:rPr>
          <w:color w:val="000000"/>
        </w:rPr>
      </w:pPr>
      <w:r w:rsidRPr="00F259A2">
        <w:rPr>
          <w:color w:val="000000"/>
        </w:rPr>
        <w:t>1.2.</w:t>
      </w:r>
      <w:r w:rsidR="00AE09D5" w:rsidRPr="00F259A2">
        <w:rPr>
          <w:color w:val="000000"/>
        </w:rPr>
        <w:t>1</w:t>
      </w:r>
      <w:r w:rsidRPr="00F259A2">
        <w:rPr>
          <w:color w:val="000000"/>
        </w:rPr>
        <w:t>. Array CGH evaluation</w:t>
      </w:r>
    </w:p>
    <w:p w14:paraId="0D8240F8" w14:textId="77777777" w:rsidR="0019277F" w:rsidRPr="00F259A2" w:rsidRDefault="0019277F" w:rsidP="008A5EE5">
      <w:pPr>
        <w:tabs>
          <w:tab w:val="left" w:pos="-1440"/>
          <w:tab w:val="left" w:pos="-720"/>
        </w:tabs>
        <w:suppressAutoHyphens/>
        <w:spacing w:line="480" w:lineRule="auto"/>
        <w:rPr>
          <w:color w:val="000000"/>
        </w:rPr>
      </w:pPr>
    </w:p>
    <w:p w14:paraId="59032044" w14:textId="77777777" w:rsidR="00DA781E" w:rsidRPr="00F259A2" w:rsidRDefault="00DA781E" w:rsidP="008A5EE5">
      <w:pPr>
        <w:tabs>
          <w:tab w:val="left" w:pos="-1440"/>
          <w:tab w:val="left" w:pos="-720"/>
        </w:tabs>
        <w:suppressAutoHyphens/>
        <w:spacing w:line="480" w:lineRule="auto"/>
        <w:rPr>
          <w:color w:val="000000"/>
        </w:rPr>
      </w:pPr>
      <w:r w:rsidRPr="00F259A2">
        <w:rPr>
          <w:color w:val="000000"/>
        </w:rPr>
        <w:lastRenderedPageBreak/>
        <w:t>A high-</w:t>
      </w:r>
      <w:r w:rsidR="00DF7603" w:rsidRPr="00F259A2">
        <w:rPr>
          <w:color w:val="000000"/>
        </w:rPr>
        <w:t>-</w:t>
      </w:r>
      <w:r w:rsidRPr="00F259A2">
        <w:rPr>
          <w:color w:val="000000"/>
        </w:rPr>
        <w:t xml:space="preserve">throughput method like array CGH evaluates </w:t>
      </w:r>
      <w:r w:rsidR="00670C23" w:rsidRPr="00F259A2">
        <w:rPr>
          <w:color w:val="000000"/>
        </w:rPr>
        <w:t xml:space="preserve">in great detail </w:t>
      </w:r>
      <w:r w:rsidRPr="00F259A2">
        <w:rPr>
          <w:color w:val="000000"/>
        </w:rPr>
        <w:t>copy number changes within the DNA across the whole genome</w:t>
      </w:r>
      <w:r w:rsidR="00CD1590" w:rsidRPr="00F259A2">
        <w:rPr>
          <w:color w:val="000000"/>
        </w:rPr>
        <w:t>, thus, the evaluation of a huge amount of data becomes increasingly challenging</w:t>
      </w:r>
      <w:r w:rsidRPr="00F259A2">
        <w:rPr>
          <w:color w:val="000000"/>
        </w:rPr>
        <w:t>. Fluorescently</w:t>
      </w:r>
      <w:r w:rsidR="00DF7603" w:rsidRPr="00F259A2">
        <w:rPr>
          <w:color w:val="000000"/>
        </w:rPr>
        <w:t>-</w:t>
      </w:r>
      <w:r w:rsidRPr="00F259A2">
        <w:rPr>
          <w:color w:val="000000"/>
        </w:rPr>
        <w:t>-labelled DNA</w:t>
      </w:r>
      <w:r w:rsidR="00DF7603" w:rsidRPr="00F259A2">
        <w:rPr>
          <w:color w:val="000000"/>
        </w:rPr>
        <w:t>-</w:t>
      </w:r>
      <w:r w:rsidRPr="00F259A2">
        <w:rPr>
          <w:color w:val="000000"/>
        </w:rPr>
        <w:t xml:space="preserve">-probes consisting of equal rations of </w:t>
      </w:r>
      <w:r w:rsidR="00670C23" w:rsidRPr="00F259A2">
        <w:rPr>
          <w:color w:val="000000"/>
        </w:rPr>
        <w:t xml:space="preserve">test </w:t>
      </w:r>
      <w:r w:rsidRPr="00F259A2">
        <w:rPr>
          <w:color w:val="000000"/>
        </w:rPr>
        <w:t xml:space="preserve">and </w:t>
      </w:r>
      <w:r w:rsidR="00670C23" w:rsidRPr="00F259A2">
        <w:rPr>
          <w:color w:val="000000"/>
        </w:rPr>
        <w:t xml:space="preserve">reference </w:t>
      </w:r>
      <w:r w:rsidRPr="00F259A2">
        <w:rPr>
          <w:color w:val="000000"/>
        </w:rPr>
        <w:t>DNA</w:t>
      </w:r>
      <w:r w:rsidR="00DF7603" w:rsidRPr="00F259A2">
        <w:rPr>
          <w:color w:val="000000"/>
        </w:rPr>
        <w:t>,</w:t>
      </w:r>
      <w:r w:rsidRPr="00F259A2">
        <w:rPr>
          <w:color w:val="000000"/>
        </w:rPr>
        <w:t xml:space="preserve"> co</w:t>
      </w:r>
      <w:r w:rsidR="004D34BD">
        <w:rPr>
          <w:color w:val="000000"/>
        </w:rPr>
        <w:t>-</w:t>
      </w:r>
      <w:r w:rsidRPr="00F259A2">
        <w:rPr>
          <w:color w:val="000000"/>
        </w:rPr>
        <w:t>-hybridize to the mapped array DNA fragments on a slide or a chip. Array CGH intensity ratios, i.e. their transformation on the binary logarithmic (log</w:t>
      </w:r>
      <w:r w:rsidRPr="00F259A2">
        <w:rPr>
          <w:color w:val="000000"/>
          <w:vertAlign w:val="subscript"/>
        </w:rPr>
        <w:t>2</w:t>
      </w:r>
      <w:r w:rsidRPr="00F259A2">
        <w:rPr>
          <w:color w:val="000000"/>
        </w:rPr>
        <w:t xml:space="preserve">) </w:t>
      </w:r>
      <w:r w:rsidR="00C409A0" w:rsidRPr="00F259A2">
        <w:rPr>
          <w:color w:val="000000"/>
        </w:rPr>
        <w:t>scale</w:t>
      </w:r>
      <w:r w:rsidR="00D500DA" w:rsidRPr="00F259A2">
        <w:rPr>
          <w:color w:val="000000"/>
        </w:rPr>
        <w:t>,</w:t>
      </w:r>
      <w:r w:rsidRPr="00F259A2">
        <w:rPr>
          <w:color w:val="000000"/>
        </w:rPr>
        <w:t xml:space="preserve"> provide the most suitable information about genome-</w:t>
      </w:r>
      <w:r w:rsidR="00DF7603" w:rsidRPr="00F259A2">
        <w:rPr>
          <w:color w:val="000000"/>
        </w:rPr>
        <w:t>-</w:t>
      </w:r>
      <w:r w:rsidRPr="00F259A2">
        <w:rPr>
          <w:color w:val="000000"/>
        </w:rPr>
        <w:t>wide changes in copy number.</w:t>
      </w:r>
      <w:r w:rsidR="00DF7603" w:rsidRPr="00F259A2">
        <w:rPr>
          <w:color w:val="000000"/>
        </w:rPr>
        <w:t xml:space="preserve"> </w:t>
      </w:r>
      <w:r w:rsidRPr="00F259A2">
        <w:rPr>
          <w:color w:val="000000"/>
        </w:rPr>
        <w:t xml:space="preserve">In a perfect but theoretical situation without normalization or measurement errors, where </w:t>
      </w:r>
      <w:r w:rsidR="00670C23" w:rsidRPr="00F259A2">
        <w:rPr>
          <w:color w:val="000000"/>
        </w:rPr>
        <w:t>for example</w:t>
      </w:r>
      <w:r w:rsidR="00DF7603" w:rsidRPr="00F259A2">
        <w:rPr>
          <w:color w:val="000000"/>
        </w:rPr>
        <w:t>,</w:t>
      </w:r>
      <w:r w:rsidR="00670C23" w:rsidRPr="00F259A2">
        <w:rPr>
          <w:color w:val="000000"/>
        </w:rPr>
        <w:t xml:space="preserve"> all </w:t>
      </w:r>
      <w:r w:rsidRPr="00F259A2">
        <w:rPr>
          <w:color w:val="000000"/>
        </w:rPr>
        <w:t>tumour cells have identical genomic alterations and are uncont</w:t>
      </w:r>
      <w:r w:rsidR="00670C23" w:rsidRPr="00F259A2">
        <w:rPr>
          <w:color w:val="000000"/>
        </w:rPr>
        <w:t>aminated by cells from surroundi</w:t>
      </w:r>
      <w:r w:rsidRPr="00F259A2">
        <w:rPr>
          <w:color w:val="000000"/>
        </w:rPr>
        <w:t>ng normal tissue, the normal copy</w:t>
      </w:r>
      <w:r w:rsidR="00DF7603" w:rsidRPr="00F259A2">
        <w:rPr>
          <w:color w:val="000000"/>
        </w:rPr>
        <w:t>-</w:t>
      </w:r>
      <w:r w:rsidRPr="00F259A2">
        <w:rPr>
          <w:color w:val="000000"/>
        </w:rPr>
        <w:t xml:space="preserve">-neutral ratio would correspond to </w:t>
      </w:r>
      <m:oMath>
        <m:func>
          <m:funcPr>
            <m:ctrlPr>
              <w:rPr>
                <w:rFonts w:ascii="Cambria Math" w:hAnsi="Cambria Math"/>
                <w:i/>
                <w:color w:val="000000"/>
              </w:rPr>
            </m:ctrlPr>
          </m:funcPr>
          <m:fName>
            <m:sSub>
              <m:sSubPr>
                <m:ctrlPr>
                  <w:rPr>
                    <w:rFonts w:ascii="Cambria Math" w:hAnsi="Cambria Math"/>
                    <w:i/>
                    <w:color w:val="000000"/>
                  </w:rPr>
                </m:ctrlPr>
              </m:sSubPr>
              <m:e>
                <m:r>
                  <m:rPr>
                    <m:sty m:val="p"/>
                  </m:rPr>
                  <w:rPr>
                    <w:rFonts w:ascii="Cambria Math" w:hAnsi="Cambria Math"/>
                    <w:color w:val="000000"/>
                  </w:rPr>
                  <m:t>log</m:t>
                </m:r>
              </m:e>
              <m:sub>
                <m:r>
                  <w:rPr>
                    <w:rFonts w:ascii="Cambria Math" w:hAnsi="Cambria Math"/>
                    <w:color w:val="000000"/>
                  </w:rPr>
                  <m:t>2</m:t>
                </m:r>
              </m:sub>
            </m:sSub>
          </m:fName>
          <m:e>
            <m:box>
              <m:boxPr>
                <m:ctrlPr>
                  <w:rPr>
                    <w:rFonts w:ascii="Cambria Math" w:hAnsi="Cambria Math"/>
                    <w:i/>
                    <w:color w:val="000000"/>
                  </w:rPr>
                </m:ctrlPr>
              </m:boxPr>
              <m:e>
                <m:argPr>
                  <m:argSz m:val="-1"/>
                </m:argPr>
                <m:f>
                  <m:fPr>
                    <m:ctrlPr>
                      <w:rPr>
                        <w:rFonts w:ascii="Cambria Math" w:hAnsi="Cambria Math"/>
                        <w:i/>
                        <w:color w:val="000000"/>
                      </w:rPr>
                    </m:ctrlPr>
                  </m:fPr>
                  <m:num>
                    <m:r>
                      <w:rPr>
                        <w:rFonts w:ascii="Cambria Math" w:hAnsi="Cambria Math"/>
                        <w:color w:val="000000"/>
                      </w:rPr>
                      <m:t>2</m:t>
                    </m:r>
                  </m:num>
                  <m:den>
                    <m:r>
                      <w:rPr>
                        <w:rFonts w:ascii="Cambria Math" w:hAnsi="Cambria Math"/>
                        <w:color w:val="000000"/>
                      </w:rPr>
                      <m:t>2</m:t>
                    </m:r>
                  </m:den>
                </m:f>
              </m:e>
            </m:box>
          </m:e>
        </m:func>
      </m:oMath>
      <w:r w:rsidRPr="00F259A2">
        <w:rPr>
          <w:color w:val="000000"/>
        </w:rPr>
        <w:t xml:space="preserve"> = 0 because </w:t>
      </w:r>
      <w:r w:rsidR="00670C23" w:rsidRPr="00F259A2">
        <w:rPr>
          <w:color w:val="000000"/>
        </w:rPr>
        <w:t>reference</w:t>
      </w:r>
      <w:r w:rsidRPr="00F259A2">
        <w:rPr>
          <w:color w:val="000000"/>
        </w:rPr>
        <w:t xml:space="preserve"> and t</w:t>
      </w:r>
      <w:r w:rsidR="00670C23" w:rsidRPr="00F259A2">
        <w:rPr>
          <w:color w:val="000000"/>
        </w:rPr>
        <w:t>est</w:t>
      </w:r>
      <w:r w:rsidRPr="00F259A2">
        <w:rPr>
          <w:color w:val="000000"/>
        </w:rPr>
        <w:t xml:space="preserve"> DNA fragments both have two copies. I</w:t>
      </w:r>
      <w:r w:rsidR="00C409A0" w:rsidRPr="00F259A2">
        <w:rPr>
          <w:color w:val="000000"/>
        </w:rPr>
        <w:t>t</w:t>
      </w:r>
      <w:r w:rsidRPr="00F259A2">
        <w:rPr>
          <w:color w:val="000000"/>
        </w:rPr>
        <w:t xml:space="preserve"> would indicate equal proportions </w:t>
      </w:r>
      <w:r w:rsidR="00670C23" w:rsidRPr="00F259A2">
        <w:rPr>
          <w:color w:val="000000"/>
        </w:rPr>
        <w:t>of both</w:t>
      </w:r>
      <w:r w:rsidRPr="00F259A2">
        <w:rPr>
          <w:color w:val="000000"/>
        </w:rPr>
        <w:t xml:space="preserve"> DNA</w:t>
      </w:r>
      <w:r w:rsidR="00670C23" w:rsidRPr="00F259A2">
        <w:rPr>
          <w:color w:val="000000"/>
        </w:rPr>
        <w:t>s</w:t>
      </w:r>
      <w:r w:rsidRPr="00F259A2">
        <w:rPr>
          <w:color w:val="000000"/>
        </w:rPr>
        <w:t xml:space="preserve"> and, thus, no copy number changes would be seen in the resulting profiles. The </w:t>
      </w:r>
      <w:r w:rsidR="00B62C61" w:rsidRPr="00F259A2">
        <w:rPr>
          <w:color w:val="000000"/>
        </w:rPr>
        <w:t>log</w:t>
      </w:r>
      <w:r w:rsidR="00B62C61" w:rsidRPr="00F259A2">
        <w:rPr>
          <w:color w:val="000000"/>
          <w:vertAlign w:val="subscript"/>
        </w:rPr>
        <w:t>2</w:t>
      </w:r>
      <w:r w:rsidR="00B62C61" w:rsidRPr="00F259A2">
        <w:rPr>
          <w:color w:val="000000"/>
        </w:rPr>
        <w:t>-</w:t>
      </w:r>
      <w:r w:rsidR="00DF7603" w:rsidRPr="00F259A2">
        <w:rPr>
          <w:color w:val="000000"/>
        </w:rPr>
        <w:t>-</w:t>
      </w:r>
      <w:r w:rsidR="00B62C61" w:rsidRPr="00F259A2">
        <w:rPr>
          <w:color w:val="000000"/>
        </w:rPr>
        <w:t xml:space="preserve">transformed mean intensity ratios </w:t>
      </w:r>
      <w:r w:rsidRPr="00F259A2">
        <w:rPr>
          <w:color w:val="000000"/>
        </w:rPr>
        <w:t>of single-</w:t>
      </w:r>
      <w:r w:rsidR="00DF7603" w:rsidRPr="00F259A2">
        <w:rPr>
          <w:color w:val="000000"/>
        </w:rPr>
        <w:t>-</w:t>
      </w:r>
      <w:r w:rsidRPr="00F259A2">
        <w:rPr>
          <w:color w:val="000000"/>
        </w:rPr>
        <w:t xml:space="preserve">copy losses and gains would exactly be </w:t>
      </w:r>
      <m:oMath>
        <m:func>
          <m:funcPr>
            <m:ctrlPr>
              <w:rPr>
                <w:rFonts w:ascii="Cambria Math" w:hAnsi="Cambria Math"/>
                <w:i/>
                <w:color w:val="000000"/>
              </w:rPr>
            </m:ctrlPr>
          </m:funcPr>
          <m:fName>
            <m:sSub>
              <m:sSubPr>
                <m:ctrlPr>
                  <w:rPr>
                    <w:rFonts w:ascii="Cambria Math" w:hAnsi="Cambria Math"/>
                    <w:i/>
                    <w:color w:val="000000"/>
                  </w:rPr>
                </m:ctrlPr>
              </m:sSubPr>
              <m:e>
                <m:r>
                  <m:rPr>
                    <m:sty m:val="p"/>
                  </m:rPr>
                  <w:rPr>
                    <w:rFonts w:ascii="Cambria Math" w:hAnsi="Cambria Math"/>
                    <w:color w:val="000000"/>
                  </w:rPr>
                  <m:t>log</m:t>
                </m:r>
              </m:e>
              <m:sub>
                <m:r>
                  <w:rPr>
                    <w:rFonts w:ascii="Cambria Math" w:hAnsi="Cambria Math"/>
                    <w:color w:val="000000"/>
                  </w:rPr>
                  <m:t>2</m:t>
                </m:r>
              </m:sub>
            </m:sSub>
          </m:fName>
          <m:e>
            <m:box>
              <m:boxPr>
                <m:ctrlPr>
                  <w:rPr>
                    <w:rFonts w:ascii="Cambria Math" w:hAnsi="Cambria Math"/>
                    <w:i/>
                    <w:color w:val="000000"/>
                  </w:rPr>
                </m:ctrlPr>
              </m:boxPr>
              <m:e>
                <m:argPr>
                  <m:argSz m:val="-1"/>
                </m:argP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2</m:t>
                    </m:r>
                  </m:den>
                </m:f>
              </m:e>
            </m:box>
          </m:e>
        </m:func>
        <m:r>
          <w:rPr>
            <w:rFonts w:ascii="Cambria Math" w:hAnsi="Cambria Math"/>
            <w:color w:val="000000"/>
          </w:rPr>
          <m:t xml:space="preserve"> </m:t>
        </m:r>
      </m:oMath>
      <w:r w:rsidRPr="00F259A2">
        <w:rPr>
          <w:color w:val="000000"/>
        </w:rPr>
        <w:t xml:space="preserve">= -1 and </w:t>
      </w:r>
      <m:oMath>
        <m:func>
          <m:funcPr>
            <m:ctrlPr>
              <w:rPr>
                <w:rFonts w:ascii="Cambria Math" w:hAnsi="Cambria Math"/>
                <w:i/>
                <w:color w:val="000000"/>
              </w:rPr>
            </m:ctrlPr>
          </m:funcPr>
          <m:fName>
            <m:sSub>
              <m:sSubPr>
                <m:ctrlPr>
                  <w:rPr>
                    <w:rFonts w:ascii="Cambria Math" w:hAnsi="Cambria Math"/>
                    <w:i/>
                    <w:color w:val="000000"/>
                  </w:rPr>
                </m:ctrlPr>
              </m:sSubPr>
              <m:e>
                <m:r>
                  <m:rPr>
                    <m:sty m:val="p"/>
                  </m:rPr>
                  <w:rPr>
                    <w:rFonts w:ascii="Cambria Math" w:hAnsi="Cambria Math"/>
                    <w:color w:val="000000"/>
                  </w:rPr>
                  <m:t>log</m:t>
                </m:r>
              </m:e>
              <m:sub>
                <m:r>
                  <w:rPr>
                    <w:rFonts w:ascii="Cambria Math" w:hAnsi="Cambria Math"/>
                    <w:color w:val="000000"/>
                  </w:rPr>
                  <m:t>2</m:t>
                </m:r>
              </m:sub>
            </m:sSub>
          </m:fName>
          <m:e>
            <m:box>
              <m:boxPr>
                <m:ctrlPr>
                  <w:rPr>
                    <w:rFonts w:ascii="Cambria Math" w:hAnsi="Cambria Math"/>
                    <w:i/>
                    <w:color w:val="000000"/>
                  </w:rPr>
                </m:ctrlPr>
              </m:boxPr>
              <m:e>
                <m:argPr>
                  <m:argSz m:val="-1"/>
                </m:argPr>
                <m:f>
                  <m:fPr>
                    <m:ctrlPr>
                      <w:rPr>
                        <w:rFonts w:ascii="Cambria Math" w:hAnsi="Cambria Math"/>
                        <w:i/>
                        <w:color w:val="000000"/>
                      </w:rPr>
                    </m:ctrlPr>
                  </m:fPr>
                  <m:num>
                    <m:r>
                      <w:rPr>
                        <w:rFonts w:ascii="Cambria Math" w:hAnsi="Cambria Math"/>
                        <w:color w:val="000000"/>
                      </w:rPr>
                      <m:t>3</m:t>
                    </m:r>
                  </m:num>
                  <m:den>
                    <m:r>
                      <w:rPr>
                        <w:rFonts w:ascii="Cambria Math" w:hAnsi="Cambria Math"/>
                        <w:color w:val="000000"/>
                      </w:rPr>
                      <m:t>2</m:t>
                    </m:r>
                  </m:den>
                </m:f>
              </m:e>
            </m:box>
          </m:e>
        </m:func>
      </m:oMath>
      <w:r w:rsidRPr="00F259A2">
        <w:rPr>
          <w:color w:val="000000"/>
        </w:rPr>
        <w:t xml:space="preserve"> = 0.6, respectively. Multiple-</w:t>
      </w:r>
      <w:r w:rsidR="00DF7603" w:rsidRPr="00F259A2">
        <w:rPr>
          <w:color w:val="000000"/>
        </w:rPr>
        <w:t>-</w:t>
      </w:r>
      <w:r w:rsidRPr="00F259A2">
        <w:rPr>
          <w:color w:val="000000"/>
        </w:rPr>
        <w:t xml:space="preserve">copy gains or amplifications frequently found for oncogenes in tumours would relate to </w:t>
      </w:r>
      <m:oMath>
        <m:func>
          <m:funcPr>
            <m:ctrlPr>
              <w:rPr>
                <w:rFonts w:ascii="Cambria Math" w:hAnsi="Cambria Math"/>
                <w:i/>
                <w:color w:val="000000"/>
              </w:rPr>
            </m:ctrlPr>
          </m:funcPr>
          <m:fName>
            <m:sSub>
              <m:sSubPr>
                <m:ctrlPr>
                  <w:rPr>
                    <w:rFonts w:ascii="Cambria Math" w:hAnsi="Cambria Math"/>
                    <w:i/>
                    <w:color w:val="000000"/>
                  </w:rPr>
                </m:ctrlPr>
              </m:sSubPr>
              <m:e>
                <m:r>
                  <m:rPr>
                    <m:sty m:val="p"/>
                  </m:rPr>
                  <w:rPr>
                    <w:rFonts w:ascii="Cambria Math" w:hAnsi="Cambria Math"/>
                    <w:color w:val="000000"/>
                  </w:rPr>
                  <m:t>log</m:t>
                </m:r>
              </m:e>
              <m:sub>
                <m:r>
                  <w:rPr>
                    <w:rFonts w:ascii="Cambria Math" w:hAnsi="Cambria Math"/>
                    <w:color w:val="000000"/>
                  </w:rPr>
                  <m:t>2</m:t>
                </m:r>
              </m:sub>
            </m:sSub>
          </m:fName>
          <m:e>
            <m:box>
              <m:boxPr>
                <m:ctrlPr>
                  <w:rPr>
                    <w:rFonts w:ascii="Cambria Math" w:hAnsi="Cambria Math"/>
                    <w:i/>
                    <w:color w:val="000000"/>
                  </w:rPr>
                </m:ctrlPr>
              </m:boxPr>
              <m:e>
                <m:argPr>
                  <m:argSz m:val="-1"/>
                </m:argPr>
                <m:f>
                  <m:fPr>
                    <m:ctrlPr>
                      <w:rPr>
                        <w:rFonts w:ascii="Cambria Math" w:hAnsi="Cambria Math"/>
                        <w:i/>
                        <w:color w:val="000000"/>
                      </w:rPr>
                    </m:ctrlPr>
                  </m:fPr>
                  <m:num>
                    <m:r>
                      <w:rPr>
                        <w:rFonts w:ascii="Cambria Math" w:hAnsi="Cambria Math"/>
                        <w:color w:val="000000"/>
                      </w:rPr>
                      <m:t>4</m:t>
                    </m:r>
                  </m:num>
                  <m:den>
                    <m:r>
                      <w:rPr>
                        <w:rFonts w:ascii="Cambria Math" w:hAnsi="Cambria Math"/>
                        <w:color w:val="000000"/>
                      </w:rPr>
                      <m:t>2</m:t>
                    </m:r>
                  </m:den>
                </m:f>
              </m:e>
            </m:box>
          </m:e>
        </m:func>
      </m:oMath>
      <w:r w:rsidRPr="00F259A2">
        <w:rPr>
          <w:color w:val="000000"/>
        </w:rPr>
        <w:t xml:space="preserve"> = 1, </w:t>
      </w:r>
      <m:oMath>
        <m:func>
          <m:funcPr>
            <m:ctrlPr>
              <w:rPr>
                <w:rFonts w:ascii="Cambria Math" w:hAnsi="Cambria Math"/>
                <w:i/>
                <w:color w:val="000000"/>
              </w:rPr>
            </m:ctrlPr>
          </m:funcPr>
          <m:fName>
            <m:sSub>
              <m:sSubPr>
                <m:ctrlPr>
                  <w:rPr>
                    <w:rFonts w:ascii="Cambria Math" w:hAnsi="Cambria Math"/>
                    <w:i/>
                    <w:color w:val="000000"/>
                  </w:rPr>
                </m:ctrlPr>
              </m:sSubPr>
              <m:e>
                <m:r>
                  <m:rPr>
                    <m:sty m:val="p"/>
                  </m:rPr>
                  <w:rPr>
                    <w:rFonts w:ascii="Cambria Math" w:hAnsi="Cambria Math"/>
                    <w:color w:val="000000"/>
                  </w:rPr>
                  <m:t>log</m:t>
                </m:r>
              </m:e>
              <m:sub>
                <m:r>
                  <w:rPr>
                    <w:rFonts w:ascii="Cambria Math" w:hAnsi="Cambria Math"/>
                    <w:color w:val="000000"/>
                  </w:rPr>
                  <m:t>2</m:t>
                </m:r>
              </m:sub>
            </m:sSub>
          </m:fName>
          <m:e>
            <m:box>
              <m:boxPr>
                <m:ctrlPr>
                  <w:rPr>
                    <w:rFonts w:ascii="Cambria Math" w:hAnsi="Cambria Math"/>
                    <w:i/>
                    <w:color w:val="000000"/>
                  </w:rPr>
                </m:ctrlPr>
              </m:boxPr>
              <m:e>
                <m:argPr>
                  <m:argSz m:val="-1"/>
                </m:argPr>
                <m:f>
                  <m:fPr>
                    <m:ctrlPr>
                      <w:rPr>
                        <w:rFonts w:ascii="Cambria Math" w:hAnsi="Cambria Math"/>
                        <w:i/>
                        <w:color w:val="000000"/>
                      </w:rPr>
                    </m:ctrlPr>
                  </m:fPr>
                  <m:num>
                    <m:r>
                      <w:rPr>
                        <w:rFonts w:ascii="Cambria Math" w:hAnsi="Cambria Math"/>
                        <w:color w:val="000000"/>
                      </w:rPr>
                      <m:t>5</m:t>
                    </m:r>
                  </m:num>
                  <m:den>
                    <m:r>
                      <w:rPr>
                        <w:rFonts w:ascii="Cambria Math" w:hAnsi="Cambria Math"/>
                        <w:color w:val="000000"/>
                      </w:rPr>
                      <m:t>2</m:t>
                    </m:r>
                  </m:den>
                </m:f>
              </m:e>
            </m:box>
          </m:e>
        </m:func>
      </m:oMath>
      <w:r w:rsidRPr="00F259A2">
        <w:rPr>
          <w:color w:val="000000"/>
        </w:rPr>
        <w:t xml:space="preserve"> = 1.3 and so on. Loss of both copies on the other hand or deletions, which are often associated with tumour</w:t>
      </w:r>
      <w:r w:rsidR="00DF7603" w:rsidRPr="00F259A2">
        <w:rPr>
          <w:color w:val="000000"/>
        </w:rPr>
        <w:t>-</w:t>
      </w:r>
      <w:r w:rsidRPr="00F259A2">
        <w:rPr>
          <w:color w:val="000000"/>
        </w:rPr>
        <w:t xml:space="preserve">-suppressor mutations, would correspond to a </w:t>
      </w:r>
      <w:r w:rsidR="00C409A0" w:rsidRPr="00F259A2">
        <w:rPr>
          <w:color w:val="000000"/>
        </w:rPr>
        <w:t xml:space="preserve">negative infinite </w:t>
      </w:r>
      <w:r w:rsidRPr="00F259A2">
        <w:rPr>
          <w:color w:val="000000"/>
        </w:rPr>
        <w:t xml:space="preserve">value </w:t>
      </w:r>
      <w:r w:rsidR="00C409A0" w:rsidRPr="00F259A2">
        <w:rPr>
          <w:color w:val="000000"/>
        </w:rPr>
        <w:t>(</w:t>
      </w:r>
      <w:r w:rsidR="00AD5B6B">
        <w:rPr>
          <w:color w:val="000000"/>
        </w:rPr>
        <w:t>--</w:t>
      </w:r>
      <w:r w:rsidRPr="00F259A2">
        <w:rPr>
          <w:color w:val="000000"/>
        </w:rPr>
        <w:t>∞</w:t>
      </w:r>
      <w:r w:rsidR="00C409A0" w:rsidRPr="00F259A2">
        <w:rPr>
          <w:color w:val="000000"/>
        </w:rPr>
        <w:t>)</w:t>
      </w:r>
      <w:r w:rsidRPr="00F259A2">
        <w:rPr>
          <w:color w:val="000000"/>
        </w:rPr>
        <w:t>. In this hypothetical situation, the genomic alterations can be easily deduced from the data without statistical techniques. However</w:t>
      </w:r>
      <w:r w:rsidR="00DF7603" w:rsidRPr="00F259A2">
        <w:rPr>
          <w:color w:val="000000"/>
        </w:rPr>
        <w:t>,</w:t>
      </w:r>
      <w:r w:rsidRPr="00F259A2">
        <w:rPr>
          <w:color w:val="000000"/>
        </w:rPr>
        <w:t xml:space="preserve"> under real world conditions, the log</w:t>
      </w:r>
      <w:r w:rsidRPr="00F259A2">
        <w:rPr>
          <w:color w:val="000000"/>
          <w:vertAlign w:val="subscript"/>
        </w:rPr>
        <w:t>2</w:t>
      </w:r>
      <w:r w:rsidRPr="00F259A2">
        <w:rPr>
          <w:color w:val="000000"/>
        </w:rPr>
        <w:t xml:space="preserve"> values may vary significantly from the calculated theoretical ratios. The main cause for this discrepancy can be found in the contamination of </w:t>
      </w:r>
      <w:r w:rsidR="00670C23" w:rsidRPr="00F259A2">
        <w:rPr>
          <w:color w:val="000000"/>
        </w:rPr>
        <w:t xml:space="preserve">tumour </w:t>
      </w:r>
      <w:r w:rsidRPr="00F259A2">
        <w:rPr>
          <w:color w:val="000000"/>
        </w:rPr>
        <w:t xml:space="preserve">samples with normal cells from the surrounding tissue as well as in the dependence between the fluorescence intensities of neighbouring DNA fragments on the array </w:t>
      </w:r>
      <w:r w:rsidR="009A377C" w:rsidRPr="004C25A9">
        <w:rPr>
          <w:b/>
          <w:i/>
          <w:color w:val="000000"/>
        </w:rPr>
        <w:fldChar w:fldCharType="begin"/>
      </w:r>
      <w:r w:rsidR="0042106E" w:rsidRPr="004C25A9">
        <w:rPr>
          <w:b/>
          <w:i/>
          <w:color w:val="000000"/>
        </w:rPr>
        <w:instrText xml:space="preserve"> ADDIN ZOTERO_ITEM CSL_CITATION {"citationID":"j0avbm191","properties":{"formattedCitation":"{\\rtf (\\b \\i 50\\i0{}\\b0{})}","plainCitation":"(50)"},"citationItems":[{"id":28,"uris":["http://zotero.org/users/1046410/items/6THBVDU7"],"uri":["http://zotero.org/users/1046410/items/6THBVDU7"],"itemData":{"id":28,"type":"article-journal","title":"Bayesian Hidden Markov Modeling of Array CGH Data","container-title":"Journal of the American Statistical Association","page":"485-497","volume":"103","issue":"482","abstract":"Genomic alterations have been linked to the development and progression of cancer. The technique of comparative genomic hybridization (CGH) yields data consisting of fluorescence intensity ratios of test and reference DNA samples. The intensity ratios provide information about the number of copies in DNA. Practical issues such as the contamination of tumor cells in tissue specimens and normalization errors necessitate the use of statistics for learning about the genomic alterations from array CGH data. As increasing amounts of array CGH data become available, there is a growing need for automated algorithms for characterizing genomic profiles. Specifically, there is a need for algorithms that can identify gains and losses in the number of copies based on statistical considerations, rather than merely detect trends in the data.We adopt a Bayesian approach, relying on the hidden Markov model to account for the inherent dependence in the intensity ratios. Posterior inferences are made about gains and losses in copy number. Localized amplifications (associated with oncogene mutations) and deletions (associated with mutations of tumor suppressors) are identified using posterior probabilities. Global trends such as extended regions of altered copy number are detected. Because the posterior distribution is analytically intractable, we implement a Metropolis-within-Gibbs algorithm for efficient simulation-based inference. Publicly available data on pancreatic adenocarcinoma, glioblastoma multiforme, and breast cancer are analyzed, and comparisons are made with some widely used algorithms to illustrate the reliability and success of the technique.","DOI":"10.1198/016214507000000923","note":"PMID: 22375091","journalAbbreviation":"J. Am. Stat. Assoc.","author":[{"family":"Guha","given":"Subharup"},{"family":"Li","given":"Yi"},{"family":"Neuberg","given":"Donna"}],"issued":{"year":2008,"month":6,"day":1},"accessed":{"year":2012,"month":7,"day":11},"page-first":"485"}}],"schema":"https://github.com/citation-style-language/schema/raw/master/csl-citation.json"} </w:instrText>
      </w:r>
      <w:r w:rsidR="009A377C" w:rsidRPr="004C25A9">
        <w:rPr>
          <w:b/>
          <w:i/>
          <w:color w:val="000000"/>
        </w:rPr>
        <w:fldChar w:fldCharType="separate"/>
      </w:r>
      <w:r w:rsidR="007D2E20" w:rsidRPr="004C25A9">
        <w:rPr>
          <w:b/>
          <w:i/>
        </w:rPr>
        <w:t>(</w:t>
      </w:r>
      <w:r w:rsidR="007D2E20" w:rsidRPr="004C25A9">
        <w:rPr>
          <w:b/>
          <w:bCs/>
          <w:i/>
          <w:iCs/>
        </w:rPr>
        <w:t>50</w:t>
      </w:r>
      <w:r w:rsidR="007D2E20" w:rsidRPr="004C25A9">
        <w:rPr>
          <w:b/>
          <w:i/>
        </w:rPr>
        <w:t>)</w:t>
      </w:r>
      <w:r w:rsidR="009A377C" w:rsidRPr="004C25A9">
        <w:rPr>
          <w:b/>
          <w:i/>
          <w:color w:val="000000"/>
        </w:rPr>
        <w:fldChar w:fldCharType="end"/>
      </w:r>
      <w:r w:rsidRPr="00F259A2">
        <w:rPr>
          <w:color w:val="000000"/>
        </w:rPr>
        <w:t xml:space="preserve">. </w:t>
      </w:r>
    </w:p>
    <w:p w14:paraId="67F9B70E" w14:textId="77777777" w:rsidR="00DA781E" w:rsidRPr="00F259A2" w:rsidRDefault="00DA781E" w:rsidP="008A5EE5">
      <w:pPr>
        <w:tabs>
          <w:tab w:val="left" w:pos="-1440"/>
          <w:tab w:val="left" w:pos="-720"/>
        </w:tabs>
        <w:suppressAutoHyphens/>
        <w:spacing w:line="480" w:lineRule="auto"/>
        <w:rPr>
          <w:color w:val="000000"/>
        </w:rPr>
      </w:pPr>
    </w:p>
    <w:p w14:paraId="71F07291" w14:textId="77777777" w:rsidR="00DA781E" w:rsidRPr="00F259A2" w:rsidRDefault="00DA781E" w:rsidP="008A5EE5">
      <w:pPr>
        <w:tabs>
          <w:tab w:val="left" w:pos="-1440"/>
          <w:tab w:val="left" w:pos="-720"/>
        </w:tabs>
        <w:suppressAutoHyphens/>
        <w:spacing w:line="480" w:lineRule="auto"/>
        <w:rPr>
          <w:color w:val="000000"/>
        </w:rPr>
      </w:pPr>
      <w:r w:rsidRPr="00F259A2">
        <w:rPr>
          <w:color w:val="000000"/>
        </w:rPr>
        <w:lastRenderedPageBreak/>
        <w:t xml:space="preserve">Hence, efficient and robust statistical algorithms </w:t>
      </w:r>
      <w:r w:rsidR="00644653" w:rsidRPr="00F259A2">
        <w:rPr>
          <w:color w:val="000000"/>
        </w:rPr>
        <w:t>need</w:t>
      </w:r>
      <w:r w:rsidRPr="00F259A2">
        <w:rPr>
          <w:color w:val="000000"/>
        </w:rPr>
        <w:t xml:space="preserve"> </w:t>
      </w:r>
      <w:r w:rsidR="00DF7603" w:rsidRPr="00F259A2">
        <w:rPr>
          <w:color w:val="000000"/>
        </w:rPr>
        <w:t xml:space="preserve">to </w:t>
      </w:r>
      <w:r w:rsidRPr="00F259A2">
        <w:rPr>
          <w:color w:val="000000"/>
        </w:rPr>
        <w:t>be developed in order to reliably characterize the CGH profiles. A recent popular approach to analyse and characterize array CGH data is the hidden Markov modelling of these data. This model favours a division of the signal into segments of constant copy number and a subsequent classification, which describes each segment as neutral, a loss or a gain. A disadvantage of this technique is the sensitivity towards outliers triggering over-</w:t>
      </w:r>
      <w:r w:rsidR="00CF6FC7" w:rsidRPr="00F259A2">
        <w:rPr>
          <w:color w:val="000000"/>
        </w:rPr>
        <w:t>-</w:t>
      </w:r>
      <w:r w:rsidRPr="00F259A2">
        <w:rPr>
          <w:color w:val="000000"/>
        </w:rPr>
        <w:t xml:space="preserve">segmentation with the consequence that segments then incorrectly stretch across very short regions </w:t>
      </w:r>
      <w:r w:rsidR="009A377C" w:rsidRPr="002C5973">
        <w:rPr>
          <w:b/>
          <w:i/>
          <w:color w:val="000000"/>
        </w:rPr>
        <w:fldChar w:fldCharType="begin"/>
      </w:r>
      <w:r w:rsidR="0042106E" w:rsidRPr="002C5973">
        <w:rPr>
          <w:b/>
          <w:i/>
          <w:color w:val="000000"/>
        </w:rPr>
        <w:instrText xml:space="preserve"> ADDIN ZOTERO_ITEM CSL_CITATION {"citationID":"283ireibfd","properties":{"formattedCitation":"{\\rtf (\\b \\i 51\\i0{}\\b0{})}","plainCitation":"(51)"},"citationItems":[{"id":29,"uris":["http://zotero.org/users/1046410/items/A4MU5ANZ"],"uri":["http://zotero.org/users/1046410/items/A4MU5ANZ"],"itemData":{"id":29,"type":"article-journal","title":"Integrating copy number polymorphisms into array CGH analysis using a robust HMM","container-title":"Bioinformatics (Oxford, England)","page":"e431-439","volume":"22","issue":"14","abstract":"MOTIVATION\n\nArray comparative genomic hybridization (aCGH) is a pervasive technique used to identify chromosomal aberrations in human diseases, including cancer. Aberrations are defined as regions of increased or decreased DNA copy number, relative to a normal sample. Accurately identifying the locations of these aberrations has many important medical applications. Unfortunately, the observed copy number changes are often corrupted by various sources of noise, making the boundaries hard to detect. One popular current technique uses hidden Markov models (HMMs) to divide the signal into regions of constant copy number called segments; a subsequent classification phase labels each segment as a gain, a loss or neutral. Unfortunately, standard HMMs are sensitive to outliers, causing over-segmentation, where segments erroneously span very short regions.\n\n\nRESULTS\n\nWe propose a simple modification that makes the HMM robust to such outliers. More importantly, this modification allows us to exploit prior knowledge about the likely location of \"outliers\", which are often due to copy number polymorphisms (CNPs). By \"explaining away\" these outliers with prior knowledge about the locations of CNPs, we can focus attention on the more clinically relevant aberrated regions. We show significant improvements over the current state of the art technique (DNAcopy with MergeLevels) on previously published data from mantle cell lymphoma cell lines, and on published benchmark synthetic data augmented with outliers.\n\n\nAVAILABILITY\n\nSource code written in Matlab is available from http://www.cs.ubc.ca/~sshah/acgh.","DOI":"10.1093/bioinformatics/btl238","note":"PMID: 16873504","journalAbbreviation":"Bioinformatics","author":[{"family":"Shah","given":"Sohrab P"},{"family":"Xuan","given":"Xiang"},{"family":"DeLeeuw","given":"Ron J"},{"family":"Khojasteh","given":"Mehrnoush"},{"family":"Lam","given":"Wan L"},{"family":"Ng","given":"Raymond"},{"family":"Murphy","given":"Kevin P"}],"issued":{"year":2006,"month":7,"day":15},"accessed":{"year":2012,"month":7,"day":11},"page-first":"e431"}}],"schema":"https://github.com/citation-style-language/schema/raw/master/csl-citation.json"} </w:instrText>
      </w:r>
      <w:r w:rsidR="009A377C" w:rsidRPr="002C5973">
        <w:rPr>
          <w:b/>
          <w:i/>
          <w:color w:val="000000"/>
        </w:rPr>
        <w:fldChar w:fldCharType="separate"/>
      </w:r>
      <w:r w:rsidR="007D2E20" w:rsidRPr="002C5973">
        <w:rPr>
          <w:b/>
          <w:i/>
        </w:rPr>
        <w:t>(</w:t>
      </w:r>
      <w:r w:rsidR="007D2E20" w:rsidRPr="002C5973">
        <w:rPr>
          <w:b/>
          <w:bCs/>
          <w:i/>
          <w:iCs/>
        </w:rPr>
        <w:t>51</w:t>
      </w:r>
      <w:r w:rsidR="007D2E20" w:rsidRPr="002C5973">
        <w:rPr>
          <w:b/>
          <w:i/>
        </w:rPr>
        <w:t>)</w:t>
      </w:r>
      <w:r w:rsidR="009A377C" w:rsidRPr="002C5973">
        <w:rPr>
          <w:b/>
          <w:i/>
          <w:color w:val="000000"/>
        </w:rPr>
        <w:fldChar w:fldCharType="end"/>
      </w:r>
      <w:r w:rsidRPr="00F259A2">
        <w:rPr>
          <w:color w:val="000000"/>
        </w:rPr>
        <w:t>. A modified hidden Markov model combines the necessity to account for the dependence between neighbouring DNA fragments with an adopted Bayesian approach, which assumes informative priors for the model parameters. The strong point of this Bayesian</w:t>
      </w:r>
      <w:r w:rsidR="00CF6FC7" w:rsidRPr="00F259A2">
        <w:rPr>
          <w:color w:val="000000"/>
        </w:rPr>
        <w:t xml:space="preserve"> </w:t>
      </w:r>
      <w:r w:rsidRPr="00F259A2">
        <w:rPr>
          <w:color w:val="000000"/>
        </w:rPr>
        <w:t>hidden Markov model is its reliability on essentially no tuning parameters; only the input of normalized log</w:t>
      </w:r>
      <w:r w:rsidRPr="00F259A2">
        <w:rPr>
          <w:color w:val="000000"/>
          <w:vertAlign w:val="subscript"/>
        </w:rPr>
        <w:t>2</w:t>
      </w:r>
      <w:r w:rsidRPr="00F259A2">
        <w:rPr>
          <w:color w:val="000000"/>
        </w:rPr>
        <w:t xml:space="preserve"> ratios is required, which is very convenient for the end user with little or no statistical training </w:t>
      </w:r>
      <w:r w:rsidR="009A377C" w:rsidRPr="00BF7D2A">
        <w:rPr>
          <w:b/>
          <w:i/>
          <w:color w:val="000000"/>
        </w:rPr>
        <w:fldChar w:fldCharType="begin"/>
      </w:r>
      <w:r w:rsidR="0042106E" w:rsidRPr="00BF7D2A">
        <w:rPr>
          <w:b/>
          <w:i/>
          <w:color w:val="000000"/>
        </w:rPr>
        <w:instrText xml:space="preserve"> ADDIN ZOTERO_ITEM CSL_CITATION {"citationID":"168hm5omka","properties":{"formattedCitation":"{\\rtf (\\b \\i 50\\i0{}\\b0{})}","plainCitation":"(50)"},"citationItems":[{"id":28,"uris":["http://zotero.org/users/1046410/items/6THBVDU7"],"uri":["http://zotero.org/users/1046410/items/6THBVDU7"],"itemData":{"id":28,"type":"article-journal","title":"Bayesian Hidden Markov Modeling of Array CGH Data","container-title":"Journal of the American Statistical Association","page":"485-497","volume":"103","issue":"482","abstract":"Genomic alterations have been linked to the development and progression of cancer. The technique of comparative genomic hybridization (CGH) yields data consisting of fluorescence intensity ratios of test and reference DNA samples. The intensity ratios provide information about the number of copies in DNA. Practical issues such as the contamination of tumor cells in tissue specimens and normalization errors necessitate the use of statistics for learning about the genomic alterations from array CGH data. As increasing amounts of array CGH data become available, there is a growing need for automated algorithms for characterizing genomic profiles. Specifically, there is a need for algorithms that can identify gains and losses in the number of copies based on statistical considerations, rather than merely detect trends in the data.We adopt a Bayesian approach, relying on the hidden Markov model to account for the inherent dependence in the intensity ratios. Posterior inferences are made about gains and losses in copy number. Localized amplifications (associated with oncogene mutations) and deletions (associated with mutations of tumor suppressors) are identified using posterior probabilities. Global trends such as extended regions of altered copy number are detected. Because the posterior distribution is analytically intractable, we implement a Metropolis-within-Gibbs algorithm for efficient simulation-based inference. Publicly available data on pancreatic adenocarcinoma, glioblastoma multiforme, and breast cancer are analyzed, and comparisons are made with some widely used algorithms to illustrate the reliability and success of the technique.","DOI":"10.1198/016214507000000923","note":"PMID: 22375091","journalAbbreviation":"J. Am. Stat. Assoc.","author":[{"family":"Guha","given":"Subharup"},{"family":"Li","given":"Yi"},{"family":"Neuberg","given":"Donna"}],"issued":{"year":2008,"month":6,"day":1},"accessed":{"year":2012,"month":7,"day":11},"page-first":"485"}}],"schema":"https://github.com/citation-style-language/schema/raw/master/csl-citation.json"} </w:instrText>
      </w:r>
      <w:r w:rsidR="009A377C" w:rsidRPr="00BF7D2A">
        <w:rPr>
          <w:b/>
          <w:i/>
          <w:color w:val="000000"/>
        </w:rPr>
        <w:fldChar w:fldCharType="separate"/>
      </w:r>
      <w:r w:rsidR="007D2E20" w:rsidRPr="00BF7D2A">
        <w:rPr>
          <w:b/>
          <w:i/>
        </w:rPr>
        <w:t>(</w:t>
      </w:r>
      <w:r w:rsidR="007D2E20" w:rsidRPr="00BF7D2A">
        <w:rPr>
          <w:b/>
          <w:bCs/>
          <w:i/>
          <w:iCs/>
        </w:rPr>
        <w:t>50</w:t>
      </w:r>
      <w:r w:rsidR="007D2E20" w:rsidRPr="00BF7D2A">
        <w:rPr>
          <w:b/>
          <w:i/>
        </w:rPr>
        <w:t>)</w:t>
      </w:r>
      <w:r w:rsidR="009A377C" w:rsidRPr="00BF7D2A">
        <w:rPr>
          <w:b/>
          <w:i/>
          <w:color w:val="000000"/>
        </w:rPr>
        <w:fldChar w:fldCharType="end"/>
      </w:r>
      <w:r w:rsidRPr="00F259A2">
        <w:rPr>
          <w:color w:val="000000"/>
        </w:rPr>
        <w:t>.</w:t>
      </w:r>
    </w:p>
    <w:p w14:paraId="306826C1" w14:textId="77777777" w:rsidR="00805AE0" w:rsidRPr="00F259A2" w:rsidRDefault="00805AE0" w:rsidP="008A5EE5">
      <w:pPr>
        <w:tabs>
          <w:tab w:val="left" w:pos="-1440"/>
          <w:tab w:val="left" w:pos="-720"/>
        </w:tabs>
        <w:suppressAutoHyphens/>
        <w:spacing w:line="480" w:lineRule="auto"/>
        <w:rPr>
          <w:color w:val="000000"/>
        </w:rPr>
      </w:pPr>
    </w:p>
    <w:p w14:paraId="26A37A2E" w14:textId="77777777" w:rsidR="00DA781E" w:rsidRPr="00F259A2" w:rsidRDefault="00DA781E" w:rsidP="008A5EE5">
      <w:pPr>
        <w:pStyle w:val="Heading2"/>
        <w:spacing w:line="480" w:lineRule="auto"/>
        <w:rPr>
          <w:rFonts w:ascii="Times New Roman" w:hAnsi="Times New Roman" w:cs="Times New Roman"/>
          <w:color w:val="000000"/>
          <w:sz w:val="24"/>
          <w:szCs w:val="24"/>
        </w:rPr>
      </w:pPr>
      <w:r w:rsidRPr="00F259A2">
        <w:rPr>
          <w:rFonts w:ascii="Times New Roman" w:hAnsi="Times New Roman" w:cs="Times New Roman"/>
          <w:color w:val="000000"/>
          <w:sz w:val="24"/>
          <w:szCs w:val="24"/>
        </w:rPr>
        <w:t>1.3. Toxicogenomics</w:t>
      </w:r>
    </w:p>
    <w:p w14:paraId="6892F5CC" w14:textId="77777777" w:rsidR="0019277F" w:rsidRPr="00F259A2" w:rsidRDefault="0019277F" w:rsidP="008A5EE5">
      <w:pPr>
        <w:tabs>
          <w:tab w:val="left" w:pos="-1440"/>
          <w:tab w:val="left" w:pos="-720"/>
        </w:tabs>
        <w:suppressAutoHyphens/>
        <w:spacing w:line="480" w:lineRule="auto"/>
        <w:rPr>
          <w:color w:val="000000"/>
        </w:rPr>
      </w:pPr>
    </w:p>
    <w:p w14:paraId="68EC9110" w14:textId="77777777" w:rsidR="00DA781E" w:rsidRPr="00F259A2" w:rsidRDefault="00C409A0" w:rsidP="008A5EE5">
      <w:pPr>
        <w:tabs>
          <w:tab w:val="left" w:pos="-1440"/>
          <w:tab w:val="left" w:pos="-720"/>
        </w:tabs>
        <w:suppressAutoHyphens/>
        <w:spacing w:line="480" w:lineRule="auto"/>
        <w:rPr>
          <w:color w:val="000000"/>
        </w:rPr>
      </w:pPr>
      <w:r w:rsidRPr="00F259A2">
        <w:rPr>
          <w:color w:val="000000"/>
        </w:rPr>
        <w:t xml:space="preserve">In the wake of microarray technologies new scientific fields </w:t>
      </w:r>
      <w:r w:rsidR="00D500DA" w:rsidRPr="00F259A2">
        <w:rPr>
          <w:color w:val="000000"/>
        </w:rPr>
        <w:t xml:space="preserve">have </w:t>
      </w:r>
      <w:r w:rsidRPr="00F259A2">
        <w:rPr>
          <w:color w:val="000000"/>
        </w:rPr>
        <w:t>emerged</w:t>
      </w:r>
      <w:r w:rsidR="00CF6FC7" w:rsidRPr="00F259A2">
        <w:rPr>
          <w:color w:val="000000"/>
        </w:rPr>
        <w:t>,</w:t>
      </w:r>
      <w:r w:rsidRPr="00F259A2">
        <w:rPr>
          <w:color w:val="000000"/>
        </w:rPr>
        <w:t xml:space="preserve"> opening new ways for researchers. </w:t>
      </w:r>
      <w:r w:rsidR="00DA781E" w:rsidRPr="00F259A2">
        <w:rPr>
          <w:color w:val="000000"/>
        </w:rPr>
        <w:t>Toxicogenomics</w:t>
      </w:r>
      <w:r w:rsidRPr="00F259A2">
        <w:rPr>
          <w:color w:val="000000"/>
        </w:rPr>
        <w:t xml:space="preserve"> was one of them as it </w:t>
      </w:r>
      <w:r w:rsidR="00DA781E" w:rsidRPr="00F259A2">
        <w:rPr>
          <w:color w:val="000000"/>
        </w:rPr>
        <w:t>investigates how the genome reacts to hazardous substances and identifies genes that respond to groups or categories of chemicals by using high</w:t>
      </w:r>
      <w:r w:rsidR="00CF6FC7" w:rsidRPr="00F259A2">
        <w:rPr>
          <w:color w:val="000000"/>
        </w:rPr>
        <w:t>-</w:t>
      </w:r>
      <w:r w:rsidR="00DA781E" w:rsidRPr="00F259A2">
        <w:rPr>
          <w:color w:val="000000"/>
        </w:rPr>
        <w:t>-throughput “omics” technologies such as genomic</w:t>
      </w:r>
      <w:r w:rsidR="00AD5B6B">
        <w:rPr>
          <w:color w:val="000000"/>
        </w:rPr>
        <w:t>--</w:t>
      </w:r>
      <w:r w:rsidR="00DA781E" w:rsidRPr="00F259A2">
        <w:rPr>
          <w:color w:val="000000"/>
        </w:rPr>
        <w:t>scale mRNA expression (transcriptomics), cell-</w:t>
      </w:r>
      <w:r w:rsidR="00CF6FC7" w:rsidRPr="00F259A2">
        <w:rPr>
          <w:color w:val="000000"/>
        </w:rPr>
        <w:t>-</w:t>
      </w:r>
      <w:r w:rsidR="00DA781E" w:rsidRPr="00F259A2">
        <w:rPr>
          <w:color w:val="000000"/>
        </w:rPr>
        <w:t xml:space="preserve"> and tissue-</w:t>
      </w:r>
      <w:r w:rsidR="00CF6FC7" w:rsidRPr="00F259A2">
        <w:rPr>
          <w:color w:val="000000"/>
        </w:rPr>
        <w:t>-</w:t>
      </w:r>
      <w:r w:rsidR="00DA781E" w:rsidRPr="00F259A2">
        <w:rPr>
          <w:color w:val="000000"/>
        </w:rPr>
        <w:t xml:space="preserve">wide protein expression (proteomics) as well as metabolite profiling (metabolomics) in combination with bioinformatics and conventional toxicology </w:t>
      </w:r>
      <w:r w:rsidR="009A377C" w:rsidRPr="004E3A89">
        <w:rPr>
          <w:b/>
          <w:i/>
          <w:color w:val="000000"/>
        </w:rPr>
        <w:fldChar w:fldCharType="begin"/>
      </w:r>
      <w:r w:rsidR="0042106E" w:rsidRPr="004E3A89">
        <w:rPr>
          <w:b/>
          <w:i/>
          <w:color w:val="000000"/>
        </w:rPr>
        <w:instrText xml:space="preserve"> ADDIN ZOTERO_ITEM CSL_CITATION {"citationID":"sWmTFxU6","properties":{"formattedCitation":"{\\rtf (\\b \\i 52\\i0{}\\b0{}; \\b \\i 53\\i0{}\\b0{})}","plainCitation":"(52; 53)"},"citationItems":[{"id":210,"uris":["http://zotero.org/users/1046410/items/PXMRAMPR"],"uri":["http://zotero.org/users/1046410/items/PXMRAMPR"],"itemData":{"id":210,"type":"article","title":"Series on Testing and Assessment No. 100 - Report of the Second Survey on Available Omics Tools (ENV/JM/MONO(2008)35)","publisher":"OECD Environment, Health and Safety Publications","URL":"http://www.oecd.org/officialdocuments/displaydocument/?cote=env/jm/mono(2008)35&amp;doclanguage=en","author":[{"family":"OECD","given":""}],"issued":{"year":2009},"accessed":{"year":2012,"month":6,"day":29}},"label":"page"},{"id":257,"uris":["http://zotero.org/users/1046410/items/VZUD3IU7"],"uri":["http://zotero.org/users/1046410/items/VZUD3IU7"],"itemData":{"id":257,"type":"article-journal","title":"Genetic toxicology in the 21st century: reflections and future directions","container-title":"Environmental and molecular mutagenesis","page":"339-354","volume":"52","issue":"5","abstract":"A symposium at the 40th anniversary of the Environmental Mutagen Society, held from October 24-28, 2009 in St. Louis, MO, surveyed the current status and future directions of genetic toxicology. This article summarizes the presentations and provides a perspective on the future. An abbreviated history is presented, highlighting the current standard battery of genotoxicity assays and persistent challenges. Application of computational toxicology to safety testing within a regulatory setting is discussed as a means for reducing the need for animal testing and human clinical trials, and current approaches and applications of in silico genotoxicity screening approaches across the pharmaceutical industry were surveyed and are reported here. The expanded use of toxicogenomics to illuminate mechanisms and bridge genotoxicity and carcinogenicity, and new public efforts to use high-throughput screening technologies to address lack of toxicity evaluation for the backlog of thousands of industrial chemicals in the environment are detailed. The Tox21 project involves coordinated efforts of four U.S. Government regulatory/research entities to use new and innovative assays to characterize key steps in toxicity pathways, including genotoxic and nongenotoxic mechanisms for carcinogenesis. Progress to date, highlighting preliminary test results from the National Toxicology Program is summarized. Finally, an overview is presented of ToxCast™, a related research program of the U.S. Environmental Protection Agency, using a broad array of high throughput and high content technologies for toxicity profiling of environmental chemicals, and computational toxicology modeling. Progress and challenges, including the pressing need to incorporate metabolic activation capability, are summarized.","DOI":"10.1002/em.20653","note":"PMID: 21538556","shortTitle":"Genetic toxicology in the 21st century","journalAbbreviation":"Environ. Mol. Mutagen.","author":[{"family":"Mahadevan","given":"Brinda"},{"family":"Snyder","given":"Ronald D"},{"family":"Waters","given":"Michael D"},{"family":"Benz","given":"R Daniel"},{"family":"Kemper","given":"Raymond A"},{"family":"Tice","given":"Raymond R"},{"family":"Richard","given":"Ann M"}],"issued":{"year":2011,"month":6},"accessed":{"year":2012,"month":6,"day":29},"page-first":"339"}}],"schema":"https://github.com/citation-style-language/schema/raw/master/csl-citation.json"} </w:instrText>
      </w:r>
      <w:r w:rsidR="009A377C" w:rsidRPr="004E3A89">
        <w:rPr>
          <w:b/>
          <w:i/>
          <w:color w:val="000000"/>
        </w:rPr>
        <w:fldChar w:fldCharType="separate"/>
      </w:r>
      <w:r w:rsidR="007D2E20" w:rsidRPr="004E3A89">
        <w:rPr>
          <w:b/>
          <w:i/>
        </w:rPr>
        <w:t>(</w:t>
      </w:r>
      <w:r w:rsidR="007D2E20" w:rsidRPr="004E3A89">
        <w:rPr>
          <w:b/>
          <w:bCs/>
          <w:i/>
          <w:iCs/>
        </w:rPr>
        <w:t>52</w:t>
      </w:r>
      <w:r w:rsidR="00CF6FC7" w:rsidRPr="004E3A89">
        <w:rPr>
          <w:b/>
          <w:i/>
        </w:rPr>
        <w:t>,</w:t>
      </w:r>
      <w:r w:rsidR="007D2E20" w:rsidRPr="004E3A89">
        <w:rPr>
          <w:b/>
          <w:i/>
        </w:rPr>
        <w:t xml:space="preserve"> </w:t>
      </w:r>
      <w:r w:rsidR="007D2E20" w:rsidRPr="004E3A89">
        <w:rPr>
          <w:b/>
          <w:bCs/>
          <w:i/>
          <w:iCs/>
        </w:rPr>
        <w:t>53</w:t>
      </w:r>
      <w:r w:rsidR="007D2E20" w:rsidRPr="004E3A89">
        <w:rPr>
          <w:b/>
          <w:i/>
        </w:rPr>
        <w:t>)</w:t>
      </w:r>
      <w:r w:rsidR="009A377C" w:rsidRPr="004E3A89">
        <w:rPr>
          <w:b/>
          <w:i/>
          <w:color w:val="000000"/>
        </w:rPr>
        <w:fldChar w:fldCharType="end"/>
      </w:r>
      <w:r w:rsidR="00DA781E" w:rsidRPr="00F259A2">
        <w:rPr>
          <w:color w:val="000000"/>
        </w:rPr>
        <w:t>. In essence, toxicogenomics studies the relationship between the structure / activity of the genome and the detrimental biological effects of exogenous agents, enabling a multi</w:t>
      </w:r>
      <w:r w:rsidR="00AD5B6B">
        <w:rPr>
          <w:color w:val="000000"/>
        </w:rPr>
        <w:t>--</w:t>
      </w:r>
      <w:r w:rsidR="00DA781E" w:rsidRPr="00F259A2">
        <w:rPr>
          <w:color w:val="000000"/>
        </w:rPr>
        <w:t xml:space="preserve">endpoint </w:t>
      </w:r>
      <w:r w:rsidR="00DA781E" w:rsidRPr="00F259A2">
        <w:rPr>
          <w:color w:val="000000"/>
        </w:rPr>
        <w:lastRenderedPageBreak/>
        <w:t xml:space="preserve">analysis of previously inaccessible information about the functional activity of biochemical pathways and differences among individuals and species </w:t>
      </w:r>
      <w:r w:rsidR="009A377C" w:rsidRPr="003F7DC7">
        <w:rPr>
          <w:b/>
          <w:i/>
          <w:color w:val="000000"/>
        </w:rPr>
        <w:fldChar w:fldCharType="begin"/>
      </w:r>
      <w:r w:rsidR="0042106E" w:rsidRPr="003F7DC7">
        <w:rPr>
          <w:b/>
          <w:i/>
          <w:color w:val="000000"/>
        </w:rPr>
        <w:instrText xml:space="preserve"> ADDIN ZOTERO_ITEM CSL_CITATION {"citationID":"2eo7oth6rh","properties":{"formattedCitation":"{\\rtf (\\b \\i 54\\i0{}\\b0{})}","plainCitation":"(54)"},"citationItems":[{"id":229,"uris":["http://zotero.org/users/1046410/items/3D72K3NF"],"uri":["http://zotero.org/users/1046410/items/3D72K3NF"],"itemData":{"id":229,"type":"article-journal","title":"Toxicology and genetic toxicology in the new era of \"toxicogenomics\": impact of \"-omics\" technologies","container-title":"Mutation research","page":"13-25","volume":"499","issue":"1","abstract":"The unprecedented advances in molecular biology during the last two decades have resulted in a dramatic increase in knowledge about gene structure and function, an immense database of genetic sequence information, and an impressive set of efficient new technologies for monitoring genetic sequences, genetic variation, and global functional gene expression. These advances have led to a new sub-discipline of toxicology: \"toxicogenomics\". We define toxicogenomics as \"the study of the relationship between the structure and activity of the genome (the cellular complement of genes) and the adverse biological effects of exogenous agents\". This broad definition encompasses most of the variations in the current usage of this term, and in its broadest sense includes studies of the cellular products controlled by the genome (messenger RNAs, proteins, metabolites, etc.). The new \"global\" methods of measuring families of cellular molecules, such as RNA, proteins, and intermediary metabolites have been termed \"-omic\" technologies, based on their ability to characterize all, or most, members of a family of molecules in a single analysis. With these new tools, we can now obtain complete assessments of the functional activity of biochemical pathways, and of the structural genetic (sequence) differences among individuals and species, that were previously unattainable. These powerful new methods of high-throughput and multi-endpoint analysis include gene expression arrays that will soon permit the simultaneous measurement of the expression of all human genes on a single \"chip\". Likewise, there are powerful new methods for protein analysis (proteomics: the study of the complement of proteins in the cell) and for analysis of cellular small molecules (metabonomics: the study of the cellular metabolites formed and degraded under genetic control). This will likely be extended in the near future to other important classes of biomolecules such as lipids, carbohydrates, etc. These assays provide a general capability for global assessment of many classes of cellular molecules, providing new approaches to assessing functional cellular alterations. These new methods have already facilitated significant advances in our understanding of the molecular responses to cell and tissue damage, and of perturbations in functional cellular systems. As a result of this rapidly changing scientific environment, regulatory and industrial toxicology practice is poised to undergo dramatic change during the next decade. These advances present exciting opportunities for improved methods of identifying and evaluating potential human and environmental toxicants, and of monitoring the effects of exposures to these toxicants. These advances also present distinct challenges. For example, the significance of specific changes and the performance characteristics of new methods must be fully understood to avoid misinterpretation of data that could lead to inappropriate conclusions about the toxicity of a chemical or a mechanism of action. We discuss the likely impact of these advances on the fields of general and genetic toxicology, and risk assessment. We anticipate that these new technologies will (1) lead to new families of biomarkers that permit characterization and efficient monitoring of cellular perturbations, (2) provide an increased understanding of the influence of genetic variation on toxicological outcomes, and (3) allow definition of environmental causes of genetic alterations and their relationship to human disease. The broad application of these new approaches will likely erase the current distinctions among the fields of toxicology, pathology, genetic toxicology, and molecular genetics. Instead, a new integrated approach will likely emerge that involves a comprehensive understanding of genetic control of cellular functions, and of cellular responses to alterations in normal molecular structure and function.","note":"PMID: 11804602","shortTitle":"Toxicology and genetic toxicology in the new era of \"toxicogenomics\"","journalAbbreviation":"Mutat. Res.","author":[{"family":"Aardema","given":"Marilyn J"},{"family":"MacGregor","given":"James T"}],"issued":{"year":2002,"month":1,"day":29},"accessed":{"year":2012,"month":6,"day":29},"page-first":"13"}}],"schema":"https://github.com/citation-style-language/schema/raw/master/csl-citation.json"} </w:instrText>
      </w:r>
      <w:r w:rsidR="009A377C" w:rsidRPr="003F7DC7">
        <w:rPr>
          <w:b/>
          <w:i/>
          <w:color w:val="000000"/>
        </w:rPr>
        <w:fldChar w:fldCharType="separate"/>
      </w:r>
      <w:r w:rsidR="007D2E20" w:rsidRPr="003F7DC7">
        <w:rPr>
          <w:b/>
          <w:i/>
        </w:rPr>
        <w:t>(</w:t>
      </w:r>
      <w:r w:rsidR="007D2E20" w:rsidRPr="003F7DC7">
        <w:rPr>
          <w:b/>
          <w:bCs/>
          <w:i/>
          <w:iCs/>
        </w:rPr>
        <w:t>54</w:t>
      </w:r>
      <w:r w:rsidR="007D2E20" w:rsidRPr="003F7DC7">
        <w:rPr>
          <w:b/>
          <w:i/>
        </w:rPr>
        <w:t>)</w:t>
      </w:r>
      <w:r w:rsidR="009A377C" w:rsidRPr="003F7DC7">
        <w:rPr>
          <w:b/>
          <w:i/>
          <w:color w:val="000000"/>
        </w:rPr>
        <w:fldChar w:fldCharType="end"/>
      </w:r>
      <w:r w:rsidR="00DA781E" w:rsidRPr="00F259A2">
        <w:rPr>
          <w:color w:val="000000"/>
        </w:rPr>
        <w:t xml:space="preserve">. </w:t>
      </w:r>
    </w:p>
    <w:p w14:paraId="5685F99D" w14:textId="77777777" w:rsidR="00DA781E" w:rsidRPr="00F259A2" w:rsidRDefault="00DA781E" w:rsidP="008A5EE5">
      <w:pPr>
        <w:tabs>
          <w:tab w:val="left" w:pos="-1440"/>
          <w:tab w:val="left" w:pos="-720"/>
        </w:tabs>
        <w:suppressAutoHyphens/>
        <w:spacing w:line="480" w:lineRule="auto"/>
        <w:rPr>
          <w:color w:val="000000"/>
        </w:rPr>
      </w:pPr>
    </w:p>
    <w:p w14:paraId="6CC5DDF7" w14:textId="77777777" w:rsidR="00D73EAC" w:rsidRPr="00F259A2" w:rsidRDefault="00DA781E" w:rsidP="008A5EE5">
      <w:pPr>
        <w:tabs>
          <w:tab w:val="left" w:pos="-1440"/>
          <w:tab w:val="left" w:pos="-720"/>
        </w:tabs>
        <w:suppressAutoHyphens/>
        <w:spacing w:line="480" w:lineRule="auto"/>
        <w:rPr>
          <w:color w:val="000000"/>
        </w:rPr>
      </w:pPr>
      <w:r w:rsidRPr="00F259A2">
        <w:rPr>
          <w:color w:val="000000"/>
        </w:rPr>
        <w:t>Microarray technology in toxicological research allows the evaluation of toxin</w:t>
      </w:r>
      <w:r w:rsidR="00AD5B6B">
        <w:rPr>
          <w:color w:val="000000"/>
        </w:rPr>
        <w:t>--</w:t>
      </w:r>
      <w:r w:rsidRPr="00F259A2">
        <w:rPr>
          <w:color w:val="000000"/>
        </w:rPr>
        <w:t>modulated gene expression at mRNA level and</w:t>
      </w:r>
      <w:r w:rsidR="00D73EAC" w:rsidRPr="00F259A2">
        <w:rPr>
          <w:color w:val="000000"/>
        </w:rPr>
        <w:t>,</w:t>
      </w:r>
      <w:r w:rsidRPr="00F259A2">
        <w:rPr>
          <w:color w:val="000000"/>
        </w:rPr>
        <w:t xml:space="preserve"> thus</w:t>
      </w:r>
      <w:r w:rsidR="00D73EAC" w:rsidRPr="00F259A2">
        <w:rPr>
          <w:color w:val="000000"/>
        </w:rPr>
        <w:t>,</w:t>
      </w:r>
      <w:r w:rsidRPr="00F259A2">
        <w:rPr>
          <w:color w:val="000000"/>
        </w:rPr>
        <w:t xml:space="preserve"> reveals molecular mechanisms of toxicology. With this technology the identification of genes and their products being involved in resistance or sensibility to toxic compounds became possible </w:t>
      </w:r>
      <w:r w:rsidR="009A377C" w:rsidRPr="00573D75">
        <w:rPr>
          <w:b/>
          <w:i/>
          <w:color w:val="000000"/>
        </w:rPr>
        <w:fldChar w:fldCharType="begin"/>
      </w:r>
      <w:r w:rsidR="0042106E" w:rsidRPr="00573D75">
        <w:rPr>
          <w:b/>
          <w:i/>
          <w:color w:val="000000"/>
        </w:rPr>
        <w:instrText xml:space="preserve"> ADDIN ZOTERO_ITEM CSL_CITATION {"citationID":"10v47cras4","properties":{"formattedCitation":"{\\rtf (\\b \\i 55\\i0{}\\b0{})}","plainCitation":"(55)"},"citationItems":[{"id":267,"uris":["http://zotero.org/users/1046410/items/ES9VNGUZ"],"uri":["http://zotero.org/users/1046410/items/ES9VNGUZ"],"itemData":{"id":267,"type":"article-journal","title":"Use of microarray technologies in toxicology research","container-title":"Neurotoxicology","page":"321-332","volume":"24","issue":"3","abstract":"Microarray technology provides a unique tool for the determination of gene expression at the level of messenger RNA (mRNA). The simultaneous measurement of the entire human genome (thousands of genes) will facilitate the uncovering of specific gene expression patterns that are associated with disease. One important application of microarray technology, within the context of neurotoxicological studies, is its use as a screening tool for the identification of molecular mechanisms of toxicity. Such approaches enable researchers to identify those genes and their products (either single or whole pathways) that are involved in conferring resistance or sensitivity to toxic substances. This review addresses: (1) the potential uses of array data; (2) the various array platforms, highlighting both their advantages and disadvantages; (3) insights into data analysis and presentation strategies; and (4) concrete examples of DNA array studies in neurotoxicological research.","DOI":"10.1016/S0161-813X(02)00193-6","note":"PMID: 12782098","journalAbbreviation":"Neurotoxicology","author":[{"family":"Vrana","given":"Kent E"},{"family":"Freeman","given":"Willard M"},{"family":"Aschner","given":"Michael"}],"issued":{"year":2003,"month":6},"accessed":{"year":2012,"month":7,"day":6},"page-first":"321"}}],"schema":"https://github.com/citation-style-language/schema/raw/master/csl-citation.json"} </w:instrText>
      </w:r>
      <w:r w:rsidR="009A377C" w:rsidRPr="00573D75">
        <w:rPr>
          <w:b/>
          <w:i/>
          <w:color w:val="000000"/>
        </w:rPr>
        <w:fldChar w:fldCharType="separate"/>
      </w:r>
      <w:r w:rsidR="007D2E20" w:rsidRPr="00573D75">
        <w:rPr>
          <w:b/>
          <w:i/>
        </w:rPr>
        <w:t>(</w:t>
      </w:r>
      <w:r w:rsidR="007D2E20" w:rsidRPr="00573D75">
        <w:rPr>
          <w:b/>
          <w:bCs/>
          <w:i/>
          <w:iCs/>
        </w:rPr>
        <w:t>55</w:t>
      </w:r>
      <w:r w:rsidR="007D2E20" w:rsidRPr="00573D75">
        <w:rPr>
          <w:b/>
          <w:i/>
        </w:rPr>
        <w:t>)</w:t>
      </w:r>
      <w:r w:rsidR="009A377C" w:rsidRPr="00573D75">
        <w:rPr>
          <w:b/>
          <w:i/>
          <w:color w:val="000000"/>
        </w:rPr>
        <w:fldChar w:fldCharType="end"/>
      </w:r>
      <w:r w:rsidRPr="00F259A2">
        <w:rPr>
          <w:color w:val="000000"/>
        </w:rPr>
        <w:t>.</w:t>
      </w:r>
      <w:r w:rsidR="00CF6FC7" w:rsidRPr="00F259A2">
        <w:rPr>
          <w:color w:val="000000"/>
        </w:rPr>
        <w:t xml:space="preserve"> </w:t>
      </w:r>
      <w:r w:rsidRPr="00F259A2">
        <w:rPr>
          <w:color w:val="000000"/>
        </w:rPr>
        <w:t xml:space="preserve">A comparison of CGH technologies across microarray platforms such as BAC array, genotyping oligonucleotide array and RNA expression microarray showed similar variations per probe. They all performed at an optimal level to detect known copy number variations when using </w:t>
      </w:r>
      <w:r w:rsidR="00C179E2" w:rsidRPr="00F259A2">
        <w:rPr>
          <w:color w:val="000000"/>
        </w:rPr>
        <w:t xml:space="preserve">for instance </w:t>
      </w:r>
      <w:r w:rsidRPr="00F259A2">
        <w:rPr>
          <w:color w:val="000000"/>
        </w:rPr>
        <w:t>HL</w:t>
      </w:r>
      <w:r w:rsidR="00CF6FC7" w:rsidRPr="00F259A2">
        <w:rPr>
          <w:color w:val="000000"/>
        </w:rPr>
        <w:t>-</w:t>
      </w:r>
      <w:r w:rsidRPr="00F259A2">
        <w:rPr>
          <w:color w:val="000000"/>
        </w:rPr>
        <w:t xml:space="preserve">-60 cells. The evaluation of the performance of these platforms becomes more important </w:t>
      </w:r>
      <w:r w:rsidR="00C179E2" w:rsidRPr="00F259A2">
        <w:rPr>
          <w:color w:val="000000"/>
        </w:rPr>
        <w:t xml:space="preserve">in the future </w:t>
      </w:r>
      <w:r w:rsidRPr="00F259A2">
        <w:rPr>
          <w:color w:val="000000"/>
        </w:rPr>
        <w:t xml:space="preserve">as the array CGH technology continues to evolve </w:t>
      </w:r>
      <w:r w:rsidR="009A377C" w:rsidRPr="00573D75">
        <w:rPr>
          <w:b/>
          <w:i/>
          <w:color w:val="000000"/>
        </w:rPr>
        <w:fldChar w:fldCharType="begin"/>
      </w:r>
      <w:r w:rsidR="0042106E" w:rsidRPr="00573D75">
        <w:rPr>
          <w:b/>
          <w:i/>
          <w:color w:val="000000"/>
        </w:rPr>
        <w:instrText xml:space="preserve"> ADDIN ZOTERO_ITEM CSL_CITATION {"citationID":"8r4l89ut8","properties":{"formattedCitation":"{\\rtf (\\b \\i 36\\i0{}\\b0{})}","plainCitation":"(36)"},"citationItems":[{"id":5,"uris":["http://zotero.org/users/1046410/items/RJTVK75F"],"uri":["http://zotero.org/users/1046410/items/RJTVK75F"],"itemData":{"id":5,"type":"article-journal","title":"Comparison of comparative genomic hybridization technologies across microarray platforms","container-title":"Journal of biomolecular techniques: JBT","page":"135-151","volume":"20","issue":"2","abstract":"In the 2007 Association of Biomolecular Resource Facilities Microarray Research Group project, we analyzed HL-60 DNA with five platforms: Agilent, Affymetrix 500K, Affymetrix U133 Plus 2.0, Illumina, and RPCI 19K BAC arrays. Copy number variation was analyzed using circular binary segmentation (CBS) analysis of log ratio scores from four independently assessed hybridizations of each platform. Data obtained from these platforms were assessed for reproducibility and the ability to detect formerly reported copy number variations in HL-60. In HL-60, all of the tested platforms detected genomic DNA amplification of the 8q24 locus, trisomy 18, and monosomy X; and deletions at loci 5q11.2~q31, 9p21.3~p22, 10p12~p15, 14q22~q31, and 17p12~p13.3. In the HL-60 genome, at least two of the five platforms detected five novel losses and five novel gains. This report provides guidance in the selection of platforms based on this wide-ranging evaluation of available CGH platforms.","note":"PMID: 19503625","journalAbbreviation":"J Biomol Tech","author":[{"family":"Hester","given":"Susan D"},{"family":"Reid","given":"Laura"},{"family":"Nowak","given":"Norma"},{"family":"Jones","given":"Wendell D"},{"family":"Parker","given":"Joel S"},{"family":"Knudtson","given":"Kevin"},{"family":"Ward","given":"William"},{"family":"Tiesman","given":"Jay"},{"family":"Denslow","given":"Nancy D"}],"issued":{"year":2009,"month":4},"accessed":{"year":2012,"month":5,"day":23},"page-first":"135"}}],"schema":"https://github.com/citation-style-language/schema/raw/master/csl-citation.json"} </w:instrText>
      </w:r>
      <w:r w:rsidR="009A377C" w:rsidRPr="00573D75">
        <w:rPr>
          <w:b/>
          <w:i/>
          <w:color w:val="000000"/>
        </w:rPr>
        <w:fldChar w:fldCharType="separate"/>
      </w:r>
      <w:r w:rsidR="007D2E20" w:rsidRPr="00573D75">
        <w:rPr>
          <w:b/>
          <w:i/>
        </w:rPr>
        <w:t>(</w:t>
      </w:r>
      <w:r w:rsidR="007D2E20" w:rsidRPr="00573D75">
        <w:rPr>
          <w:b/>
          <w:bCs/>
          <w:i/>
          <w:iCs/>
        </w:rPr>
        <w:t>36</w:t>
      </w:r>
      <w:r w:rsidR="007D2E20" w:rsidRPr="00573D75">
        <w:rPr>
          <w:b/>
          <w:i/>
        </w:rPr>
        <w:t>)</w:t>
      </w:r>
      <w:r w:rsidR="009A377C" w:rsidRPr="00573D75">
        <w:rPr>
          <w:b/>
          <w:i/>
          <w:color w:val="000000"/>
        </w:rPr>
        <w:fldChar w:fldCharType="end"/>
      </w:r>
      <w:r w:rsidRPr="00F259A2">
        <w:rPr>
          <w:color w:val="000000"/>
        </w:rPr>
        <w:t>.</w:t>
      </w:r>
      <w:r w:rsidR="00CF6FC7" w:rsidRPr="00F259A2">
        <w:rPr>
          <w:color w:val="000000"/>
        </w:rPr>
        <w:t xml:space="preserve"> </w:t>
      </w:r>
      <w:proofErr w:type="spellStart"/>
      <w:r w:rsidR="00AE09D5" w:rsidRPr="00F259A2">
        <w:rPr>
          <w:color w:val="000000"/>
        </w:rPr>
        <w:t>Aardema</w:t>
      </w:r>
      <w:proofErr w:type="spellEnd"/>
      <w:r w:rsidR="00AE09D5" w:rsidRPr="00F259A2">
        <w:rPr>
          <w:color w:val="000000"/>
        </w:rPr>
        <w:t xml:space="preserve"> and McGregor anticipated </w:t>
      </w:r>
      <w:r w:rsidR="00CF6FC7" w:rsidRPr="00F259A2">
        <w:rPr>
          <w:color w:val="000000"/>
        </w:rPr>
        <w:t xml:space="preserve">in </w:t>
      </w:r>
      <w:r w:rsidR="00AE09D5" w:rsidRPr="00F259A2">
        <w:rPr>
          <w:color w:val="000000"/>
        </w:rPr>
        <w:t>2002 that this new technology will spawn new families of biomarkers permitting the characterization and efficient monitoring of cellular perturbation. This will the</w:t>
      </w:r>
      <w:r w:rsidR="00573D75">
        <w:rPr>
          <w:color w:val="000000"/>
        </w:rPr>
        <w:t>n</w:t>
      </w:r>
      <w:r w:rsidR="00AE09D5" w:rsidRPr="00F259A2">
        <w:rPr>
          <w:color w:val="000000"/>
        </w:rPr>
        <w:t xml:space="preserve"> lead to a </w:t>
      </w:r>
      <w:r w:rsidR="005C6355" w:rsidRPr="00F259A2">
        <w:rPr>
          <w:color w:val="000000"/>
        </w:rPr>
        <w:t>better knowledge</w:t>
      </w:r>
      <w:r w:rsidR="00AE09D5" w:rsidRPr="00F259A2">
        <w:rPr>
          <w:color w:val="000000"/>
        </w:rPr>
        <w:t xml:space="preserve"> of the influence of genetic variation on toxicological outcomes and </w:t>
      </w:r>
      <w:r w:rsidR="005C6355" w:rsidRPr="00F259A2">
        <w:rPr>
          <w:color w:val="000000"/>
        </w:rPr>
        <w:t xml:space="preserve">will </w:t>
      </w:r>
      <w:r w:rsidR="00AE09D5" w:rsidRPr="00F259A2">
        <w:rPr>
          <w:color w:val="000000"/>
        </w:rPr>
        <w:t xml:space="preserve">allow </w:t>
      </w:r>
      <w:r w:rsidR="005C6355" w:rsidRPr="00F259A2">
        <w:rPr>
          <w:color w:val="000000"/>
        </w:rPr>
        <w:t xml:space="preserve">the </w:t>
      </w:r>
      <w:r w:rsidR="00AE09D5" w:rsidRPr="00F259A2">
        <w:rPr>
          <w:color w:val="000000"/>
        </w:rPr>
        <w:t>definition of environmental causes of genetic alterations and their relationship to human disease</w:t>
      </w:r>
      <w:r w:rsidR="005C6355" w:rsidRPr="00F259A2">
        <w:rPr>
          <w:color w:val="000000"/>
        </w:rPr>
        <w:t>. Such an</w:t>
      </w:r>
      <w:r w:rsidR="00877AC0" w:rsidRPr="00F259A2">
        <w:rPr>
          <w:color w:val="000000"/>
        </w:rPr>
        <w:t xml:space="preserve"> integrated</w:t>
      </w:r>
      <w:r w:rsidR="005C6355" w:rsidRPr="00F259A2">
        <w:rPr>
          <w:color w:val="000000"/>
        </w:rPr>
        <w:t xml:space="preserve"> approach will </w:t>
      </w:r>
      <w:r w:rsidR="00C179E2" w:rsidRPr="00F259A2">
        <w:rPr>
          <w:color w:val="000000"/>
        </w:rPr>
        <w:t xml:space="preserve">most likely </w:t>
      </w:r>
      <w:r w:rsidR="005C6355" w:rsidRPr="00F259A2">
        <w:rPr>
          <w:color w:val="000000"/>
        </w:rPr>
        <w:t xml:space="preserve">amalgamate the fields </w:t>
      </w:r>
      <w:r w:rsidR="00C179E2" w:rsidRPr="00F259A2">
        <w:rPr>
          <w:color w:val="000000"/>
        </w:rPr>
        <w:t xml:space="preserve">of </w:t>
      </w:r>
      <w:r w:rsidR="005C6355" w:rsidRPr="00F259A2">
        <w:rPr>
          <w:color w:val="000000"/>
        </w:rPr>
        <w:t>cell pathology, toxicology, molecular genetics and genetic toxicology generating a comprehensive understanding of genetic control of cellular functions and of cellular responses to alterations in normal molecular structure and function</w:t>
      </w:r>
      <w:r w:rsidR="00CF6FC7" w:rsidRPr="00F259A2">
        <w:rPr>
          <w:color w:val="000000"/>
        </w:rPr>
        <w:t xml:space="preserve"> </w:t>
      </w:r>
      <w:r w:rsidR="009A377C" w:rsidRPr="00E855AA">
        <w:rPr>
          <w:b/>
          <w:i/>
          <w:color w:val="000000"/>
        </w:rPr>
        <w:fldChar w:fldCharType="begin"/>
      </w:r>
      <w:r w:rsidR="0042106E" w:rsidRPr="00E855AA">
        <w:rPr>
          <w:b/>
          <w:i/>
          <w:color w:val="000000"/>
        </w:rPr>
        <w:instrText xml:space="preserve"> ADDIN ZOTERO_ITEM CSL_CITATION {"citationID":"16ot6osaib","properties":{"formattedCitation":"{\\rtf (\\b \\i 54\\i0{}\\b0{})}","plainCitation":"(54)"},"citationItems":[{"id":229,"uris":["http://zotero.org/users/1046410/items/3D72K3NF"],"uri":["http://zotero.org/users/1046410/items/3D72K3NF"],"itemData":{"id":229,"type":"article-journal","title":"Toxicology and genetic toxicology in the new era of \"toxicogenomics\": impact of \"-omics\" technologies","container-title":"Mutation research","page":"13-25","volume":"499","issue":"1","abstract":"The unprecedented advances in molecular biology during the last two decades have resulted in a dramatic increase in knowledge about gene structure and function, an immense database of genetic sequence information, and an impressive set of efficient new technologies for monitoring genetic sequences, genetic variation, and global functional gene expression. These advances have led to a new sub-discipline of toxicology: \"toxicogenomics\". We define toxicogenomics as \"the study of the relationship between the structure and activity of the genome (the cellular complement of genes) and the adverse biological effects of exogenous agents\". This broad definition encompasses most of the variations in the current usage of this term, and in its broadest sense includes studies of the cellular products controlled by the genome (messenger RNAs, proteins, metabolites, etc.). The new \"global\" methods of measuring families of cellular molecules, such as RNA, proteins, and intermediary metabolites have been termed \"-omic\" technologies, based on their ability to characterize all, or most, members of a family of molecules in a single analysis. With these new tools, we can now obtain complete assessments of the functional activity of biochemical pathways, and of the structural genetic (sequence) differences among individuals and species, that were previously unattainable. These powerful new methods of high-throughput and multi-endpoint analysis include gene expression arrays that will soon permit the simultaneous measurement of the expression of all human genes on a single \"chip\". Likewise, there are powerful new methods for protein analysis (proteomics: the study of the complement of proteins in the cell) and for analysis of cellular small molecules (metabonomics: the study of the cellular metabolites formed and degraded under genetic control). This will likely be extended in the near future to other important classes of biomolecules such as lipids, carbohydrates, etc. These assays provide a general capability for global assessment of many classes of cellular molecules, providing new approaches to assessing functional cellular alterations. These new methods have already facilitated significant advances in our understanding of the molecular responses to cell and tissue damage, and of perturbations in functional cellular systems. As a result of this rapidly changing scientific environment, regulatory and industrial toxicology practice is poised to undergo dramatic change during the next decade. These advances present exciting opportunities for improved methods of identifying and evaluating potential human and environmental toxicants, and of monitoring the effects of exposures to these toxicants. These advances also present distinct challenges. For example, the significance of specific changes and the performance characteristics of new methods must be fully understood to avoid misinterpretation of data that could lead to inappropriate conclusions about the toxicity of a chemical or a mechanism of action. We discuss the likely impact of these advances on the fields of general and genetic toxicology, and risk assessment. We anticipate that these new technologies will (1) lead to new families of biomarkers that permit characterization and efficient monitoring of cellular perturbations, (2) provide an increased understanding of the influence of genetic variation on toxicological outcomes, and (3) allow definition of environmental causes of genetic alterations and their relationship to human disease. The broad application of these new approaches will likely erase the current distinctions among the fields of toxicology, pathology, genetic toxicology, and molecular genetics. Instead, a new integrated approach will likely emerge that involves a comprehensive understanding of genetic control of cellular functions, and of cellular responses to alterations in normal molecular structure and function.","note":"PMID: 11804602","shortTitle":"Toxicology and genetic toxicology in the new era of \"toxicogenomics\"","journalAbbreviation":"Mutat. Res.","author":[{"family":"Aardema","given":"Marilyn J"},{"family":"MacGregor","given":"James T"}],"issued":{"year":2002,"month":1,"day":29},"accessed":{"year":2012,"month":6,"day":29},"page-first":"13"}}],"schema":"https://github.com/citation-style-language/schema/raw/master/csl-citation.json"} </w:instrText>
      </w:r>
      <w:r w:rsidR="009A377C" w:rsidRPr="00E855AA">
        <w:rPr>
          <w:b/>
          <w:i/>
          <w:color w:val="000000"/>
        </w:rPr>
        <w:fldChar w:fldCharType="separate"/>
      </w:r>
      <w:r w:rsidR="007D2E20" w:rsidRPr="00E855AA">
        <w:rPr>
          <w:b/>
          <w:i/>
        </w:rPr>
        <w:t>(</w:t>
      </w:r>
      <w:r w:rsidR="007D2E20" w:rsidRPr="00E855AA">
        <w:rPr>
          <w:b/>
          <w:bCs/>
          <w:i/>
          <w:iCs/>
        </w:rPr>
        <w:t>54</w:t>
      </w:r>
      <w:r w:rsidR="007D2E20" w:rsidRPr="00E855AA">
        <w:rPr>
          <w:b/>
          <w:i/>
        </w:rPr>
        <w:t>)</w:t>
      </w:r>
      <w:r w:rsidR="009A377C" w:rsidRPr="00E855AA">
        <w:rPr>
          <w:b/>
          <w:i/>
          <w:color w:val="000000"/>
        </w:rPr>
        <w:fldChar w:fldCharType="end"/>
      </w:r>
      <w:r w:rsidR="00AE09D5" w:rsidRPr="00F259A2">
        <w:rPr>
          <w:color w:val="0000FF"/>
        </w:rPr>
        <w:t>.</w:t>
      </w:r>
      <w:r w:rsidR="00D73EAC" w:rsidRPr="00F259A2">
        <w:rPr>
          <w:color w:val="000000"/>
        </w:rPr>
        <w:t xml:space="preserve">This </w:t>
      </w:r>
      <w:r w:rsidR="00D65479" w:rsidRPr="00F259A2">
        <w:rPr>
          <w:color w:val="000000"/>
        </w:rPr>
        <w:t xml:space="preserve">integrated approach for example </w:t>
      </w:r>
      <w:r w:rsidR="00D73EAC" w:rsidRPr="00F259A2">
        <w:rPr>
          <w:color w:val="000000"/>
        </w:rPr>
        <w:t>has much to contribute to the early prediction of drug toxicity</w:t>
      </w:r>
      <w:r w:rsidR="00CF6FC7" w:rsidRPr="00F259A2">
        <w:rPr>
          <w:color w:val="000000"/>
        </w:rPr>
        <w:t xml:space="preserve"> </w:t>
      </w:r>
      <w:r w:rsidR="00D73EAC" w:rsidRPr="00F259A2">
        <w:rPr>
          <w:color w:val="000000"/>
        </w:rPr>
        <w:t xml:space="preserve">and adverse </w:t>
      </w:r>
      <w:r w:rsidR="00D65479" w:rsidRPr="00F259A2">
        <w:rPr>
          <w:color w:val="000000"/>
        </w:rPr>
        <w:t>d</w:t>
      </w:r>
      <w:r w:rsidR="00D73EAC" w:rsidRPr="00F259A2">
        <w:rPr>
          <w:color w:val="000000"/>
        </w:rPr>
        <w:t>rug reactions</w:t>
      </w:r>
      <w:r w:rsidR="00CF6FC7" w:rsidRPr="00F259A2">
        <w:rPr>
          <w:color w:val="000000"/>
        </w:rPr>
        <w:t xml:space="preserve"> </w:t>
      </w:r>
      <w:r w:rsidR="009A377C" w:rsidRPr="00932AEB">
        <w:rPr>
          <w:b/>
          <w:i/>
          <w:color w:val="000000"/>
        </w:rPr>
        <w:fldChar w:fldCharType="begin"/>
      </w:r>
      <w:r w:rsidR="0042106E" w:rsidRPr="00932AEB">
        <w:rPr>
          <w:b/>
          <w:i/>
          <w:color w:val="000000"/>
        </w:rPr>
        <w:instrText xml:space="preserve"> ADDIN ZOTERO_ITEM CSL_CITATION {"citationID":"ktpoaql3n","properties":{"formattedCitation":"{\\rtf (\\b \\i 56\\i0{}\\b0{})}","plainCitation":"(56)"},"citationItems":[{"id":32,"uris":["http://zotero.org/users/1046410/items/96RMAVQ4"],"uri":["http://zotero.org/users/1046410/items/96RMAVQ4"],"itemData":{"id":32,"type":"article-journal","title":"Genomic and proteomic approaches for predicting toxicity and adverse drug reactions","container-title":"Expert opinion on drug metabolism &amp; toxicology","page":"29-37","volume":"5","issue":"1","abstract":"BACKGROUND\n\nIn the toxicology field, it remains a major challenge to predict and understand drug toxicity and adverse drug reactions (ADRs) in man.\n\n\nOBJECTIVE\n\nRecent progress in genomics and proteomics technologies and their application in predicting drug toxicity and ADRs.\n\n\nMETHODS\n\nThe key genomic and proteomic approaches are outlined, their applications in predicting toxicity and ADRs are described and their future developments in this field are discussed.\n\n\nCONCLUSION\n\nThese technologies, used to measure expression at the transcript and protein levels, each convey different information and have different technical capabilities that can complement each other. The fields of genomics and proteomics continue to develop rapidly and it is already evident that genomic and proteomic approaches have much to contribute to the early prediction of drug toxicity and ADRs.","DOI":"10.1517/17425250802661895","note":"PMID: 19236227","journalAbbreviation":"Expert Opin Drug Metab Toxicol","author":[{"family":"Ge","given":"Feng"},{"family":"He","given":"Qing-Yu"}],"issued":{"year":2009,"month":1},"accessed":{"year":2012,"month":7,"day":24},"page-first":"29"}}],"schema":"https://github.com/citation-style-language/schema/raw/master/csl-citation.json"} </w:instrText>
      </w:r>
      <w:r w:rsidR="009A377C" w:rsidRPr="00932AEB">
        <w:rPr>
          <w:b/>
          <w:i/>
          <w:color w:val="000000"/>
        </w:rPr>
        <w:fldChar w:fldCharType="separate"/>
      </w:r>
      <w:r w:rsidR="007D2E20" w:rsidRPr="00932AEB">
        <w:rPr>
          <w:b/>
          <w:i/>
        </w:rPr>
        <w:t>(</w:t>
      </w:r>
      <w:r w:rsidR="007D2E20" w:rsidRPr="00932AEB">
        <w:rPr>
          <w:b/>
          <w:bCs/>
          <w:i/>
          <w:iCs/>
        </w:rPr>
        <w:t>56</w:t>
      </w:r>
      <w:r w:rsidR="007D2E20" w:rsidRPr="00932AEB">
        <w:rPr>
          <w:b/>
          <w:i/>
        </w:rPr>
        <w:t>)</w:t>
      </w:r>
      <w:r w:rsidR="009A377C" w:rsidRPr="00932AEB">
        <w:rPr>
          <w:b/>
          <w:i/>
          <w:color w:val="000000"/>
        </w:rPr>
        <w:fldChar w:fldCharType="end"/>
      </w:r>
      <w:r w:rsidR="00D65479" w:rsidRPr="00F259A2">
        <w:rPr>
          <w:color w:val="000000"/>
        </w:rPr>
        <w:t>.</w:t>
      </w:r>
    </w:p>
    <w:p w14:paraId="7DE13614" w14:textId="77777777" w:rsidR="005C6355" w:rsidRPr="00F259A2" w:rsidRDefault="005C6355" w:rsidP="008A5EE5">
      <w:pPr>
        <w:tabs>
          <w:tab w:val="left" w:pos="-1440"/>
          <w:tab w:val="left" w:pos="-720"/>
        </w:tabs>
        <w:suppressAutoHyphens/>
        <w:spacing w:line="480" w:lineRule="auto"/>
        <w:rPr>
          <w:color w:val="000000"/>
        </w:rPr>
      </w:pPr>
    </w:p>
    <w:p w14:paraId="43E48617" w14:textId="77777777" w:rsidR="00DA781E" w:rsidRPr="00F259A2" w:rsidRDefault="00DA781E" w:rsidP="008A5EE5">
      <w:pPr>
        <w:tabs>
          <w:tab w:val="left" w:pos="-1440"/>
          <w:tab w:val="left" w:pos="-720"/>
        </w:tabs>
        <w:suppressAutoHyphens/>
        <w:spacing w:line="480" w:lineRule="auto"/>
        <w:rPr>
          <w:color w:val="000000"/>
        </w:rPr>
      </w:pPr>
      <w:r w:rsidRPr="00F259A2">
        <w:rPr>
          <w:color w:val="000000"/>
        </w:rPr>
        <w:lastRenderedPageBreak/>
        <w:t>Toxicogenomics bridges genotoxicity and carcinogenicity with methods being commercially available for high throughput analyses. In the 21</w:t>
      </w:r>
      <w:r w:rsidRPr="00F259A2">
        <w:rPr>
          <w:color w:val="000000"/>
          <w:vertAlign w:val="superscript"/>
        </w:rPr>
        <w:t>st</w:t>
      </w:r>
      <w:r w:rsidRPr="00F259A2">
        <w:rPr>
          <w:color w:val="000000"/>
        </w:rPr>
        <w:t xml:space="preserve"> century</w:t>
      </w:r>
      <w:r w:rsidR="00CF6FC7" w:rsidRPr="00F259A2">
        <w:rPr>
          <w:color w:val="000000"/>
        </w:rPr>
        <w:t>,</w:t>
      </w:r>
      <w:r w:rsidRPr="00F259A2">
        <w:rPr>
          <w:color w:val="000000"/>
        </w:rPr>
        <w:t xml:space="preserve"> computational toxicology for safety testing within a regulatory setting will significantly contribute to a substantial reduction of animal testing and human clinical trials </w:t>
      </w:r>
      <w:r w:rsidR="009A377C" w:rsidRPr="00F259A2">
        <w:rPr>
          <w:color w:val="000000"/>
        </w:rPr>
        <w:fldChar w:fldCharType="begin"/>
      </w:r>
      <w:r w:rsidR="0042106E" w:rsidRPr="00F259A2">
        <w:rPr>
          <w:color w:val="000000"/>
        </w:rPr>
        <w:instrText xml:space="preserve"> ADDIN ZOTERO_ITEM CSL_CITATION {"citationID":"fdh77gema","properties":{"formattedCitation":"{\\rtf (\\b \\i 53\\i0{}\\b0{})}","plainCitation":"(53)"},"citationItems":[{"id":257,"uris":["http://zotero.org/users/1046410/items/VZUD3IU7"],"uri":["http://zotero.org/users/1046410/items/VZUD3IU7"],"itemData":{"id":257,"type":"article-journal","title":"Genetic toxicology in the 21st century: reflections and future directions","container-title":"Environmental and molecular mutagenesis","page":"339-354","volume":"52","issue":"5","abstract":"A symposium at the 40th anniversary of the Environmental Mutagen Society, held from October 24-28, 2009 in St. Louis, MO, surveyed the current status and future directions of genetic toxicology. This article summarizes the presentations and provides a perspective on the future. An abbreviated history is presented, highlighting the current standard battery of genotoxicity assays and persistent challenges. Application of computational toxicology to safety testing within a regulatory setting is discussed as a means for reducing the need for animal testing and human clinical trials, and current approaches and applications of in silico genotoxicity screening approaches across the pharmaceutical industry were surveyed and are reported here. The expanded use of toxicogenomics to illuminate mechanisms and bridge genotoxicity and carcinogenicity, and new public efforts to use high-throughput screening technologies to address lack of toxicity evaluation for the backlog of thousands of industrial chemicals in the environment are detailed. The Tox21 project involves coordinated efforts of four U.S. Government regulatory/research entities to use new and innovative assays to characterize key steps in toxicity pathways, including genotoxic and nongenotoxic mechanisms for carcinogenesis. Progress to date, highlighting preliminary test results from the National Toxicology Program is summarized. Finally, an overview is presented of ToxCast™, a related research program of the U.S. Environmental Protection Agency, using a broad array of high throughput and high content technologies for toxicity profiling of environmental chemicals, and computational toxicology modeling. Progress and challenges, including the pressing need to incorporate metabolic activation capability, are summarized.","DOI":"10.1002/em.20653","note":"PMID: 21538556","shortTitle":"Genetic toxicology in the 21st century","journalAbbreviation":"Environ. Mol. Mutagen.","author":[{"family":"Mahadevan","given":"Brinda"},{"family":"Snyder","given":"Ronald D"},{"family":"Waters","given":"Michael D"},{"family":"Benz","given":"R Daniel"},{"family":"Kemper","given":"Raymond A"},{"family":"Tice","given":"Raymond R"},{"family":"Richard","given":"Ann M"}],"issued":{"year":2011,"month":6},"accessed":{"year":2012,"month":6,"day":29},"page-first":"339"}}],"schema":"https://github.com/citation-style-language/schema/raw/master/csl-citation.json"} </w:instrText>
      </w:r>
      <w:r w:rsidR="009A377C" w:rsidRPr="00F259A2">
        <w:rPr>
          <w:color w:val="000000"/>
        </w:rPr>
        <w:fldChar w:fldCharType="separate"/>
      </w:r>
      <w:r w:rsidR="007D2E20" w:rsidRPr="00F259A2">
        <w:t>(</w:t>
      </w:r>
      <w:r w:rsidR="007D2E20" w:rsidRPr="00F259A2">
        <w:rPr>
          <w:b/>
          <w:bCs/>
          <w:i/>
          <w:iCs/>
        </w:rPr>
        <w:t>53</w:t>
      </w:r>
      <w:r w:rsidR="007D2E20" w:rsidRPr="00F259A2">
        <w:t>)</w:t>
      </w:r>
      <w:r w:rsidR="009A377C" w:rsidRPr="00F259A2">
        <w:rPr>
          <w:color w:val="000000"/>
        </w:rPr>
        <w:fldChar w:fldCharType="end"/>
      </w:r>
      <w:r w:rsidRPr="00F259A2">
        <w:rPr>
          <w:color w:val="000000"/>
        </w:rPr>
        <w:t>.</w:t>
      </w:r>
      <w:r w:rsidR="00CF6FC7" w:rsidRPr="00F259A2">
        <w:rPr>
          <w:color w:val="000000"/>
        </w:rPr>
        <w:t xml:space="preserve"> </w:t>
      </w:r>
      <w:r w:rsidR="005C6355" w:rsidRPr="00F259A2">
        <w:rPr>
          <w:color w:val="000000"/>
        </w:rPr>
        <w:t>Based on the analysis of gene expression using array</w:t>
      </w:r>
      <w:r w:rsidR="00CF6FC7" w:rsidRPr="00F259A2">
        <w:rPr>
          <w:color w:val="000000"/>
        </w:rPr>
        <w:t>-</w:t>
      </w:r>
      <w:r w:rsidR="005C6355" w:rsidRPr="00F259A2">
        <w:rPr>
          <w:color w:val="000000"/>
        </w:rPr>
        <w:t xml:space="preserve">-based toxicogenomics, it will become possible to screen for carcinogenicity and at the same time differentiate the possible mode of action of a detrimental compound </w:t>
      </w:r>
      <w:r w:rsidR="009A377C" w:rsidRPr="00932AEB">
        <w:rPr>
          <w:b/>
          <w:i/>
          <w:color w:val="000000"/>
        </w:rPr>
        <w:fldChar w:fldCharType="begin"/>
      </w:r>
      <w:r w:rsidR="0042106E" w:rsidRPr="00932AEB">
        <w:rPr>
          <w:b/>
          <w:i/>
          <w:color w:val="000000"/>
        </w:rPr>
        <w:instrText xml:space="preserve"> ADDIN ZOTERO_ITEM CSL_CITATION {"citationID":"1snhs6phoi","properties":{"formattedCitation":"{\\rtf (\\b \\i 53\\i0{}\\b0{})}","plainCitation":"(53)"},"citationItems":[{"id":257,"uris":["http://zotero.org/users/1046410/items/VZUD3IU7"],"uri":["http://zotero.org/users/1046410/items/VZUD3IU7"],"itemData":{"id":257,"type":"article-journal","title":"Genetic toxicology in the 21st century: reflections and future directions","container-title":"Environmental and molecular mutagenesis","page":"339-354","volume":"52","issue":"5","abstract":"A symposium at the 40th anniversary of the Environmental Mutagen Society, held from October 24-28, 2009 in St. Louis, MO, surveyed the current status and future directions of genetic toxicology. This article summarizes the presentations and provides a perspective on the future. An abbreviated history is presented, highlighting the current standard battery of genotoxicity assays and persistent challenges. Application of computational toxicology to safety testing within a regulatory setting is discussed as a means for reducing the need for animal testing and human clinical trials, and current approaches and applications of in silico genotoxicity screening approaches across the pharmaceutical industry were surveyed and are reported here. The expanded use of toxicogenomics to illuminate mechanisms and bridge genotoxicity and carcinogenicity, and new public efforts to use high-throughput screening technologies to address lack of toxicity evaluation for the backlog of thousands of industrial chemicals in the environment are detailed. The Tox21 project involves coordinated efforts of four U.S. Government regulatory/research entities to use new and innovative assays to characterize key steps in toxicity pathways, including genotoxic and nongenotoxic mechanisms for carcinogenesis. Progress to date, highlighting preliminary test results from the National Toxicology Program is summarized. Finally, an overview is presented of ToxCast™, a related research program of the U.S. Environmental Protection Agency, using a broad array of high throughput and high content technologies for toxicity profiling of environmental chemicals, and computational toxicology modeling. Progress and challenges, including the pressing need to incorporate metabolic activation capability, are summarized.","DOI":"10.1002/em.20653","note":"PMID: 21538556","shortTitle":"Genetic toxicology in the 21st century","journalAbbreviation":"Environ. Mol. Mutagen.","author":[{"family":"Mahadevan","given":"Brinda"},{"family":"Snyder","given":"Ronald D"},{"family":"Waters","given":"Michael D"},{"family":"Benz","given":"R Daniel"},{"family":"Kemper","given":"Raymond A"},{"family":"Tice","given":"Raymond R"},{"family":"Richard","given":"Ann M"}],"issued":{"year":2011,"month":6},"accessed":{"year":2012,"month":6,"day":29},"page-first":"339"}}],"schema":"https://github.com/citation-style-language/schema/raw/master/csl-citation.json"} </w:instrText>
      </w:r>
      <w:r w:rsidR="009A377C" w:rsidRPr="00932AEB">
        <w:rPr>
          <w:b/>
          <w:i/>
          <w:color w:val="000000"/>
        </w:rPr>
        <w:fldChar w:fldCharType="separate"/>
      </w:r>
      <w:r w:rsidR="007D2E20" w:rsidRPr="00932AEB">
        <w:rPr>
          <w:b/>
          <w:i/>
        </w:rPr>
        <w:t>(</w:t>
      </w:r>
      <w:r w:rsidR="007D2E20" w:rsidRPr="00932AEB">
        <w:rPr>
          <w:b/>
          <w:bCs/>
          <w:i/>
          <w:iCs/>
        </w:rPr>
        <w:t>53</w:t>
      </w:r>
      <w:r w:rsidR="007D2E20" w:rsidRPr="00932AEB">
        <w:rPr>
          <w:b/>
          <w:i/>
        </w:rPr>
        <w:t>)</w:t>
      </w:r>
      <w:r w:rsidR="009A377C" w:rsidRPr="00932AEB">
        <w:rPr>
          <w:b/>
          <w:i/>
          <w:color w:val="000000"/>
        </w:rPr>
        <w:fldChar w:fldCharType="end"/>
      </w:r>
      <w:r w:rsidR="005C6355" w:rsidRPr="00F259A2">
        <w:rPr>
          <w:color w:val="000000"/>
        </w:rPr>
        <w:t>.</w:t>
      </w:r>
    </w:p>
    <w:p w14:paraId="30F8FEB1" w14:textId="77777777" w:rsidR="0019277F" w:rsidRPr="00F259A2" w:rsidRDefault="0019277F" w:rsidP="008A5EE5">
      <w:pPr>
        <w:tabs>
          <w:tab w:val="left" w:pos="-1440"/>
          <w:tab w:val="left" w:pos="-720"/>
        </w:tabs>
        <w:suppressAutoHyphens/>
        <w:spacing w:line="480" w:lineRule="auto"/>
        <w:rPr>
          <w:color w:val="000000"/>
        </w:rPr>
      </w:pPr>
    </w:p>
    <w:p w14:paraId="5B4F9A13" w14:textId="77777777" w:rsidR="00DA781E" w:rsidRPr="00F259A2" w:rsidRDefault="00DA781E" w:rsidP="008A5EE5">
      <w:pPr>
        <w:pStyle w:val="Heading1"/>
        <w:tabs>
          <w:tab w:val="left" w:pos="-1440"/>
          <w:tab w:val="left" w:pos="-720"/>
        </w:tabs>
        <w:suppressAutoHyphens/>
        <w:spacing w:line="480" w:lineRule="auto"/>
        <w:rPr>
          <w:color w:val="000000"/>
        </w:rPr>
      </w:pPr>
      <w:r w:rsidRPr="00F259A2">
        <w:rPr>
          <w:color w:val="000000"/>
        </w:rPr>
        <w:t>1.3.</w:t>
      </w:r>
      <w:r w:rsidR="0099171B" w:rsidRPr="00F259A2">
        <w:rPr>
          <w:color w:val="000000"/>
        </w:rPr>
        <w:t>1</w:t>
      </w:r>
      <w:r w:rsidRPr="00F259A2">
        <w:rPr>
          <w:color w:val="000000"/>
        </w:rPr>
        <w:t>. Public databases</w:t>
      </w:r>
    </w:p>
    <w:p w14:paraId="17D6B993" w14:textId="77777777" w:rsidR="0019277F" w:rsidRPr="00F259A2" w:rsidRDefault="0019277F" w:rsidP="008A5EE5">
      <w:pPr>
        <w:tabs>
          <w:tab w:val="left" w:pos="-1440"/>
          <w:tab w:val="left" w:pos="-720"/>
        </w:tabs>
        <w:suppressAutoHyphens/>
        <w:spacing w:line="480" w:lineRule="auto"/>
        <w:rPr>
          <w:color w:val="000000"/>
        </w:rPr>
      </w:pPr>
    </w:p>
    <w:p w14:paraId="2399FABF" w14:textId="77777777" w:rsidR="00CB119C" w:rsidRPr="00F259A2" w:rsidRDefault="00CB119C" w:rsidP="008A5EE5">
      <w:pPr>
        <w:tabs>
          <w:tab w:val="left" w:pos="-1440"/>
          <w:tab w:val="left" w:pos="-720"/>
        </w:tabs>
        <w:suppressAutoHyphens/>
        <w:spacing w:line="480" w:lineRule="auto"/>
        <w:rPr>
          <w:color w:val="000000"/>
        </w:rPr>
      </w:pPr>
      <w:r w:rsidRPr="00F259A2">
        <w:rPr>
          <w:color w:val="000000"/>
        </w:rPr>
        <w:t>The public Comparative Toxicogenomics Database</w:t>
      </w:r>
      <w:r w:rsidR="008C1FA6" w:rsidRPr="00F259A2">
        <w:rPr>
          <w:color w:val="000000"/>
        </w:rPr>
        <w:t xml:space="preserve"> (http://ctdbase.org/)</w:t>
      </w:r>
      <w:r w:rsidRPr="00F259A2">
        <w:rPr>
          <w:color w:val="000000"/>
        </w:rPr>
        <w:t xml:space="preserve"> provides a </w:t>
      </w:r>
      <w:r w:rsidR="006F5242" w:rsidRPr="00F259A2">
        <w:rPr>
          <w:color w:val="000000"/>
        </w:rPr>
        <w:t xml:space="preserve">centralized </w:t>
      </w:r>
      <w:r w:rsidRPr="00F259A2">
        <w:rPr>
          <w:color w:val="000000"/>
        </w:rPr>
        <w:t>resource based on literature linking the chemical to the gene and the disease</w:t>
      </w:r>
      <w:r w:rsidR="00CF6FC7" w:rsidRPr="00F259A2">
        <w:rPr>
          <w:color w:val="000000"/>
        </w:rPr>
        <w:t>,</w:t>
      </w:r>
      <w:r w:rsidRPr="00F259A2">
        <w:rPr>
          <w:color w:val="000000"/>
        </w:rPr>
        <w:t xml:space="preserve"> as well as the gen</w:t>
      </w:r>
      <w:r w:rsidR="008C1FA6" w:rsidRPr="00F259A2">
        <w:rPr>
          <w:color w:val="000000"/>
        </w:rPr>
        <w:t>e to the disease to better comprehend</w:t>
      </w:r>
      <w:r w:rsidRPr="00F259A2">
        <w:rPr>
          <w:color w:val="000000"/>
        </w:rPr>
        <w:t xml:space="preserve"> the interaction </w:t>
      </w:r>
      <w:r w:rsidR="008C1FA6" w:rsidRPr="00F259A2">
        <w:rPr>
          <w:color w:val="000000"/>
        </w:rPr>
        <w:t>of genes and gene products with</w:t>
      </w:r>
      <w:r w:rsidRPr="00F259A2">
        <w:rPr>
          <w:color w:val="000000"/>
        </w:rPr>
        <w:t xml:space="preserve"> environmental chemicals</w:t>
      </w:r>
      <w:r w:rsidR="008C1FA6" w:rsidRPr="00F259A2">
        <w:rPr>
          <w:color w:val="000000"/>
        </w:rPr>
        <w:t>,</w:t>
      </w:r>
      <w:r w:rsidRPr="00F259A2">
        <w:rPr>
          <w:color w:val="000000"/>
        </w:rPr>
        <w:t xml:space="preserve"> and </w:t>
      </w:r>
      <w:r w:rsidR="008C1FA6" w:rsidRPr="00F259A2">
        <w:rPr>
          <w:color w:val="000000"/>
        </w:rPr>
        <w:t>thus their effects on human health. This database integrates information about sequence, reference, species, microarray and general toxicology</w:t>
      </w:r>
      <w:r w:rsidR="006F5242" w:rsidRPr="00F259A2">
        <w:rPr>
          <w:color w:val="000000"/>
        </w:rPr>
        <w:t xml:space="preserve"> and is also capable of visualizing cross</w:t>
      </w:r>
      <w:r w:rsidR="00AD5B6B">
        <w:rPr>
          <w:color w:val="000000"/>
        </w:rPr>
        <w:t>--</w:t>
      </w:r>
      <w:r w:rsidR="006F5242" w:rsidRPr="00F259A2">
        <w:rPr>
          <w:color w:val="000000"/>
        </w:rPr>
        <w:t>species comparisons of gene and protein sequences providing information for building complex interaction</w:t>
      </w:r>
      <w:r w:rsidR="005F2466" w:rsidRPr="00F259A2">
        <w:rPr>
          <w:color w:val="000000"/>
        </w:rPr>
        <w:t xml:space="preserve"> networks </w:t>
      </w:r>
      <w:r w:rsidR="009A377C" w:rsidRPr="00666FF6">
        <w:rPr>
          <w:b/>
          <w:i/>
          <w:color w:val="000000"/>
        </w:rPr>
        <w:fldChar w:fldCharType="begin"/>
      </w:r>
      <w:r w:rsidR="0042106E" w:rsidRPr="00666FF6">
        <w:rPr>
          <w:b/>
          <w:i/>
          <w:color w:val="000000"/>
        </w:rPr>
        <w:instrText xml:space="preserve"> ADDIN ZOTERO_ITEM CSL_CITATION {"citationID":"1qfqeii0lf","properties":{"formattedCitation":"{\\rtf (\\b \\i 57\\i0{}\\b0{}; \\b \\i 58\\i0{}\\b0{})}","plainCitation":"(57; 58)"},"citationItems":[{"id":285,"uris":["http://zotero.org/users/1046410/items/Z8I32C4F"],"uri":["http://zotero.org/users/1046410/items/Z8I32C4F"],"itemData":{"id":285,"type":"article-journal","title":"The comparative toxicogenomics database: a cross-species resource for building chemical-gene interaction networks","container-title":"Toxicological sciences: an official journal of the Society of Toxicology","page":"587-595","volume":"92","issue":"2","abstract":"Chemicals in the environment play a critical role in the etiology of many human diseases. Despite their prevalence, the molecular mechanisms of action and the effects of chemicals on susceptibility to disease are not well understood. To promote understanding of these mechanisms, the Comparative Toxicogenomics Database (CTD; http://ctd.mdibl.org/) presents scientifically reviewed and curated information on chemicals, relevant genes and proteins, and their interactions in vertebrates and invertebrates. CTD integrates sequence, reference, species, microarray, and general toxicology information to provide a unique centralized resource for toxicogenomic research. The database also provides visualization capabilities that enable cross-species comparisons of gene and protein sequences. These comparisons will facilitate understanding of structure-function correlations and the genetic basis of susceptibility. Manual curation and integration of cross-species chemical-gene and chemical-protein interactions from the literature are now underway. These data will provide information for building complex interaction networks. New CTD features include (1) cross-species gene, rather than sequence, query and visualization capabilities; (2) integrated cross-links to microarray data from chemicals, genes, and sequences in CTD; (3) a reference set related to chemical-gene and protein interactions identified by an information retrieval system; and (4) a \"Chemicals in the News\" initiative that provides links from CTD chemicals to environmental health articles from the popular press. Here we describe these new features and our novel cross-species curation of chemical-gene and chemical-protein interactions.","DOI":"10.1093/toxsci/kfl008","note":"PMID: 16675512","shortTitle":"The comparative toxicogenomics database","journalAbbreviation":"Toxicol. Sci.","author":[{"family":"Mattingly","given":"Carolyn J"},{"family":"Rosenstein","given":"Michael C"},{"family":"Davis","given":"Allan Peter"},{"family":"Colby","given":"Glenn T"},{"family":"Forrest","given":"John N, Jr"},{"family":"Boyer","given":"James L"}],"issued":{"year":2006,"month":8},"accessed":{"year":2012,"month":7,"day":6},"page-first":"587"}},{"id":294,"uris":["http://zotero.org/users/1046410/items/TXD28SW9"],"uri":["http://zotero.org/users/1046410/items/TXD28SW9"],"itemData":{"id":294,"type":"article-journal","title":"The Comparative Toxicogenomics Database: update 2011","container-title":"Nucleic acids research","page":"D1067-1072","volume":"39","issue":"Database issue","abstract":"The Comparative Toxicogenomics Database (CTD) is a public resource that promotes understanding about the interaction of environmental chemicals with gene products, and their effects on human health. Biocurators at CTD manually curate a triad of chemical-gene, chemical-disease and gene-disease relationships from the literature. These core data are then integrated to construct chemical-gene-disease networks and to predict many novel relationships using different types of associated data. Since 2009, we dramatically increased the content of CTD to 1.4 million chemical-gene-disease data points and added many features, statistical analyses and analytical tools, including GeneComps and ChemComps (to find comparable genes and chemicals that share toxicogenomic profiles), enriched Gene Ontology terms associated with chemicals, statistically ranked chemical-disease inferences, Venn diagram tools to discover overlapping and unique attributes of any set of chemicals, genes or disease, and enhanced gene pathway data content, among other features. Together, this wealth of expanded chemical-gene-disease data continues to help users generate testable hypotheses about the molecular mechanisms of environmental diseases. CTD is freely available at http://ctd.mdibl.org.","DOI":"10.1093/nar/gkq813","note":"PMID: 20864448","shortTitle":"The Comparative Toxicogenomics Database","journalAbbreviation":"Nucleic Acids Res.","author":[{"family":"Davis","given":"Allan Peter"},{"family":"King","given":"Benjamin L"},{"family":"Mockus","given":"Susan"},{"family":"Murphy","given":"Cynthia G"},{"family":"Saraceni-Richards","given":"Cynthia"},{"family":"Rosenstein","given":"Michael"},{"family":"Wiegers","given":"Thomas"},{"family":"Mattingly","given":"Carolyn J"}],"issued":{"year":2011,"month":1},"accessed":{"year":2012,"month":7,"day":6},"page-first":"D1067"}}],"schema":"https://github.com/citation-style-language/schema/raw/master/csl-citation.json"} </w:instrText>
      </w:r>
      <w:r w:rsidR="009A377C" w:rsidRPr="00666FF6">
        <w:rPr>
          <w:b/>
          <w:i/>
          <w:color w:val="000000"/>
        </w:rPr>
        <w:fldChar w:fldCharType="separate"/>
      </w:r>
      <w:r w:rsidR="007D2E20" w:rsidRPr="00666FF6">
        <w:rPr>
          <w:b/>
          <w:i/>
        </w:rPr>
        <w:t>(</w:t>
      </w:r>
      <w:r w:rsidR="007D2E20" w:rsidRPr="00666FF6">
        <w:rPr>
          <w:b/>
          <w:bCs/>
          <w:i/>
          <w:iCs/>
        </w:rPr>
        <w:t>57</w:t>
      </w:r>
      <w:r w:rsidR="00CF6FC7" w:rsidRPr="00666FF6">
        <w:rPr>
          <w:b/>
          <w:i/>
        </w:rPr>
        <w:t>,</w:t>
      </w:r>
      <w:r w:rsidR="007D2E20" w:rsidRPr="00666FF6">
        <w:rPr>
          <w:b/>
          <w:i/>
        </w:rPr>
        <w:t xml:space="preserve"> </w:t>
      </w:r>
      <w:r w:rsidR="007D2E20" w:rsidRPr="00666FF6">
        <w:rPr>
          <w:b/>
          <w:bCs/>
          <w:i/>
          <w:iCs/>
        </w:rPr>
        <w:t>58</w:t>
      </w:r>
      <w:r w:rsidR="007D2E20" w:rsidRPr="00666FF6">
        <w:rPr>
          <w:b/>
          <w:i/>
        </w:rPr>
        <w:t>)</w:t>
      </w:r>
      <w:r w:rsidR="009A377C" w:rsidRPr="00666FF6">
        <w:rPr>
          <w:b/>
          <w:i/>
          <w:color w:val="000000"/>
        </w:rPr>
        <w:fldChar w:fldCharType="end"/>
      </w:r>
      <w:r w:rsidRPr="00F259A2">
        <w:rPr>
          <w:color w:val="000000"/>
        </w:rPr>
        <w:t>.</w:t>
      </w:r>
      <w:r w:rsidR="005F2466" w:rsidRPr="00F259A2">
        <w:rPr>
          <w:color w:val="000000"/>
        </w:rPr>
        <w:t xml:space="preserve"> Up to date the database holds close to 16 million toxicogenomics relationships.</w:t>
      </w:r>
      <w:r w:rsidR="00CF6FC7" w:rsidRPr="00F259A2">
        <w:rPr>
          <w:color w:val="000000"/>
        </w:rPr>
        <w:t xml:space="preserve"> </w:t>
      </w:r>
      <w:r w:rsidR="000C58FA" w:rsidRPr="00F259A2">
        <w:rPr>
          <w:color w:val="000000"/>
        </w:rPr>
        <w:t xml:space="preserve">Other databases include web resources such as the toxicological data network TOXNET (http://toxnet.nlm.nih.gov/), the European chemical substances information system ESIS (http://esis.jrc.ec.europa.eu/) or the </w:t>
      </w:r>
      <w:r w:rsidR="00A66897" w:rsidRPr="00F259A2">
        <w:rPr>
          <w:color w:val="000000"/>
        </w:rPr>
        <w:t>carcinogenic potency database CPDB</w:t>
      </w:r>
      <w:r w:rsidR="000C58FA" w:rsidRPr="00F259A2">
        <w:rPr>
          <w:color w:val="000000"/>
        </w:rPr>
        <w:t xml:space="preserve"> (</w:t>
      </w:r>
      <w:r w:rsidR="00A66897" w:rsidRPr="00F259A2">
        <w:rPr>
          <w:color w:val="000000"/>
        </w:rPr>
        <w:t>http://potency.berkeley.edu</w:t>
      </w:r>
      <w:r w:rsidR="000C58FA" w:rsidRPr="00F259A2">
        <w:rPr>
          <w:color w:val="000000"/>
        </w:rPr>
        <w:t>)</w:t>
      </w:r>
      <w:r w:rsidR="00A66897" w:rsidRPr="00F259A2">
        <w:rPr>
          <w:color w:val="000000"/>
        </w:rPr>
        <w:t xml:space="preserve">. An overview of these and other databases can be found in a </w:t>
      </w:r>
      <w:r w:rsidR="00C179E2" w:rsidRPr="00F259A2">
        <w:rPr>
          <w:color w:val="000000"/>
        </w:rPr>
        <w:t>reviewed and published list of toxicology databases</w:t>
      </w:r>
      <w:r w:rsidR="00CF6FC7" w:rsidRPr="00F259A2">
        <w:rPr>
          <w:color w:val="000000"/>
        </w:rPr>
        <w:t xml:space="preserve"> </w:t>
      </w:r>
      <w:r w:rsidR="009A377C" w:rsidRPr="00D24752">
        <w:rPr>
          <w:b/>
          <w:i/>
          <w:color w:val="000000"/>
        </w:rPr>
        <w:fldChar w:fldCharType="begin"/>
      </w:r>
      <w:r w:rsidR="0042106E" w:rsidRPr="00D24752">
        <w:rPr>
          <w:b/>
          <w:i/>
          <w:color w:val="000000"/>
        </w:rPr>
        <w:instrText xml:space="preserve"> ADDIN ZOTERO_ITEM CSL_CITATION {"citationID":"5plt8trc9","properties":{"formattedCitation":"{\\rtf (\\b \\i 59\\i0{}\\b0{})}","plainCitation":"(59)"},"citationItems":[{"id":277,"uris":["http://zotero.org/users/1046410/items/P6PTD9VF"],"uri":["http://zotero.org/users/1046410/items/P6PTD9VF"],"itemData":{"id":277,"type":"article-journal","title":"Genetic toxicology: web resources","container-title":"Toxicology","page":"103-121","volume":"173","issue":"1-2","abstract":"Genetic toxicology is the scientific discipline dealing with the effects of chemical, physical and biological agents on the heredity of living organisms. The Internet offers a wide range of online digital resources for the field of Genetic Toxicology. The history of genetic toxicology and electronic data collections are reviewed. Web-based resources at US National Library of Medicine (NLM), including MEDLINE, PUBMED, Gateway, Entrez, and TOXNET, are discussed. Search strategies and Medical Subject Headings (MeSH) are reviewed in the context of genetic toxicology. The TOXNET group of databases are discussed with emphasis on those databases with genetic toxicology content including GENE-TOX, TOXLINE, Hazardous Substances Data Bank, Integrated Risk Information System, and Chemical Carcinogenesis Research Information System. Location of chemical information including chemical structure and linkage to health and regulatory information using CHEMIDPLUS at NLM and other databases is reviewed. Various government agencies have active genetic toxicology research programs or use genetic toxicology data to assist fulfilling the agency's mission. Online resources at the US Food and Drug Administration (FDA), the US Environmental Protection Agency (EPA), the National Institutes of Environmental Health Sciences, and the National Toxicology Program (NTP) are outlined. Much of the genetic toxicology for pharmaceuticals, industrial chemicals and pesticides that is performed in the world is regulatory-driven. Regulatory web resources are presented for the laws mandating testing, guidelines on study design, Good Laboratory Practice (GLP) regulations, and requirements for electronic data collection and reporting. The Internet provides a range of other supporting resources to the field of genetic toxicology. The web links for key professional societies and journals in genetic toxicology are listed. Distance education, educational media resources, and job placement services are also available online in the field of genetic toxicology. As molecular biology and computational tools improve, new areas within genetic toxicology such as structural activity relationship analysis, mutational spectra databases and toxicogenomics, now have resources online as well.","note":"PMID: 11955688","shortTitle":"Genetic toxicology","journalAbbreviation":"Toxicology","author":[{"family":"Young","given":"Robert R"}],"issued":{"year":2002,"month":4,"day":25},"accessed":{"year":2012,"month":7,"day":6},"page-first":"103"}}],"schema":"https://github.com/citation-style-language/schema/raw/master/csl-citation.json"} </w:instrText>
      </w:r>
      <w:r w:rsidR="009A377C" w:rsidRPr="00D24752">
        <w:rPr>
          <w:b/>
          <w:i/>
          <w:color w:val="000000"/>
        </w:rPr>
        <w:fldChar w:fldCharType="separate"/>
      </w:r>
      <w:r w:rsidR="007D2E20" w:rsidRPr="00D24752">
        <w:rPr>
          <w:b/>
          <w:i/>
        </w:rPr>
        <w:t>(</w:t>
      </w:r>
      <w:r w:rsidR="007D2E20" w:rsidRPr="00D24752">
        <w:rPr>
          <w:b/>
          <w:bCs/>
          <w:i/>
          <w:iCs/>
        </w:rPr>
        <w:t>59</w:t>
      </w:r>
      <w:r w:rsidR="007D2E20" w:rsidRPr="00D24752">
        <w:rPr>
          <w:b/>
          <w:i/>
        </w:rPr>
        <w:t>)</w:t>
      </w:r>
      <w:r w:rsidR="009A377C" w:rsidRPr="00D24752">
        <w:rPr>
          <w:b/>
          <w:i/>
          <w:color w:val="000000"/>
        </w:rPr>
        <w:fldChar w:fldCharType="end"/>
      </w:r>
      <w:r w:rsidR="00A66897" w:rsidRPr="00F259A2">
        <w:rPr>
          <w:color w:val="000000"/>
        </w:rPr>
        <w:t xml:space="preserve"> or at </w:t>
      </w:r>
      <w:r w:rsidR="00D65479" w:rsidRPr="00F259A2">
        <w:rPr>
          <w:color w:val="000000"/>
        </w:rPr>
        <w:t>http://alttox.org/ttrc/resources/databases.ht</w:t>
      </w:r>
      <w:r w:rsidR="00F97688" w:rsidRPr="00F97688">
        <w:rPr>
          <w:color w:val="000000"/>
        </w:rPr>
        <w:t>mL</w:t>
      </w:r>
      <w:r w:rsidR="00D65479" w:rsidRPr="00F259A2">
        <w:rPr>
          <w:color w:val="000000"/>
        </w:rPr>
        <w:t>.</w:t>
      </w:r>
    </w:p>
    <w:p w14:paraId="653529A8" w14:textId="77777777" w:rsidR="00D65479" w:rsidRPr="00F259A2" w:rsidRDefault="00D65479" w:rsidP="008A5EE5">
      <w:pPr>
        <w:tabs>
          <w:tab w:val="left" w:pos="-1440"/>
          <w:tab w:val="left" w:pos="-720"/>
        </w:tabs>
        <w:suppressAutoHyphens/>
        <w:spacing w:line="480" w:lineRule="auto"/>
        <w:rPr>
          <w:color w:val="000000"/>
        </w:rPr>
      </w:pPr>
    </w:p>
    <w:p w14:paraId="438BFBAE" w14:textId="77777777" w:rsidR="00982EC7" w:rsidRPr="00F259A2" w:rsidRDefault="00982EC7" w:rsidP="008A5EE5">
      <w:pPr>
        <w:pStyle w:val="Heading2"/>
        <w:spacing w:line="480" w:lineRule="auto"/>
        <w:rPr>
          <w:rFonts w:ascii="Times New Roman" w:hAnsi="Times New Roman" w:cs="Times New Roman"/>
          <w:color w:val="000000"/>
          <w:sz w:val="24"/>
          <w:szCs w:val="24"/>
        </w:rPr>
      </w:pPr>
      <w:r w:rsidRPr="00F259A2">
        <w:rPr>
          <w:rFonts w:ascii="Times New Roman" w:hAnsi="Times New Roman" w:cs="Times New Roman"/>
          <w:color w:val="000000"/>
          <w:sz w:val="24"/>
          <w:szCs w:val="24"/>
        </w:rPr>
        <w:lastRenderedPageBreak/>
        <w:t>1.4. Regulatory Guidelines</w:t>
      </w:r>
    </w:p>
    <w:p w14:paraId="6C432065" w14:textId="77777777" w:rsidR="0019277F" w:rsidRPr="00F259A2" w:rsidRDefault="0019277F" w:rsidP="008A5EE5">
      <w:pPr>
        <w:tabs>
          <w:tab w:val="left" w:pos="-1440"/>
          <w:tab w:val="left" w:pos="-720"/>
        </w:tabs>
        <w:suppressAutoHyphens/>
        <w:spacing w:line="480" w:lineRule="auto"/>
        <w:rPr>
          <w:color w:val="000000"/>
        </w:rPr>
      </w:pPr>
    </w:p>
    <w:p w14:paraId="663EA8E4" w14:textId="77777777" w:rsidR="002207F2" w:rsidRPr="00F259A2" w:rsidRDefault="00C714C5" w:rsidP="008A5EE5">
      <w:pPr>
        <w:tabs>
          <w:tab w:val="left" w:pos="-1440"/>
          <w:tab w:val="left" w:pos="-720"/>
        </w:tabs>
        <w:suppressAutoHyphens/>
        <w:spacing w:line="480" w:lineRule="auto"/>
        <w:rPr>
          <w:color w:val="000000"/>
        </w:rPr>
      </w:pPr>
      <w:r w:rsidRPr="00F259A2">
        <w:rPr>
          <w:color w:val="000000"/>
        </w:rPr>
        <w:t xml:space="preserve">In toxicology, it is crucial that the screening of toxicants as well as understanding of toxicity pathways is based on methodologies, which are sound, proven and embedded in regulatory guidelines. The field of “omics” </w:t>
      </w:r>
      <w:r w:rsidR="002207F2" w:rsidRPr="00F259A2">
        <w:rPr>
          <w:color w:val="000000"/>
        </w:rPr>
        <w:t>has</w:t>
      </w:r>
      <w:r w:rsidRPr="00F259A2">
        <w:rPr>
          <w:color w:val="000000"/>
        </w:rPr>
        <w:t xml:space="preserve"> become an important tool for the evaluation of general and reproductive toxicology, the carcinogenicity potential of pharmaceuticals and several other types of toxicity, eventually replacing the use of animals. Much progress has been made in the last </w:t>
      </w:r>
      <w:r w:rsidR="00D500DA" w:rsidRPr="00F259A2">
        <w:rPr>
          <w:color w:val="000000"/>
        </w:rPr>
        <w:t>decade</w:t>
      </w:r>
      <w:r w:rsidRPr="00F259A2">
        <w:rPr>
          <w:color w:val="000000"/>
        </w:rPr>
        <w:t xml:space="preserve"> to standardize </w:t>
      </w:r>
      <w:r w:rsidR="00215520" w:rsidRPr="00F259A2">
        <w:rPr>
          <w:color w:val="000000"/>
        </w:rPr>
        <w:t>procedures;</w:t>
      </w:r>
      <w:r w:rsidRPr="00F259A2">
        <w:rPr>
          <w:color w:val="000000"/>
        </w:rPr>
        <w:t xml:space="preserve"> however, challenges remain </w:t>
      </w:r>
      <w:r w:rsidR="00215520" w:rsidRPr="00F259A2">
        <w:rPr>
          <w:color w:val="000000"/>
        </w:rPr>
        <w:t>for the assessment of pharmaceuticals for regulatory purposes in terms of off</w:t>
      </w:r>
      <w:r w:rsidR="00CF6FC7" w:rsidRPr="00F259A2">
        <w:rPr>
          <w:color w:val="000000"/>
        </w:rPr>
        <w:t>-</w:t>
      </w:r>
      <w:r w:rsidR="00215520" w:rsidRPr="00F259A2">
        <w:rPr>
          <w:color w:val="000000"/>
        </w:rPr>
        <w:t xml:space="preserve">-target </w:t>
      </w:r>
      <w:r w:rsidR="007363F6" w:rsidRPr="00F259A2">
        <w:rPr>
          <w:color w:val="000000"/>
        </w:rPr>
        <w:t>toxicological</w:t>
      </w:r>
      <w:r w:rsidR="00215520" w:rsidRPr="00F259A2">
        <w:rPr>
          <w:color w:val="000000"/>
        </w:rPr>
        <w:t xml:space="preserve"> effects or issues of interpretation </w:t>
      </w:r>
      <w:r w:rsidR="009A377C" w:rsidRPr="004D66A7">
        <w:rPr>
          <w:b/>
          <w:i/>
          <w:color w:val="000000"/>
        </w:rPr>
        <w:fldChar w:fldCharType="begin"/>
      </w:r>
      <w:r w:rsidR="0042106E" w:rsidRPr="004D66A7">
        <w:rPr>
          <w:b/>
          <w:i/>
          <w:color w:val="000000"/>
        </w:rPr>
        <w:instrText xml:space="preserve"> ADDIN ZOTERO_ITEM CSL_CITATION {"citationID":"1g1e6k9acm","properties":{"formattedCitation":"{\\rtf (\\b \\i 60\\i0{}\\b0{})}","plainCitation":"(60)"},"citationItems":[{"id":116,"uris":["http://zotero.org/users/1046410/items/2J9UDPBS"],"uri":["http://zotero.org/users/1046410/items/2J9UDPBS"],"itemData":{"id":116,"type":"article-journal","title":"An FDA perspective on the nonclinical use of the X-Omics technologies and the safety of new drugs","container-title":"Toxicology letters","page":"32-35","volume":"186","issue":"1","abstract":"Work in the field \"omics\" (toxicogenomics, proteomics, and metabolomics) has exploded. It is hoped that 'omics' could be a tool for evaluation of general toxicology, reproductive toxicology, the carcinogenicity potential of pharmaceuticals and several other types of toxicity, eventually replacing the use of animals. Although much progress has been made in the standardization of procedures, challenges remain for evaluation of pharmaceuticals for regulatory purposes, because of off-target toxicologic effects, as well as issues of interpretation and the large number of biologic variables that can affect results. Such variables include species/strain, genetic variations, diet, age, dose, duration, and weight of animals. These variables also confound database compilations of expression profiles. The most promising use in the near future would be to clarify pathways for the various types of toxicity and carcinogenicity and get biomarkers for these pathways, to help assess relevance of nonclinical findings to humans.","DOI":"10.1016/j.toxlet.2008.08.013","note":"PMID: 18809476","journalAbbreviation":"Toxicol. Lett.","author":[{"family":"Jacobs","given":"Abigail"}],"issued":{"year":2009,"month":4,"day":10},"accessed":{"year":2012,"month":6,"day":29},"page-first":"32"}}],"schema":"https://github.com/citation-style-language/schema/raw/master/csl-citation.json"} </w:instrText>
      </w:r>
      <w:r w:rsidR="009A377C" w:rsidRPr="004D66A7">
        <w:rPr>
          <w:b/>
          <w:i/>
          <w:color w:val="000000"/>
        </w:rPr>
        <w:fldChar w:fldCharType="separate"/>
      </w:r>
      <w:r w:rsidR="007D2E20" w:rsidRPr="004D66A7">
        <w:rPr>
          <w:b/>
          <w:i/>
        </w:rPr>
        <w:t>(</w:t>
      </w:r>
      <w:r w:rsidR="007D2E20" w:rsidRPr="004D66A7">
        <w:rPr>
          <w:b/>
          <w:bCs/>
          <w:i/>
          <w:iCs/>
        </w:rPr>
        <w:t>60</w:t>
      </w:r>
      <w:r w:rsidR="007D2E20" w:rsidRPr="004D66A7">
        <w:rPr>
          <w:b/>
          <w:i/>
        </w:rPr>
        <w:t>)</w:t>
      </w:r>
      <w:r w:rsidR="009A377C" w:rsidRPr="004D66A7">
        <w:rPr>
          <w:b/>
          <w:i/>
          <w:color w:val="000000"/>
        </w:rPr>
        <w:fldChar w:fldCharType="end"/>
      </w:r>
      <w:r w:rsidR="00215520" w:rsidRPr="00F259A2">
        <w:rPr>
          <w:color w:val="000000"/>
        </w:rPr>
        <w:t xml:space="preserve">. </w:t>
      </w:r>
      <w:r w:rsidR="000259DF" w:rsidRPr="00F259A2">
        <w:rPr>
          <w:color w:val="000000"/>
        </w:rPr>
        <w:t xml:space="preserve">The use of microarray technology in toxicology marks the advent of toxicogenomics allowing monitoring the expression level of thousands of genes on a genome wide scale </w:t>
      </w:r>
      <w:r w:rsidR="009A377C" w:rsidRPr="004D66A7">
        <w:rPr>
          <w:b/>
          <w:i/>
          <w:color w:val="000000"/>
        </w:rPr>
        <w:fldChar w:fldCharType="begin"/>
      </w:r>
      <w:r w:rsidR="0042106E" w:rsidRPr="004D66A7">
        <w:rPr>
          <w:b/>
          <w:i/>
          <w:color w:val="000000"/>
        </w:rPr>
        <w:instrText xml:space="preserve"> ADDIN ZOTERO_ITEM CSL_CITATION {"citationID":"1djvmckju7","properties":{"formattedCitation":"{\\rtf (\\b \\i 61\\i0{}\\b0{})}","plainCitation":"(61)"},"citationItems":[{"id":284,"uris":["http://zotero.org/users/1046410/items/BBNJU6MI"],"uri":["http://zotero.org/users/1046410/items/BBNJU6MI"],"itemData":{"id":284,"type":"article-journal","title":"Microarrays and toxicology: the advent of toxicogenomics","container-title":"Molecular carcinogenesis","page":"153-159","volume":"24","issue":"3","abstract":"The availability of genome-scale DNA sequence information and reagents has radically altered life-science research. This revolution has led to the development of a new scientific subdiscipline derived from a combination of the fields of toxicology and genomics. This subdiscipline, termed toxicogenomics, is concerned with the identification of potential human and environmental toxicants, and their putative mechanisms of action, through the use of genomics resources. One such resource is DNA microarrays or \"chips,\" which allow the monitoring of the expression levels of thousands of genes simultaneously. Here we propose a general method by which gene expression, as measured by cDNA microarrays, can be used as a highly sensitive and informative marker for toxicity. Our purpose is to acquaint the reader with the development and current state of microarray technology and to present our view of the usefulness of microarrays to the field of toxicology.","note":"PMID: 10204799","shortTitle":"Microarrays and toxicology","journalAbbreviation":"Mol. Carcinog.","author":[{"family":"Nuwaysir","given":"E F"},{"family":"Bittner","given":"M"},{"family":"Trent","given":"J"},{"family":"Barrett","given":"J C"},{"family":"Afshari","given":"C A"}],"issued":{"year":1999,"month":3},"accessed":{"year":2012,"month":7,"day":6},"page-first":"153"}}],"schema":"https://github.com/citation-style-language/schema/raw/master/csl-citation.json"} </w:instrText>
      </w:r>
      <w:r w:rsidR="009A377C" w:rsidRPr="004D66A7">
        <w:rPr>
          <w:b/>
          <w:i/>
          <w:color w:val="000000"/>
        </w:rPr>
        <w:fldChar w:fldCharType="separate"/>
      </w:r>
      <w:r w:rsidR="007D2E20" w:rsidRPr="004D66A7">
        <w:rPr>
          <w:b/>
          <w:i/>
        </w:rPr>
        <w:t>(</w:t>
      </w:r>
      <w:r w:rsidR="007D2E20" w:rsidRPr="004D66A7">
        <w:rPr>
          <w:b/>
          <w:bCs/>
          <w:i/>
          <w:iCs/>
        </w:rPr>
        <w:t>61</w:t>
      </w:r>
      <w:r w:rsidR="007D2E20" w:rsidRPr="004D66A7">
        <w:rPr>
          <w:b/>
          <w:i/>
        </w:rPr>
        <w:t>)</w:t>
      </w:r>
      <w:r w:rsidR="009A377C" w:rsidRPr="004D66A7">
        <w:rPr>
          <w:b/>
          <w:i/>
          <w:color w:val="000000"/>
        </w:rPr>
        <w:fldChar w:fldCharType="end"/>
      </w:r>
      <w:r w:rsidR="000259DF" w:rsidRPr="00F259A2">
        <w:rPr>
          <w:color w:val="000000"/>
        </w:rPr>
        <w:t>.</w:t>
      </w:r>
    </w:p>
    <w:p w14:paraId="0CE229BE" w14:textId="77777777" w:rsidR="002207F2" w:rsidRPr="00F259A2" w:rsidRDefault="002207F2" w:rsidP="008A5EE5">
      <w:pPr>
        <w:tabs>
          <w:tab w:val="left" w:pos="-1440"/>
          <w:tab w:val="left" w:pos="-720"/>
        </w:tabs>
        <w:suppressAutoHyphens/>
        <w:spacing w:line="480" w:lineRule="auto"/>
        <w:rPr>
          <w:color w:val="000000"/>
        </w:rPr>
      </w:pPr>
    </w:p>
    <w:p w14:paraId="5B681B9D" w14:textId="77777777" w:rsidR="00913640" w:rsidRPr="00F259A2" w:rsidRDefault="00913640" w:rsidP="008A5EE5">
      <w:pPr>
        <w:tabs>
          <w:tab w:val="left" w:pos="-1440"/>
          <w:tab w:val="left" w:pos="-720"/>
        </w:tabs>
        <w:suppressAutoHyphens/>
        <w:spacing w:line="480" w:lineRule="auto"/>
        <w:rPr>
          <w:color w:val="000000"/>
        </w:rPr>
      </w:pPr>
      <w:r w:rsidRPr="00F259A2">
        <w:rPr>
          <w:color w:val="000000"/>
        </w:rPr>
        <w:t xml:space="preserve">In 2007, the U.S. National Research Council (NRC) released a report, "Toxicity Testing in the 21st Century: A Vision and a Strategy" that proposes a paradigm shift for toxicity testing involving a fundamental change in toxicity assessment towards the identification of serious perturbations of toxicity pathways </w:t>
      </w:r>
      <w:r w:rsidR="009A377C" w:rsidRPr="00070073">
        <w:rPr>
          <w:b/>
          <w:i/>
          <w:color w:val="000000"/>
        </w:rPr>
        <w:fldChar w:fldCharType="begin"/>
      </w:r>
      <w:r w:rsidR="0042106E" w:rsidRPr="00070073">
        <w:rPr>
          <w:b/>
          <w:i/>
          <w:color w:val="000000"/>
        </w:rPr>
        <w:instrText xml:space="preserve"> ADDIN ZOTERO_ITEM CSL_CITATION {"citationID":"1bq6rsgkre","properties":{"formattedCitation":"{\\rtf (\\b \\i 62\\i0{}\\b0{}; \\b \\i 63\\i0{}\\b0{})}","plainCitation":"(62; 63)"},"citationItems":[{"id":127,"uris":["http://zotero.org/users/1046410/items/6D8J2FDF"],"uri":["http://zotero.org/users/1046410/items/6D8J2FDF"],"itemData":{"id":127,"type":"book","title":"Toxicity Testing in the 21st Century: A Vision and a Strategy","publisher":"The National Academies Press","publisher-place":"Washington, D.C.","number-of-pages":"216","event-place":"Washington, D.C.","ISBN":"0309109922","shortTitle":"Toxicity Testing in the 21st Century","author":[{"family":"Committee on Toxicity Testing and Assessment of Environmental Agents, National Research Council","given":""}],"issued":{"year":2007}},"label":"page"},{"id":118,"uris":["http://zotero.org/users/1046410/items/PANJXMBB"],"uri":["http://zotero.org/users/1046410/items/PANJXMBB"],"itemData":{"id":118,"type":"article-journal","title":"The future of toxicity testing","container-title":"Journal of toxicology and environmental health. Part B, Critical reviews","page":"163-196","volume":"13","issue":"2-4","abstract":"In 2007, the U.S. National Research Council (NRC) released a report, \"Toxicity Testing in the 21st Century: A Vision and a Strategy,\" that proposes a paradigm shift for toxicity testing of environmental agents. The vision is based on the notion that exposure to environmental agents leads to adverse health outcomes through the perturbation of toxicity pathways that are operative in humans. Implementation of the NRC vision will involve a fundamental change in the assessment of toxicity of environmental agents, moving away from adverse health outcomes observed in experimental animals to the identification of critical perturbations of toxicity pathways. Pathway perturbations will be identified using in vitro assays and quantified for dose response using methods in computational toxicology and other recent scientific advances in basic biology. Implementation of the NRC vision will require a major research effort, not unlike that required to successfully map the human genome, extending over 10 to 20 years, involving the broad scientific community to map important toxicity pathways operative in humans. This article provides an overview of the scientific tools and technologies that will form the core of the NRC vision for toxicity testing. Of particular importance will be the development of rapidly performed in vitro screening assays using human cells and cell lines or human tissue surrogates to efficiently identify environmental agents producing critical pathway perturbations. In addition to the overview of the NRC vision, this study documents the reaction by a number of stakeholder groups since 2007, including the scientific, risk assessment, regulatory, and animal welfare communities.","DOI":"10.1080/10937404.2010.483933","note":"PMID: 20574896","journalAbbreviation":"J Toxicol Environ Health B Crit Rev","author":[{"family":"Andersen","given":"Melvin E"},{"family":"Al-Zoughool","given":"Mustafa"},{"family":"Croteau","given":"Maxine"},{"family":"Westphal","given":"Margit"},{"family":"Krewski","given":"Daniel"}],"issued":{"year":2010,"month":2},"accessed":{"year":2012,"month":6,"day":29},"page-first":"163"},"label":"page"}],"schema":"https://github.com/citation-style-language/schema/raw/master/csl-citation.json"} </w:instrText>
      </w:r>
      <w:r w:rsidR="009A377C" w:rsidRPr="00070073">
        <w:rPr>
          <w:b/>
          <w:i/>
          <w:color w:val="000000"/>
        </w:rPr>
        <w:fldChar w:fldCharType="separate"/>
      </w:r>
      <w:r w:rsidR="0042106E" w:rsidRPr="00070073">
        <w:rPr>
          <w:b/>
          <w:i/>
        </w:rPr>
        <w:t>(</w:t>
      </w:r>
      <w:r w:rsidR="0042106E" w:rsidRPr="00070073">
        <w:rPr>
          <w:b/>
          <w:bCs/>
          <w:i/>
          <w:iCs/>
        </w:rPr>
        <w:t>62</w:t>
      </w:r>
      <w:r w:rsidR="00CF6FC7" w:rsidRPr="00070073">
        <w:rPr>
          <w:b/>
          <w:i/>
        </w:rPr>
        <w:t>,</w:t>
      </w:r>
      <w:r w:rsidR="0042106E" w:rsidRPr="00070073">
        <w:rPr>
          <w:b/>
          <w:i/>
        </w:rPr>
        <w:t xml:space="preserve"> </w:t>
      </w:r>
      <w:r w:rsidR="0042106E" w:rsidRPr="00070073">
        <w:rPr>
          <w:b/>
          <w:bCs/>
          <w:i/>
          <w:iCs/>
        </w:rPr>
        <w:t>63</w:t>
      </w:r>
      <w:r w:rsidR="0042106E" w:rsidRPr="00070073">
        <w:rPr>
          <w:b/>
          <w:i/>
        </w:rPr>
        <w:t>)</w:t>
      </w:r>
      <w:r w:rsidR="009A377C" w:rsidRPr="00070073">
        <w:rPr>
          <w:b/>
          <w:i/>
          <w:color w:val="000000"/>
        </w:rPr>
        <w:fldChar w:fldCharType="end"/>
      </w:r>
      <w:r w:rsidRPr="00F259A2">
        <w:rPr>
          <w:color w:val="000000"/>
        </w:rPr>
        <w:t xml:space="preserve">. Perhaps with this proposed vision, toxicity testing will be significantly reduced or maybe the use of animals even completely eradicated in toxicity testing. It will focus much closer on human significance and higher throughput enabling a wider coverage of toxicants, life stages and sensitive subpopulations </w:t>
      </w:r>
      <w:r w:rsidR="009A377C" w:rsidRPr="00C57375">
        <w:rPr>
          <w:b/>
          <w:i/>
          <w:color w:val="000000"/>
        </w:rPr>
        <w:fldChar w:fldCharType="begin"/>
      </w:r>
      <w:r w:rsidR="0042106E" w:rsidRPr="00C57375">
        <w:rPr>
          <w:b/>
          <w:i/>
          <w:color w:val="000000"/>
        </w:rPr>
        <w:instrText xml:space="preserve"> ADDIN ZOTERO_ITEM CSL_CITATION {"citationID":"99r2f3hp","properties":{"formattedCitation":"{\\rtf (\\b \\i 64\\i0{}\\b0{})}","plainCitation":"(64)"},"citationItems":[{"id":148,"uris":["http://zotero.org/users/1046410/items/4JC8D2TZ"],"uri":["http://zotero.org/users/1046410/items/4JC8D2TZ"],"itemData":{"id":148,"type":"article-journal","title":"New directions in toxicity testing","container-title":"Annual review of public health","page":"161-178","volume":"32","abstract":"In 2007, the U.S. National Research Council (NRC) published a groundbreaking report entitled Toxicity Testing in the 21st Century: A Vision and a Strategy. The purpose of this report was to develop a long-range strategic plan to update and advance the way environmental agents are tested for toxicity. The vision focused on the identification of critical perturbations of toxicity pathways that lead to adverse human health outcomes using modern scientific tools and technologies. This review describes how emerging scientific methods will move the NRC vision forward and improve the manner in which the potential health risks associated with exposure to environmental agents are assessed. The new paradigm for toxicity testing is compatible with the widely used four-stage risk assessment framework originally proposed by the NRC in 1983 in the so-called Red Book. The Nrf2 antioxidant pathway provides a detailed example of how relevant pathway perturbations will be identified within the context of the new NRC vision for the future of toxicity testing. The implications of the NRC vision for toxicity testing for regulatory risk assessment are also discussed.","DOI":"10.1146/annurev-publhealth-031210-101153","note":"PMID: 21219154","journalAbbreviation":"Annu Rev Public Health","author":[{"family":"Krewski","given":"Daniel"},{"family":"Westphal","given":"Margit"},{"family":"Al-Zoughool","given":"Mustafa"},{"family":"Croteau","given":"Maxine C"},{"family":"Andersen","given":"Melvin E"}],"issued":{"year":2011},"accessed":{"year":2012,"month":6,"day":29},"page-first":"161"}}],"schema":"https://github.com/citation-style-language/schema/raw/master/csl-citation.json"} </w:instrText>
      </w:r>
      <w:r w:rsidR="009A377C" w:rsidRPr="00C57375">
        <w:rPr>
          <w:b/>
          <w:i/>
          <w:color w:val="000000"/>
        </w:rPr>
        <w:fldChar w:fldCharType="separate"/>
      </w:r>
      <w:r w:rsidR="0042106E" w:rsidRPr="00C57375">
        <w:rPr>
          <w:b/>
          <w:i/>
        </w:rPr>
        <w:t>(</w:t>
      </w:r>
      <w:r w:rsidR="0042106E" w:rsidRPr="00C57375">
        <w:rPr>
          <w:b/>
          <w:bCs/>
          <w:i/>
          <w:iCs/>
        </w:rPr>
        <w:t>64</w:t>
      </w:r>
      <w:r w:rsidR="0042106E" w:rsidRPr="00C57375">
        <w:rPr>
          <w:b/>
          <w:i/>
        </w:rPr>
        <w:t>)</w:t>
      </w:r>
      <w:r w:rsidR="009A377C" w:rsidRPr="00C57375">
        <w:rPr>
          <w:b/>
          <w:i/>
          <w:color w:val="000000"/>
        </w:rPr>
        <w:fldChar w:fldCharType="end"/>
      </w:r>
      <w:r w:rsidRPr="00F259A2">
        <w:rPr>
          <w:color w:val="000000"/>
        </w:rPr>
        <w:t xml:space="preserve">. Methodologies such as microarrays will help to transform current toxicology tests towards an </w:t>
      </w:r>
      <w:r w:rsidRPr="00F259A2">
        <w:rPr>
          <w:i/>
          <w:color w:val="000000"/>
        </w:rPr>
        <w:t>in vitro</w:t>
      </w:r>
      <w:r w:rsidRPr="00F259A2">
        <w:rPr>
          <w:color w:val="000000"/>
        </w:rPr>
        <w:t xml:space="preserve"> toxicity pathway test approach as proposed by the NRC </w:t>
      </w:r>
      <w:r w:rsidR="009A377C" w:rsidRPr="00C57375">
        <w:rPr>
          <w:b/>
          <w:i/>
          <w:color w:val="000000"/>
        </w:rPr>
        <w:fldChar w:fldCharType="begin"/>
      </w:r>
      <w:r w:rsidR="0042106E" w:rsidRPr="00C57375">
        <w:rPr>
          <w:b/>
          <w:i/>
          <w:color w:val="000000"/>
        </w:rPr>
        <w:instrText xml:space="preserve"> ADDIN ZOTERO_ITEM CSL_CITATION {"citationID":"1hvrrtmsmd","properties":{"formattedCitation":"{\\rtf (\\b \\i 64\\i0{}\\b0{}; \\b \\i 65\\i0{}\\b0{})}","plainCitation":"(64; 65)"},"citationItems":[{"id":153,"uris":["http://zotero.org/users/1046410/items/UE6TC84I"],"uri":["http://zotero.org/users/1046410/items/UE6TC84I"],"itemData":{"id":153,"type":"article-journal","title":"Toxicity testing in the 21 century: defining new risk assessment approaches based on perturbation of intracellular toxicity pathways","container-title":"PloS one","page":"e20887","volume":"6","issue":"6","abstract":"The approaches to quantitatively assessing the health risks of chemical exposure have not changed appreciably in the past 50 to 80 years, the focus remaining on high-dose studies that measure adverse outcomes in homogeneous animal populations. This expensive, low-throughput approach relies on conservative extrapolations to relate animal studies to much lower-dose human exposures and is of questionable relevance to predicting risks to humans at their typical low exposures. It makes little use of a mechanistic understanding of the mode of action by which chemicals perturb biological processes in human cells and tissues. An alternative vision, proposed by the U.S. National Research Council (NRC) report Toxicity Testing in the 21(st) Century: A Vision and a Strategy, called for moving away from traditional high-dose animal studies to an approach based on perturbation of cellular responses using well-designed in vitro assays. Central to this vision are (a) \"toxicity pathways\" (the innate cellular pathways that may be perturbed by chemicals) and (b) the determination of chemical concentration ranges where those perturbations are likely to be excessive, thereby leading to adverse health effects if present for a prolonged duration in an intact organism. In this paper we briefly review the original NRC report and responses to that report over the past 3 years, and discuss how the change in testing might be achieved in the U.S. and in the European Union (EU). EU initiatives in developing alternatives to animal testing of cosmetic ingredients have run very much in parallel with the NRC report. Moving from current practice to the NRC vision would require using prototype toxicity pathways to develop case studies showing the new vision in action. In this vein, we also discuss how the proposed strategy for toxicity testing might be applied to the toxicity pathways associated with DNA damage and repair.","DOI":"10.1371/journal.pone.0020887","note":"PMID: 21701582","shortTitle":"Toxicity testing in the 21 century","journalAbbreviation":"PLoS ONE","author":[{"family":"Bhattacharya","given":"Sudin"},{"family":"Zhang","given":"Qiang"},{"family":"Carmichael","given":"Paul L"},{"family":"Boekelheide","given":"Kim"},{"family":"Andersen","given":"Melvin E"}],"issued":{"year":2011},"accessed":{"year":2012,"month":6,"day":29},"page-first":"e20887"},"label":"page"},{"id":148,"uris":["http://zotero.org/users/1046410/items/4JC8D2TZ"],"uri":["http://zotero.org/users/1046410/items/4JC8D2TZ"],"itemData":{"id":148,"type":"article-journal","title":"New directions in toxicity testing","container-title":"Annual review of public health","page":"161-178","volume":"32","abstract":"In 2007, the U.S. National Research Council (NRC) published a groundbreaking report entitled Toxicity Testing in the 21st Century: A Vision and a Strategy. The purpose of this report was to develop a long-range strategic plan to update and advance the way environmental agents are tested for toxicity. The vision focused on the identification of critical perturbations of toxicity pathways that lead to adverse human health outcomes using modern scientific tools and technologies. This review describes how emerging scientific methods will move the NRC vision forward and improve the manner in which the potential health risks associated with exposure to environmental agents are assessed. The new paradigm for toxicity testing is compatible with the widely used four-stage risk assessment framework originally proposed by the NRC in 1983 in the so-called Red Book. The Nrf2 antioxidant pathway provides a detailed example of how relevant pathway perturbations will be identified within the context of the new NRC vision for the future of toxicity testing. The implications of the NRC vision for toxicity testing for regulatory risk assessment are also discussed.","DOI":"10.1146/annurev-publhealth-031210-101153","note":"PMID: 21219154","journalAbbreviation":"Annu Rev Public Health","author":[{"family":"Krewski","given":"Daniel"},{"family":"Westphal","given":"Margit"},{"family":"Al-Zoughool","given":"Mustafa"},{"family":"Croteau","given":"Maxine C"},{"family":"Andersen","given":"Melvin E"}],"issued":{"year":2011},"accessed":{"year":2012,"month":6,"day":29},"page-first":"161"},"label":"page"}],"schema":"https://github.com/citation-style-language/schema/raw/master/csl-citation.json"} </w:instrText>
      </w:r>
      <w:r w:rsidR="009A377C" w:rsidRPr="00C57375">
        <w:rPr>
          <w:b/>
          <w:i/>
          <w:color w:val="000000"/>
        </w:rPr>
        <w:fldChar w:fldCharType="separate"/>
      </w:r>
      <w:r w:rsidR="0042106E" w:rsidRPr="00C57375">
        <w:rPr>
          <w:b/>
          <w:i/>
        </w:rPr>
        <w:t>(</w:t>
      </w:r>
      <w:r w:rsidR="0042106E" w:rsidRPr="00C57375">
        <w:rPr>
          <w:b/>
          <w:bCs/>
          <w:i/>
          <w:iCs/>
        </w:rPr>
        <w:t>64</w:t>
      </w:r>
      <w:r w:rsidR="00D86643" w:rsidRPr="00C57375">
        <w:rPr>
          <w:b/>
          <w:i/>
        </w:rPr>
        <w:t>,</w:t>
      </w:r>
      <w:r w:rsidR="0042106E" w:rsidRPr="00C57375">
        <w:rPr>
          <w:b/>
          <w:i/>
        </w:rPr>
        <w:t xml:space="preserve"> </w:t>
      </w:r>
      <w:r w:rsidR="0042106E" w:rsidRPr="00C57375">
        <w:rPr>
          <w:b/>
          <w:bCs/>
          <w:i/>
          <w:iCs/>
        </w:rPr>
        <w:t>65</w:t>
      </w:r>
      <w:r w:rsidR="0042106E" w:rsidRPr="00C57375">
        <w:rPr>
          <w:b/>
          <w:i/>
        </w:rPr>
        <w:t>)</w:t>
      </w:r>
      <w:r w:rsidR="009A377C" w:rsidRPr="00C57375">
        <w:rPr>
          <w:b/>
          <w:i/>
          <w:color w:val="000000"/>
        </w:rPr>
        <w:fldChar w:fldCharType="end"/>
      </w:r>
      <w:r w:rsidRPr="00F259A2">
        <w:rPr>
          <w:color w:val="000000"/>
        </w:rPr>
        <w:t xml:space="preserve">. Functional genomics as envisioned by the NRC then involves the assessment of gene alterations as well as protein and </w:t>
      </w:r>
      <w:r w:rsidRPr="00F259A2">
        <w:rPr>
          <w:color w:val="000000"/>
        </w:rPr>
        <w:lastRenderedPageBreak/>
        <w:t>metabolite profiling upon chemical exposure. This will allow the identification of target pathways, establish dose-</w:t>
      </w:r>
      <w:r w:rsidR="0063481D" w:rsidRPr="00F259A2">
        <w:rPr>
          <w:color w:val="000000"/>
        </w:rPr>
        <w:t>-</w:t>
      </w:r>
      <w:r w:rsidRPr="00F259A2">
        <w:rPr>
          <w:color w:val="000000"/>
        </w:rPr>
        <w:t xml:space="preserve">relationships and map underlying structures for pathway activations in a toxicological context </w:t>
      </w:r>
      <w:r w:rsidR="009A377C" w:rsidRPr="00FD6ED9">
        <w:rPr>
          <w:b/>
          <w:i/>
          <w:color w:val="000000"/>
        </w:rPr>
        <w:fldChar w:fldCharType="begin"/>
      </w:r>
      <w:r w:rsidR="0042106E" w:rsidRPr="00FD6ED9">
        <w:rPr>
          <w:b/>
          <w:i/>
          <w:color w:val="000000"/>
        </w:rPr>
        <w:instrText xml:space="preserve"> ADDIN ZOTERO_ITEM CSL_CITATION {"citationID":"1i66mps49u","properties":{"formattedCitation":"{\\rtf (\\b \\i 64\\i0{}\\b0{}; \\b \\i 66\\i0{}\\b0{}\\uc0\\u8211{}\\b \\i 68\\i0{}\\b0{})}","plainCitation":"(64; 66–68)"},"citationItems":[{"id":36,"uris":["http://zotero.org/users/1046410/items/DTM7MSFM"],"uri":["http://zotero.org/users/1046410/items/DTM7MSFM"],"itemData":{"id":36,"type":"article-journal","title":"Toxicogenomics: a pivotal piece in the puzzle of toxicological research","container-title":"Journal of applied toxicology: JAT","page":"302-309","volume":"27","issue":"4","abstract":"Toxicogenomics, resulting from the merge of conventional toxicology with functional genomics, being the scientific field studying the complex interactions between the cellular genome, toxic agents in the environment, organ dysfunction and disease state. When an organism is exposed to a toxic agent the cells respond by altering the pattern of gene expression. Genes are transcribed into mRNA, which in turn is translated into proteins that serve in a variety of cellular functions. Toxicogenomics through microarray technology, offers large-scale detection and quantification of mRNA transcripts, related to alterations in mRNA stability or gene regulation. This may prove advantageous in toxicological research. In the present review, the applications of toxicogenomics, especially to mechanistic and predictive toxicology are reported. The limitations arising from the use of this technology are also discussed. Additionally, a brief report of other approaches, using other -omic technologies (proteomics and metabonomics) that overcome limitations and give global information related to toxicity, is included.","DOI":"10.1002/jat.1248","note":"PMID: 17429800","shortTitle":"Toxicogenomics","journalAbbreviation":"J Appl Toxicol","author":[{"family":"Gatzidou","given":"Elisavet T"},{"family":"Zira","given":"Athina N"},{"family":"Theocharis","given":"Stamatios E"}],"issued":{"year":2007,"month":8},"accessed":{"year":2012,"month":7,"day":24},"page-first":"302"}},{"id":33,"uris":["http://zotero.org/users/1046410/items/BGMXG6U4"],"uri":["http://zotero.org/users/1046410/items/BGMXG6U4"],"itemData":{"id":33,"type":"article-journal","title":"Systems biology and functional genomics approaches for the identification of cellular responses to drug toxicity","container-title":"Expert opinion on drug metabolism &amp; toxicology","page":"1379-1389","volume":"4","issue":"11","abstract":"Extensive growth in the field of molecular biology in recent decades has led to the development of new and powerful experimental and computational tools that enable the analysis of complex biological responses to chemical exposure on both a functional and structural genetic level. The ability to profile global responses on a transcriptional level has become a valuable resource in the science of toxicology and attempts are now being made to further understand toxicity mechanisms by incorporating metabolomics and proteomics approaches. In addition, recent progress in understanding the extent of the genetic diversity within and between species allows us to take a fresh look at research on genetic polymorphisms that may influence an individual's susceptibility to toxicity. Whereas new technologies have the potential to make a sizeable impact on our understanding of the mechanisms of toxicity, considerable challenges remain to be addressed, especially with regard to the regulatory acceptance and successful integration of omics data. This review highlights recent advancements in the application of functional and structural genomics techniques to chemical hazard identification and characterization, and to the understanding of the interindividual differences in susceptibility to adverse drug reactions.","DOI":"10.1517/17425255.4.11.1379","note":"PMID: 18950280","journalAbbreviation":"Expert Opin Drug Metab Toxicol","author":[{"family":"Harrill","given":"Alison Hege"},{"family":"Rusyn","given":"Ivan"}],"issued":{"year":2008,"month":11},"accessed":{"year":2012,"month":7,"day":24},"page-first":"1379"}},{"id":30,"uris":["http://zotero.org/users/1046410/items/2M5N6HX6"],"uri":["http://zotero.org/users/1046410/items/2M5N6HX6"],"itemData":{"id":30,"type":"article-journal","title":"Computational systems biology and dose-response modeling in relation to new directions in toxicity testing","container-title":"Journal of toxicology and environmental health. Part B, Critical reviews","page":"253-276","volume":"13","issue":"2-4","abstract":"The new paradigm envisioned for toxicity testing in the 21st century advocates shifting from the current animal-based testing process to a combination of in vitro cell-based studies, high-throughput techniques, and in silico modeling. A strategic component of the vision is the adoption of the systems biology approach to acquire, analyze, and interpret toxicity pathway data. As key toxicity pathways are identified and their wiring details elucidated using traditional and high-throughput techniques, there is a pressing need to understand their qualitative and quantitative behaviors in response to perturbation by both physiological signals and exogenous stressors. The complexity of these molecular networks makes the task of understanding cellular responses merely by human intuition challenging, if not impossible. This process can be aided by mathematical modeling and computer simulation of the networks and their dynamic behaviors. A number of theoretical frameworks were developed in the last century for understanding dynamical systems in science and engineering disciplines. These frameworks, which include metabolic control analysis, biochemical systems theory, nonlinear dynamics, and control theory, can greatly facilitate the process of organizing, analyzing, and understanding toxicity pathways. Such analysis will require a comprehensive examination of the dynamic properties of \"network motifs\"--the basic building blocks of molecular circuits. Network motifs like feedback and feedforward loops appear repeatedly in various molecular circuits across cell types and enable vital cellular functions like homeostasis, all-or-none response, memory, and biological rhythm. These functional motifs and associated qualitative and quantitative properties are the predominant source of nonlinearities observed in cellular dose response data. Complex response behaviors can arise from toxicity pathways built upon combinations of network motifs. While the field of computational cell biology has advanced rapidly with increasing availability of new data and powerful simulation techniques, a quantitative orientation is still lacking in life sciences education to make efficient use of these new tools to implement the new toxicity testing paradigm. A revamped undergraduate curriculum in the biological sciences including compulsory courses in mathematics and analysis of dynamical systems is required to address this gap. In parallel, dissemination of computational systems biology techniques and other analytical tools among practicing toxicologists and risk assessment professionals will help accelerate implementation of the new toxicity testing vision.","DOI":"10.1080/10937404.2010.483943","note":"PMID: 20574901","journalAbbreviation":"J Toxicol Environ Health B Crit Rev","author":[{"family":"Zhang","given":"Qiang"},{"family":"Bhattacharya","given":"Sudin"},{"family":"Andersen","given":"Melvin E"},{"family":"Conolly","given":"Rory B"}],"issued":{"year":2010,"month":2},"accessed":{"year":2012,"month":7,"day":24},"page-first":"253"}},{"id":148,"uris":["http://zotero.org/users/1046410/items/4JC8D2TZ"],"uri":["http://zotero.org/users/1046410/items/4JC8D2TZ"],"itemData":{"id":148,"type":"article-journal","title":"New directions in toxicity testing","container-title":"Annual review of public health","page":"161-178","volume":"32","abstract":"In 2007, the U.S. National Research Council (NRC) published a groundbreaking report entitled Toxicity Testing in the 21st Century: A Vision and a Strategy. The purpose of this report was to develop a long-range strategic plan to update and advance the way environmental agents are tested for toxicity. The vision focused on the identification of critical perturbations of toxicity pathways that lead to adverse human health outcomes using modern scientific tools and technologies. This review describes how emerging scientific methods will move the NRC vision forward and improve the manner in which the potential health risks associated with exposure to environmental agents are assessed. The new paradigm for toxicity testing is compatible with the widely used four-stage risk assessment framework originally proposed by the NRC in 1983 in the so-called Red Book. The Nrf2 antioxidant pathway provides a detailed example of how relevant pathway perturbations will be identified within the context of the new NRC vision for the future of toxicity testing. The implications of the NRC vision for toxicity testing for regulatory risk assessment are also discussed.","DOI":"10.1146/annurev-publhealth-031210-101153","note":"PMID: 21219154","journalAbbreviation":"Annu Rev Public Health","author":[{"family":"Krewski","given":"Daniel"},{"family":"Westphal","given":"Margit"},{"family":"Al-Zoughool","given":"Mustafa"},{"family":"Croteau","given":"Maxine C"},{"family":"Andersen","given":"Melvin E"}],"issued":{"year":2011},"accessed":{"year":2012,"month":6,"day":29},"page-first":"161"}}],"schema":"https://github.com/citation-style-language/schema/raw/master/csl-citation.json"} </w:instrText>
      </w:r>
      <w:r w:rsidR="009A377C" w:rsidRPr="00FD6ED9">
        <w:rPr>
          <w:b/>
          <w:i/>
          <w:color w:val="000000"/>
        </w:rPr>
        <w:fldChar w:fldCharType="separate"/>
      </w:r>
      <w:r w:rsidR="0042106E" w:rsidRPr="00FD6ED9">
        <w:rPr>
          <w:b/>
          <w:i/>
        </w:rPr>
        <w:t>(</w:t>
      </w:r>
      <w:r w:rsidR="0042106E" w:rsidRPr="00FD6ED9">
        <w:rPr>
          <w:b/>
          <w:bCs/>
          <w:i/>
          <w:iCs/>
        </w:rPr>
        <w:t>64</w:t>
      </w:r>
      <w:r w:rsidR="0063481D" w:rsidRPr="00FD6ED9">
        <w:rPr>
          <w:b/>
          <w:i/>
        </w:rPr>
        <w:t>,</w:t>
      </w:r>
      <w:r w:rsidR="0042106E" w:rsidRPr="00FD6ED9">
        <w:rPr>
          <w:b/>
          <w:i/>
        </w:rPr>
        <w:t xml:space="preserve"> </w:t>
      </w:r>
      <w:r w:rsidR="0042106E" w:rsidRPr="00FD6ED9">
        <w:rPr>
          <w:b/>
          <w:bCs/>
          <w:i/>
          <w:iCs/>
        </w:rPr>
        <w:t>66</w:t>
      </w:r>
      <w:r w:rsidR="0042106E" w:rsidRPr="00FD6ED9">
        <w:rPr>
          <w:b/>
          <w:i/>
        </w:rPr>
        <w:t>–</w:t>
      </w:r>
      <w:r w:rsidR="0042106E" w:rsidRPr="00FD6ED9">
        <w:rPr>
          <w:b/>
          <w:bCs/>
          <w:i/>
          <w:iCs/>
        </w:rPr>
        <w:t>68</w:t>
      </w:r>
      <w:r w:rsidR="0042106E" w:rsidRPr="00FD6ED9">
        <w:rPr>
          <w:b/>
          <w:i/>
        </w:rPr>
        <w:t>)</w:t>
      </w:r>
      <w:r w:rsidR="009A377C" w:rsidRPr="00FD6ED9">
        <w:rPr>
          <w:b/>
          <w:i/>
          <w:color w:val="000000"/>
        </w:rPr>
        <w:fldChar w:fldCharType="end"/>
      </w:r>
      <w:r w:rsidRPr="00F259A2">
        <w:rPr>
          <w:color w:val="000000"/>
        </w:rPr>
        <w:t xml:space="preserve">. </w:t>
      </w:r>
    </w:p>
    <w:p w14:paraId="43F83BB7" w14:textId="77777777" w:rsidR="00913640" w:rsidRPr="00F259A2" w:rsidRDefault="00913640" w:rsidP="008A5EE5">
      <w:pPr>
        <w:tabs>
          <w:tab w:val="left" w:pos="-1440"/>
          <w:tab w:val="left" w:pos="-720"/>
        </w:tabs>
        <w:suppressAutoHyphens/>
        <w:spacing w:line="480" w:lineRule="auto"/>
        <w:rPr>
          <w:color w:val="000000"/>
        </w:rPr>
      </w:pPr>
    </w:p>
    <w:p w14:paraId="2517A19E" w14:textId="77777777" w:rsidR="00913640" w:rsidRPr="00F259A2" w:rsidRDefault="00913640" w:rsidP="008A5EE5">
      <w:pPr>
        <w:tabs>
          <w:tab w:val="left" w:pos="-1440"/>
          <w:tab w:val="left" w:pos="-720"/>
        </w:tabs>
        <w:suppressAutoHyphens/>
        <w:spacing w:line="480" w:lineRule="auto"/>
        <w:rPr>
          <w:color w:val="000000"/>
        </w:rPr>
      </w:pPr>
      <w:r w:rsidRPr="00F259A2">
        <w:rPr>
          <w:color w:val="000000"/>
        </w:rPr>
        <w:t>The microarray technology is a particularly powerful tool to identify new genotoxic substances and their mechanisms of action. It also allows determining no</w:t>
      </w:r>
      <w:r w:rsidR="0063481D" w:rsidRPr="00F259A2">
        <w:rPr>
          <w:color w:val="000000"/>
        </w:rPr>
        <w:t>-</w:t>
      </w:r>
      <w:r w:rsidRPr="00F259A2">
        <w:rPr>
          <w:color w:val="000000"/>
        </w:rPr>
        <w:t xml:space="preserve">-effect levels and different susceptibility levels for tissues and cell types. However, besides the consideration of cost and effort, this microarray technology also requires careful planning and choice of analysis methodology to get optimal results </w:t>
      </w:r>
      <w:r w:rsidR="009A377C" w:rsidRPr="00F779C9">
        <w:rPr>
          <w:b/>
          <w:i/>
          <w:color w:val="000000"/>
        </w:rPr>
        <w:fldChar w:fldCharType="begin"/>
      </w:r>
      <w:r w:rsidR="0042106E" w:rsidRPr="00F779C9">
        <w:rPr>
          <w:b/>
          <w:i/>
          <w:color w:val="000000"/>
        </w:rPr>
        <w:instrText xml:space="preserve"> ADDIN ZOTERO_ITEM CSL_CITATION {"citationID":"kmf1m70te","properties":{"formattedCitation":"{\\rtf (\\b \\i 69\\i0{}\\b0{})}","plainCitation":"(69)"},"citationItems":[{"id":37,"uris":["http://zotero.org/users/1046410/items/DVTSSZID"],"uri":["http://zotero.org/users/1046410/items/DVTSSZID"],"itemData":{"id":37,"type":"article-journal","title":"Analysis and management of microarray gene expression data","container-title":"Current protocols in molecular biology / edited by Frederick M. Ausubel ... [et al.]","page":"Unit 19.6","volume":"Chapter 19","abstract":"Microarray experiments require careful planning and choice of analysis tools in order to get the most out of the data generated, especially considering the associated significant cost and effort. Microarray experiments also require careful documentation, often residing in local databases and/or submitted to public repositories. An often bewildering assortment of choices is available for experimental design, data preprocessing, data analysis (e.g., differential gene expression, classification), and data management. This unit covers the basic steps and common applications for planning, data processing, and data management of microarray experiments, and provides guidance to making choices based on the goals and practical realities of the experiment, as well as the authors' experience in this area.","DOI":"10.1002/0471142727.mb1906s77","note":"PMID: 18265395","journalAbbreviation":"Curr Protoc Mol Biol","author":[{"family":"Grant","given":"Gregory R"},{"family":"Manduchi","given":"Elisabetta"},{"family":"Stoeckert","given":"Christian J, Jr"}],"issued":{"year":2007,"month":1},"accessed":{"year":2012,"month":7,"day":26},"page-first":"Unit 19.6"}}],"schema":"https://github.com/citation-style-language/schema/raw/master/csl-citation.json"} </w:instrText>
      </w:r>
      <w:r w:rsidR="009A377C" w:rsidRPr="00F779C9">
        <w:rPr>
          <w:b/>
          <w:i/>
          <w:color w:val="000000"/>
        </w:rPr>
        <w:fldChar w:fldCharType="separate"/>
      </w:r>
      <w:r w:rsidR="0042106E" w:rsidRPr="00F779C9">
        <w:rPr>
          <w:b/>
          <w:i/>
        </w:rPr>
        <w:t>(</w:t>
      </w:r>
      <w:r w:rsidR="0042106E" w:rsidRPr="00F779C9">
        <w:rPr>
          <w:b/>
          <w:bCs/>
          <w:i/>
          <w:iCs/>
        </w:rPr>
        <w:t>69</w:t>
      </w:r>
      <w:r w:rsidR="0042106E" w:rsidRPr="00F779C9">
        <w:rPr>
          <w:b/>
          <w:i/>
        </w:rPr>
        <w:t>)</w:t>
      </w:r>
      <w:r w:rsidR="009A377C" w:rsidRPr="00F779C9">
        <w:rPr>
          <w:b/>
          <w:i/>
          <w:color w:val="000000"/>
        </w:rPr>
        <w:fldChar w:fldCharType="end"/>
      </w:r>
      <w:r w:rsidRPr="00F259A2">
        <w:rPr>
          <w:color w:val="000000"/>
        </w:rPr>
        <w:t>. Certain parameters such as suitable signal</w:t>
      </w:r>
      <w:r w:rsidR="0063481D" w:rsidRPr="00F259A2">
        <w:rPr>
          <w:color w:val="000000"/>
        </w:rPr>
        <w:t>—</w:t>
      </w:r>
      <w:r w:rsidRPr="00F259A2">
        <w:rPr>
          <w:color w:val="000000"/>
        </w:rPr>
        <w:t>to</w:t>
      </w:r>
      <w:r w:rsidR="0063481D" w:rsidRPr="00F259A2">
        <w:rPr>
          <w:color w:val="000000"/>
        </w:rPr>
        <w:t>-</w:t>
      </w:r>
      <w:r w:rsidRPr="00F259A2">
        <w:rPr>
          <w:color w:val="000000"/>
        </w:rPr>
        <w:t>-noise ratios, low standard deviations (SD) of intensity ratios as well as an optimized cot-</w:t>
      </w:r>
      <w:r w:rsidR="0063481D" w:rsidRPr="00F259A2">
        <w:rPr>
          <w:color w:val="000000"/>
        </w:rPr>
        <w:t>-</w:t>
      </w:r>
      <w:r w:rsidRPr="00F259A2">
        <w:rPr>
          <w:color w:val="000000"/>
        </w:rPr>
        <w:t>1 DNA to probe DNA ratio are essential for a successful employment of this technology. It has to be taken into account that genomic array CGH uses a more complex probe mixture and shows lower copy number variations compared to pure expression arrays. Thus, it is crucial to indicate the percentage of spots that provided acceptable values of intensity ratios (typically &gt;97%, signal-</w:t>
      </w:r>
      <w:r w:rsidR="0063481D" w:rsidRPr="00F259A2">
        <w:rPr>
          <w:color w:val="000000"/>
        </w:rPr>
        <w:t>-</w:t>
      </w:r>
      <w:r w:rsidRPr="00F259A2">
        <w:rPr>
          <w:color w:val="000000"/>
        </w:rPr>
        <w:t>to-</w:t>
      </w:r>
      <w:r w:rsidR="0063481D" w:rsidRPr="00F259A2">
        <w:rPr>
          <w:color w:val="000000"/>
        </w:rPr>
        <w:t>-</w:t>
      </w:r>
      <w:r w:rsidRPr="00F259A2">
        <w:rPr>
          <w:color w:val="000000"/>
        </w:rPr>
        <w:t>noise ratio &gt;2 and SD &lt;10% for the duplicates)</w:t>
      </w:r>
      <w:r w:rsidR="0063481D" w:rsidRPr="00F259A2">
        <w:rPr>
          <w:color w:val="000000"/>
        </w:rPr>
        <w:t xml:space="preserve"> </w:t>
      </w:r>
      <w:r w:rsidR="009A377C" w:rsidRPr="004D6017">
        <w:rPr>
          <w:b/>
          <w:i/>
          <w:color w:val="000000"/>
        </w:rPr>
        <w:fldChar w:fldCharType="begin"/>
      </w:r>
      <w:r w:rsidR="0042106E" w:rsidRPr="004D6017">
        <w:rPr>
          <w:b/>
          <w:i/>
          <w:color w:val="000000"/>
        </w:rPr>
        <w:instrText xml:space="preserve"> ADDIN ZOTERO_ITEM CSL_CITATION {"citationID":"2gg3euquqn","properties":{"formattedCitation":"{\\rtf (\\b \\i 70\\i0{}\\b0{})}","plainCitation":"(70)"},"citationItems":[{"id":48,"uris":["http://zotero.org/users/1046410/items/7TPFTXW2"],"uri":["http://zotero.org/users/1046410/items/7TPFTXW2"],"itemData":{"id":48,"type":"article-journal","title":"Molecular karyotyping: array CGH quality criteria for constitutional genetic diagnosis","container-title":"The journal of histochemistry and cytochemistry: official journal of the Histochemistry Society","page":"413-422","volume":"53","issue":"3","abstract":"Array CGH (comparative genomic hybridization) enables the identification of chromosomal copy number changes. The availability of clone sets covering the human genome opens the possibility for the widespread use of array CGH for both research and diagnostic purposes. In this manuscript we report on the parameters that were critical for successful implementation of the technology, assess quality criteria, and discuss the potential benefits and pitfalls of the technology for improved pre- and postnatal constitutional genetic diagnosis. We propose to name the genome-wide array CGH \"molecular karyotyping,\" in analogy with conventional karyotyping that uses staining methods to visualize chromosomes.","DOI":"10.1369/jhc.4A6436.2005","note":"PMID: 15750031","shortTitle":"Molecular karyotyping","journalAbbreviation":"J. Histochem. Cytochem.","author":[{"family":"Vermeesch","given":"Joris R"},{"family":"Melotte","given":"Cindy"},{"family":"Froyen","given":"Guy"},{"family":"Van Vooren","given":"Steven"},{"family":"Dutta","given":"Binita"},{"family":"Maas","given":"Nicole"},{"family":"Vermeulen","given":"Stefan"},{"family":"Menten","given":"Björn"},{"family":"Speleman","given":"Frank"},{"family":"De Moor","given":"Bart"},{"family":"Van Hummelen","given":"Paul"},{"family":"Marynen","given":"Peter"},{"family":"Fryns","given":"Jean-Pierre"},{"family":"Devriendt","given":"Koen"}],"issued":{"year":2005,"month":3},"accessed":{"year":2012,"month":7,"day":31},"page-first":"413"}}],"schema":"https://github.com/citation-style-language/schema/raw/master/csl-citation.json"} </w:instrText>
      </w:r>
      <w:r w:rsidR="009A377C" w:rsidRPr="004D6017">
        <w:rPr>
          <w:b/>
          <w:i/>
          <w:color w:val="000000"/>
        </w:rPr>
        <w:fldChar w:fldCharType="separate"/>
      </w:r>
      <w:r w:rsidR="0042106E" w:rsidRPr="004D6017">
        <w:rPr>
          <w:b/>
          <w:i/>
        </w:rPr>
        <w:t>(</w:t>
      </w:r>
      <w:r w:rsidR="0042106E" w:rsidRPr="004D6017">
        <w:rPr>
          <w:b/>
          <w:bCs/>
          <w:i/>
          <w:iCs/>
        </w:rPr>
        <w:t>70</w:t>
      </w:r>
      <w:r w:rsidR="0042106E" w:rsidRPr="004D6017">
        <w:rPr>
          <w:b/>
          <w:i/>
        </w:rPr>
        <w:t>)</w:t>
      </w:r>
      <w:r w:rsidR="009A377C" w:rsidRPr="004D6017">
        <w:rPr>
          <w:b/>
          <w:i/>
          <w:color w:val="000000"/>
        </w:rPr>
        <w:fldChar w:fldCharType="end"/>
      </w:r>
      <w:r w:rsidRPr="00F259A2">
        <w:rPr>
          <w:color w:val="000000"/>
        </w:rPr>
        <w:t>. It is further important to define threshold values to avoid false negative results, i.e. to eliminate false positives without removing true positives. Such a threshold for deletions and duplications can be described as the mean ± 4</w:t>
      </w:r>
      <m:oMath>
        <m:r>
          <w:rPr>
            <w:rFonts w:ascii="Cambria Math" w:hAnsi="Cambria Math"/>
            <w:color w:val="000000"/>
          </w:rPr>
          <m:t>×</m:t>
        </m:r>
      </m:oMath>
      <w:r w:rsidRPr="00F259A2">
        <w:rPr>
          <w:color w:val="000000"/>
        </w:rPr>
        <w:t xml:space="preserve">SD </w:t>
      </w:r>
      <w:r w:rsidR="009A377C" w:rsidRPr="00D21338">
        <w:rPr>
          <w:b/>
          <w:i/>
          <w:color w:val="000000"/>
        </w:rPr>
        <w:fldChar w:fldCharType="begin"/>
      </w:r>
      <w:r w:rsidR="0042106E" w:rsidRPr="00D21338">
        <w:rPr>
          <w:b/>
          <w:i/>
          <w:color w:val="000000"/>
        </w:rPr>
        <w:instrText xml:space="preserve"> ADDIN ZOTERO_ITEM CSL_CITATION {"citationID":"196aefffci","properties":{"formattedCitation":"{\\rtf (\\b \\i 71\\i0{}\\b0{})}","plainCitation":"(71)"},"citationItems":[{"id":49,"uris":["http://zotero.org/users/1046410/items/FRATW2E5"],"uri":["http://zotero.org/users/1046410/items/FRATW2E5"],"itemData":{"id":49,"type":"article-journal","title":"Microarray based comparative genomic hybridisation (array-CGH) detects submicroscopic chromosomal deletions and duplications in patients with learning disability/mental retardation and dysmorphic features","container-title":"Journal of medical genetics","page":"241-248","volume":"41","issue":"4","abstract":"The underlying causes of learning disability and dysmorphic features in many patients remain unidentified despite extensive investigation. Routine karyotype analysis is not sensitive enough to detect subtle chromosome rearrangements (less than 5 Mb). The presence of subtle DNA copy number changes was investigated by array-CGH in 50 patients with learning disability and dysmorphism, employing a DNA microarray constructed from large insert clones spaced at approximately 1 Mb intervals across the genome. Twelve copy number abnormalities were identified in 12 patients (24% of the total): seven deletions (six apparently de novo and one inherited from a phenotypically normal parent) and five duplications (one de novo and four inherited from phenotypically normal parents). Altered segments ranged in size from those involving a single clone to regions as large as 14 Mb. No recurrent deletion or duplication was identified within this cohort of patients. On the basis of these results, we anticipate that array-CGH will become a routine method of genome-wide screening for imbalanced rearrangements in children with learning disability.","note":"PMID: 15060094","journalAbbreviation":"J. Med. Genet.","author":[{"family":"Shaw-Smith","given":"C"},{"family":"Redon","given":"R"},{"family":"Rickman","given":"L"},{"family":"Rio","given":"M"},{"family":"Willatt","given":"L"},{"family":"Fiegler","given":"H"},{"family":"Firth","given":"H"},{"family":"Sanlaville","given":"D"},{"family":"Winter","given":"R"},{"family":"Colleaux","given":"L"},{"family":"Bobrow","given":"M"},{"family":"Carter","given":"N P"}],"issued":{"year":2004,"month":4},"accessed":{"year":2012,"month":7,"day":31},"page-first":"241"}}],"schema":"https://github.com/citation-style-language/schema/raw/master/csl-citation.json"} </w:instrText>
      </w:r>
      <w:r w:rsidR="009A377C" w:rsidRPr="00D21338">
        <w:rPr>
          <w:b/>
          <w:i/>
          <w:color w:val="000000"/>
        </w:rPr>
        <w:fldChar w:fldCharType="separate"/>
      </w:r>
      <w:r w:rsidR="0042106E" w:rsidRPr="00D21338">
        <w:rPr>
          <w:b/>
          <w:i/>
        </w:rPr>
        <w:t>(</w:t>
      </w:r>
      <w:r w:rsidR="0042106E" w:rsidRPr="00D21338">
        <w:rPr>
          <w:b/>
          <w:bCs/>
          <w:i/>
          <w:iCs/>
        </w:rPr>
        <w:t>71</w:t>
      </w:r>
      <w:r w:rsidR="0042106E" w:rsidRPr="00D21338">
        <w:rPr>
          <w:b/>
          <w:i/>
        </w:rPr>
        <w:t>)</w:t>
      </w:r>
      <w:r w:rsidR="009A377C" w:rsidRPr="00D21338">
        <w:rPr>
          <w:b/>
          <w:i/>
          <w:color w:val="000000"/>
        </w:rPr>
        <w:fldChar w:fldCharType="end"/>
      </w:r>
      <w:r w:rsidRPr="00F259A2">
        <w:rPr>
          <w:color w:val="000000"/>
        </w:rPr>
        <w:t>. This cut-</w:t>
      </w:r>
      <w:r w:rsidR="0063481D" w:rsidRPr="00F259A2">
        <w:rPr>
          <w:color w:val="000000"/>
        </w:rPr>
        <w:t>-</w:t>
      </w:r>
      <w:r w:rsidRPr="00F259A2">
        <w:rPr>
          <w:color w:val="000000"/>
        </w:rPr>
        <w:t>off level results in one false positive for every four analyses (for an array with 3,500 loci) as 99.9936% of the fragments fall within the normal range. For a valid diagnosis, this value of four times SD has to be below the detection limit of an autosomal duplication since the log</w:t>
      </w:r>
      <w:r w:rsidRPr="00F259A2">
        <w:rPr>
          <w:color w:val="000000"/>
          <w:vertAlign w:val="subscript"/>
        </w:rPr>
        <w:t>2</w:t>
      </w:r>
      <w:r w:rsidRPr="00F259A2">
        <w:rPr>
          <w:color w:val="000000"/>
        </w:rPr>
        <w:t xml:space="preserve"> of the ratio of duplication (</w:t>
      </w:r>
      <m:oMath>
        <m:func>
          <m:funcPr>
            <m:ctrlPr>
              <w:rPr>
                <w:rFonts w:ascii="Cambria Math" w:hAnsi="Cambria Math"/>
                <w:i/>
                <w:color w:val="000000"/>
              </w:rPr>
            </m:ctrlPr>
          </m:funcPr>
          <m:fName>
            <m:sSub>
              <m:sSubPr>
                <m:ctrlPr>
                  <w:rPr>
                    <w:rFonts w:ascii="Cambria Math" w:hAnsi="Cambria Math"/>
                    <w:i/>
                    <w:color w:val="000000"/>
                  </w:rPr>
                </m:ctrlPr>
              </m:sSubPr>
              <m:e>
                <m:r>
                  <m:rPr>
                    <m:sty m:val="p"/>
                  </m:rPr>
                  <w:rPr>
                    <w:rFonts w:ascii="Cambria Math" w:hAnsi="Cambria Math"/>
                    <w:color w:val="000000"/>
                  </w:rPr>
                  <m:t>log</m:t>
                </m:r>
              </m:e>
              <m:sub>
                <m:r>
                  <w:rPr>
                    <w:rFonts w:ascii="Cambria Math" w:hAnsi="Cambria Math"/>
                    <w:color w:val="000000"/>
                  </w:rPr>
                  <m:t>2</m:t>
                </m:r>
              </m:sub>
            </m:sSub>
          </m:fName>
          <m:e>
            <m:box>
              <m:boxPr>
                <m:ctrlPr>
                  <w:rPr>
                    <w:rFonts w:ascii="Cambria Math" w:hAnsi="Cambria Math"/>
                    <w:i/>
                    <w:color w:val="000000"/>
                  </w:rPr>
                </m:ctrlPr>
              </m:boxPr>
              <m:e>
                <m:argPr>
                  <m:argSz m:val="-1"/>
                </m:argPr>
                <m:f>
                  <m:fPr>
                    <m:ctrlPr>
                      <w:rPr>
                        <w:rFonts w:ascii="Cambria Math" w:hAnsi="Cambria Math"/>
                        <w:i/>
                        <w:color w:val="000000"/>
                      </w:rPr>
                    </m:ctrlPr>
                  </m:fPr>
                  <m:num>
                    <m:r>
                      <w:rPr>
                        <w:rFonts w:ascii="Cambria Math" w:hAnsi="Cambria Math"/>
                        <w:color w:val="000000"/>
                      </w:rPr>
                      <m:t>3</m:t>
                    </m:r>
                  </m:num>
                  <m:den>
                    <m:r>
                      <w:rPr>
                        <w:rFonts w:ascii="Cambria Math" w:hAnsi="Cambria Math"/>
                        <w:color w:val="000000"/>
                      </w:rPr>
                      <m:t>2</m:t>
                    </m:r>
                  </m:den>
                </m:f>
              </m:e>
            </m:box>
          </m:e>
        </m:func>
      </m:oMath>
      <w:r w:rsidRPr="00F259A2">
        <w:rPr>
          <w:color w:val="000000"/>
        </w:rPr>
        <w:t xml:space="preserve"> = 0.6) is closer to the normal ratio (</w:t>
      </w:r>
      <m:oMath>
        <m:func>
          <m:funcPr>
            <m:ctrlPr>
              <w:rPr>
                <w:rFonts w:ascii="Cambria Math" w:hAnsi="Cambria Math"/>
                <w:i/>
                <w:color w:val="000000"/>
              </w:rPr>
            </m:ctrlPr>
          </m:funcPr>
          <m:fName>
            <m:sSub>
              <m:sSubPr>
                <m:ctrlPr>
                  <w:rPr>
                    <w:rFonts w:ascii="Cambria Math" w:hAnsi="Cambria Math"/>
                    <w:i/>
                    <w:color w:val="000000"/>
                  </w:rPr>
                </m:ctrlPr>
              </m:sSubPr>
              <m:e>
                <m:r>
                  <m:rPr>
                    <m:sty m:val="p"/>
                  </m:rPr>
                  <w:rPr>
                    <w:rFonts w:ascii="Cambria Math" w:hAnsi="Cambria Math"/>
                    <w:color w:val="000000"/>
                  </w:rPr>
                  <m:t>log</m:t>
                </m:r>
              </m:e>
              <m:sub>
                <m:r>
                  <w:rPr>
                    <w:rFonts w:ascii="Cambria Math" w:hAnsi="Cambria Math"/>
                    <w:color w:val="000000"/>
                  </w:rPr>
                  <m:t>2</m:t>
                </m:r>
              </m:sub>
            </m:sSub>
          </m:fName>
          <m:e>
            <m:box>
              <m:boxPr>
                <m:ctrlPr>
                  <w:rPr>
                    <w:rFonts w:ascii="Cambria Math" w:hAnsi="Cambria Math"/>
                    <w:i/>
                    <w:color w:val="000000"/>
                  </w:rPr>
                </m:ctrlPr>
              </m:boxPr>
              <m:e>
                <m:argPr>
                  <m:argSz m:val="-1"/>
                </m:argPr>
                <m:f>
                  <m:fPr>
                    <m:ctrlPr>
                      <w:rPr>
                        <w:rFonts w:ascii="Cambria Math" w:hAnsi="Cambria Math"/>
                        <w:i/>
                        <w:color w:val="000000"/>
                      </w:rPr>
                    </m:ctrlPr>
                  </m:fPr>
                  <m:num>
                    <m:r>
                      <w:rPr>
                        <w:rFonts w:ascii="Cambria Math" w:hAnsi="Cambria Math"/>
                        <w:color w:val="000000"/>
                      </w:rPr>
                      <m:t>2</m:t>
                    </m:r>
                  </m:num>
                  <m:den>
                    <m:r>
                      <w:rPr>
                        <w:rFonts w:ascii="Cambria Math" w:hAnsi="Cambria Math"/>
                        <w:color w:val="000000"/>
                      </w:rPr>
                      <m:t>2</m:t>
                    </m:r>
                  </m:den>
                </m:f>
              </m:e>
            </m:box>
          </m:e>
        </m:func>
      </m:oMath>
      <w:r w:rsidRPr="00F259A2">
        <w:rPr>
          <w:color w:val="000000"/>
        </w:rPr>
        <w:t xml:space="preserve"> = 0) than to the ratio of a chromosomal loss (</w:t>
      </w:r>
      <m:oMath>
        <m:func>
          <m:funcPr>
            <m:ctrlPr>
              <w:rPr>
                <w:rFonts w:ascii="Cambria Math" w:hAnsi="Cambria Math"/>
                <w:i/>
                <w:color w:val="000000"/>
              </w:rPr>
            </m:ctrlPr>
          </m:funcPr>
          <m:fName>
            <m:sSub>
              <m:sSubPr>
                <m:ctrlPr>
                  <w:rPr>
                    <w:rFonts w:ascii="Cambria Math" w:hAnsi="Cambria Math"/>
                    <w:i/>
                    <w:color w:val="000000"/>
                  </w:rPr>
                </m:ctrlPr>
              </m:sSubPr>
              <m:e>
                <m:r>
                  <m:rPr>
                    <m:sty m:val="p"/>
                  </m:rPr>
                  <w:rPr>
                    <w:rFonts w:ascii="Cambria Math" w:hAnsi="Cambria Math"/>
                    <w:color w:val="000000"/>
                  </w:rPr>
                  <m:t>log</m:t>
                </m:r>
              </m:e>
              <m:sub>
                <m:r>
                  <w:rPr>
                    <w:rFonts w:ascii="Cambria Math" w:hAnsi="Cambria Math"/>
                    <w:color w:val="000000"/>
                  </w:rPr>
                  <m:t>2</m:t>
                </m:r>
              </m:sub>
            </m:sSub>
          </m:fName>
          <m:e>
            <m:box>
              <m:boxPr>
                <m:ctrlPr>
                  <w:rPr>
                    <w:rFonts w:ascii="Cambria Math" w:hAnsi="Cambria Math"/>
                    <w:i/>
                    <w:color w:val="000000"/>
                  </w:rPr>
                </m:ctrlPr>
              </m:boxPr>
              <m:e>
                <m:argPr>
                  <m:argSz m:val="-1"/>
                </m:argP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2</m:t>
                    </m:r>
                  </m:den>
                </m:f>
              </m:e>
            </m:box>
          </m:e>
        </m:func>
      </m:oMath>
      <w:r w:rsidRPr="00F259A2">
        <w:rPr>
          <w:color w:val="000000"/>
        </w:rPr>
        <w:t xml:space="preserve"> = </w:t>
      </w:r>
      <w:r w:rsidR="00F140A8">
        <w:rPr>
          <w:color w:val="000000"/>
        </w:rPr>
        <w:t>-</w:t>
      </w:r>
      <w:r w:rsidRPr="00F259A2">
        <w:rPr>
          <w:color w:val="000000"/>
        </w:rPr>
        <w:t>1). Thus, this threshold can be defined as the difference between the log</w:t>
      </w:r>
      <w:r w:rsidRPr="00F259A2">
        <w:rPr>
          <w:color w:val="000000"/>
          <w:vertAlign w:val="subscript"/>
        </w:rPr>
        <w:t>2</w:t>
      </w:r>
      <w:r w:rsidR="00AD5B6B">
        <w:rPr>
          <w:color w:val="000000"/>
        </w:rPr>
        <w:t>--</w:t>
      </w:r>
      <w:r w:rsidRPr="00F259A2">
        <w:rPr>
          <w:color w:val="000000"/>
        </w:rPr>
        <w:t xml:space="preserve">transformed mean intensity ratio of </w:t>
      </w:r>
      <w:r w:rsidRPr="00F259A2">
        <w:rPr>
          <w:color w:val="000000"/>
        </w:rPr>
        <w:lastRenderedPageBreak/>
        <w:t>duplicated loci and twice the SD, i.e. 4</w:t>
      </w:r>
      <m:oMath>
        <m:r>
          <w:rPr>
            <w:rFonts w:ascii="Cambria Math" w:hAnsi="Cambria Math"/>
            <w:color w:val="000000"/>
          </w:rPr>
          <m:t>×</m:t>
        </m:r>
      </m:oMath>
      <w:r w:rsidRPr="00F259A2">
        <w:rPr>
          <w:color w:val="000000"/>
        </w:rPr>
        <w:t>SD ≤ ((</w:t>
      </w:r>
      <m:oMath>
        <m:func>
          <m:funcPr>
            <m:ctrlPr>
              <w:rPr>
                <w:rFonts w:ascii="Cambria Math" w:hAnsi="Cambria Math"/>
                <w:i/>
                <w:color w:val="000000"/>
              </w:rPr>
            </m:ctrlPr>
          </m:funcPr>
          <m:fName>
            <m:sSub>
              <m:sSubPr>
                <m:ctrlPr>
                  <w:rPr>
                    <w:rFonts w:ascii="Cambria Math" w:hAnsi="Cambria Math"/>
                    <w:i/>
                    <w:color w:val="000000"/>
                  </w:rPr>
                </m:ctrlPr>
              </m:sSubPr>
              <m:e>
                <m:r>
                  <m:rPr>
                    <m:sty m:val="p"/>
                  </m:rPr>
                  <w:rPr>
                    <w:rFonts w:ascii="Cambria Math" w:hAnsi="Cambria Math"/>
                    <w:color w:val="000000"/>
                  </w:rPr>
                  <m:t>log</m:t>
                </m:r>
              </m:e>
              <m:sub>
                <m:r>
                  <w:rPr>
                    <w:rFonts w:ascii="Cambria Math" w:hAnsi="Cambria Math"/>
                    <w:color w:val="000000"/>
                  </w:rPr>
                  <m:t>2</m:t>
                </m:r>
              </m:sub>
            </m:sSub>
          </m:fName>
          <m:e>
            <m:box>
              <m:boxPr>
                <m:ctrlPr>
                  <w:rPr>
                    <w:rFonts w:ascii="Cambria Math" w:hAnsi="Cambria Math"/>
                    <w:i/>
                    <w:color w:val="000000"/>
                  </w:rPr>
                </m:ctrlPr>
              </m:boxPr>
              <m:e>
                <m:argPr>
                  <m:argSz m:val="-1"/>
                </m:argPr>
                <m:f>
                  <m:fPr>
                    <m:ctrlPr>
                      <w:rPr>
                        <w:rFonts w:ascii="Cambria Math" w:hAnsi="Cambria Math"/>
                        <w:i/>
                        <w:color w:val="000000"/>
                      </w:rPr>
                    </m:ctrlPr>
                  </m:fPr>
                  <m:num>
                    <m:r>
                      <w:rPr>
                        <w:rFonts w:ascii="Cambria Math" w:hAnsi="Cambria Math"/>
                        <w:color w:val="000000"/>
                      </w:rPr>
                      <m:t>3</m:t>
                    </m:r>
                  </m:num>
                  <m:den>
                    <m:r>
                      <w:rPr>
                        <w:rFonts w:ascii="Cambria Math" w:hAnsi="Cambria Math"/>
                        <w:color w:val="000000"/>
                      </w:rPr>
                      <m:t>2</m:t>
                    </m:r>
                  </m:den>
                </m:f>
              </m:e>
            </m:box>
          </m:e>
        </m:func>
      </m:oMath>
      <w:r w:rsidRPr="00F259A2">
        <w:rPr>
          <w:color w:val="000000"/>
        </w:rPr>
        <w:t xml:space="preserve">) </w:t>
      </w:r>
      <w:r w:rsidR="00AD5B6B">
        <w:rPr>
          <w:color w:val="000000"/>
        </w:rPr>
        <w:t>--</w:t>
      </w:r>
      <w:r w:rsidRPr="00F259A2">
        <w:rPr>
          <w:color w:val="000000"/>
        </w:rPr>
        <w:t xml:space="preserve"> 2</w:t>
      </w:r>
      <m:oMath>
        <m:r>
          <w:rPr>
            <w:rFonts w:ascii="Cambria Math" w:hAnsi="Cambria Math"/>
            <w:color w:val="000000"/>
          </w:rPr>
          <m:t>×</m:t>
        </m:r>
      </m:oMath>
      <w:r w:rsidRPr="00F259A2">
        <w:rPr>
          <w:color w:val="000000"/>
        </w:rPr>
        <w:t xml:space="preserve">SD) or SD ≤0.096. It is therefore imperative for quality </w:t>
      </w:r>
      <w:r w:rsidR="0063481D" w:rsidRPr="00F259A2">
        <w:rPr>
          <w:color w:val="000000"/>
        </w:rPr>
        <w:t>control that</w:t>
      </w:r>
      <w:r w:rsidRPr="00F259A2">
        <w:rPr>
          <w:color w:val="000000"/>
        </w:rPr>
        <w:t xml:space="preserve"> data are obtained with criteria that address the quality and threshold values. In particular, it is crucial to report the number of clones on an array with successful hybridization, a minimum threshold for normal clones and that the cut-</w:t>
      </w:r>
      <w:r w:rsidR="0063481D" w:rsidRPr="00F259A2">
        <w:rPr>
          <w:color w:val="000000"/>
        </w:rPr>
        <w:t>-</w:t>
      </w:r>
      <w:r w:rsidRPr="00F259A2">
        <w:rPr>
          <w:color w:val="000000"/>
        </w:rPr>
        <w:t>off threshold for the SD of the log</w:t>
      </w:r>
      <w:r w:rsidRPr="00F259A2">
        <w:rPr>
          <w:color w:val="000000"/>
          <w:vertAlign w:val="subscript"/>
        </w:rPr>
        <w:t>2</w:t>
      </w:r>
      <w:r w:rsidRPr="00F259A2">
        <w:rPr>
          <w:color w:val="000000"/>
        </w:rPr>
        <w:t>-</w:t>
      </w:r>
      <w:r w:rsidR="0063481D" w:rsidRPr="00F259A2">
        <w:rPr>
          <w:color w:val="000000"/>
        </w:rPr>
        <w:t>-</w:t>
      </w:r>
      <w:r w:rsidRPr="00F259A2">
        <w:rPr>
          <w:color w:val="000000"/>
        </w:rPr>
        <w:t xml:space="preserve">transformed intensity ratios did not exceed 0.096 </w:t>
      </w:r>
      <w:r w:rsidR="009A377C" w:rsidRPr="00F140A8">
        <w:rPr>
          <w:b/>
          <w:i/>
          <w:color w:val="000000"/>
        </w:rPr>
        <w:fldChar w:fldCharType="begin"/>
      </w:r>
      <w:r w:rsidR="0042106E" w:rsidRPr="00F140A8">
        <w:rPr>
          <w:b/>
          <w:i/>
          <w:color w:val="000000"/>
        </w:rPr>
        <w:instrText xml:space="preserve"> ADDIN ZOTERO_ITEM CSL_CITATION {"citationID":"85er930hp","properties":{"formattedCitation":"{\\rtf (\\b \\i 70\\i0{}\\b0{})}","plainCitation":"(70)"},"citationItems":[{"id":48,"uris":["http://zotero.org/users/1046410/items/7TPFTXW2"],"uri":["http://zotero.org/users/1046410/items/7TPFTXW2"],"itemData":{"id":48,"type":"article-journal","title":"Molecular karyotyping: array CGH quality criteria for constitutional genetic diagnosis","container-title":"The journal of histochemistry and cytochemistry: official journal of the Histochemistry Society","page":"413-422","volume":"53","issue":"3","abstract":"Array CGH (comparative genomic hybridization) enables the identification of chromosomal copy number changes. The availability of clone sets covering the human genome opens the possibility for the widespread use of array CGH for both research and diagnostic purposes. In this manuscript we report on the parameters that were critical for successful implementation of the technology, assess quality criteria, and discuss the potential benefits and pitfalls of the technology for improved pre- and postnatal constitutional genetic diagnosis. We propose to name the genome-wide array CGH \"molecular karyotyping,\" in analogy with conventional karyotyping that uses staining methods to visualize chromosomes.","DOI":"10.1369/jhc.4A6436.2005","note":"PMID: 15750031","shortTitle":"Molecular karyotyping","journalAbbreviation":"J. Histochem. Cytochem.","author":[{"family":"Vermeesch","given":"Joris R"},{"family":"Melotte","given":"Cindy"},{"family":"Froyen","given":"Guy"},{"family":"Van Vooren","given":"Steven"},{"family":"Dutta","given":"Binita"},{"family":"Maas","given":"Nicole"},{"family":"Vermeulen","given":"Stefan"},{"family":"Menten","given":"Björn"},{"family":"Speleman","given":"Frank"},{"family":"De Moor","given":"Bart"},{"family":"Van Hummelen","given":"Paul"},{"family":"Marynen","given":"Peter"},{"family":"Fryns","given":"Jean-Pierre"},{"family":"Devriendt","given":"Koen"}],"issued":{"year":2005,"month":3},"accessed":{"year":2012,"month":7,"day":31},"page-first":"413"}}],"schema":"https://github.com/citation-style-language/schema/raw/master/csl-citation.json"} </w:instrText>
      </w:r>
      <w:r w:rsidR="009A377C" w:rsidRPr="00F140A8">
        <w:rPr>
          <w:b/>
          <w:i/>
          <w:color w:val="000000"/>
        </w:rPr>
        <w:fldChar w:fldCharType="separate"/>
      </w:r>
      <w:r w:rsidR="0042106E" w:rsidRPr="00F140A8">
        <w:rPr>
          <w:b/>
          <w:i/>
        </w:rPr>
        <w:t>(</w:t>
      </w:r>
      <w:r w:rsidR="0042106E" w:rsidRPr="00F140A8">
        <w:rPr>
          <w:b/>
          <w:bCs/>
          <w:i/>
          <w:iCs/>
        </w:rPr>
        <w:t>70</w:t>
      </w:r>
      <w:r w:rsidR="0042106E" w:rsidRPr="00F140A8">
        <w:rPr>
          <w:b/>
          <w:i/>
        </w:rPr>
        <w:t>)</w:t>
      </w:r>
      <w:r w:rsidR="009A377C" w:rsidRPr="00F140A8">
        <w:rPr>
          <w:b/>
          <w:i/>
          <w:color w:val="000000"/>
        </w:rPr>
        <w:fldChar w:fldCharType="end"/>
      </w:r>
      <w:r w:rsidRPr="00F259A2">
        <w:rPr>
          <w:color w:val="000000"/>
        </w:rPr>
        <w:t>.</w:t>
      </w:r>
    </w:p>
    <w:p w14:paraId="169FDE7A" w14:textId="77777777" w:rsidR="00913640" w:rsidRPr="00F259A2" w:rsidRDefault="00913640" w:rsidP="008A5EE5">
      <w:pPr>
        <w:tabs>
          <w:tab w:val="left" w:pos="-1440"/>
          <w:tab w:val="left" w:pos="-720"/>
        </w:tabs>
        <w:suppressAutoHyphens/>
        <w:spacing w:line="480" w:lineRule="auto"/>
        <w:rPr>
          <w:color w:val="000000"/>
        </w:rPr>
      </w:pPr>
    </w:p>
    <w:p w14:paraId="0E26AB04" w14:textId="77777777" w:rsidR="00043748" w:rsidRPr="00F259A2" w:rsidRDefault="000259DF" w:rsidP="008A5EE5">
      <w:pPr>
        <w:tabs>
          <w:tab w:val="left" w:pos="-1440"/>
          <w:tab w:val="left" w:pos="-720"/>
        </w:tabs>
        <w:suppressAutoHyphens/>
        <w:spacing w:line="480" w:lineRule="auto"/>
        <w:rPr>
          <w:color w:val="000000"/>
        </w:rPr>
      </w:pPr>
      <w:r w:rsidRPr="00F259A2">
        <w:rPr>
          <w:color w:val="000000"/>
        </w:rPr>
        <w:t>E</w:t>
      </w:r>
      <w:r w:rsidR="00043748" w:rsidRPr="00F259A2">
        <w:rPr>
          <w:color w:val="000000"/>
        </w:rPr>
        <w:t>xponentially increasing amounts of data from highly adaptive and high</w:t>
      </w:r>
      <w:r w:rsidR="00AD5B6B">
        <w:rPr>
          <w:color w:val="000000"/>
        </w:rPr>
        <w:t>--</w:t>
      </w:r>
      <w:r w:rsidR="00043748" w:rsidRPr="00F259A2">
        <w:rPr>
          <w:color w:val="000000"/>
        </w:rPr>
        <w:t>throughput microarray assays will entail a crucial role for bioinformatics</w:t>
      </w:r>
      <w:r w:rsidRPr="00F259A2">
        <w:rPr>
          <w:color w:val="000000"/>
        </w:rPr>
        <w:t xml:space="preserve"> with</w:t>
      </w:r>
      <w:r w:rsidR="00043748" w:rsidRPr="00F259A2">
        <w:rPr>
          <w:color w:val="000000"/>
        </w:rPr>
        <w:t xml:space="preserve"> a demanding need for standardization</w:t>
      </w:r>
      <w:r w:rsidRPr="00F259A2">
        <w:rPr>
          <w:color w:val="000000"/>
        </w:rPr>
        <w:t xml:space="preserve">. </w:t>
      </w:r>
      <w:r w:rsidR="00EE0E79" w:rsidRPr="00F259A2">
        <w:rPr>
          <w:color w:val="000000"/>
        </w:rPr>
        <w:t xml:space="preserve">In 2001, </w:t>
      </w:r>
      <w:r w:rsidR="00043748" w:rsidRPr="00F259A2">
        <w:rPr>
          <w:color w:val="000000"/>
        </w:rPr>
        <w:t xml:space="preserve">the “Minimum Information About a Microarray Experiment” (MIAME) database </w:t>
      </w:r>
      <w:r w:rsidR="009A377C" w:rsidRPr="00CB1019">
        <w:rPr>
          <w:b/>
          <w:i/>
          <w:color w:val="000000"/>
        </w:rPr>
        <w:fldChar w:fldCharType="begin"/>
      </w:r>
      <w:r w:rsidR="0042106E" w:rsidRPr="00CB1019">
        <w:rPr>
          <w:b/>
          <w:i/>
          <w:color w:val="000000"/>
        </w:rPr>
        <w:instrText xml:space="preserve"> ADDIN ZOTERO_ITEM CSL_CITATION {"citationID":"esaembn6c","properties":{"formattedCitation":"{\\rtf (\\b \\i 72\\i0{}\\b0{})}","plainCitation":"(72)"},"citationItems":[{"id":157,"uris":["http://zotero.org/users/1046410/items/THJ96V89"],"uri":["http://zotero.org/users/1046410/items/THJ96V89"],"itemData":{"id":157,"type":"article-journal","title":"Minimum Information About a Microarray Experiment (MIAME)--successes, failures, challenges","container-title":"TheScientificWorldJournal","page":"420-423","volume":"9","abstract":"The Minimum Information About a Microarray Experiment (known as MIAME) guidelines describe information that needs to be provided to enable the interpretation of the results of a microarray-based experiment unambiguously. The adoption of these guidelines has ensured that data supporting published conclusions are made available to researchers in a way that makes these data useful. The MGED Society has already proposed draft guidelines for Minimum Information about a high-throughput SeQuencing Experiment (MINSEQE).","DOI":"10.1100/tsw.2009.57","note":"PMID: 19484163","journalAbbreviation":"ScientificWorldJournal","author":[{"family":"Brazma","given":"Alvis"}],"issued":{"year":2009},"accessed":{"year":2012,"month":6,"day":29},"page-first":"420"}}],"schema":"https://github.com/citation-style-language/schema/raw/master/csl-citation.json"} </w:instrText>
      </w:r>
      <w:r w:rsidR="009A377C" w:rsidRPr="00CB1019">
        <w:rPr>
          <w:b/>
          <w:i/>
          <w:color w:val="000000"/>
        </w:rPr>
        <w:fldChar w:fldCharType="separate"/>
      </w:r>
      <w:r w:rsidR="0042106E" w:rsidRPr="00CB1019">
        <w:rPr>
          <w:b/>
          <w:i/>
        </w:rPr>
        <w:t>(</w:t>
      </w:r>
      <w:r w:rsidR="0042106E" w:rsidRPr="00CB1019">
        <w:rPr>
          <w:b/>
          <w:bCs/>
          <w:i/>
          <w:iCs/>
        </w:rPr>
        <w:t>72</w:t>
      </w:r>
      <w:r w:rsidR="0042106E" w:rsidRPr="00CB1019">
        <w:rPr>
          <w:b/>
          <w:i/>
        </w:rPr>
        <w:t>)</w:t>
      </w:r>
      <w:r w:rsidR="009A377C" w:rsidRPr="00CB1019">
        <w:rPr>
          <w:b/>
          <w:i/>
          <w:color w:val="000000"/>
        </w:rPr>
        <w:fldChar w:fldCharType="end"/>
      </w:r>
      <w:r w:rsidR="0063481D" w:rsidRPr="00F259A2">
        <w:rPr>
          <w:color w:val="000000"/>
        </w:rPr>
        <w:t xml:space="preserve"> </w:t>
      </w:r>
      <w:r w:rsidR="00EE0E79" w:rsidRPr="00F259A2">
        <w:rPr>
          <w:color w:val="000000"/>
        </w:rPr>
        <w:t xml:space="preserve">was set up to help </w:t>
      </w:r>
      <w:r w:rsidR="00043748" w:rsidRPr="00F259A2">
        <w:rPr>
          <w:color w:val="000000"/>
        </w:rPr>
        <w:t xml:space="preserve">structuring </w:t>
      </w:r>
      <w:r w:rsidR="00C179E2" w:rsidRPr="00F259A2">
        <w:rPr>
          <w:color w:val="000000"/>
        </w:rPr>
        <w:t xml:space="preserve">and channelling </w:t>
      </w:r>
      <w:r w:rsidR="00043748" w:rsidRPr="00F259A2">
        <w:rPr>
          <w:color w:val="000000"/>
        </w:rPr>
        <w:t>the enormous amounts of generated data</w:t>
      </w:r>
      <w:r w:rsidR="00C179E2" w:rsidRPr="00F259A2">
        <w:rPr>
          <w:color w:val="000000"/>
        </w:rPr>
        <w:t xml:space="preserve"> for biostatistical analyses or even meta</w:t>
      </w:r>
      <w:r w:rsidR="00AD5B6B">
        <w:rPr>
          <w:color w:val="000000"/>
        </w:rPr>
        <w:t>--</w:t>
      </w:r>
      <w:r w:rsidR="00C179E2" w:rsidRPr="00F259A2">
        <w:rPr>
          <w:color w:val="000000"/>
        </w:rPr>
        <w:t>analyses</w:t>
      </w:r>
      <w:r w:rsidR="00043748" w:rsidRPr="00F259A2">
        <w:rPr>
          <w:color w:val="000000"/>
        </w:rPr>
        <w:t>. Hence, bioinformatics is becoming more and more essential</w:t>
      </w:r>
      <w:r w:rsidR="00EE0E79" w:rsidRPr="00F259A2">
        <w:rPr>
          <w:color w:val="000000"/>
        </w:rPr>
        <w:t xml:space="preserve"> when using array chip technology </w:t>
      </w:r>
      <w:r w:rsidR="00043748" w:rsidRPr="00F259A2">
        <w:rPr>
          <w:color w:val="000000"/>
        </w:rPr>
        <w:t xml:space="preserve">to understand the mode of action and the regulatory cellular networks being involved in the toxicity pathway function </w:t>
      </w:r>
      <w:r w:rsidR="009A377C" w:rsidRPr="00A64EC6">
        <w:rPr>
          <w:b/>
          <w:i/>
          <w:color w:val="000000"/>
        </w:rPr>
        <w:fldChar w:fldCharType="begin"/>
      </w:r>
      <w:r w:rsidR="0042106E" w:rsidRPr="00A64EC6">
        <w:rPr>
          <w:b/>
          <w:i/>
          <w:color w:val="000000"/>
        </w:rPr>
        <w:instrText xml:space="preserve"> ADDIN ZOTERO_ITEM CSL_CITATION {"citationID":"27h49tg4qf","properties":{"formattedCitation":"{\\rtf (\\b \\i 64\\i0{}\\b0{})}","plainCitation":"(64)"},"citationItems":[{"id":148,"uris":["http://zotero.org/users/1046410/items/4JC8D2TZ"],"uri":["http://zotero.org/users/1046410/items/4JC8D2TZ"],"itemData":{"id":148,"type":"article-journal","title":"New directions in toxicity testing","container-title":"Annual review of public health","page":"161-178","volume":"32","abstract":"In 2007, the U.S. National Research Council (NRC) published a groundbreaking report entitled Toxicity Testing in the 21st Century: A Vision and a Strategy. The purpose of this report was to develop a long-range strategic plan to update and advance the way environmental agents are tested for toxicity. The vision focused on the identification of critical perturbations of toxicity pathways that lead to adverse human health outcomes using modern scientific tools and technologies. This review describes how emerging scientific methods will move the NRC vision forward and improve the manner in which the potential health risks associated with exposure to environmental agents are assessed. The new paradigm for toxicity testing is compatible with the widely used four-stage risk assessment framework originally proposed by the NRC in 1983 in the so-called Red Book. The Nrf2 antioxidant pathway provides a detailed example of how relevant pathway perturbations will be identified within the context of the new NRC vision for the future of toxicity testing. The implications of the NRC vision for toxicity testing for regulatory risk assessment are also discussed.","DOI":"10.1146/annurev-publhealth-031210-101153","note":"PMID: 21219154","journalAbbreviation":"Annu Rev Public Health","author":[{"family":"Krewski","given":"Daniel"},{"family":"Westphal","given":"Margit"},{"family":"Al-Zoughool","given":"Mustafa"},{"family":"Croteau","given":"Maxine C"},{"family":"Andersen","given":"Melvin E"}],"issued":{"year":2011},"accessed":{"year":2012,"month":6,"day":29},"page-first":"161"}}],"schema":"https://github.com/citation-style-language/schema/raw/master/csl-citation.json"} </w:instrText>
      </w:r>
      <w:r w:rsidR="009A377C" w:rsidRPr="00A64EC6">
        <w:rPr>
          <w:b/>
          <w:i/>
          <w:color w:val="000000"/>
        </w:rPr>
        <w:fldChar w:fldCharType="separate"/>
      </w:r>
      <w:r w:rsidR="0042106E" w:rsidRPr="00A64EC6">
        <w:rPr>
          <w:b/>
          <w:i/>
        </w:rPr>
        <w:t>(</w:t>
      </w:r>
      <w:r w:rsidR="0042106E" w:rsidRPr="00A64EC6">
        <w:rPr>
          <w:b/>
          <w:bCs/>
          <w:i/>
          <w:iCs/>
        </w:rPr>
        <w:t>64</w:t>
      </w:r>
      <w:r w:rsidR="0042106E" w:rsidRPr="00A64EC6">
        <w:rPr>
          <w:b/>
          <w:i/>
        </w:rPr>
        <w:t>)</w:t>
      </w:r>
      <w:r w:rsidR="009A377C" w:rsidRPr="00A64EC6">
        <w:rPr>
          <w:b/>
          <w:i/>
          <w:color w:val="000000"/>
        </w:rPr>
        <w:fldChar w:fldCharType="end"/>
      </w:r>
      <w:r w:rsidR="00043748" w:rsidRPr="00F259A2">
        <w:rPr>
          <w:color w:val="000000"/>
        </w:rPr>
        <w:t xml:space="preserve">. Targeting gene expression patterns of murine lung cells from more than 250 microarrays, Taylor </w:t>
      </w:r>
      <w:r w:rsidR="008B5C98" w:rsidRPr="008B5C98">
        <w:rPr>
          <w:i/>
          <w:color w:val="000000"/>
        </w:rPr>
        <w:t>et al</w:t>
      </w:r>
      <w:r w:rsidR="00043748" w:rsidRPr="00F259A2">
        <w:rPr>
          <w:color w:val="000000"/>
        </w:rPr>
        <w:t xml:space="preserve">. </w:t>
      </w:r>
      <w:r w:rsidR="0063481D" w:rsidRPr="00A64EC6">
        <w:rPr>
          <w:b/>
          <w:i/>
          <w:color w:val="000000"/>
        </w:rPr>
        <w:t>(</w:t>
      </w:r>
      <w:r w:rsidR="008D754A" w:rsidRPr="00A64EC6">
        <w:rPr>
          <w:b/>
          <w:i/>
          <w:color w:val="000000"/>
        </w:rPr>
        <w:t>73</w:t>
      </w:r>
      <w:r w:rsidR="0063481D" w:rsidRPr="00A64EC6">
        <w:rPr>
          <w:b/>
          <w:i/>
          <w:color w:val="000000"/>
        </w:rPr>
        <w:t>)</w:t>
      </w:r>
      <w:r w:rsidR="0063481D" w:rsidRPr="00F259A2">
        <w:rPr>
          <w:color w:val="000000"/>
        </w:rPr>
        <w:t xml:space="preserve"> </w:t>
      </w:r>
      <w:r w:rsidR="00043748" w:rsidRPr="00F259A2">
        <w:rPr>
          <w:color w:val="000000"/>
        </w:rPr>
        <w:t>w</w:t>
      </w:r>
      <w:r w:rsidR="0063481D" w:rsidRPr="00F259A2">
        <w:rPr>
          <w:color w:val="000000"/>
        </w:rPr>
        <w:t>ere</w:t>
      </w:r>
      <w:r w:rsidR="00043748" w:rsidRPr="00F259A2">
        <w:rPr>
          <w:color w:val="000000"/>
        </w:rPr>
        <w:t xml:space="preserve"> able to show by using a set of network algorithms that nuclear factor erythroid 2-</w:t>
      </w:r>
      <w:r w:rsidR="0063481D" w:rsidRPr="00F259A2">
        <w:rPr>
          <w:color w:val="000000"/>
        </w:rPr>
        <w:t>-</w:t>
      </w:r>
      <w:r w:rsidR="00043748" w:rsidRPr="00F259A2">
        <w:rPr>
          <w:color w:val="000000"/>
        </w:rPr>
        <w:t>related factor (Nrf2) is a direct regulator of proteins involved in oxidative stress response after exposure to reactive oxygen species. Bioinformatics has also been utilized to predict novel transcriptional targets of Nrf2. Thus, n</w:t>
      </w:r>
      <w:r w:rsidR="00043748" w:rsidRPr="00F259A2">
        <w:rPr>
          <w:rStyle w:val="highlight"/>
        </w:rPr>
        <w:t>etwork</w:t>
      </w:r>
      <w:r w:rsidR="0063481D" w:rsidRPr="00F259A2">
        <w:rPr>
          <w:rStyle w:val="highlight"/>
        </w:rPr>
        <w:t xml:space="preserve"> </w:t>
      </w:r>
      <w:r w:rsidR="00043748" w:rsidRPr="00F259A2">
        <w:rPr>
          <w:rStyle w:val="highlight"/>
        </w:rPr>
        <w:t>inference</w:t>
      </w:r>
      <w:r w:rsidR="0063481D" w:rsidRPr="00F259A2">
        <w:rPr>
          <w:rStyle w:val="highlight"/>
        </w:rPr>
        <w:t xml:space="preserve"> </w:t>
      </w:r>
      <w:r w:rsidR="00043748" w:rsidRPr="00F259A2">
        <w:rPr>
          <w:rStyle w:val="highlight"/>
        </w:rPr>
        <w:t>algorithms</w:t>
      </w:r>
      <w:r w:rsidR="00043748" w:rsidRPr="00F259A2">
        <w:t xml:space="preserve"> operating on high</w:t>
      </w:r>
      <w:r w:rsidR="00AD5B6B">
        <w:t>--</w:t>
      </w:r>
      <w:r w:rsidR="00043748" w:rsidRPr="00F259A2">
        <w:t>throughput gene expression data</w:t>
      </w:r>
      <w:r w:rsidR="00043748" w:rsidRPr="00F259A2">
        <w:rPr>
          <w:color w:val="000000"/>
        </w:rPr>
        <w:t xml:space="preserve"> have the potential to identify regulatory and signalling pathway relationships implicated in disease </w:t>
      </w:r>
      <w:r w:rsidR="009A377C" w:rsidRPr="00C00A2B">
        <w:rPr>
          <w:b/>
          <w:i/>
          <w:color w:val="000000"/>
        </w:rPr>
        <w:fldChar w:fldCharType="begin"/>
      </w:r>
      <w:r w:rsidR="0042106E" w:rsidRPr="00C00A2B">
        <w:rPr>
          <w:b/>
          <w:i/>
          <w:color w:val="000000"/>
        </w:rPr>
        <w:instrText xml:space="preserve"> ADDIN ZOTERO_ITEM CSL_CITATION {"citationID":"22rp2dulns","properties":{"formattedCitation":"{\\rtf (\\b \\i 73\\i0{}\\b0{})}","plainCitation":"(73)"},"citationItems":[{"id":31,"uris":["http://zotero.org/users/1046410/items/42TDIMIN"],"uri":["http://zotero.org/users/1046410/items/42TDIMIN"],"itemData":{"id":31,"type":"article-journal","title":"Network inference algorithms elucidate Nrf2 regulation of mouse lung oxidative stress","container-title":"PLoS computational biology","page":"e1000166","volume":"4","issue":"8","abstract":"A variety of cardiovascular, neurological, and neoplastic conditions have been associated with oxidative stress, i.e., conditions under which levels of reactive oxygen species (ROS) are elevated over significant periods. Nuclear factor erythroid 2-related factor (Nrf2) regulates the transcription of several gene products involved in the protective response to oxidative stress. The transcriptional regulatory and signaling relationships linking gene products involved in the response to oxidative stress are, currently, only partially resolved. Microarray data constitute RNA abundance measures representing gene expression patterns. In some cases, these patterns can identify the molecular interactions of gene products. They can be, in effect, proxies for protein-protein and protein-DNA interactions. Traditional techniques used for clustering coregulated genes on high-throughput gene arrays are rarely capable of distinguishing between direct transcriptional regulatory interactions and indirect ones. In this study, newly developed information-theoretic algorithms that employ the concept of mutual information were used: the Algorithm for the Reconstruction of Accurate Cellular Networks (ARACNE), and Context Likelihood of Relatedness (CLR). These algorithms captured dependencies in the gene expression profiles of the mouse lung, allowing the regulatory effect of Nrf2 in response to oxidative stress to be determined more precisely. In addition, a characterization of promoter sequences of Nrf2 regulatory targets was conducted using a Support Vector Machine classification algorithm to corroborate ARACNE and CLR predictions. Inferred networks were analyzed, compared, and integrated using the Collective Analysis of Biological Interaction Networks (CABIN) plug-in of Cytoscape. Using the two network inference algorithms and one machine learning algorithm, a number of both previously known and novel targets of Nrf2 transcriptional activation were identified. Genes predicted as novel Nrf2 targets include Atf1, Srxn1, Prnp, Sod2, Als2, Nfkbib, and Ppp1r15b. Furthermore, microarray and quantitative RT-PCR experiments following cigarette-smoke-induced oxidative stress in Nrf2(+/+) and Nrf2(-/-) mouse lung affirmed many of the predictions made. Several new potential feed-forward regulatory loops involving Nrf2, Nqo1, Srxn1, Prdx1, Als2, Atf1, Sod1, and Park7 were predicted. This work shows the promise of network inference algorithms operating on high-throughput gene expression data in identifying transcriptional regulatory and other signaling relationships implicated in mammalian disease.","DOI":"10.1371/journal.pcbi.1000166","note":"PMID: 18769717","journalAbbreviation":"PLoS Comput. Biol.","author":[{"family":"Taylor","given":"Ronald C"},{"family":"Acquaah-Mensah","given":"George"},{"family":"Singhal","given":"Mudita"},{"family":"Malhotra","given":"Deepti"},{"family":"Biswal","given":"Shyam"}],"issued":{"year":2008},"accessed":{"year":2012,"month":7,"day":24},"page-first":"e1000166"}}],"schema":"https://github.com/citation-style-language/schema/raw/master/csl-citation.json"} </w:instrText>
      </w:r>
      <w:r w:rsidR="009A377C" w:rsidRPr="00C00A2B">
        <w:rPr>
          <w:b/>
          <w:i/>
          <w:color w:val="000000"/>
        </w:rPr>
        <w:fldChar w:fldCharType="separate"/>
      </w:r>
      <w:r w:rsidR="0042106E" w:rsidRPr="00C00A2B">
        <w:rPr>
          <w:b/>
          <w:i/>
        </w:rPr>
        <w:t>(</w:t>
      </w:r>
      <w:r w:rsidR="0042106E" w:rsidRPr="00C00A2B">
        <w:rPr>
          <w:b/>
          <w:bCs/>
          <w:i/>
          <w:iCs/>
        </w:rPr>
        <w:t>73</w:t>
      </w:r>
      <w:r w:rsidR="0042106E" w:rsidRPr="00C00A2B">
        <w:rPr>
          <w:b/>
          <w:i/>
        </w:rPr>
        <w:t>)</w:t>
      </w:r>
      <w:r w:rsidR="009A377C" w:rsidRPr="00C00A2B">
        <w:rPr>
          <w:b/>
          <w:i/>
          <w:color w:val="000000"/>
        </w:rPr>
        <w:fldChar w:fldCharType="end"/>
      </w:r>
      <w:r w:rsidR="00043748" w:rsidRPr="00F259A2">
        <w:rPr>
          <w:color w:val="000000"/>
        </w:rPr>
        <w:t xml:space="preserve">. </w:t>
      </w:r>
    </w:p>
    <w:p w14:paraId="7C7B70DF" w14:textId="77777777" w:rsidR="00913640" w:rsidRPr="00F259A2" w:rsidRDefault="00913640" w:rsidP="008A5EE5">
      <w:pPr>
        <w:tabs>
          <w:tab w:val="left" w:pos="-1440"/>
          <w:tab w:val="left" w:pos="-720"/>
        </w:tabs>
        <w:suppressAutoHyphens/>
        <w:spacing w:line="480" w:lineRule="auto"/>
        <w:rPr>
          <w:color w:val="000000"/>
        </w:rPr>
      </w:pPr>
      <w:r w:rsidRPr="00F259A2">
        <w:rPr>
          <w:color w:val="000000"/>
        </w:rPr>
        <w:t>Standardi</w:t>
      </w:r>
      <w:r w:rsidR="007861A9" w:rsidRPr="00F259A2">
        <w:rPr>
          <w:color w:val="000000"/>
        </w:rPr>
        <w:t>z</w:t>
      </w:r>
      <w:r w:rsidRPr="00F259A2">
        <w:rPr>
          <w:color w:val="000000"/>
        </w:rPr>
        <w:t xml:space="preserve">ation, quality control and </w:t>
      </w:r>
      <w:r w:rsidR="0042106E" w:rsidRPr="00F259A2">
        <w:rPr>
          <w:color w:val="000000"/>
        </w:rPr>
        <w:t>sound</w:t>
      </w:r>
      <w:r w:rsidR="0063481D" w:rsidRPr="00F259A2">
        <w:rPr>
          <w:color w:val="000000"/>
        </w:rPr>
        <w:t xml:space="preserve"> </w:t>
      </w:r>
      <w:r w:rsidR="007861A9" w:rsidRPr="00F259A2">
        <w:rPr>
          <w:color w:val="000000"/>
        </w:rPr>
        <w:t xml:space="preserve">biostatistical algorithms are key to publish valid and comparable results, especially with regard to toxicological and </w:t>
      </w:r>
      <w:r w:rsidR="007861A9" w:rsidRPr="00F259A2">
        <w:rPr>
          <w:color w:val="000000"/>
        </w:rPr>
        <w:lastRenderedPageBreak/>
        <w:t xml:space="preserve">toxicogenomic databases, which </w:t>
      </w:r>
      <w:r w:rsidR="0042106E" w:rsidRPr="00F259A2">
        <w:rPr>
          <w:color w:val="000000"/>
        </w:rPr>
        <w:t xml:space="preserve">may </w:t>
      </w:r>
      <w:r w:rsidR="007861A9" w:rsidRPr="00F259A2">
        <w:rPr>
          <w:color w:val="000000"/>
        </w:rPr>
        <w:t xml:space="preserve">hold results of a vast quantity of experiments from different </w:t>
      </w:r>
      <w:r w:rsidR="0042106E" w:rsidRPr="00F259A2">
        <w:rPr>
          <w:color w:val="000000"/>
        </w:rPr>
        <w:t>laboratories around the world</w:t>
      </w:r>
      <w:r w:rsidR="007861A9" w:rsidRPr="00F259A2">
        <w:rPr>
          <w:color w:val="000000"/>
        </w:rPr>
        <w:t>.</w:t>
      </w:r>
    </w:p>
    <w:p w14:paraId="26A61299" w14:textId="77777777" w:rsidR="00B7571B" w:rsidRPr="00F259A2" w:rsidRDefault="00B7571B" w:rsidP="008A5EE5">
      <w:pPr>
        <w:tabs>
          <w:tab w:val="left" w:pos="-1440"/>
          <w:tab w:val="left" w:pos="-720"/>
        </w:tabs>
        <w:suppressAutoHyphens/>
        <w:spacing w:line="480" w:lineRule="auto"/>
        <w:rPr>
          <w:color w:val="000000"/>
        </w:rPr>
      </w:pPr>
    </w:p>
    <w:p w14:paraId="4C244D86" w14:textId="77777777" w:rsidR="00805AE0" w:rsidRPr="00F259A2" w:rsidRDefault="00805AE0" w:rsidP="008A5EE5">
      <w:pPr>
        <w:spacing w:line="480" w:lineRule="auto"/>
        <w:rPr>
          <w:b/>
          <w:color w:val="000000"/>
        </w:rPr>
      </w:pPr>
    </w:p>
    <w:p w14:paraId="27BEF4A2" w14:textId="77777777" w:rsidR="00982EC7" w:rsidRPr="00F259A2" w:rsidRDefault="00982EC7" w:rsidP="008A5EE5">
      <w:pPr>
        <w:tabs>
          <w:tab w:val="left" w:pos="-1440"/>
          <w:tab w:val="left" w:pos="-720"/>
        </w:tabs>
        <w:suppressAutoHyphens/>
        <w:spacing w:line="480" w:lineRule="auto"/>
        <w:rPr>
          <w:b/>
          <w:color w:val="000000"/>
        </w:rPr>
      </w:pPr>
      <w:r w:rsidRPr="00F259A2">
        <w:rPr>
          <w:b/>
          <w:color w:val="000000"/>
        </w:rPr>
        <w:t>2. Materials</w:t>
      </w:r>
    </w:p>
    <w:p w14:paraId="63BBB45B" w14:textId="77777777" w:rsidR="00982EC7" w:rsidRPr="00F259A2" w:rsidRDefault="00982EC7" w:rsidP="008A5EE5">
      <w:pPr>
        <w:keepNext/>
        <w:spacing w:before="240" w:after="60" w:line="480" w:lineRule="auto"/>
        <w:outlineLvl w:val="1"/>
        <w:rPr>
          <w:b/>
          <w:bCs/>
          <w:i/>
          <w:iCs/>
          <w:color w:val="000000"/>
        </w:rPr>
      </w:pPr>
      <w:r w:rsidRPr="00F259A2">
        <w:rPr>
          <w:b/>
          <w:bCs/>
          <w:i/>
          <w:iCs/>
          <w:color w:val="000000"/>
        </w:rPr>
        <w:t xml:space="preserve">2.1. </w:t>
      </w:r>
      <w:r w:rsidR="00006F34" w:rsidRPr="00F259A2">
        <w:rPr>
          <w:b/>
          <w:bCs/>
          <w:i/>
          <w:iCs/>
          <w:color w:val="000000"/>
        </w:rPr>
        <w:t>DNA labelling</w:t>
      </w:r>
    </w:p>
    <w:p w14:paraId="3302E82B" w14:textId="77777777" w:rsidR="00006F34" w:rsidRDefault="00006F34" w:rsidP="008A5EE5">
      <w:pPr>
        <w:pStyle w:val="ListParagraph"/>
        <w:numPr>
          <w:ilvl w:val="0"/>
          <w:numId w:val="27"/>
        </w:numPr>
        <w:tabs>
          <w:tab w:val="left" w:pos="-1440"/>
          <w:tab w:val="left" w:pos="-720"/>
          <w:tab w:val="left" w:pos="1418"/>
        </w:tabs>
        <w:suppressAutoHyphens/>
        <w:spacing w:line="480" w:lineRule="auto"/>
        <w:rPr>
          <w:color w:val="000000"/>
        </w:rPr>
      </w:pPr>
      <w:r w:rsidRPr="00F259A2">
        <w:rPr>
          <w:color w:val="000000"/>
        </w:rPr>
        <w:t xml:space="preserve">Nick </w:t>
      </w:r>
      <w:r w:rsidR="007E5824" w:rsidRPr="00F259A2">
        <w:rPr>
          <w:color w:val="000000"/>
        </w:rPr>
        <w:t>t</w:t>
      </w:r>
      <w:r w:rsidRPr="00F259A2">
        <w:rPr>
          <w:color w:val="000000"/>
        </w:rPr>
        <w:t xml:space="preserve">ranslation </w:t>
      </w:r>
      <w:r w:rsidR="007E5824" w:rsidRPr="00F259A2">
        <w:rPr>
          <w:color w:val="000000"/>
        </w:rPr>
        <w:t>b</w:t>
      </w:r>
      <w:r w:rsidRPr="00F259A2">
        <w:rPr>
          <w:color w:val="000000"/>
        </w:rPr>
        <w:t>uffer (</w:t>
      </w:r>
      <w:r w:rsidR="00AB2583" w:rsidRPr="00F259A2">
        <w:rPr>
          <w:color w:val="000000"/>
        </w:rPr>
        <w:t>10</w:t>
      </w:r>
      <w:r w:rsidR="00AB2583">
        <w:rPr>
          <w:color w:val="000000"/>
        </w:rPr>
        <w:t>X</w:t>
      </w:r>
      <w:r w:rsidRPr="00F259A2">
        <w:rPr>
          <w:color w:val="000000"/>
        </w:rPr>
        <w:t>)</w:t>
      </w:r>
      <w:r w:rsidR="00A20DCD" w:rsidRPr="00F259A2">
        <w:rPr>
          <w:color w:val="000000"/>
        </w:rPr>
        <w:t>: 500 mM</w:t>
      </w:r>
      <w:r w:rsidR="0063481D" w:rsidRPr="00F259A2">
        <w:rPr>
          <w:color w:val="000000"/>
        </w:rPr>
        <w:t xml:space="preserve"> </w:t>
      </w:r>
      <w:r w:rsidRPr="00F259A2">
        <w:rPr>
          <w:color w:val="000000"/>
        </w:rPr>
        <w:t>Tris-</w:t>
      </w:r>
      <w:r w:rsidR="0063481D" w:rsidRPr="00F259A2">
        <w:rPr>
          <w:color w:val="000000"/>
        </w:rPr>
        <w:t>-</w:t>
      </w:r>
      <w:r w:rsidRPr="00F259A2">
        <w:rPr>
          <w:color w:val="000000"/>
        </w:rPr>
        <w:t>HCl, pH 7.5</w:t>
      </w:r>
      <w:r w:rsidR="00A20DCD" w:rsidRPr="00F259A2">
        <w:rPr>
          <w:color w:val="000000"/>
        </w:rPr>
        <w:t xml:space="preserve">, </w:t>
      </w:r>
      <w:r w:rsidRPr="00F259A2">
        <w:rPr>
          <w:color w:val="000000"/>
        </w:rPr>
        <w:t>100 mM</w:t>
      </w:r>
      <w:r w:rsidR="0063481D" w:rsidRPr="00F259A2">
        <w:rPr>
          <w:color w:val="000000"/>
        </w:rPr>
        <w:t xml:space="preserve"> </w:t>
      </w:r>
      <w:r w:rsidRPr="00F259A2">
        <w:rPr>
          <w:color w:val="000000"/>
        </w:rPr>
        <w:t>MgSO</w:t>
      </w:r>
      <w:r w:rsidRPr="00F259A2">
        <w:rPr>
          <w:color w:val="000000"/>
          <w:vertAlign w:val="subscript"/>
        </w:rPr>
        <w:t>4</w:t>
      </w:r>
      <w:r w:rsidR="00A20DCD" w:rsidRPr="00F259A2">
        <w:rPr>
          <w:color w:val="000000"/>
          <w:vertAlign w:val="subscript"/>
        </w:rPr>
        <w:t xml:space="preserve">, </w:t>
      </w:r>
      <w:r w:rsidRPr="00F259A2">
        <w:rPr>
          <w:color w:val="000000"/>
        </w:rPr>
        <w:t xml:space="preserve">1 </w:t>
      </w:r>
      <w:r w:rsidR="00B43FC4" w:rsidRPr="00F259A2">
        <w:rPr>
          <w:color w:val="000000"/>
        </w:rPr>
        <w:t>m</w:t>
      </w:r>
      <w:r w:rsidR="0063481D" w:rsidRPr="00F259A2">
        <w:rPr>
          <w:color w:val="000000"/>
        </w:rPr>
        <w:t>M</w:t>
      </w:r>
      <w:r w:rsidR="00B43FC4" w:rsidRPr="00F259A2">
        <w:rPr>
          <w:color w:val="000000"/>
        </w:rPr>
        <w:t xml:space="preserve"> </w:t>
      </w:r>
      <w:r w:rsidRPr="00F259A2">
        <w:rPr>
          <w:color w:val="000000"/>
        </w:rPr>
        <w:t>Dithiothreitol</w:t>
      </w:r>
      <w:r w:rsidR="00A20DCD" w:rsidRPr="00F259A2">
        <w:rPr>
          <w:color w:val="000000"/>
        </w:rPr>
        <w:t>, 500 µg/</w:t>
      </w:r>
      <w:r w:rsidR="00F97688" w:rsidRPr="00F97688">
        <w:rPr>
          <w:color w:val="000000"/>
        </w:rPr>
        <w:t>mL</w:t>
      </w:r>
      <w:r w:rsidR="00A20DCD" w:rsidRPr="00F259A2">
        <w:rPr>
          <w:color w:val="000000"/>
        </w:rPr>
        <w:t xml:space="preserve"> B</w:t>
      </w:r>
      <w:r w:rsidRPr="00F259A2">
        <w:rPr>
          <w:color w:val="000000"/>
        </w:rPr>
        <w:t>ovine Serum Albumin</w:t>
      </w:r>
      <w:r w:rsidR="00A20DCD" w:rsidRPr="00F259A2">
        <w:rPr>
          <w:color w:val="000000"/>
        </w:rPr>
        <w:t>.</w:t>
      </w:r>
      <w:r w:rsidR="00952708">
        <w:rPr>
          <w:color w:val="000000"/>
        </w:rPr>
        <w:t xml:space="preserve"> For 20 mL, </w:t>
      </w:r>
      <w:r w:rsidR="002A1B1E">
        <w:rPr>
          <w:color w:val="000000"/>
        </w:rPr>
        <w:t>combine</w:t>
      </w:r>
      <w:r w:rsidR="00952708">
        <w:rPr>
          <w:color w:val="000000"/>
        </w:rPr>
        <w:t xml:space="preserve"> 10 mL 1 M Tris</w:t>
      </w:r>
      <w:r w:rsidR="002A1B1E">
        <w:rPr>
          <w:color w:val="000000"/>
        </w:rPr>
        <w:t>--</w:t>
      </w:r>
      <w:r w:rsidR="00952708">
        <w:rPr>
          <w:color w:val="000000"/>
        </w:rPr>
        <w:t>HCl (pH 7.5</w:t>
      </w:r>
      <w:r w:rsidR="00D7287C">
        <w:rPr>
          <w:color w:val="000000"/>
        </w:rPr>
        <w:t>), 2 mL 1 M MgSO</w:t>
      </w:r>
      <w:r w:rsidR="00D7287C" w:rsidRPr="00BB488B">
        <w:rPr>
          <w:color w:val="000000"/>
          <w:vertAlign w:val="subscript"/>
        </w:rPr>
        <w:t>4</w:t>
      </w:r>
      <w:r w:rsidR="00D7287C">
        <w:rPr>
          <w:color w:val="000000"/>
        </w:rPr>
        <w:t>, 0.2 mL 0.1 M Dithiothreitol and 10 mg Bovine Serum Albumin. Mix and adjust to final volume</w:t>
      </w:r>
      <w:r w:rsidR="002A1B1E">
        <w:rPr>
          <w:color w:val="000000"/>
        </w:rPr>
        <w:t xml:space="preserve"> with pure water</w:t>
      </w:r>
      <w:r w:rsidR="00D7287C">
        <w:rPr>
          <w:color w:val="000000"/>
        </w:rPr>
        <w:t xml:space="preserve"> and freeze aliquots at -</w:t>
      </w:r>
      <w:r w:rsidR="00BB488B">
        <w:rPr>
          <w:color w:val="000000"/>
        </w:rPr>
        <w:t>-</w:t>
      </w:r>
      <w:r w:rsidR="00D7287C">
        <w:rPr>
          <w:color w:val="000000"/>
        </w:rPr>
        <w:t xml:space="preserve">20 </w:t>
      </w:r>
      <w:r w:rsidR="00D7287C" w:rsidRPr="00A8159D">
        <w:rPr>
          <w:color w:val="000000"/>
        </w:rPr>
        <w:t>°C</w:t>
      </w:r>
      <w:r w:rsidR="00D7287C">
        <w:rPr>
          <w:color w:val="000000"/>
        </w:rPr>
        <w:t>.</w:t>
      </w:r>
    </w:p>
    <w:p w14:paraId="15690EDB" w14:textId="77777777" w:rsidR="00006F34" w:rsidRDefault="00006F34" w:rsidP="00D7287C">
      <w:pPr>
        <w:pStyle w:val="ListParagraph"/>
        <w:numPr>
          <w:ilvl w:val="0"/>
          <w:numId w:val="27"/>
        </w:numPr>
        <w:tabs>
          <w:tab w:val="left" w:pos="-1440"/>
          <w:tab w:val="left" w:pos="-720"/>
          <w:tab w:val="left" w:pos="1418"/>
        </w:tabs>
        <w:suppressAutoHyphens/>
        <w:spacing w:line="480" w:lineRule="auto"/>
        <w:rPr>
          <w:color w:val="000000"/>
        </w:rPr>
      </w:pPr>
      <w:r w:rsidRPr="00F259A2">
        <w:rPr>
          <w:color w:val="000000"/>
        </w:rPr>
        <w:t xml:space="preserve">DNase I </w:t>
      </w:r>
      <w:r w:rsidR="007E5824" w:rsidRPr="00F259A2">
        <w:rPr>
          <w:color w:val="000000"/>
        </w:rPr>
        <w:t>s</w:t>
      </w:r>
      <w:r w:rsidRPr="00F259A2">
        <w:rPr>
          <w:color w:val="000000"/>
        </w:rPr>
        <w:t>olution</w:t>
      </w:r>
      <w:r w:rsidR="00B6177F" w:rsidRPr="00F259A2">
        <w:rPr>
          <w:color w:val="000000"/>
        </w:rPr>
        <w:t xml:space="preserve">: </w:t>
      </w:r>
      <w:r w:rsidRPr="00F259A2">
        <w:rPr>
          <w:color w:val="000000"/>
        </w:rPr>
        <w:t xml:space="preserve">0.4 </w:t>
      </w:r>
      <w:proofErr w:type="spellStart"/>
      <w:r w:rsidRPr="00F259A2">
        <w:rPr>
          <w:color w:val="000000"/>
        </w:rPr>
        <w:t>mU</w:t>
      </w:r>
      <w:proofErr w:type="spellEnd"/>
      <w:r w:rsidRPr="00F259A2">
        <w:rPr>
          <w:color w:val="000000"/>
        </w:rPr>
        <w:t>/</w:t>
      </w:r>
      <w:r w:rsidR="00F97688" w:rsidRPr="00F97688">
        <w:rPr>
          <w:color w:val="000000"/>
        </w:rPr>
        <w:t>µL</w:t>
      </w:r>
      <w:r w:rsidR="00D53242" w:rsidRPr="00F259A2">
        <w:rPr>
          <w:color w:val="000000"/>
        </w:rPr>
        <w:t xml:space="preserve"> </w:t>
      </w:r>
      <w:r w:rsidRPr="00F259A2">
        <w:rPr>
          <w:color w:val="000000"/>
        </w:rPr>
        <w:t>DNase I</w:t>
      </w:r>
      <w:r w:rsidR="00B6177F" w:rsidRPr="00F259A2">
        <w:rPr>
          <w:color w:val="000000"/>
        </w:rPr>
        <w:t xml:space="preserve">, </w:t>
      </w:r>
      <w:r w:rsidRPr="00F259A2">
        <w:rPr>
          <w:color w:val="000000"/>
        </w:rPr>
        <w:t>40 mM</w:t>
      </w:r>
      <w:r w:rsidR="0063481D" w:rsidRPr="00F259A2">
        <w:rPr>
          <w:color w:val="000000"/>
        </w:rPr>
        <w:t xml:space="preserve"> </w:t>
      </w:r>
      <w:r w:rsidRPr="00F259A2">
        <w:rPr>
          <w:color w:val="000000"/>
        </w:rPr>
        <w:t>Tris-</w:t>
      </w:r>
      <w:r w:rsidR="0063481D" w:rsidRPr="00F259A2">
        <w:rPr>
          <w:color w:val="000000"/>
        </w:rPr>
        <w:t>-</w:t>
      </w:r>
      <w:r w:rsidRPr="00F259A2">
        <w:rPr>
          <w:color w:val="000000"/>
        </w:rPr>
        <w:t>HCl, pH 7.5</w:t>
      </w:r>
      <w:r w:rsidR="00B6177F" w:rsidRPr="00F259A2">
        <w:rPr>
          <w:color w:val="000000"/>
        </w:rPr>
        <w:t xml:space="preserve">, </w:t>
      </w:r>
      <w:r w:rsidRPr="00F259A2">
        <w:rPr>
          <w:color w:val="000000"/>
        </w:rPr>
        <w:t>6 mM</w:t>
      </w:r>
      <w:r w:rsidR="0063481D" w:rsidRPr="00F259A2">
        <w:rPr>
          <w:color w:val="000000"/>
        </w:rPr>
        <w:t xml:space="preserve"> </w:t>
      </w:r>
      <w:r w:rsidRPr="00F259A2">
        <w:rPr>
          <w:color w:val="000000"/>
        </w:rPr>
        <w:t>MgCl</w:t>
      </w:r>
      <w:r w:rsidRPr="00F259A2">
        <w:rPr>
          <w:color w:val="000000"/>
          <w:vertAlign w:val="subscript"/>
        </w:rPr>
        <w:t>2</w:t>
      </w:r>
      <w:r w:rsidR="00B6177F" w:rsidRPr="00F259A2">
        <w:rPr>
          <w:color w:val="000000"/>
        </w:rPr>
        <w:t>,</w:t>
      </w:r>
      <w:r w:rsidR="0063481D" w:rsidRPr="00F259A2">
        <w:rPr>
          <w:color w:val="000000"/>
        </w:rPr>
        <w:t xml:space="preserve"> </w:t>
      </w:r>
      <w:r w:rsidRPr="00F259A2">
        <w:rPr>
          <w:color w:val="000000"/>
        </w:rPr>
        <w:t>2 mM</w:t>
      </w:r>
      <w:r w:rsidR="0063481D" w:rsidRPr="00F259A2">
        <w:rPr>
          <w:color w:val="000000"/>
        </w:rPr>
        <w:t xml:space="preserve"> </w:t>
      </w:r>
      <w:r w:rsidRPr="00F259A2">
        <w:rPr>
          <w:color w:val="000000"/>
        </w:rPr>
        <w:t>CaCl</w:t>
      </w:r>
      <w:r w:rsidRPr="00F259A2">
        <w:rPr>
          <w:color w:val="000000"/>
          <w:vertAlign w:val="subscript"/>
        </w:rPr>
        <w:t>2</w:t>
      </w:r>
      <w:r w:rsidR="00B6177F" w:rsidRPr="00F259A2">
        <w:rPr>
          <w:color w:val="000000"/>
        </w:rPr>
        <w:t>.</w:t>
      </w:r>
      <w:r w:rsidR="00D7287C">
        <w:rPr>
          <w:color w:val="000000"/>
        </w:rPr>
        <w:t xml:space="preserve"> </w:t>
      </w:r>
      <w:r w:rsidR="00811459">
        <w:rPr>
          <w:color w:val="000000"/>
        </w:rPr>
        <w:t>Prepare always fresh.</w:t>
      </w:r>
      <w:r w:rsidR="002A1B1E">
        <w:rPr>
          <w:color w:val="000000"/>
        </w:rPr>
        <w:br/>
      </w:r>
      <w:r w:rsidR="00D7287C">
        <w:rPr>
          <w:color w:val="000000"/>
        </w:rPr>
        <w:t xml:space="preserve">For </w:t>
      </w:r>
      <w:r w:rsidR="002A1B1E">
        <w:rPr>
          <w:color w:val="000000"/>
        </w:rPr>
        <w:t xml:space="preserve">15 mL of </w:t>
      </w:r>
      <w:proofErr w:type="spellStart"/>
      <w:r w:rsidR="002A1B1E">
        <w:rPr>
          <w:color w:val="000000"/>
        </w:rPr>
        <w:t>DNAse</w:t>
      </w:r>
      <w:proofErr w:type="spellEnd"/>
      <w:r w:rsidR="002A1B1E">
        <w:rPr>
          <w:color w:val="000000"/>
        </w:rPr>
        <w:t xml:space="preserve"> buffer (10X)</w:t>
      </w:r>
      <w:r w:rsidR="00D7287C">
        <w:rPr>
          <w:color w:val="000000"/>
        </w:rPr>
        <w:t xml:space="preserve">, </w:t>
      </w:r>
      <w:r w:rsidR="002A1B1E">
        <w:rPr>
          <w:color w:val="000000"/>
        </w:rPr>
        <w:t>combine</w:t>
      </w:r>
      <w:r w:rsidR="00D7287C" w:rsidRPr="00D7287C">
        <w:rPr>
          <w:color w:val="000000"/>
        </w:rPr>
        <w:t xml:space="preserve"> </w:t>
      </w:r>
      <w:r w:rsidR="00D7287C">
        <w:rPr>
          <w:color w:val="000000"/>
        </w:rPr>
        <w:t xml:space="preserve">6 </w:t>
      </w:r>
      <w:r w:rsidR="00D7287C" w:rsidRPr="00D7287C">
        <w:rPr>
          <w:color w:val="000000"/>
        </w:rPr>
        <w:t>mL 1 M Tris</w:t>
      </w:r>
      <w:r w:rsidR="002A1B1E">
        <w:rPr>
          <w:color w:val="000000"/>
        </w:rPr>
        <w:t>--</w:t>
      </w:r>
      <w:r w:rsidR="00D7287C" w:rsidRPr="00D7287C">
        <w:rPr>
          <w:color w:val="000000"/>
        </w:rPr>
        <w:t xml:space="preserve">HCl (pH 7.5), </w:t>
      </w:r>
      <w:r w:rsidR="00D7287C">
        <w:rPr>
          <w:color w:val="000000"/>
        </w:rPr>
        <w:t>0.9</w:t>
      </w:r>
      <w:r w:rsidR="00D7287C" w:rsidRPr="00D7287C">
        <w:rPr>
          <w:color w:val="000000"/>
        </w:rPr>
        <w:t xml:space="preserve"> mL 1 M Mg</w:t>
      </w:r>
      <w:r w:rsidR="00D7287C">
        <w:rPr>
          <w:color w:val="000000"/>
        </w:rPr>
        <w:t>Cl</w:t>
      </w:r>
      <w:r w:rsidR="00D7287C" w:rsidRPr="00BB488B">
        <w:rPr>
          <w:color w:val="000000"/>
          <w:vertAlign w:val="subscript"/>
        </w:rPr>
        <w:t>2</w:t>
      </w:r>
      <w:r w:rsidR="002A1B1E">
        <w:rPr>
          <w:color w:val="000000"/>
        </w:rPr>
        <w:t xml:space="preserve"> and</w:t>
      </w:r>
      <w:r w:rsidR="00D7287C" w:rsidRPr="00D7287C">
        <w:rPr>
          <w:color w:val="000000"/>
        </w:rPr>
        <w:t xml:space="preserve"> 0.</w:t>
      </w:r>
      <w:r w:rsidR="00D7287C">
        <w:rPr>
          <w:color w:val="000000"/>
        </w:rPr>
        <w:t>3</w:t>
      </w:r>
      <w:r w:rsidR="00D7287C" w:rsidRPr="00D7287C">
        <w:rPr>
          <w:color w:val="000000"/>
        </w:rPr>
        <w:t xml:space="preserve"> mL 1 M </w:t>
      </w:r>
      <w:r w:rsidR="00D7287C">
        <w:rPr>
          <w:color w:val="000000"/>
        </w:rPr>
        <w:t>CaCl</w:t>
      </w:r>
      <w:r w:rsidR="00D7287C" w:rsidRPr="00C1467B">
        <w:rPr>
          <w:color w:val="000000"/>
          <w:vertAlign w:val="subscript"/>
        </w:rPr>
        <w:t>2</w:t>
      </w:r>
      <w:r w:rsidR="00D7287C" w:rsidRPr="00D7287C">
        <w:rPr>
          <w:color w:val="000000"/>
        </w:rPr>
        <w:t>.</w:t>
      </w:r>
      <w:r w:rsidR="002A1B1E">
        <w:rPr>
          <w:color w:val="000000"/>
        </w:rPr>
        <w:t xml:space="preserve"> Mix and adjust to final volume with pure water</w:t>
      </w:r>
      <w:r w:rsidR="002A1B1E" w:rsidRPr="002A1B1E">
        <w:rPr>
          <w:color w:val="000000"/>
        </w:rPr>
        <w:t xml:space="preserve"> </w:t>
      </w:r>
      <w:r w:rsidR="002A1B1E">
        <w:rPr>
          <w:color w:val="000000"/>
        </w:rPr>
        <w:t xml:space="preserve">and freeze 1 mL aliquots at </w:t>
      </w:r>
      <w:r w:rsidR="00811459">
        <w:rPr>
          <w:color w:val="000000"/>
        </w:rPr>
        <w:t>-</w:t>
      </w:r>
      <w:r w:rsidR="002A1B1E">
        <w:rPr>
          <w:color w:val="000000"/>
        </w:rPr>
        <w:t xml:space="preserve">-20 </w:t>
      </w:r>
      <w:r w:rsidR="002A1B1E" w:rsidRPr="00A8159D">
        <w:rPr>
          <w:color w:val="000000"/>
        </w:rPr>
        <w:t>°C</w:t>
      </w:r>
      <w:r w:rsidR="002A1B1E">
        <w:rPr>
          <w:color w:val="000000"/>
        </w:rPr>
        <w:t xml:space="preserve">. For use, dilute 10X </w:t>
      </w:r>
      <w:proofErr w:type="spellStart"/>
      <w:r w:rsidR="002A1B1E">
        <w:rPr>
          <w:color w:val="000000"/>
        </w:rPr>
        <w:t>DNAse</w:t>
      </w:r>
      <w:proofErr w:type="spellEnd"/>
      <w:r w:rsidR="002A1B1E">
        <w:rPr>
          <w:color w:val="000000"/>
        </w:rPr>
        <w:t xml:space="preserve"> buffer after thawing with pure water to a 1X concentration. Then mix the </w:t>
      </w:r>
      <w:proofErr w:type="spellStart"/>
      <w:r w:rsidR="002A1B1E">
        <w:rPr>
          <w:color w:val="000000"/>
        </w:rPr>
        <w:t>DNAse</w:t>
      </w:r>
      <w:proofErr w:type="spellEnd"/>
      <w:r w:rsidR="002A1B1E">
        <w:rPr>
          <w:color w:val="000000"/>
        </w:rPr>
        <w:t xml:space="preserve"> I enzyme </w:t>
      </w:r>
      <w:r w:rsidR="00811459">
        <w:rPr>
          <w:color w:val="000000"/>
        </w:rPr>
        <w:t xml:space="preserve">(Invitrogen) </w:t>
      </w:r>
      <w:r w:rsidR="002A1B1E">
        <w:rPr>
          <w:color w:val="000000"/>
        </w:rPr>
        <w:t xml:space="preserve">with 1X </w:t>
      </w:r>
      <w:proofErr w:type="spellStart"/>
      <w:r w:rsidR="002A1B1E">
        <w:rPr>
          <w:color w:val="000000"/>
        </w:rPr>
        <w:t>DNAse</w:t>
      </w:r>
      <w:proofErr w:type="spellEnd"/>
      <w:r w:rsidR="002A1B1E">
        <w:rPr>
          <w:color w:val="000000"/>
        </w:rPr>
        <w:t xml:space="preserve"> buffer to yield a</w:t>
      </w:r>
      <w:r w:rsidR="00811459">
        <w:rPr>
          <w:color w:val="000000"/>
        </w:rPr>
        <w:t xml:space="preserve"> final enzyme </w:t>
      </w:r>
      <w:r w:rsidR="002A1B1E">
        <w:rPr>
          <w:color w:val="000000"/>
        </w:rPr>
        <w:t xml:space="preserve">concentration of </w:t>
      </w:r>
      <w:r w:rsidR="002A1B1E" w:rsidRPr="00F259A2">
        <w:rPr>
          <w:color w:val="000000"/>
        </w:rPr>
        <w:t xml:space="preserve">0.4 </w:t>
      </w:r>
      <w:proofErr w:type="spellStart"/>
      <w:r w:rsidR="002A1B1E" w:rsidRPr="00F259A2">
        <w:rPr>
          <w:color w:val="000000"/>
        </w:rPr>
        <w:t>mU</w:t>
      </w:r>
      <w:proofErr w:type="spellEnd"/>
      <w:r w:rsidR="002A1B1E" w:rsidRPr="00F259A2">
        <w:rPr>
          <w:color w:val="000000"/>
        </w:rPr>
        <w:t>/</w:t>
      </w:r>
      <w:r w:rsidR="002A1B1E" w:rsidRPr="00F97688">
        <w:rPr>
          <w:color w:val="000000"/>
        </w:rPr>
        <w:t>µL</w:t>
      </w:r>
      <w:r w:rsidR="002A1B1E">
        <w:rPr>
          <w:color w:val="000000"/>
        </w:rPr>
        <w:t xml:space="preserve">.  </w:t>
      </w:r>
    </w:p>
    <w:p w14:paraId="10DC0F44" w14:textId="77777777" w:rsidR="00B65460" w:rsidRPr="00F259A2" w:rsidRDefault="00006F34" w:rsidP="008A5EE5">
      <w:pPr>
        <w:pStyle w:val="ListParagraph"/>
        <w:numPr>
          <w:ilvl w:val="0"/>
          <w:numId w:val="27"/>
        </w:numPr>
        <w:tabs>
          <w:tab w:val="left" w:pos="-1440"/>
          <w:tab w:val="left" w:pos="-720"/>
          <w:tab w:val="left" w:pos="1418"/>
        </w:tabs>
        <w:suppressAutoHyphens/>
        <w:spacing w:line="480" w:lineRule="auto"/>
        <w:rPr>
          <w:color w:val="000000"/>
        </w:rPr>
      </w:pPr>
      <w:r w:rsidRPr="00F259A2">
        <w:rPr>
          <w:color w:val="000000"/>
        </w:rPr>
        <w:t>TAE buffer</w:t>
      </w:r>
      <w:r w:rsidR="008E2B4D" w:rsidRPr="00F259A2">
        <w:rPr>
          <w:color w:val="000000"/>
        </w:rPr>
        <w:t xml:space="preserve"> (</w:t>
      </w:r>
      <w:r w:rsidR="00A12ABC" w:rsidRPr="00F259A2">
        <w:rPr>
          <w:color w:val="000000"/>
        </w:rPr>
        <w:t>50</w:t>
      </w:r>
      <w:r w:rsidR="00A12ABC">
        <w:rPr>
          <w:color w:val="000000"/>
        </w:rPr>
        <w:t>X</w:t>
      </w:r>
      <w:r w:rsidR="008E2B4D" w:rsidRPr="00F259A2">
        <w:rPr>
          <w:color w:val="000000"/>
        </w:rPr>
        <w:t>)</w:t>
      </w:r>
      <w:r w:rsidR="00B6177F" w:rsidRPr="00F259A2">
        <w:rPr>
          <w:color w:val="000000"/>
        </w:rPr>
        <w:t xml:space="preserve">: </w:t>
      </w:r>
      <w:r w:rsidR="00F871FB" w:rsidRPr="00F259A2">
        <w:rPr>
          <w:color w:val="000000"/>
        </w:rPr>
        <w:t>2 M</w:t>
      </w:r>
      <w:r w:rsidR="0029562B" w:rsidRPr="00F259A2">
        <w:rPr>
          <w:color w:val="000000"/>
        </w:rPr>
        <w:t xml:space="preserve"> </w:t>
      </w:r>
      <w:r w:rsidR="00F871FB" w:rsidRPr="00F259A2">
        <w:rPr>
          <w:color w:val="000000"/>
        </w:rPr>
        <w:t>Tris-</w:t>
      </w:r>
      <w:r w:rsidR="00991F16" w:rsidRPr="00F259A2">
        <w:rPr>
          <w:color w:val="000000"/>
        </w:rPr>
        <w:t>-</w:t>
      </w:r>
      <w:r w:rsidR="00F871FB" w:rsidRPr="00F259A2">
        <w:rPr>
          <w:color w:val="000000"/>
        </w:rPr>
        <w:t>base</w:t>
      </w:r>
      <w:r w:rsidR="00B6177F" w:rsidRPr="00F259A2">
        <w:rPr>
          <w:color w:val="000000"/>
        </w:rPr>
        <w:t xml:space="preserve">, </w:t>
      </w:r>
      <w:r w:rsidR="00B65460" w:rsidRPr="00F259A2">
        <w:rPr>
          <w:color w:val="000000"/>
        </w:rPr>
        <w:t>1 M</w:t>
      </w:r>
      <w:r w:rsidR="0029562B" w:rsidRPr="00F259A2">
        <w:rPr>
          <w:color w:val="000000"/>
        </w:rPr>
        <w:t xml:space="preserve"> </w:t>
      </w:r>
      <w:r w:rsidR="00B65460" w:rsidRPr="00F259A2">
        <w:rPr>
          <w:color w:val="000000"/>
        </w:rPr>
        <w:t>Acetic acid</w:t>
      </w:r>
      <w:r w:rsidR="00B6177F" w:rsidRPr="00F259A2">
        <w:rPr>
          <w:color w:val="000000"/>
        </w:rPr>
        <w:t xml:space="preserve">, </w:t>
      </w:r>
      <w:r w:rsidR="00B65460" w:rsidRPr="00F259A2">
        <w:rPr>
          <w:color w:val="000000"/>
        </w:rPr>
        <w:t>50 mM</w:t>
      </w:r>
      <w:r w:rsidR="0029562B" w:rsidRPr="00F259A2">
        <w:rPr>
          <w:color w:val="000000"/>
        </w:rPr>
        <w:t xml:space="preserve"> </w:t>
      </w:r>
      <w:r w:rsidR="00B65460" w:rsidRPr="00F259A2">
        <w:rPr>
          <w:color w:val="000000"/>
        </w:rPr>
        <w:t>EDTA, pH 8.0</w:t>
      </w:r>
      <w:r w:rsidR="00B6177F" w:rsidRPr="00F259A2">
        <w:rPr>
          <w:color w:val="000000"/>
        </w:rPr>
        <w:t>.</w:t>
      </w:r>
    </w:p>
    <w:p w14:paraId="65426BDB" w14:textId="77777777" w:rsidR="00F0084F" w:rsidRPr="00F259A2" w:rsidRDefault="00E504E3" w:rsidP="008A5EE5">
      <w:pPr>
        <w:pStyle w:val="ListParagraph"/>
        <w:numPr>
          <w:ilvl w:val="0"/>
          <w:numId w:val="27"/>
        </w:numPr>
        <w:tabs>
          <w:tab w:val="left" w:pos="-1440"/>
          <w:tab w:val="left" w:pos="-720"/>
          <w:tab w:val="left" w:pos="1418"/>
        </w:tabs>
        <w:suppressAutoHyphens/>
        <w:spacing w:line="480" w:lineRule="auto"/>
        <w:rPr>
          <w:color w:val="000000"/>
        </w:rPr>
      </w:pPr>
      <w:r w:rsidRPr="00F259A2">
        <w:rPr>
          <w:color w:val="000000"/>
        </w:rPr>
        <w:t>1.5% Agarose gel</w:t>
      </w:r>
      <w:r w:rsidR="00D53242" w:rsidRPr="00F259A2">
        <w:rPr>
          <w:color w:val="000000"/>
        </w:rPr>
        <w:t xml:space="preserve"> </w:t>
      </w:r>
    </w:p>
    <w:p w14:paraId="4030ADB0" w14:textId="77777777" w:rsidR="00F0084F" w:rsidRPr="00F259A2" w:rsidRDefault="00F0084F" w:rsidP="008A5EE5">
      <w:pPr>
        <w:pStyle w:val="ListParagraph"/>
        <w:numPr>
          <w:ilvl w:val="0"/>
          <w:numId w:val="27"/>
        </w:numPr>
        <w:tabs>
          <w:tab w:val="left" w:pos="-1440"/>
          <w:tab w:val="left" w:pos="-720"/>
          <w:tab w:val="left" w:pos="1418"/>
        </w:tabs>
        <w:suppressAutoHyphens/>
        <w:spacing w:line="480" w:lineRule="auto"/>
        <w:rPr>
          <w:color w:val="000000"/>
        </w:rPr>
      </w:pPr>
      <w:r w:rsidRPr="00F259A2">
        <w:rPr>
          <w:color w:val="000000"/>
        </w:rPr>
        <w:t>0.5 µg/</w:t>
      </w:r>
      <w:r w:rsidR="00F97688" w:rsidRPr="00F97688">
        <w:rPr>
          <w:color w:val="000000"/>
        </w:rPr>
        <w:t>µL</w:t>
      </w:r>
      <w:r w:rsidRPr="00F259A2">
        <w:rPr>
          <w:color w:val="000000"/>
        </w:rPr>
        <w:t xml:space="preserve"> </w:t>
      </w:r>
      <w:r w:rsidR="00D53242" w:rsidRPr="00F259A2">
        <w:rPr>
          <w:color w:val="000000"/>
        </w:rPr>
        <w:t xml:space="preserve">Genomic DNA </w:t>
      </w:r>
    </w:p>
    <w:p w14:paraId="26841FD1" w14:textId="77777777" w:rsidR="00F0084F" w:rsidRPr="00F259A2" w:rsidRDefault="00F0084F" w:rsidP="008A5EE5">
      <w:pPr>
        <w:pStyle w:val="ListParagraph"/>
        <w:numPr>
          <w:ilvl w:val="0"/>
          <w:numId w:val="27"/>
        </w:numPr>
        <w:tabs>
          <w:tab w:val="left" w:pos="-1440"/>
          <w:tab w:val="left" w:pos="-720"/>
          <w:tab w:val="left" w:pos="1418"/>
        </w:tabs>
        <w:suppressAutoHyphens/>
        <w:spacing w:line="480" w:lineRule="auto"/>
        <w:rPr>
          <w:color w:val="000000"/>
        </w:rPr>
      </w:pPr>
      <w:r w:rsidRPr="00F259A2">
        <w:rPr>
          <w:color w:val="000000"/>
        </w:rPr>
        <w:t xml:space="preserve">40 mM </w:t>
      </w:r>
      <w:r w:rsidR="008D754A" w:rsidRPr="00F259A2">
        <w:rPr>
          <w:color w:val="000000"/>
        </w:rPr>
        <w:t>d</w:t>
      </w:r>
      <w:r w:rsidRPr="00F259A2">
        <w:rPr>
          <w:color w:val="000000"/>
        </w:rPr>
        <w:t>N</w:t>
      </w:r>
      <w:r w:rsidR="008D754A" w:rsidRPr="00F259A2">
        <w:rPr>
          <w:color w:val="000000"/>
        </w:rPr>
        <w:t>TP</w:t>
      </w:r>
      <w:r w:rsidRPr="00F259A2">
        <w:rPr>
          <w:color w:val="000000"/>
        </w:rPr>
        <w:t>s</w:t>
      </w:r>
      <w:r w:rsidR="00400180" w:rsidRPr="00F259A2">
        <w:rPr>
          <w:color w:val="000000"/>
        </w:rPr>
        <w:t xml:space="preserve"> (</w:t>
      </w:r>
      <w:proofErr w:type="spellStart"/>
      <w:r w:rsidR="00400180" w:rsidRPr="00F259A2">
        <w:rPr>
          <w:color w:val="000000"/>
        </w:rPr>
        <w:t>dATP</w:t>
      </w:r>
      <w:proofErr w:type="spellEnd"/>
      <w:r w:rsidR="00400180" w:rsidRPr="00F259A2">
        <w:rPr>
          <w:color w:val="000000"/>
        </w:rPr>
        <w:t xml:space="preserve">, </w:t>
      </w:r>
      <w:proofErr w:type="spellStart"/>
      <w:r w:rsidR="00400180" w:rsidRPr="00F259A2">
        <w:rPr>
          <w:color w:val="000000"/>
        </w:rPr>
        <w:t>dCTP</w:t>
      </w:r>
      <w:proofErr w:type="spellEnd"/>
      <w:r w:rsidR="00400180" w:rsidRPr="00F259A2">
        <w:rPr>
          <w:color w:val="000000"/>
        </w:rPr>
        <w:t xml:space="preserve">, </w:t>
      </w:r>
      <w:proofErr w:type="spellStart"/>
      <w:r w:rsidR="00400180" w:rsidRPr="00F259A2">
        <w:rPr>
          <w:color w:val="000000"/>
        </w:rPr>
        <w:t>dGTP</w:t>
      </w:r>
      <w:proofErr w:type="spellEnd"/>
      <w:r w:rsidR="00400180" w:rsidRPr="00F259A2">
        <w:rPr>
          <w:color w:val="000000"/>
        </w:rPr>
        <w:t>, d</w:t>
      </w:r>
      <w:r w:rsidR="008C1DB5" w:rsidRPr="00F259A2">
        <w:rPr>
          <w:color w:val="000000"/>
        </w:rPr>
        <w:t>T</w:t>
      </w:r>
      <w:r w:rsidR="00400180" w:rsidRPr="00F259A2">
        <w:rPr>
          <w:color w:val="000000"/>
        </w:rPr>
        <w:t>TP</w:t>
      </w:r>
      <w:r w:rsidR="00C90362" w:rsidRPr="00F259A2">
        <w:rPr>
          <w:color w:val="000000"/>
        </w:rPr>
        <w:t>)</w:t>
      </w:r>
    </w:p>
    <w:p w14:paraId="35C55777" w14:textId="77777777" w:rsidR="00F0084F" w:rsidRPr="00F259A2" w:rsidRDefault="008D754A" w:rsidP="008A5EE5">
      <w:pPr>
        <w:pStyle w:val="ListParagraph"/>
        <w:numPr>
          <w:ilvl w:val="0"/>
          <w:numId w:val="27"/>
        </w:numPr>
        <w:tabs>
          <w:tab w:val="left" w:pos="-1440"/>
          <w:tab w:val="left" w:pos="-720"/>
          <w:tab w:val="left" w:pos="1418"/>
        </w:tabs>
        <w:suppressAutoHyphens/>
        <w:spacing w:line="480" w:lineRule="auto"/>
        <w:rPr>
          <w:color w:val="000000"/>
        </w:rPr>
      </w:pPr>
      <w:r w:rsidRPr="00F259A2">
        <w:rPr>
          <w:color w:val="000000"/>
        </w:rPr>
        <w:t xml:space="preserve">1mM </w:t>
      </w:r>
      <w:r w:rsidR="00F0084F" w:rsidRPr="00F259A2">
        <w:rPr>
          <w:color w:val="000000"/>
        </w:rPr>
        <w:t>dNTPs</w:t>
      </w:r>
      <w:r w:rsidR="00C90362" w:rsidRPr="00F259A2">
        <w:rPr>
          <w:color w:val="000000"/>
        </w:rPr>
        <w:t xml:space="preserve"> (</w:t>
      </w:r>
      <w:proofErr w:type="spellStart"/>
      <w:r w:rsidR="00C90362" w:rsidRPr="00F259A2">
        <w:rPr>
          <w:color w:val="000000"/>
        </w:rPr>
        <w:t>dATP</w:t>
      </w:r>
      <w:proofErr w:type="spellEnd"/>
      <w:r w:rsidR="00C90362" w:rsidRPr="00F259A2">
        <w:rPr>
          <w:color w:val="000000"/>
        </w:rPr>
        <w:t xml:space="preserve">, </w:t>
      </w:r>
      <w:proofErr w:type="spellStart"/>
      <w:r w:rsidR="00C90362" w:rsidRPr="00F259A2">
        <w:rPr>
          <w:color w:val="000000"/>
        </w:rPr>
        <w:t>dCTP</w:t>
      </w:r>
      <w:proofErr w:type="spellEnd"/>
      <w:r w:rsidR="00C90362" w:rsidRPr="00F259A2">
        <w:rPr>
          <w:color w:val="000000"/>
        </w:rPr>
        <w:t>, dTTP)</w:t>
      </w:r>
    </w:p>
    <w:p w14:paraId="6EB92F18" w14:textId="77777777" w:rsidR="00E504E3" w:rsidRPr="00F259A2" w:rsidRDefault="002A1FA9" w:rsidP="008A5EE5">
      <w:pPr>
        <w:pStyle w:val="ListParagraph"/>
        <w:numPr>
          <w:ilvl w:val="0"/>
          <w:numId w:val="27"/>
        </w:numPr>
        <w:tabs>
          <w:tab w:val="left" w:pos="-1440"/>
          <w:tab w:val="left" w:pos="-720"/>
          <w:tab w:val="left" w:pos="1418"/>
        </w:tabs>
        <w:suppressAutoHyphens/>
        <w:spacing w:line="480" w:lineRule="auto"/>
        <w:rPr>
          <w:color w:val="000000"/>
        </w:rPr>
      </w:pPr>
      <w:r w:rsidRPr="00F259A2">
        <w:rPr>
          <w:color w:val="000000"/>
        </w:rPr>
        <w:t xml:space="preserve">1 mM </w:t>
      </w:r>
      <w:r w:rsidR="008D754A" w:rsidRPr="00F259A2">
        <w:rPr>
          <w:color w:val="000000"/>
        </w:rPr>
        <w:t>Cy3</w:t>
      </w:r>
      <w:r w:rsidR="00AD5B6B">
        <w:rPr>
          <w:color w:val="000000"/>
        </w:rPr>
        <w:t>--</w:t>
      </w:r>
      <w:proofErr w:type="spellStart"/>
      <w:r w:rsidR="008D754A" w:rsidRPr="00F259A2">
        <w:rPr>
          <w:color w:val="000000"/>
        </w:rPr>
        <w:t>dCTP</w:t>
      </w:r>
      <w:proofErr w:type="spellEnd"/>
      <w:r w:rsidR="008D754A" w:rsidRPr="00F259A2">
        <w:rPr>
          <w:color w:val="000000"/>
        </w:rPr>
        <w:t xml:space="preserve"> </w:t>
      </w:r>
    </w:p>
    <w:p w14:paraId="515094C4" w14:textId="77777777" w:rsidR="00F0084F" w:rsidRPr="00F259A2" w:rsidRDefault="002A1FA9" w:rsidP="008A5EE5">
      <w:pPr>
        <w:pStyle w:val="ListParagraph"/>
        <w:numPr>
          <w:ilvl w:val="0"/>
          <w:numId w:val="27"/>
        </w:numPr>
        <w:tabs>
          <w:tab w:val="left" w:pos="-1440"/>
          <w:tab w:val="left" w:pos="-720"/>
          <w:tab w:val="left" w:pos="1418"/>
        </w:tabs>
        <w:suppressAutoHyphens/>
        <w:spacing w:line="480" w:lineRule="auto"/>
        <w:rPr>
          <w:color w:val="000000"/>
        </w:rPr>
      </w:pPr>
      <w:r w:rsidRPr="00F259A2">
        <w:rPr>
          <w:color w:val="000000"/>
        </w:rPr>
        <w:lastRenderedPageBreak/>
        <w:t xml:space="preserve">1 mM </w:t>
      </w:r>
      <w:r w:rsidR="008D754A" w:rsidRPr="00F259A2">
        <w:rPr>
          <w:color w:val="000000"/>
        </w:rPr>
        <w:t>Cy3</w:t>
      </w:r>
      <w:r w:rsidR="00AD5B6B">
        <w:rPr>
          <w:color w:val="000000"/>
        </w:rPr>
        <w:t>--</w:t>
      </w:r>
      <w:proofErr w:type="spellStart"/>
      <w:r w:rsidR="008D754A" w:rsidRPr="00F259A2">
        <w:rPr>
          <w:color w:val="000000"/>
        </w:rPr>
        <w:t>dUTP</w:t>
      </w:r>
      <w:proofErr w:type="spellEnd"/>
      <w:r w:rsidR="008D754A" w:rsidRPr="00F259A2">
        <w:rPr>
          <w:color w:val="000000"/>
        </w:rPr>
        <w:t xml:space="preserve">  </w:t>
      </w:r>
    </w:p>
    <w:p w14:paraId="1B681685" w14:textId="77777777" w:rsidR="00400180" w:rsidRPr="00F259A2" w:rsidRDefault="002A1FA9" w:rsidP="008A5EE5">
      <w:pPr>
        <w:pStyle w:val="ListParagraph"/>
        <w:numPr>
          <w:ilvl w:val="0"/>
          <w:numId w:val="27"/>
        </w:numPr>
        <w:tabs>
          <w:tab w:val="left" w:pos="-1440"/>
          <w:tab w:val="left" w:pos="-720"/>
          <w:tab w:val="left" w:pos="1418"/>
        </w:tabs>
        <w:suppressAutoHyphens/>
        <w:spacing w:line="480" w:lineRule="auto"/>
        <w:rPr>
          <w:color w:val="000000"/>
        </w:rPr>
      </w:pPr>
      <w:r w:rsidRPr="00F259A2">
        <w:rPr>
          <w:color w:val="000000"/>
        </w:rPr>
        <w:t xml:space="preserve">1 mM </w:t>
      </w:r>
      <w:r w:rsidR="008D754A" w:rsidRPr="00F259A2">
        <w:rPr>
          <w:color w:val="000000"/>
        </w:rPr>
        <w:t>Fluorescein</w:t>
      </w:r>
      <w:r w:rsidR="00AD5B6B">
        <w:rPr>
          <w:color w:val="000000"/>
        </w:rPr>
        <w:t>--</w:t>
      </w:r>
      <w:r w:rsidR="008D754A" w:rsidRPr="00F259A2">
        <w:rPr>
          <w:color w:val="000000"/>
        </w:rPr>
        <w:t>12</w:t>
      </w:r>
      <w:r w:rsidR="00AD5B6B">
        <w:rPr>
          <w:color w:val="000000"/>
        </w:rPr>
        <w:t>--</w:t>
      </w:r>
      <w:proofErr w:type="spellStart"/>
      <w:r w:rsidR="008D754A" w:rsidRPr="00F259A2">
        <w:rPr>
          <w:color w:val="000000"/>
        </w:rPr>
        <w:t>dATP</w:t>
      </w:r>
      <w:proofErr w:type="spellEnd"/>
      <w:r w:rsidR="008D754A" w:rsidRPr="00F259A2">
        <w:rPr>
          <w:color w:val="000000"/>
        </w:rPr>
        <w:t xml:space="preserve">  </w:t>
      </w:r>
    </w:p>
    <w:p w14:paraId="0334B4B4" w14:textId="77777777" w:rsidR="00D53242" w:rsidRPr="00F259A2" w:rsidRDefault="002A1FA9" w:rsidP="008A5EE5">
      <w:pPr>
        <w:pStyle w:val="ListParagraph"/>
        <w:numPr>
          <w:ilvl w:val="0"/>
          <w:numId w:val="27"/>
        </w:numPr>
        <w:tabs>
          <w:tab w:val="left" w:pos="-1440"/>
          <w:tab w:val="left" w:pos="-720"/>
          <w:tab w:val="left" w:pos="1418"/>
        </w:tabs>
        <w:suppressAutoHyphens/>
        <w:spacing w:line="480" w:lineRule="auto"/>
        <w:rPr>
          <w:color w:val="000000"/>
        </w:rPr>
      </w:pPr>
      <w:r w:rsidRPr="00F259A2">
        <w:rPr>
          <w:color w:val="000000"/>
        </w:rPr>
        <w:t xml:space="preserve">1 mM </w:t>
      </w:r>
      <w:r w:rsidR="008D754A" w:rsidRPr="00F259A2">
        <w:rPr>
          <w:color w:val="000000"/>
        </w:rPr>
        <w:t>Fluorescein</w:t>
      </w:r>
      <w:r w:rsidR="00AD5B6B">
        <w:rPr>
          <w:color w:val="000000"/>
        </w:rPr>
        <w:t>--</w:t>
      </w:r>
      <w:r w:rsidR="008D754A" w:rsidRPr="00F259A2">
        <w:rPr>
          <w:color w:val="000000"/>
        </w:rPr>
        <w:t>12</w:t>
      </w:r>
      <w:r w:rsidR="00AD5B6B">
        <w:rPr>
          <w:color w:val="000000"/>
        </w:rPr>
        <w:t>--</w:t>
      </w:r>
      <w:proofErr w:type="spellStart"/>
      <w:r w:rsidR="008D754A" w:rsidRPr="00F259A2">
        <w:rPr>
          <w:color w:val="000000"/>
        </w:rPr>
        <w:t>dCTP</w:t>
      </w:r>
      <w:proofErr w:type="spellEnd"/>
      <w:r w:rsidR="008D754A" w:rsidRPr="00F259A2">
        <w:rPr>
          <w:color w:val="000000"/>
        </w:rPr>
        <w:t xml:space="preserve"> </w:t>
      </w:r>
    </w:p>
    <w:p w14:paraId="1804FC57" w14:textId="77777777" w:rsidR="00006F34" w:rsidRPr="00F259A2" w:rsidRDefault="002A1FA9" w:rsidP="008A5EE5">
      <w:pPr>
        <w:pStyle w:val="ListParagraph"/>
        <w:numPr>
          <w:ilvl w:val="0"/>
          <w:numId w:val="27"/>
        </w:numPr>
        <w:tabs>
          <w:tab w:val="left" w:pos="-1440"/>
          <w:tab w:val="left" w:pos="-720"/>
          <w:tab w:val="left" w:pos="1418"/>
        </w:tabs>
        <w:suppressAutoHyphens/>
        <w:spacing w:line="480" w:lineRule="auto"/>
        <w:rPr>
          <w:color w:val="000000"/>
        </w:rPr>
      </w:pPr>
      <w:r w:rsidRPr="00F259A2">
        <w:rPr>
          <w:color w:val="000000"/>
        </w:rPr>
        <w:t>0.5 U/</w:t>
      </w:r>
      <w:r w:rsidR="00F97688" w:rsidRPr="00F97688">
        <w:rPr>
          <w:color w:val="000000"/>
        </w:rPr>
        <w:t>µL</w:t>
      </w:r>
      <w:r w:rsidRPr="00F259A2">
        <w:rPr>
          <w:color w:val="000000"/>
        </w:rPr>
        <w:t xml:space="preserve"> </w:t>
      </w:r>
      <w:r w:rsidR="008D754A" w:rsidRPr="00F259A2">
        <w:rPr>
          <w:color w:val="000000"/>
        </w:rPr>
        <w:t xml:space="preserve">DNA Polymerase I </w:t>
      </w:r>
    </w:p>
    <w:p w14:paraId="125149C3" w14:textId="77777777" w:rsidR="00E41CF9" w:rsidRDefault="00190D04" w:rsidP="008A5EE5">
      <w:pPr>
        <w:pStyle w:val="ListParagraph"/>
        <w:numPr>
          <w:ilvl w:val="0"/>
          <w:numId w:val="27"/>
        </w:numPr>
        <w:tabs>
          <w:tab w:val="left" w:pos="-1440"/>
          <w:tab w:val="left" w:pos="-720"/>
          <w:tab w:val="left" w:pos="1418"/>
        </w:tabs>
        <w:suppressAutoHyphens/>
        <w:spacing w:line="480" w:lineRule="auto"/>
        <w:rPr>
          <w:color w:val="000000"/>
        </w:rPr>
      </w:pPr>
      <w:r>
        <w:rPr>
          <w:color w:val="000000"/>
        </w:rPr>
        <w:t>Absolute e</w:t>
      </w:r>
      <w:r w:rsidR="00E41CF9" w:rsidRPr="00F259A2">
        <w:rPr>
          <w:color w:val="000000"/>
        </w:rPr>
        <w:t>thanol</w:t>
      </w:r>
    </w:p>
    <w:p w14:paraId="53877224" w14:textId="77777777" w:rsidR="00F259A2" w:rsidRDefault="00F259A2" w:rsidP="008A5EE5">
      <w:pPr>
        <w:pStyle w:val="ListParagraph"/>
        <w:numPr>
          <w:ilvl w:val="0"/>
          <w:numId w:val="27"/>
        </w:numPr>
        <w:tabs>
          <w:tab w:val="left" w:pos="-1440"/>
          <w:tab w:val="left" w:pos="-720"/>
        </w:tabs>
        <w:suppressAutoHyphens/>
        <w:spacing w:line="480" w:lineRule="auto"/>
        <w:rPr>
          <w:color w:val="000000"/>
        </w:rPr>
      </w:pPr>
      <w:r w:rsidRPr="00F259A2">
        <w:rPr>
          <w:color w:val="000000"/>
        </w:rPr>
        <w:t xml:space="preserve">1 kb </w:t>
      </w:r>
      <w:r w:rsidR="008031A5">
        <w:rPr>
          <w:color w:val="000000"/>
        </w:rPr>
        <w:t xml:space="preserve">DNA </w:t>
      </w:r>
      <w:r w:rsidRPr="00F259A2">
        <w:rPr>
          <w:color w:val="000000"/>
        </w:rPr>
        <w:t>ladder</w:t>
      </w:r>
    </w:p>
    <w:p w14:paraId="0E32A0AE" w14:textId="77777777" w:rsidR="003A75A7" w:rsidRDefault="003A75A7" w:rsidP="008A5EE5">
      <w:pPr>
        <w:pStyle w:val="ListParagraph"/>
        <w:numPr>
          <w:ilvl w:val="0"/>
          <w:numId w:val="27"/>
        </w:numPr>
        <w:tabs>
          <w:tab w:val="left" w:pos="-1440"/>
          <w:tab w:val="left" w:pos="-720"/>
        </w:tabs>
        <w:suppressAutoHyphens/>
        <w:spacing w:line="480" w:lineRule="auto"/>
        <w:rPr>
          <w:color w:val="000000"/>
        </w:rPr>
      </w:pPr>
      <w:r>
        <w:rPr>
          <w:color w:val="000000"/>
        </w:rPr>
        <w:t xml:space="preserve">Loading </w:t>
      </w:r>
      <w:r w:rsidR="00434E96">
        <w:rPr>
          <w:color w:val="000000"/>
        </w:rPr>
        <w:t>dye</w:t>
      </w:r>
    </w:p>
    <w:p w14:paraId="474ADF45" w14:textId="77777777" w:rsidR="00F259A2" w:rsidRDefault="00F259A2" w:rsidP="008A5EE5">
      <w:pPr>
        <w:pStyle w:val="ListParagraph"/>
        <w:numPr>
          <w:ilvl w:val="0"/>
          <w:numId w:val="27"/>
        </w:numPr>
        <w:tabs>
          <w:tab w:val="left" w:pos="-1440"/>
          <w:tab w:val="left" w:pos="-720"/>
        </w:tabs>
        <w:suppressAutoHyphens/>
        <w:spacing w:line="480" w:lineRule="auto"/>
        <w:rPr>
          <w:color w:val="000000"/>
        </w:rPr>
      </w:pPr>
      <w:r w:rsidRPr="00F259A2">
        <w:rPr>
          <w:color w:val="000000"/>
        </w:rPr>
        <w:t xml:space="preserve">0.5 </w:t>
      </w:r>
      <w:r w:rsidR="00F97688" w:rsidRPr="00F97688">
        <w:rPr>
          <w:color w:val="000000"/>
        </w:rPr>
        <w:t>µL</w:t>
      </w:r>
      <w:r w:rsidRPr="00F259A2">
        <w:rPr>
          <w:color w:val="000000"/>
        </w:rPr>
        <w:t>/</w:t>
      </w:r>
      <w:r w:rsidR="00F97688" w:rsidRPr="00F97688">
        <w:rPr>
          <w:color w:val="000000"/>
        </w:rPr>
        <w:t>mL</w:t>
      </w:r>
      <w:r w:rsidRPr="00F259A2">
        <w:rPr>
          <w:color w:val="000000"/>
        </w:rPr>
        <w:t xml:space="preserve"> </w:t>
      </w:r>
      <w:r>
        <w:rPr>
          <w:color w:val="000000"/>
        </w:rPr>
        <w:t>Ethidium bromide</w:t>
      </w:r>
    </w:p>
    <w:p w14:paraId="1E642C6A" w14:textId="77777777" w:rsidR="003A75A7" w:rsidRPr="00F259A2" w:rsidRDefault="00AE12A6" w:rsidP="008A5EE5">
      <w:pPr>
        <w:pStyle w:val="ListParagraph"/>
        <w:numPr>
          <w:ilvl w:val="0"/>
          <w:numId w:val="27"/>
        </w:numPr>
        <w:tabs>
          <w:tab w:val="left" w:pos="-1440"/>
          <w:tab w:val="left" w:pos="-720"/>
        </w:tabs>
        <w:suppressAutoHyphens/>
        <w:spacing w:line="480" w:lineRule="auto"/>
        <w:rPr>
          <w:color w:val="000000"/>
        </w:rPr>
      </w:pPr>
      <w:r>
        <w:rPr>
          <w:color w:val="000000"/>
        </w:rPr>
        <w:t>20 mg/m</w:t>
      </w:r>
      <w:r w:rsidR="00BB488B">
        <w:rPr>
          <w:color w:val="000000"/>
        </w:rPr>
        <w:t>L</w:t>
      </w:r>
      <w:r>
        <w:rPr>
          <w:color w:val="000000"/>
        </w:rPr>
        <w:t xml:space="preserve"> </w:t>
      </w:r>
      <w:commentRangeStart w:id="0"/>
      <w:r w:rsidR="003A75A7">
        <w:rPr>
          <w:color w:val="000000"/>
        </w:rPr>
        <w:t>Glycogen</w:t>
      </w:r>
      <w:commentRangeEnd w:id="0"/>
      <w:r w:rsidR="00E86667">
        <w:rPr>
          <w:rStyle w:val="CommentReference"/>
        </w:rPr>
        <w:commentReference w:id="0"/>
      </w:r>
    </w:p>
    <w:p w14:paraId="0408A9E4" w14:textId="77777777" w:rsidR="005F327C" w:rsidRPr="00F259A2" w:rsidRDefault="005F327C" w:rsidP="008A5EE5">
      <w:pPr>
        <w:keepNext/>
        <w:spacing w:before="240" w:after="60" w:line="480" w:lineRule="auto"/>
        <w:outlineLvl w:val="1"/>
        <w:rPr>
          <w:b/>
          <w:bCs/>
          <w:i/>
          <w:iCs/>
          <w:color w:val="000000"/>
        </w:rPr>
      </w:pPr>
      <w:r w:rsidRPr="00F259A2">
        <w:rPr>
          <w:b/>
          <w:bCs/>
          <w:i/>
          <w:iCs/>
          <w:color w:val="000000"/>
        </w:rPr>
        <w:t>2.2. Conventional CGH</w:t>
      </w:r>
    </w:p>
    <w:p w14:paraId="5B6A38F6" w14:textId="77777777" w:rsidR="00AD632F" w:rsidRDefault="00642207" w:rsidP="008A5EE5">
      <w:pPr>
        <w:suppressAutoHyphens/>
        <w:spacing w:line="480" w:lineRule="auto"/>
        <w:ind w:left="851" w:hanging="425"/>
        <w:rPr>
          <w:color w:val="000000"/>
        </w:rPr>
      </w:pPr>
      <w:r>
        <w:rPr>
          <w:color w:val="000000"/>
        </w:rPr>
        <w:t xml:space="preserve">All aqueous solutions have to be prepared with pure water, e.g. </w:t>
      </w:r>
      <w:proofErr w:type="spellStart"/>
      <w:r>
        <w:rPr>
          <w:color w:val="000000"/>
        </w:rPr>
        <w:t>milliQ</w:t>
      </w:r>
      <w:proofErr w:type="spellEnd"/>
      <w:r>
        <w:rPr>
          <w:color w:val="000000"/>
        </w:rPr>
        <w:t xml:space="preserve"> water.</w:t>
      </w:r>
    </w:p>
    <w:p w14:paraId="15182ADC" w14:textId="5B30C284" w:rsidR="006C5665" w:rsidRPr="00F259A2" w:rsidRDefault="006C5665" w:rsidP="008A5EE5">
      <w:pPr>
        <w:pStyle w:val="ListParagraph"/>
        <w:numPr>
          <w:ilvl w:val="0"/>
          <w:numId w:val="29"/>
        </w:numPr>
        <w:tabs>
          <w:tab w:val="left" w:pos="-1440"/>
          <w:tab w:val="left" w:pos="-720"/>
          <w:tab w:val="left" w:pos="1418"/>
        </w:tabs>
        <w:suppressAutoHyphens/>
        <w:spacing w:line="480" w:lineRule="auto"/>
        <w:ind w:left="851" w:hanging="425"/>
        <w:rPr>
          <w:color w:val="000000"/>
        </w:rPr>
      </w:pPr>
      <w:r w:rsidRPr="00F259A2">
        <w:rPr>
          <w:color w:val="000000"/>
        </w:rPr>
        <w:t>70% Formamide solution, pH 7.0</w:t>
      </w:r>
      <w:r w:rsidR="00B6177F" w:rsidRPr="00F259A2">
        <w:rPr>
          <w:color w:val="000000"/>
        </w:rPr>
        <w:t xml:space="preserve">: </w:t>
      </w:r>
      <w:r w:rsidRPr="00F259A2">
        <w:rPr>
          <w:color w:val="000000"/>
        </w:rPr>
        <w:t>70% (v/v)</w:t>
      </w:r>
      <w:r w:rsidR="00775290" w:rsidRPr="00F259A2">
        <w:rPr>
          <w:color w:val="000000"/>
        </w:rPr>
        <w:t xml:space="preserve"> </w:t>
      </w:r>
      <w:r w:rsidR="00E1115F">
        <w:rPr>
          <w:color w:val="000000"/>
        </w:rPr>
        <w:t>d</w:t>
      </w:r>
      <w:r w:rsidR="006B71CB" w:rsidRPr="00F259A2">
        <w:rPr>
          <w:color w:val="000000"/>
        </w:rPr>
        <w:t xml:space="preserve">eionized </w:t>
      </w:r>
      <w:r w:rsidR="009C546C">
        <w:rPr>
          <w:color w:val="000000"/>
        </w:rPr>
        <w:t>F</w:t>
      </w:r>
      <w:r w:rsidRPr="00F259A2">
        <w:rPr>
          <w:color w:val="000000"/>
        </w:rPr>
        <w:t xml:space="preserve">ormamide </w:t>
      </w:r>
      <w:r w:rsidR="006B71CB">
        <w:rPr>
          <w:color w:val="000000"/>
        </w:rPr>
        <w:t>in</w:t>
      </w:r>
      <w:r w:rsidR="00B6177F" w:rsidRPr="00F259A2">
        <w:rPr>
          <w:color w:val="000000"/>
        </w:rPr>
        <w:t xml:space="preserve"> </w:t>
      </w:r>
      <w:r w:rsidRPr="00F259A2">
        <w:rPr>
          <w:color w:val="000000"/>
        </w:rPr>
        <w:t>2</w:t>
      </w:r>
      <w:r w:rsidR="00CF6631">
        <w:rPr>
          <w:color w:val="000000"/>
        </w:rPr>
        <w:t xml:space="preserve">X </w:t>
      </w:r>
      <w:r w:rsidRPr="00F259A2">
        <w:rPr>
          <w:color w:val="000000"/>
        </w:rPr>
        <w:t>SSC</w:t>
      </w:r>
      <w:r w:rsidR="006B71CB">
        <w:rPr>
          <w:color w:val="000000"/>
        </w:rPr>
        <w:t>. For 100 m</w:t>
      </w:r>
      <w:r w:rsidR="00952708">
        <w:rPr>
          <w:color w:val="000000"/>
        </w:rPr>
        <w:t>L</w:t>
      </w:r>
      <w:r w:rsidR="006B71CB">
        <w:rPr>
          <w:color w:val="000000"/>
        </w:rPr>
        <w:t>,</w:t>
      </w:r>
      <w:r w:rsidR="00952708">
        <w:rPr>
          <w:color w:val="000000"/>
        </w:rPr>
        <w:t xml:space="preserve"> mix 70 mL</w:t>
      </w:r>
      <w:r w:rsidR="006B71CB">
        <w:rPr>
          <w:color w:val="000000"/>
        </w:rPr>
        <w:t xml:space="preserve"> </w:t>
      </w:r>
      <w:r w:rsidR="00E1115F">
        <w:rPr>
          <w:color w:val="000000"/>
        </w:rPr>
        <w:t>d</w:t>
      </w:r>
      <w:r w:rsidR="006B71CB" w:rsidRPr="00F259A2">
        <w:rPr>
          <w:color w:val="000000"/>
        </w:rPr>
        <w:t>eionized</w:t>
      </w:r>
      <w:r w:rsidR="006B71CB">
        <w:rPr>
          <w:color w:val="000000"/>
        </w:rPr>
        <w:t xml:space="preserve"> </w:t>
      </w:r>
      <w:r w:rsidR="009C546C">
        <w:rPr>
          <w:color w:val="000000"/>
        </w:rPr>
        <w:t>F</w:t>
      </w:r>
      <w:r w:rsidR="006B71CB">
        <w:rPr>
          <w:color w:val="000000"/>
        </w:rPr>
        <w:t>ormamide</w:t>
      </w:r>
      <w:r w:rsidR="007C0F1B">
        <w:rPr>
          <w:color w:val="000000"/>
        </w:rPr>
        <w:t xml:space="preserve">, </w:t>
      </w:r>
      <w:r w:rsidR="00952708">
        <w:rPr>
          <w:color w:val="000000"/>
        </w:rPr>
        <w:t>10 mL</w:t>
      </w:r>
      <w:r w:rsidR="006B71CB">
        <w:rPr>
          <w:color w:val="000000"/>
        </w:rPr>
        <w:t xml:space="preserve"> 20X SSC</w:t>
      </w:r>
      <w:r w:rsidR="007C0F1B">
        <w:rPr>
          <w:color w:val="000000"/>
        </w:rPr>
        <w:t xml:space="preserve"> and 10 m</w:t>
      </w:r>
      <w:r w:rsidR="00952708">
        <w:rPr>
          <w:color w:val="000000"/>
        </w:rPr>
        <w:t>L</w:t>
      </w:r>
      <w:r w:rsidR="007C0F1B">
        <w:rPr>
          <w:color w:val="000000"/>
        </w:rPr>
        <w:t xml:space="preserve"> pure water; </w:t>
      </w:r>
      <w:r w:rsidR="006B71CB">
        <w:rPr>
          <w:color w:val="000000"/>
        </w:rPr>
        <w:t xml:space="preserve">adjust to final </w:t>
      </w:r>
      <w:r w:rsidRPr="00F259A2">
        <w:rPr>
          <w:color w:val="000000"/>
        </w:rPr>
        <w:t xml:space="preserve">pH </w:t>
      </w:r>
      <w:r w:rsidR="00642207">
        <w:rPr>
          <w:color w:val="000000"/>
        </w:rPr>
        <w:t>with 1 M HCl</w:t>
      </w:r>
      <w:r w:rsidR="007C0F1B" w:rsidRPr="007C0F1B">
        <w:rPr>
          <w:color w:val="000000"/>
        </w:rPr>
        <w:t xml:space="preserve"> </w:t>
      </w:r>
      <w:r w:rsidR="007C0F1B">
        <w:rPr>
          <w:color w:val="000000"/>
        </w:rPr>
        <w:t>and then to final volume with pure water</w:t>
      </w:r>
      <w:r w:rsidR="008D754A" w:rsidRPr="00F259A2">
        <w:rPr>
          <w:color w:val="000000"/>
        </w:rPr>
        <w:t>.</w:t>
      </w:r>
    </w:p>
    <w:p w14:paraId="5B30E634" w14:textId="6748BF0D" w:rsidR="001C1B16" w:rsidRPr="00F259A2" w:rsidRDefault="008D754A" w:rsidP="008A5EE5">
      <w:pPr>
        <w:pStyle w:val="ListParagraph"/>
        <w:numPr>
          <w:ilvl w:val="0"/>
          <w:numId w:val="29"/>
        </w:numPr>
        <w:tabs>
          <w:tab w:val="left" w:pos="-1440"/>
          <w:tab w:val="left" w:pos="-720"/>
          <w:tab w:val="left" w:pos="1418"/>
        </w:tabs>
        <w:suppressAutoHyphens/>
        <w:spacing w:line="480" w:lineRule="auto"/>
        <w:ind w:left="851" w:hanging="425"/>
        <w:rPr>
          <w:color w:val="000000"/>
        </w:rPr>
      </w:pPr>
      <w:r w:rsidRPr="00F259A2">
        <w:rPr>
          <w:color w:val="000000"/>
        </w:rPr>
        <w:t xml:space="preserve">50% Formamide solution, pH 7.0: 50% (v/v) </w:t>
      </w:r>
      <w:r w:rsidR="00E1115F">
        <w:rPr>
          <w:color w:val="000000"/>
        </w:rPr>
        <w:t>d</w:t>
      </w:r>
      <w:r w:rsidR="006B71CB" w:rsidRPr="00F259A2">
        <w:rPr>
          <w:color w:val="000000"/>
        </w:rPr>
        <w:t xml:space="preserve">eionized </w:t>
      </w:r>
      <w:r w:rsidR="009C546C">
        <w:rPr>
          <w:color w:val="000000"/>
        </w:rPr>
        <w:t>F</w:t>
      </w:r>
      <w:r w:rsidR="006B71CB" w:rsidRPr="00F259A2">
        <w:rPr>
          <w:color w:val="000000"/>
        </w:rPr>
        <w:t xml:space="preserve">ormamide </w:t>
      </w:r>
      <w:r w:rsidR="006B71CB">
        <w:rPr>
          <w:color w:val="000000"/>
        </w:rPr>
        <w:t>in</w:t>
      </w:r>
      <w:r w:rsidR="006B71CB" w:rsidRPr="00F259A2">
        <w:rPr>
          <w:color w:val="000000"/>
        </w:rPr>
        <w:t xml:space="preserve"> 2</w:t>
      </w:r>
      <w:r w:rsidR="006B71CB">
        <w:rPr>
          <w:color w:val="000000"/>
        </w:rPr>
        <w:t xml:space="preserve">X </w:t>
      </w:r>
      <w:r w:rsidR="006B71CB" w:rsidRPr="00F259A2">
        <w:rPr>
          <w:color w:val="000000"/>
        </w:rPr>
        <w:t>SSC</w:t>
      </w:r>
      <w:r w:rsidR="006B71CB">
        <w:rPr>
          <w:color w:val="000000"/>
        </w:rPr>
        <w:t>. For 100 m</w:t>
      </w:r>
      <w:r w:rsidR="00952708">
        <w:rPr>
          <w:color w:val="000000"/>
        </w:rPr>
        <w:t>L</w:t>
      </w:r>
      <w:r w:rsidR="006B71CB">
        <w:rPr>
          <w:color w:val="000000"/>
        </w:rPr>
        <w:t>, mix 50 m</w:t>
      </w:r>
      <w:r w:rsidR="00952708">
        <w:rPr>
          <w:color w:val="000000"/>
        </w:rPr>
        <w:t>L</w:t>
      </w:r>
      <w:r w:rsidR="006B71CB">
        <w:rPr>
          <w:color w:val="000000"/>
        </w:rPr>
        <w:t xml:space="preserve"> </w:t>
      </w:r>
      <w:r w:rsidR="00E1115F">
        <w:rPr>
          <w:color w:val="000000"/>
        </w:rPr>
        <w:t>d</w:t>
      </w:r>
      <w:r w:rsidR="006B71CB" w:rsidRPr="00F259A2">
        <w:rPr>
          <w:color w:val="000000"/>
        </w:rPr>
        <w:t>eionized</w:t>
      </w:r>
      <w:r w:rsidR="006B71CB">
        <w:rPr>
          <w:color w:val="000000"/>
        </w:rPr>
        <w:t xml:space="preserve"> </w:t>
      </w:r>
      <w:r w:rsidR="007C0F1B">
        <w:rPr>
          <w:color w:val="000000"/>
        </w:rPr>
        <w:t>Formamide, 10 m</w:t>
      </w:r>
      <w:r w:rsidR="00952708">
        <w:rPr>
          <w:color w:val="000000"/>
        </w:rPr>
        <w:t>L</w:t>
      </w:r>
      <w:r w:rsidR="007C0F1B">
        <w:rPr>
          <w:color w:val="000000"/>
        </w:rPr>
        <w:t xml:space="preserve"> 20X SSC and </w:t>
      </w:r>
      <w:r w:rsidR="004F0F74">
        <w:rPr>
          <w:color w:val="000000"/>
        </w:rPr>
        <w:t>3</w:t>
      </w:r>
      <w:r w:rsidR="007C0F1B">
        <w:rPr>
          <w:color w:val="000000"/>
        </w:rPr>
        <w:t>0 m</w:t>
      </w:r>
      <w:r w:rsidR="00952708">
        <w:rPr>
          <w:color w:val="000000"/>
        </w:rPr>
        <w:t>L</w:t>
      </w:r>
      <w:r w:rsidR="007C0F1B">
        <w:rPr>
          <w:color w:val="000000"/>
        </w:rPr>
        <w:t xml:space="preserve"> pure water; adjust to final </w:t>
      </w:r>
      <w:r w:rsidR="007C0F1B" w:rsidRPr="00F259A2">
        <w:rPr>
          <w:color w:val="000000"/>
        </w:rPr>
        <w:t xml:space="preserve">pH </w:t>
      </w:r>
      <w:r w:rsidR="007C0F1B">
        <w:rPr>
          <w:color w:val="000000"/>
        </w:rPr>
        <w:t>with 1 M HCl</w:t>
      </w:r>
      <w:r w:rsidR="007C0F1B" w:rsidRPr="007C0F1B">
        <w:rPr>
          <w:color w:val="000000"/>
        </w:rPr>
        <w:t xml:space="preserve"> </w:t>
      </w:r>
      <w:r w:rsidR="007C0F1B">
        <w:rPr>
          <w:color w:val="000000"/>
        </w:rPr>
        <w:t>and then to final volume with pure water</w:t>
      </w:r>
      <w:r w:rsidR="007C0F1B" w:rsidRPr="00F259A2">
        <w:rPr>
          <w:color w:val="000000"/>
        </w:rPr>
        <w:t>.</w:t>
      </w:r>
    </w:p>
    <w:p w14:paraId="7DFC4023" w14:textId="77777777" w:rsidR="001C1B16" w:rsidRPr="00F259A2" w:rsidRDefault="008D754A" w:rsidP="008A5EE5">
      <w:pPr>
        <w:pStyle w:val="ListParagraph"/>
        <w:numPr>
          <w:ilvl w:val="0"/>
          <w:numId w:val="29"/>
        </w:numPr>
        <w:tabs>
          <w:tab w:val="left" w:pos="-1440"/>
          <w:tab w:val="left" w:pos="-720"/>
          <w:tab w:val="left" w:pos="1418"/>
        </w:tabs>
        <w:suppressAutoHyphens/>
        <w:spacing w:line="480" w:lineRule="auto"/>
        <w:ind w:left="851" w:hanging="425"/>
        <w:rPr>
          <w:color w:val="000000"/>
        </w:rPr>
      </w:pPr>
      <w:r w:rsidRPr="00F259A2">
        <w:rPr>
          <w:color w:val="000000"/>
        </w:rPr>
        <w:t>SCC buffer (</w:t>
      </w:r>
      <w:r w:rsidR="003C2841" w:rsidRPr="00F259A2">
        <w:rPr>
          <w:color w:val="000000"/>
        </w:rPr>
        <w:t>20</w:t>
      </w:r>
      <w:r w:rsidR="003C2841">
        <w:rPr>
          <w:color w:val="000000"/>
        </w:rPr>
        <w:t>X</w:t>
      </w:r>
      <w:r w:rsidRPr="00F259A2">
        <w:rPr>
          <w:color w:val="000000"/>
        </w:rPr>
        <w:t>), pH 7.0: 3 M NaCl, 0.3 M Sodium citrate, adjust to pH 7.0</w:t>
      </w:r>
      <w:r w:rsidR="0010629D">
        <w:rPr>
          <w:color w:val="000000"/>
        </w:rPr>
        <w:t xml:space="preserve"> with 1 M NaOH</w:t>
      </w:r>
      <w:r w:rsidRPr="00F259A2">
        <w:rPr>
          <w:color w:val="000000"/>
        </w:rPr>
        <w:t>.</w:t>
      </w:r>
      <w:r w:rsidR="009C546C">
        <w:rPr>
          <w:color w:val="000000"/>
        </w:rPr>
        <w:t xml:space="preserve"> For 500 m</w:t>
      </w:r>
      <w:r w:rsidR="00952708">
        <w:rPr>
          <w:color w:val="000000"/>
        </w:rPr>
        <w:t>L</w:t>
      </w:r>
      <w:r w:rsidR="009C546C">
        <w:rPr>
          <w:color w:val="000000"/>
        </w:rPr>
        <w:t>, dissolve 87.7 g NaC</w:t>
      </w:r>
      <w:r w:rsidR="00952708">
        <w:rPr>
          <w:color w:val="000000"/>
        </w:rPr>
        <w:t>l</w:t>
      </w:r>
      <w:r w:rsidR="009C546C">
        <w:rPr>
          <w:color w:val="000000"/>
        </w:rPr>
        <w:t xml:space="preserve"> and 44.1 g Sodium citrate d</w:t>
      </w:r>
      <w:r w:rsidR="004F0F74">
        <w:rPr>
          <w:color w:val="000000"/>
        </w:rPr>
        <w:t>i</w:t>
      </w:r>
      <w:r w:rsidR="009C546C">
        <w:rPr>
          <w:color w:val="000000"/>
        </w:rPr>
        <w:t>hydrate in 400 m</w:t>
      </w:r>
      <w:r w:rsidR="00952708">
        <w:rPr>
          <w:color w:val="000000"/>
        </w:rPr>
        <w:t>L</w:t>
      </w:r>
      <w:r w:rsidR="009C546C">
        <w:rPr>
          <w:color w:val="000000"/>
        </w:rPr>
        <w:t xml:space="preserve"> of pure </w:t>
      </w:r>
      <w:r w:rsidR="004F0F74">
        <w:rPr>
          <w:color w:val="000000"/>
        </w:rPr>
        <w:t>water;</w:t>
      </w:r>
      <w:r w:rsidR="007C0F1B">
        <w:rPr>
          <w:color w:val="000000"/>
        </w:rPr>
        <w:t xml:space="preserve"> adjust to the final pH and then to final volume.</w:t>
      </w:r>
    </w:p>
    <w:p w14:paraId="51358A75" w14:textId="2EDF7B6A" w:rsidR="00A8159D" w:rsidRDefault="00AC7A13" w:rsidP="008A5EE5">
      <w:pPr>
        <w:pStyle w:val="ListParagraph"/>
        <w:numPr>
          <w:ilvl w:val="0"/>
          <w:numId w:val="29"/>
        </w:numPr>
        <w:tabs>
          <w:tab w:val="left" w:pos="-1440"/>
          <w:tab w:val="left" w:pos="-720"/>
          <w:tab w:val="left" w:pos="1418"/>
        </w:tabs>
        <w:suppressAutoHyphens/>
        <w:spacing w:line="480" w:lineRule="auto"/>
        <w:ind w:left="851" w:hanging="425"/>
        <w:rPr>
          <w:color w:val="000000"/>
        </w:rPr>
      </w:pPr>
      <w:r w:rsidRPr="00F259A2">
        <w:rPr>
          <w:color w:val="000000"/>
        </w:rPr>
        <w:t xml:space="preserve">Master </w:t>
      </w:r>
      <w:r w:rsidR="004F0F74">
        <w:rPr>
          <w:color w:val="000000"/>
        </w:rPr>
        <w:t>M</w:t>
      </w:r>
      <w:r w:rsidRPr="00F259A2">
        <w:rPr>
          <w:color w:val="000000"/>
        </w:rPr>
        <w:t xml:space="preserve">ix: 71.4% (v/v) </w:t>
      </w:r>
      <w:r w:rsidR="00E1115F">
        <w:rPr>
          <w:color w:val="000000"/>
        </w:rPr>
        <w:t xml:space="preserve">deionized </w:t>
      </w:r>
      <w:r w:rsidRPr="00F259A2">
        <w:rPr>
          <w:color w:val="000000"/>
        </w:rPr>
        <w:t>Formamide, 14.3% (w/v) Dextran sulphate, 2.86</w:t>
      </w:r>
      <w:r w:rsidR="00CF6631">
        <w:rPr>
          <w:color w:val="000000"/>
        </w:rPr>
        <w:t>X</w:t>
      </w:r>
      <w:r w:rsidR="00CF6631" w:rsidRPr="00F259A2">
        <w:rPr>
          <w:color w:val="000000"/>
        </w:rPr>
        <w:t xml:space="preserve"> </w:t>
      </w:r>
      <w:r w:rsidRPr="00F259A2">
        <w:rPr>
          <w:color w:val="000000"/>
        </w:rPr>
        <w:t>SSC</w:t>
      </w:r>
      <w:r w:rsidR="004F0F74">
        <w:rPr>
          <w:color w:val="000000"/>
        </w:rPr>
        <w:t>.</w:t>
      </w:r>
      <w:r w:rsidR="00E1115F">
        <w:rPr>
          <w:color w:val="000000"/>
        </w:rPr>
        <w:t xml:space="preserve"> M</w:t>
      </w:r>
      <w:r w:rsidRPr="00F259A2">
        <w:rPr>
          <w:color w:val="000000"/>
        </w:rPr>
        <w:t xml:space="preserve">ix </w:t>
      </w:r>
      <w:r w:rsidR="00E1115F">
        <w:rPr>
          <w:color w:val="000000"/>
        </w:rPr>
        <w:t xml:space="preserve">5.5 mL deionized Formamide, 1 mL 20X SSC and </w:t>
      </w:r>
      <w:r w:rsidR="00E1115F">
        <w:rPr>
          <w:color w:val="000000"/>
        </w:rPr>
        <w:lastRenderedPageBreak/>
        <w:t xml:space="preserve">1 g Dextran sulphate </w:t>
      </w:r>
      <w:r w:rsidRPr="00F259A2">
        <w:rPr>
          <w:color w:val="000000"/>
        </w:rPr>
        <w:t xml:space="preserve">and heat for 2–3 hours at 70 °C to </w:t>
      </w:r>
      <w:r w:rsidR="00E1115F">
        <w:rPr>
          <w:color w:val="000000"/>
        </w:rPr>
        <w:t xml:space="preserve">completely </w:t>
      </w:r>
      <w:r w:rsidRPr="00F259A2">
        <w:rPr>
          <w:color w:val="000000"/>
        </w:rPr>
        <w:t>dissolve the dextran sulphate</w:t>
      </w:r>
      <w:r w:rsidR="00E1115F">
        <w:rPr>
          <w:color w:val="000000"/>
        </w:rPr>
        <w:t>;</w:t>
      </w:r>
      <w:r w:rsidR="00E1115F" w:rsidRPr="00F259A2">
        <w:rPr>
          <w:color w:val="000000"/>
        </w:rPr>
        <w:t xml:space="preserve"> </w:t>
      </w:r>
      <w:r w:rsidRPr="00F259A2">
        <w:rPr>
          <w:color w:val="000000"/>
        </w:rPr>
        <w:t>adjust to pH 7.0</w:t>
      </w:r>
      <w:r w:rsidR="003A75A7">
        <w:rPr>
          <w:color w:val="000000"/>
        </w:rPr>
        <w:t xml:space="preserve"> with 1 M HCl</w:t>
      </w:r>
      <w:r w:rsidR="00E1115F">
        <w:rPr>
          <w:color w:val="000000"/>
        </w:rPr>
        <w:t xml:space="preserve"> and fill up to the final volume of 7 mL with pure water</w:t>
      </w:r>
      <w:r w:rsidRPr="00F259A2">
        <w:rPr>
          <w:color w:val="000000"/>
        </w:rPr>
        <w:t>.</w:t>
      </w:r>
      <w:r w:rsidR="00E1115F">
        <w:rPr>
          <w:color w:val="000000"/>
        </w:rPr>
        <w:t xml:space="preserve"> Store 1-mL aliquots at --20 </w:t>
      </w:r>
      <w:r w:rsidR="00E1115F" w:rsidRPr="00F259A2">
        <w:rPr>
          <w:color w:val="000000"/>
        </w:rPr>
        <w:t>°C</w:t>
      </w:r>
      <w:r w:rsidR="00E1115F">
        <w:rPr>
          <w:color w:val="000000"/>
        </w:rPr>
        <w:t>.</w:t>
      </w:r>
    </w:p>
    <w:p w14:paraId="0E0D7B34" w14:textId="77777777" w:rsidR="001C1B16" w:rsidRPr="00A8159D" w:rsidRDefault="008D754A" w:rsidP="008A5EE5">
      <w:pPr>
        <w:pStyle w:val="ListParagraph"/>
        <w:numPr>
          <w:ilvl w:val="0"/>
          <w:numId w:val="29"/>
        </w:numPr>
        <w:tabs>
          <w:tab w:val="left" w:pos="-1440"/>
          <w:tab w:val="left" w:pos="-720"/>
          <w:tab w:val="left" w:pos="1418"/>
        </w:tabs>
        <w:suppressAutoHyphens/>
        <w:spacing w:line="480" w:lineRule="auto"/>
        <w:ind w:left="851" w:hanging="425"/>
        <w:rPr>
          <w:color w:val="000000"/>
        </w:rPr>
      </w:pPr>
      <w:commentRangeStart w:id="1"/>
      <w:r w:rsidRPr="00A8159D">
        <w:rPr>
          <w:color w:val="000000"/>
        </w:rPr>
        <w:t>PN</w:t>
      </w:r>
      <w:commentRangeEnd w:id="1"/>
      <w:r w:rsidR="009A377C" w:rsidRPr="009A377C">
        <w:rPr>
          <w:rStyle w:val="CommentReference"/>
          <w:color w:val="000000"/>
          <w:sz w:val="24"/>
          <w:szCs w:val="24"/>
        </w:rPr>
        <w:commentReference w:id="1"/>
      </w:r>
      <w:r w:rsidRPr="00A8159D">
        <w:rPr>
          <w:color w:val="000000"/>
        </w:rPr>
        <w:t xml:space="preserve"> </w:t>
      </w:r>
      <w:commentRangeStart w:id="2"/>
      <w:r w:rsidRPr="00A8159D">
        <w:rPr>
          <w:color w:val="000000"/>
        </w:rPr>
        <w:t>buffer</w:t>
      </w:r>
      <w:commentRangeEnd w:id="2"/>
      <w:r w:rsidR="006B71CB">
        <w:rPr>
          <w:rStyle w:val="CommentReference"/>
        </w:rPr>
        <w:commentReference w:id="2"/>
      </w:r>
      <w:r w:rsidRPr="00A8159D">
        <w:rPr>
          <w:color w:val="000000"/>
        </w:rPr>
        <w:t>, pH 8.0: 0.1 M NaH</w:t>
      </w:r>
      <w:r w:rsidRPr="00A8159D">
        <w:rPr>
          <w:color w:val="000000"/>
          <w:vertAlign w:val="subscript"/>
        </w:rPr>
        <w:t>2</w:t>
      </w:r>
      <w:r w:rsidRPr="00A8159D">
        <w:rPr>
          <w:color w:val="000000"/>
        </w:rPr>
        <w:t>PO</w:t>
      </w:r>
      <w:r w:rsidRPr="00A8159D">
        <w:rPr>
          <w:color w:val="000000"/>
          <w:vertAlign w:val="subscript"/>
        </w:rPr>
        <w:t>4</w:t>
      </w:r>
      <w:r w:rsidR="002B3B08" w:rsidRPr="00A8159D">
        <w:rPr>
          <w:color w:val="000000"/>
        </w:rPr>
        <w:t xml:space="preserve"> (monobasic)</w:t>
      </w:r>
      <w:r w:rsidRPr="00A8159D">
        <w:rPr>
          <w:color w:val="000000"/>
        </w:rPr>
        <w:t>, 0.1 M Na</w:t>
      </w:r>
      <w:r w:rsidRPr="00A8159D">
        <w:rPr>
          <w:color w:val="000000"/>
          <w:vertAlign w:val="subscript"/>
        </w:rPr>
        <w:t>2</w:t>
      </w:r>
      <w:r w:rsidRPr="00A8159D">
        <w:rPr>
          <w:color w:val="000000"/>
        </w:rPr>
        <w:t>HPO</w:t>
      </w:r>
      <w:r w:rsidRPr="00A8159D">
        <w:rPr>
          <w:color w:val="000000"/>
          <w:vertAlign w:val="subscript"/>
        </w:rPr>
        <w:t>4</w:t>
      </w:r>
      <w:r w:rsidR="009A377C" w:rsidRPr="009A377C">
        <w:rPr>
          <w:color w:val="000000"/>
        </w:rPr>
        <w:t xml:space="preserve"> (dibasic)</w:t>
      </w:r>
      <w:r w:rsidRPr="00A8159D">
        <w:rPr>
          <w:color w:val="000000"/>
        </w:rPr>
        <w:t xml:space="preserve">, </w:t>
      </w:r>
      <w:r w:rsidR="00190D04">
        <w:rPr>
          <w:color w:val="000000"/>
        </w:rPr>
        <w:t>A</w:t>
      </w:r>
      <w:r w:rsidR="00190D04" w:rsidRPr="00A8159D">
        <w:rPr>
          <w:color w:val="000000"/>
        </w:rPr>
        <w:t xml:space="preserve">djust </w:t>
      </w:r>
      <w:r w:rsidRPr="00A8159D">
        <w:rPr>
          <w:color w:val="000000"/>
        </w:rPr>
        <w:t xml:space="preserve">to pH 8.0 </w:t>
      </w:r>
      <w:r w:rsidR="00190D04">
        <w:rPr>
          <w:color w:val="000000"/>
        </w:rPr>
        <w:t>with</w:t>
      </w:r>
      <w:r w:rsidR="00190D04" w:rsidRPr="00A8159D">
        <w:rPr>
          <w:color w:val="000000"/>
        </w:rPr>
        <w:t xml:space="preserve"> </w:t>
      </w:r>
      <w:r w:rsidR="002B3B08" w:rsidRPr="00A8159D">
        <w:rPr>
          <w:color w:val="000000"/>
        </w:rPr>
        <w:t xml:space="preserve">titration </w:t>
      </w:r>
      <w:r w:rsidR="00A8159D" w:rsidRPr="00A8159D">
        <w:rPr>
          <w:color w:val="000000"/>
        </w:rPr>
        <w:t>by adding</w:t>
      </w:r>
      <w:r w:rsidR="002B3B08" w:rsidRPr="00A8159D">
        <w:rPr>
          <w:color w:val="000000"/>
        </w:rPr>
        <w:t xml:space="preserve"> mo</w:t>
      </w:r>
      <w:r w:rsidR="00A8159D" w:rsidRPr="00A8159D">
        <w:rPr>
          <w:color w:val="000000"/>
        </w:rPr>
        <w:t>nobasic</w:t>
      </w:r>
      <w:r w:rsidR="002B3B08" w:rsidRPr="00A8159D">
        <w:rPr>
          <w:color w:val="000000"/>
        </w:rPr>
        <w:t xml:space="preserve"> solution (pH ~4.5)</w:t>
      </w:r>
      <w:r w:rsidR="002B3B08" w:rsidRPr="002B3B08">
        <w:rPr>
          <w:color w:val="000000"/>
        </w:rPr>
        <w:t xml:space="preserve"> </w:t>
      </w:r>
      <w:r w:rsidR="002B3B08" w:rsidRPr="00A8159D">
        <w:rPr>
          <w:color w:val="000000"/>
        </w:rPr>
        <w:t>to the</w:t>
      </w:r>
      <w:r w:rsidR="003A75A7" w:rsidRPr="00A8159D">
        <w:rPr>
          <w:color w:val="000000"/>
        </w:rPr>
        <w:t xml:space="preserve"> </w:t>
      </w:r>
      <w:r w:rsidR="00A8159D" w:rsidRPr="00A8159D">
        <w:rPr>
          <w:color w:val="000000"/>
        </w:rPr>
        <w:t>di</w:t>
      </w:r>
      <w:r w:rsidR="009A377C" w:rsidRPr="009A377C">
        <w:rPr>
          <w:color w:val="000000"/>
        </w:rPr>
        <w:t>basic solution until a pH of 8.0 is reached</w:t>
      </w:r>
      <w:r w:rsidRPr="00A8159D">
        <w:rPr>
          <w:color w:val="000000"/>
        </w:rPr>
        <w:t xml:space="preserve">, </w:t>
      </w:r>
      <w:r w:rsidR="006B71CB">
        <w:rPr>
          <w:color w:val="000000"/>
        </w:rPr>
        <w:t>then</w:t>
      </w:r>
      <w:r w:rsidR="00BB488B">
        <w:rPr>
          <w:color w:val="000000"/>
        </w:rPr>
        <w:t>, after measuring the reached volume,</w:t>
      </w:r>
      <w:r w:rsidR="006B71CB">
        <w:rPr>
          <w:color w:val="000000"/>
        </w:rPr>
        <w:t xml:space="preserve"> </w:t>
      </w:r>
      <w:r w:rsidRPr="00A8159D">
        <w:rPr>
          <w:color w:val="000000"/>
        </w:rPr>
        <w:t>add 0.1%</w:t>
      </w:r>
      <w:r w:rsidRPr="00F259A2">
        <w:rPr>
          <w:color w:val="000000"/>
        </w:rPr>
        <w:t xml:space="preserve"> </w:t>
      </w:r>
      <w:r w:rsidR="00BB488B">
        <w:rPr>
          <w:color w:val="000000"/>
        </w:rPr>
        <w:t xml:space="preserve">(v/v) </w:t>
      </w:r>
      <w:r w:rsidRPr="00A8159D">
        <w:rPr>
          <w:color w:val="000000"/>
        </w:rPr>
        <w:t>IGEPAL</w:t>
      </w:r>
      <w:r w:rsidRPr="00A8159D">
        <w:rPr>
          <w:color w:val="000000"/>
          <w:vertAlign w:val="superscript"/>
        </w:rPr>
        <w:t>®</w:t>
      </w:r>
      <w:r w:rsidRPr="00A8159D">
        <w:rPr>
          <w:color w:val="000000"/>
        </w:rPr>
        <w:t xml:space="preserve"> CA</w:t>
      </w:r>
      <w:r w:rsidR="00AD5B6B">
        <w:rPr>
          <w:color w:val="000000"/>
        </w:rPr>
        <w:t>--</w:t>
      </w:r>
      <w:r w:rsidRPr="00A8159D">
        <w:rPr>
          <w:color w:val="000000"/>
        </w:rPr>
        <w:t>630</w:t>
      </w:r>
      <w:r w:rsidR="00BB488B">
        <w:rPr>
          <w:color w:val="000000"/>
        </w:rPr>
        <w:t xml:space="preserve"> (0.1 mL per 100 mL phosphate buffer)</w:t>
      </w:r>
      <w:r w:rsidRPr="00A8159D">
        <w:rPr>
          <w:color w:val="000000"/>
        </w:rPr>
        <w:t>.</w:t>
      </w:r>
    </w:p>
    <w:p w14:paraId="363C456B" w14:textId="77777777" w:rsidR="001C1B16" w:rsidRPr="00F259A2" w:rsidRDefault="008D754A" w:rsidP="008A5EE5">
      <w:pPr>
        <w:pStyle w:val="ListParagraph"/>
        <w:numPr>
          <w:ilvl w:val="0"/>
          <w:numId w:val="29"/>
        </w:numPr>
        <w:tabs>
          <w:tab w:val="left" w:pos="-1440"/>
          <w:tab w:val="left" w:pos="-720"/>
          <w:tab w:val="left" w:pos="1418"/>
        </w:tabs>
        <w:suppressAutoHyphens/>
        <w:spacing w:line="480" w:lineRule="auto"/>
        <w:ind w:left="851" w:hanging="425"/>
        <w:rPr>
          <w:color w:val="000000"/>
        </w:rPr>
      </w:pPr>
      <w:commentRangeStart w:id="3"/>
      <w:r w:rsidRPr="00A8159D">
        <w:rPr>
          <w:color w:val="000000"/>
        </w:rPr>
        <w:t>PNM</w:t>
      </w:r>
      <w:commentRangeEnd w:id="3"/>
      <w:r w:rsidR="006B71CB">
        <w:rPr>
          <w:rStyle w:val="CommentReference"/>
        </w:rPr>
        <w:commentReference w:id="3"/>
      </w:r>
      <w:r w:rsidRPr="00A8159D">
        <w:rPr>
          <w:color w:val="000000"/>
        </w:rPr>
        <w:t xml:space="preserve"> buffer, pH </w:t>
      </w:r>
      <w:r w:rsidR="002B3B08" w:rsidRPr="00A8159D">
        <w:rPr>
          <w:color w:val="000000"/>
        </w:rPr>
        <w:t>8</w:t>
      </w:r>
      <w:r w:rsidRPr="00A8159D">
        <w:rPr>
          <w:color w:val="000000"/>
        </w:rPr>
        <w:t>.</w:t>
      </w:r>
      <w:commentRangeStart w:id="4"/>
      <w:r w:rsidRPr="00A8159D">
        <w:rPr>
          <w:color w:val="000000"/>
        </w:rPr>
        <w:t>0</w:t>
      </w:r>
      <w:commentRangeEnd w:id="4"/>
      <w:r w:rsidR="009A377C" w:rsidRPr="009A377C">
        <w:rPr>
          <w:rStyle w:val="CommentReference"/>
          <w:color w:val="000000"/>
          <w:sz w:val="24"/>
          <w:szCs w:val="24"/>
        </w:rPr>
        <w:commentReference w:id="4"/>
      </w:r>
      <w:r w:rsidRPr="00A8159D">
        <w:rPr>
          <w:color w:val="000000"/>
        </w:rPr>
        <w:t xml:space="preserve">: 5% </w:t>
      </w:r>
      <w:proofErr w:type="spellStart"/>
      <w:r w:rsidRPr="00A8159D">
        <w:rPr>
          <w:color w:val="000000"/>
        </w:rPr>
        <w:t>Non</w:t>
      </w:r>
      <w:r w:rsidR="00AD5B6B">
        <w:rPr>
          <w:color w:val="000000"/>
        </w:rPr>
        <w:t>--</w:t>
      </w:r>
      <w:r w:rsidRPr="00A8159D">
        <w:rPr>
          <w:color w:val="000000"/>
        </w:rPr>
        <w:t>fat</w:t>
      </w:r>
      <w:proofErr w:type="spellEnd"/>
      <w:r w:rsidRPr="00A8159D">
        <w:rPr>
          <w:color w:val="000000"/>
        </w:rPr>
        <w:t xml:space="preserve"> dry milk powder, 0.02% Sodium </w:t>
      </w:r>
      <w:proofErr w:type="spellStart"/>
      <w:r w:rsidRPr="00A8159D">
        <w:rPr>
          <w:color w:val="000000"/>
        </w:rPr>
        <w:t>azide</w:t>
      </w:r>
      <w:proofErr w:type="spellEnd"/>
      <w:r w:rsidRPr="00A8159D">
        <w:rPr>
          <w:color w:val="000000"/>
        </w:rPr>
        <w:t>, make a suspension with PN buffer</w:t>
      </w:r>
      <w:r w:rsidR="00A8159D">
        <w:rPr>
          <w:color w:val="000000"/>
        </w:rPr>
        <w:t xml:space="preserve">, adjust pH </w:t>
      </w:r>
      <w:r w:rsidR="0010629D">
        <w:rPr>
          <w:color w:val="000000"/>
        </w:rPr>
        <w:t xml:space="preserve">with 1 M NaOH </w:t>
      </w:r>
      <w:r w:rsidR="00A8159D">
        <w:rPr>
          <w:color w:val="000000"/>
        </w:rPr>
        <w:t xml:space="preserve">while stirring, </w:t>
      </w:r>
      <w:r w:rsidRPr="00A8159D">
        <w:rPr>
          <w:color w:val="000000"/>
        </w:rPr>
        <w:t>stir overnight at 37 °C, c</w:t>
      </w:r>
      <w:r w:rsidR="00EB2CBF" w:rsidRPr="00A8159D">
        <w:rPr>
          <w:color w:val="000000"/>
        </w:rPr>
        <w:t>entrifuge for 10 min at 3000</w:t>
      </w:r>
      <w:r w:rsidR="00775290" w:rsidRPr="00A8159D">
        <w:rPr>
          <w:color w:val="000000"/>
        </w:rPr>
        <w:t xml:space="preserve"> </w:t>
      </w:r>
      <w:r w:rsidR="00EB2CBF" w:rsidRPr="00A8159D">
        <w:rPr>
          <w:color w:val="000000"/>
        </w:rPr>
        <w:t>x g</w:t>
      </w:r>
      <w:r w:rsidR="00A8159D" w:rsidRPr="00A8159D">
        <w:rPr>
          <w:color w:val="000000"/>
        </w:rPr>
        <w:t>,</w:t>
      </w:r>
      <w:r w:rsidR="00EB2CBF" w:rsidRPr="00A8159D">
        <w:rPr>
          <w:color w:val="000000"/>
        </w:rPr>
        <w:t xml:space="preserve"> </w:t>
      </w:r>
      <w:r w:rsidR="00B6177F" w:rsidRPr="00A8159D">
        <w:rPr>
          <w:color w:val="000000"/>
        </w:rPr>
        <w:t>s</w:t>
      </w:r>
      <w:r w:rsidR="00EB2CBF" w:rsidRPr="00A8159D">
        <w:rPr>
          <w:color w:val="000000"/>
        </w:rPr>
        <w:t>terile</w:t>
      </w:r>
      <w:r w:rsidR="00AD5B6B">
        <w:rPr>
          <w:color w:val="000000"/>
        </w:rPr>
        <w:t>--</w:t>
      </w:r>
      <w:r w:rsidR="00EB2CBF" w:rsidRPr="00A8159D">
        <w:rPr>
          <w:color w:val="000000"/>
        </w:rPr>
        <w:t xml:space="preserve">filter the </w:t>
      </w:r>
      <w:r w:rsidR="00A8159D" w:rsidRPr="00A8159D">
        <w:rPr>
          <w:color w:val="000000"/>
        </w:rPr>
        <w:t>super</w:t>
      </w:r>
      <w:r w:rsidR="00A8159D">
        <w:rPr>
          <w:color w:val="000000"/>
        </w:rPr>
        <w:t>natant</w:t>
      </w:r>
      <w:r w:rsidR="00B6177F" w:rsidRPr="00F259A2">
        <w:rPr>
          <w:color w:val="000000"/>
        </w:rPr>
        <w:t xml:space="preserve"> </w:t>
      </w:r>
      <w:r w:rsidR="00D43A93" w:rsidRPr="00F259A2">
        <w:rPr>
          <w:color w:val="000000"/>
        </w:rPr>
        <w:t xml:space="preserve">using 0.45 µm filter </w:t>
      </w:r>
      <w:r w:rsidR="00A8159D">
        <w:rPr>
          <w:color w:val="000000"/>
        </w:rPr>
        <w:t xml:space="preserve">to avoid bacterial growth, aliquot and </w:t>
      </w:r>
      <w:r w:rsidR="00B6177F" w:rsidRPr="00F259A2">
        <w:rPr>
          <w:color w:val="000000"/>
        </w:rPr>
        <w:t>s</w:t>
      </w:r>
      <w:r w:rsidR="00EB2CBF" w:rsidRPr="00F259A2">
        <w:rPr>
          <w:color w:val="000000"/>
        </w:rPr>
        <w:t xml:space="preserve">tore </w:t>
      </w:r>
      <w:r w:rsidR="00A8159D">
        <w:rPr>
          <w:color w:val="000000"/>
        </w:rPr>
        <w:t>working solution at 4</w:t>
      </w:r>
      <w:r w:rsidR="002470D5">
        <w:rPr>
          <w:color w:val="000000"/>
        </w:rPr>
        <w:t xml:space="preserve"> </w:t>
      </w:r>
      <w:r w:rsidR="00A8159D" w:rsidRPr="00F259A2">
        <w:rPr>
          <w:color w:val="000000"/>
        </w:rPr>
        <w:t>°C</w:t>
      </w:r>
      <w:r w:rsidR="00A8159D">
        <w:rPr>
          <w:color w:val="000000"/>
        </w:rPr>
        <w:t xml:space="preserve"> and rest of </w:t>
      </w:r>
      <w:r w:rsidR="00EB2CBF" w:rsidRPr="00F259A2">
        <w:rPr>
          <w:color w:val="000000"/>
        </w:rPr>
        <w:t xml:space="preserve">aliquots at </w:t>
      </w:r>
      <w:r w:rsidR="00AD5B6B">
        <w:rPr>
          <w:color w:val="000000"/>
        </w:rPr>
        <w:t>--</w:t>
      </w:r>
      <w:r w:rsidR="00EB2CBF" w:rsidRPr="00F259A2">
        <w:rPr>
          <w:color w:val="000000"/>
        </w:rPr>
        <w:t>20 °C</w:t>
      </w:r>
      <w:r w:rsidR="00E1115F">
        <w:rPr>
          <w:color w:val="000000"/>
        </w:rPr>
        <w:t>.</w:t>
      </w:r>
    </w:p>
    <w:p w14:paraId="413FF74F" w14:textId="77777777" w:rsidR="001C1B16" w:rsidRPr="00F259A2" w:rsidRDefault="008D754A" w:rsidP="008A5EE5">
      <w:pPr>
        <w:pStyle w:val="ListParagraph"/>
        <w:numPr>
          <w:ilvl w:val="0"/>
          <w:numId w:val="29"/>
        </w:numPr>
        <w:tabs>
          <w:tab w:val="left" w:pos="-1440"/>
          <w:tab w:val="left" w:pos="-720"/>
          <w:tab w:val="left" w:pos="1418"/>
        </w:tabs>
        <w:suppressAutoHyphens/>
        <w:spacing w:line="480" w:lineRule="auto"/>
        <w:ind w:left="851" w:hanging="425"/>
        <w:rPr>
          <w:color w:val="000000"/>
        </w:rPr>
      </w:pPr>
      <w:r w:rsidRPr="00F259A2">
        <w:rPr>
          <w:color w:val="000000"/>
        </w:rPr>
        <w:t>DNA counterstaining solution</w:t>
      </w:r>
      <w:r w:rsidR="00A949BD">
        <w:rPr>
          <w:color w:val="000000"/>
        </w:rPr>
        <w:t xml:space="preserve"> (antifade)</w:t>
      </w:r>
      <w:r w:rsidRPr="00F259A2">
        <w:rPr>
          <w:color w:val="000000"/>
        </w:rPr>
        <w:t>: 0.05 µg/</w:t>
      </w:r>
      <w:r w:rsidR="00F97688" w:rsidRPr="00F97688">
        <w:rPr>
          <w:color w:val="000000"/>
        </w:rPr>
        <w:t>mL</w:t>
      </w:r>
      <w:r w:rsidRPr="00F259A2">
        <w:rPr>
          <w:color w:val="000000"/>
        </w:rPr>
        <w:t xml:space="preserve"> 4′,6—Diamidino—2</w:t>
      </w:r>
      <w:r w:rsidR="0071309A" w:rsidRPr="0071309A">
        <w:rPr>
          <w:color w:val="000000"/>
        </w:rPr>
        <w:t>--</w:t>
      </w:r>
      <w:r w:rsidRPr="00F259A2">
        <w:rPr>
          <w:color w:val="000000"/>
        </w:rPr>
        <w:t xml:space="preserve">phenylindole dihydrochloride (DAPI) , make a </w:t>
      </w:r>
      <w:r w:rsidR="006D7A52" w:rsidRPr="00F259A2">
        <w:rPr>
          <w:color w:val="000000"/>
        </w:rPr>
        <w:t>solution with 2</w:t>
      </w:r>
      <w:r w:rsidR="005458EA">
        <w:rPr>
          <w:color w:val="000000"/>
        </w:rPr>
        <w:t>X</w:t>
      </w:r>
      <w:r w:rsidR="006D7A52" w:rsidRPr="00F259A2">
        <w:rPr>
          <w:color w:val="000000"/>
        </w:rPr>
        <w:t xml:space="preserve"> SCC buffer</w:t>
      </w:r>
      <w:r w:rsidR="00B6177F" w:rsidRPr="00F259A2">
        <w:rPr>
          <w:color w:val="000000"/>
        </w:rPr>
        <w:t xml:space="preserve"> and s</w:t>
      </w:r>
      <w:r w:rsidR="006D7A52" w:rsidRPr="00F259A2">
        <w:rPr>
          <w:color w:val="000000"/>
        </w:rPr>
        <w:t xml:space="preserve">tore aliquots at </w:t>
      </w:r>
      <w:r w:rsidR="00AD5B6B">
        <w:rPr>
          <w:color w:val="000000"/>
        </w:rPr>
        <w:t>--</w:t>
      </w:r>
      <w:r w:rsidR="006D7A52" w:rsidRPr="00F259A2">
        <w:rPr>
          <w:color w:val="000000"/>
        </w:rPr>
        <w:t>20 °C</w:t>
      </w:r>
      <w:r w:rsidR="00B6177F" w:rsidRPr="00F259A2">
        <w:rPr>
          <w:color w:val="000000"/>
        </w:rPr>
        <w:t>.</w:t>
      </w:r>
    </w:p>
    <w:p w14:paraId="4DFF5895" w14:textId="4E8E5BE9" w:rsidR="001C1B16" w:rsidRPr="00F259A2" w:rsidRDefault="008D754A" w:rsidP="008A5EE5">
      <w:pPr>
        <w:pStyle w:val="ListParagraph"/>
        <w:numPr>
          <w:ilvl w:val="0"/>
          <w:numId w:val="29"/>
        </w:numPr>
        <w:tabs>
          <w:tab w:val="left" w:pos="-1440"/>
          <w:tab w:val="left" w:pos="-720"/>
          <w:tab w:val="left" w:pos="1418"/>
        </w:tabs>
        <w:suppressAutoHyphens/>
        <w:spacing w:line="480" w:lineRule="auto"/>
        <w:ind w:left="851" w:hanging="425"/>
        <w:rPr>
          <w:color w:val="000000"/>
        </w:rPr>
      </w:pPr>
      <w:r w:rsidRPr="00F259A2">
        <w:rPr>
          <w:color w:val="000000"/>
        </w:rPr>
        <w:t>Antifade solution: 0.2 M Tris</w:t>
      </w:r>
      <w:r w:rsidR="00AD5B6B">
        <w:rPr>
          <w:color w:val="000000"/>
        </w:rPr>
        <w:t>--</w:t>
      </w:r>
      <w:r w:rsidRPr="00F259A2">
        <w:rPr>
          <w:color w:val="000000"/>
        </w:rPr>
        <w:t>base solution, pH 8.0, 90% (w/v) Glycerol, 2.33 g of 1,4</w:t>
      </w:r>
      <w:r w:rsidR="00AD5B6B">
        <w:rPr>
          <w:color w:val="000000"/>
        </w:rPr>
        <w:t>--</w:t>
      </w:r>
      <w:proofErr w:type="spellStart"/>
      <w:proofErr w:type="gramStart"/>
      <w:r w:rsidRPr="00F259A2">
        <w:rPr>
          <w:color w:val="000000"/>
        </w:rPr>
        <w:t>Diazabicyclo</w:t>
      </w:r>
      <w:proofErr w:type="spellEnd"/>
      <w:r w:rsidRPr="00F259A2">
        <w:rPr>
          <w:color w:val="000000"/>
        </w:rPr>
        <w:t>[</w:t>
      </w:r>
      <w:proofErr w:type="gramEnd"/>
      <w:r w:rsidRPr="00F259A2">
        <w:rPr>
          <w:color w:val="000000"/>
        </w:rPr>
        <w:t>2.2.2]octane (DABCO)</w:t>
      </w:r>
      <w:r w:rsidR="00B6177F" w:rsidRPr="00F259A2">
        <w:rPr>
          <w:color w:val="000000"/>
        </w:rPr>
        <w:t>, s</w:t>
      </w:r>
      <w:r w:rsidR="00415BC4" w:rsidRPr="00F259A2">
        <w:rPr>
          <w:color w:val="000000"/>
        </w:rPr>
        <w:t xml:space="preserve">tore aliquots at </w:t>
      </w:r>
      <w:r w:rsidR="00AD5B6B">
        <w:rPr>
          <w:color w:val="000000"/>
        </w:rPr>
        <w:t>--</w:t>
      </w:r>
      <w:r w:rsidR="00415BC4" w:rsidRPr="00F259A2">
        <w:rPr>
          <w:color w:val="000000"/>
        </w:rPr>
        <w:t>20 °C</w:t>
      </w:r>
      <w:r w:rsidR="00B6177F" w:rsidRPr="00F259A2">
        <w:rPr>
          <w:color w:val="000000"/>
        </w:rPr>
        <w:t>.</w:t>
      </w:r>
    </w:p>
    <w:p w14:paraId="57F61F86" w14:textId="77777777" w:rsidR="001C1B16" w:rsidRPr="00F259A2" w:rsidRDefault="008D754A" w:rsidP="008A5EE5">
      <w:pPr>
        <w:pStyle w:val="ListParagraph"/>
        <w:numPr>
          <w:ilvl w:val="0"/>
          <w:numId w:val="29"/>
        </w:numPr>
        <w:tabs>
          <w:tab w:val="left" w:pos="-1440"/>
          <w:tab w:val="left" w:pos="-720"/>
          <w:tab w:val="left" w:pos="1418"/>
        </w:tabs>
        <w:suppressAutoHyphens/>
        <w:spacing w:line="480" w:lineRule="auto"/>
        <w:ind w:left="851" w:hanging="425"/>
        <w:rPr>
          <w:color w:val="000000"/>
        </w:rPr>
      </w:pPr>
      <w:r w:rsidRPr="00F259A2">
        <w:rPr>
          <w:color w:val="000000"/>
        </w:rPr>
        <w:t>RNase A solution: 10 mM Tris</w:t>
      </w:r>
      <w:r w:rsidR="00AD5B6B">
        <w:rPr>
          <w:color w:val="000000"/>
        </w:rPr>
        <w:t>--</w:t>
      </w:r>
      <w:r w:rsidRPr="00F259A2">
        <w:rPr>
          <w:color w:val="000000"/>
        </w:rPr>
        <w:t>HCl, pH 7.5, 15 mM NaCl, 10 mg/</w:t>
      </w:r>
      <w:r w:rsidR="00F97688" w:rsidRPr="00F97688">
        <w:rPr>
          <w:color w:val="000000"/>
        </w:rPr>
        <w:t>mL</w:t>
      </w:r>
      <w:r w:rsidRPr="00F259A2">
        <w:rPr>
          <w:color w:val="000000"/>
        </w:rPr>
        <w:t xml:space="preserve"> RNase A, boil th</w:t>
      </w:r>
      <w:r w:rsidR="00302FCD" w:rsidRPr="00F259A2">
        <w:rPr>
          <w:color w:val="000000"/>
        </w:rPr>
        <w:t>e</w:t>
      </w:r>
      <w:r w:rsidR="00C70547" w:rsidRPr="00F259A2">
        <w:rPr>
          <w:color w:val="000000"/>
        </w:rPr>
        <w:t xml:space="preserve"> s</w:t>
      </w:r>
      <w:r w:rsidR="00404240" w:rsidRPr="00F259A2">
        <w:rPr>
          <w:color w:val="000000"/>
        </w:rPr>
        <w:t>tock solution for 15 min and let it slowly cool down to room temperature</w:t>
      </w:r>
      <w:r w:rsidR="00B6177F" w:rsidRPr="00F259A2">
        <w:rPr>
          <w:color w:val="000000"/>
        </w:rPr>
        <w:t>, s</w:t>
      </w:r>
      <w:r w:rsidR="00404240" w:rsidRPr="00F259A2">
        <w:rPr>
          <w:color w:val="000000"/>
        </w:rPr>
        <w:t xml:space="preserve">tore aliquots at </w:t>
      </w:r>
      <w:r w:rsidR="00AD5B6B">
        <w:rPr>
          <w:color w:val="000000"/>
        </w:rPr>
        <w:t>--</w:t>
      </w:r>
      <w:r w:rsidR="00404240" w:rsidRPr="00F259A2">
        <w:rPr>
          <w:color w:val="000000"/>
        </w:rPr>
        <w:t>20 °C</w:t>
      </w:r>
      <w:r w:rsidR="00AC7A13" w:rsidRPr="00F259A2">
        <w:rPr>
          <w:color w:val="000000"/>
        </w:rPr>
        <w:t xml:space="preserve">. </w:t>
      </w:r>
      <w:r w:rsidR="00B6177F" w:rsidRPr="00F259A2">
        <w:rPr>
          <w:color w:val="000000"/>
        </w:rPr>
        <w:t xml:space="preserve"> </w:t>
      </w:r>
      <w:r w:rsidR="00AC7A13" w:rsidRPr="00F259A2">
        <w:rPr>
          <w:color w:val="000000"/>
        </w:rPr>
        <w:t>U</w:t>
      </w:r>
      <w:r w:rsidR="00404240" w:rsidRPr="00F259A2">
        <w:rPr>
          <w:color w:val="000000"/>
        </w:rPr>
        <w:t xml:space="preserve">se a 1:100 dilution in </w:t>
      </w:r>
      <w:r w:rsidR="00434E11" w:rsidRPr="00F259A2">
        <w:rPr>
          <w:color w:val="000000"/>
        </w:rPr>
        <w:t>2</w:t>
      </w:r>
      <w:r w:rsidR="00434E11">
        <w:rPr>
          <w:color w:val="000000"/>
        </w:rPr>
        <w:t>X</w:t>
      </w:r>
      <w:r w:rsidR="00434E11" w:rsidRPr="00F259A2">
        <w:rPr>
          <w:color w:val="000000"/>
        </w:rPr>
        <w:t xml:space="preserve"> </w:t>
      </w:r>
      <w:r w:rsidR="00404240" w:rsidRPr="00F259A2">
        <w:rPr>
          <w:color w:val="000000"/>
        </w:rPr>
        <w:t xml:space="preserve">SSC, pH 7.0, as a </w:t>
      </w:r>
      <w:r w:rsidR="00811459">
        <w:rPr>
          <w:color w:val="000000"/>
        </w:rPr>
        <w:t xml:space="preserve">freshly prepared </w:t>
      </w:r>
      <w:r w:rsidR="00404240" w:rsidRPr="00F259A2">
        <w:rPr>
          <w:color w:val="000000"/>
        </w:rPr>
        <w:t>working solu</w:t>
      </w:r>
      <w:r w:rsidR="00B6177F" w:rsidRPr="00F259A2">
        <w:rPr>
          <w:color w:val="000000"/>
        </w:rPr>
        <w:t>tion.</w:t>
      </w:r>
    </w:p>
    <w:p w14:paraId="182437E4" w14:textId="77777777" w:rsidR="00E86667" w:rsidRDefault="008D754A" w:rsidP="008A5EE5">
      <w:pPr>
        <w:pStyle w:val="ListParagraph"/>
        <w:numPr>
          <w:ilvl w:val="0"/>
          <w:numId w:val="29"/>
        </w:numPr>
        <w:tabs>
          <w:tab w:val="left" w:pos="-1440"/>
          <w:tab w:val="left" w:pos="-720"/>
          <w:tab w:val="left" w:pos="1418"/>
        </w:tabs>
        <w:suppressAutoHyphens/>
        <w:spacing w:line="480" w:lineRule="auto"/>
        <w:ind w:left="851" w:hanging="425"/>
        <w:rPr>
          <w:color w:val="000000"/>
        </w:rPr>
      </w:pPr>
      <w:r w:rsidRPr="00143234">
        <w:rPr>
          <w:color w:val="000000"/>
        </w:rPr>
        <w:t>Pepsin stock solution: 10% Pepsin</w:t>
      </w:r>
      <w:r w:rsidR="00436C2A" w:rsidRPr="00143234">
        <w:rPr>
          <w:color w:val="000000"/>
        </w:rPr>
        <w:t xml:space="preserve"> (</w:t>
      </w:r>
      <w:r w:rsidR="00A12A7D">
        <w:t>200</w:t>
      </w:r>
      <w:r w:rsidR="00436C2A">
        <w:t xml:space="preserve"> </w:t>
      </w:r>
      <w:r w:rsidR="00A12A7D">
        <w:t>m</w:t>
      </w:r>
      <w:r w:rsidR="00436C2A">
        <w:t xml:space="preserve">g pepsin in </w:t>
      </w:r>
      <w:r w:rsidR="00A12A7D">
        <w:t>2</w:t>
      </w:r>
      <w:r w:rsidR="00436C2A">
        <w:t xml:space="preserve"> </w:t>
      </w:r>
      <w:r w:rsidR="00F97688" w:rsidRPr="00F97688">
        <w:t>mL</w:t>
      </w:r>
      <w:r w:rsidR="00436C2A">
        <w:t xml:space="preserve"> pre</w:t>
      </w:r>
      <w:r w:rsidR="00AD5B6B">
        <w:t>--</w:t>
      </w:r>
      <w:r w:rsidR="00436C2A">
        <w:t>warmed water</w:t>
      </w:r>
      <w:r w:rsidR="007564AE">
        <w:t xml:space="preserve"> (37 °C)</w:t>
      </w:r>
      <w:r w:rsidR="00436C2A">
        <w:t>; freeze 50</w:t>
      </w:r>
      <w:r w:rsidR="00AD5B6B">
        <w:t>--</w:t>
      </w:r>
      <w:r w:rsidR="00F97688" w:rsidRPr="00F97688">
        <w:rPr>
          <w:color w:val="000000"/>
        </w:rPr>
        <w:t>µL</w:t>
      </w:r>
      <w:r w:rsidR="00436C2A" w:rsidRPr="00143234">
        <w:rPr>
          <w:color w:val="000000"/>
        </w:rPr>
        <w:t xml:space="preserve"> aliquots</w:t>
      </w:r>
      <w:r w:rsidR="00653F69" w:rsidRPr="00143234">
        <w:rPr>
          <w:color w:val="000000"/>
        </w:rPr>
        <w:t xml:space="preserve"> at </w:t>
      </w:r>
      <w:r w:rsidR="00AD5B6B">
        <w:rPr>
          <w:color w:val="000000"/>
        </w:rPr>
        <w:t>--</w:t>
      </w:r>
      <w:r w:rsidR="00653F69" w:rsidRPr="00143234">
        <w:rPr>
          <w:color w:val="000000"/>
        </w:rPr>
        <w:t xml:space="preserve">20 </w:t>
      </w:r>
      <w:r w:rsidR="00653F69">
        <w:t>°C</w:t>
      </w:r>
      <w:r w:rsidR="00436C2A">
        <w:t>)</w:t>
      </w:r>
      <w:r w:rsidR="007564AE">
        <w:rPr>
          <w:color w:val="000000"/>
        </w:rPr>
        <w:t>.</w:t>
      </w:r>
      <w:r w:rsidRPr="00143234">
        <w:rPr>
          <w:color w:val="000000"/>
        </w:rPr>
        <w:t xml:space="preserve"> </w:t>
      </w:r>
    </w:p>
    <w:p w14:paraId="4080E1FF" w14:textId="77777777" w:rsidR="001C1B16" w:rsidRPr="00143234" w:rsidRDefault="007564AE" w:rsidP="00E86667">
      <w:pPr>
        <w:pStyle w:val="ListParagraph"/>
        <w:tabs>
          <w:tab w:val="left" w:pos="-1440"/>
          <w:tab w:val="left" w:pos="-720"/>
          <w:tab w:val="left" w:pos="900"/>
        </w:tabs>
        <w:suppressAutoHyphens/>
        <w:spacing w:line="480" w:lineRule="auto"/>
        <w:ind w:left="851"/>
        <w:rPr>
          <w:color w:val="000000"/>
        </w:rPr>
      </w:pPr>
      <w:r>
        <w:rPr>
          <w:color w:val="000000"/>
        </w:rPr>
        <w:lastRenderedPageBreak/>
        <w:t>A</w:t>
      </w:r>
      <w:r w:rsidRPr="00143234">
        <w:rPr>
          <w:color w:val="000000"/>
        </w:rPr>
        <w:t xml:space="preserve">s a </w:t>
      </w:r>
      <w:r w:rsidR="00811459">
        <w:rPr>
          <w:color w:val="000000"/>
        </w:rPr>
        <w:t xml:space="preserve">freshly prepared </w:t>
      </w:r>
      <w:r w:rsidRPr="00143234">
        <w:rPr>
          <w:color w:val="000000"/>
        </w:rPr>
        <w:t>working solution</w:t>
      </w:r>
      <w:r>
        <w:rPr>
          <w:color w:val="000000"/>
        </w:rPr>
        <w:t xml:space="preserve">, </w:t>
      </w:r>
      <w:r w:rsidR="008D754A" w:rsidRPr="00143234">
        <w:rPr>
          <w:color w:val="000000"/>
        </w:rPr>
        <w:t xml:space="preserve">use 10–50 </w:t>
      </w:r>
      <w:r w:rsidR="00F97688" w:rsidRPr="00F97688">
        <w:rPr>
          <w:color w:val="000000"/>
        </w:rPr>
        <w:t>µL</w:t>
      </w:r>
      <w:r>
        <w:rPr>
          <w:color w:val="000000"/>
        </w:rPr>
        <w:t xml:space="preserve"> of</w:t>
      </w:r>
      <w:r w:rsidR="008D754A" w:rsidRPr="00143234">
        <w:rPr>
          <w:color w:val="000000"/>
        </w:rPr>
        <w:t xml:space="preserve"> </w:t>
      </w:r>
      <w:r>
        <w:rPr>
          <w:color w:val="000000"/>
        </w:rPr>
        <w:t xml:space="preserve">pepsin </w:t>
      </w:r>
      <w:r w:rsidR="008D754A" w:rsidRPr="00143234">
        <w:rPr>
          <w:color w:val="000000"/>
        </w:rPr>
        <w:t xml:space="preserve">stock solution </w:t>
      </w:r>
      <w:r w:rsidR="00354573">
        <w:rPr>
          <w:color w:val="000000"/>
        </w:rPr>
        <w:t xml:space="preserve">per 100 </w:t>
      </w:r>
      <w:r w:rsidR="00F97688" w:rsidRPr="00F97688">
        <w:rPr>
          <w:color w:val="000000"/>
        </w:rPr>
        <w:t>mL</w:t>
      </w:r>
      <w:r w:rsidR="00E86667">
        <w:rPr>
          <w:color w:val="000000"/>
        </w:rPr>
        <w:t xml:space="preserve"> of </w:t>
      </w:r>
      <w:r w:rsidR="008D754A" w:rsidRPr="00143234">
        <w:rPr>
          <w:color w:val="000000"/>
        </w:rPr>
        <w:t>0.01 M HCl, pH 2.3</w:t>
      </w:r>
      <w:r>
        <w:rPr>
          <w:color w:val="000000"/>
        </w:rPr>
        <w:t xml:space="preserve"> (</w:t>
      </w:r>
      <w:r w:rsidR="00354573">
        <w:rPr>
          <w:color w:val="000000"/>
        </w:rPr>
        <w:t xml:space="preserve">pepsin </w:t>
      </w:r>
      <w:r>
        <w:rPr>
          <w:color w:val="000000"/>
        </w:rPr>
        <w:t xml:space="preserve">end </w:t>
      </w:r>
      <w:r w:rsidR="00354573">
        <w:rPr>
          <w:color w:val="000000"/>
        </w:rPr>
        <w:t>concentration of 10</w:t>
      </w:r>
      <w:r w:rsidR="00AD5B6B">
        <w:rPr>
          <w:color w:val="000000"/>
        </w:rPr>
        <w:t>--</w:t>
      </w:r>
      <w:r w:rsidR="00354573">
        <w:rPr>
          <w:color w:val="000000"/>
        </w:rPr>
        <w:t xml:space="preserve">50 </w:t>
      </w:r>
      <w:r w:rsidR="00354573" w:rsidRPr="00143234">
        <w:rPr>
          <w:color w:val="000000"/>
        </w:rPr>
        <w:t>µ</w:t>
      </w:r>
      <w:r w:rsidR="00354573">
        <w:rPr>
          <w:color w:val="000000"/>
        </w:rPr>
        <w:t>g/</w:t>
      </w:r>
      <w:r w:rsidR="00F97688" w:rsidRPr="00F97688">
        <w:rPr>
          <w:color w:val="000000"/>
        </w:rPr>
        <w:t>mL</w:t>
      </w:r>
      <w:r>
        <w:rPr>
          <w:color w:val="000000"/>
        </w:rPr>
        <w:t>)</w:t>
      </w:r>
      <w:r w:rsidR="008D754A" w:rsidRPr="00143234">
        <w:rPr>
          <w:color w:val="000000"/>
        </w:rPr>
        <w:t>.</w:t>
      </w:r>
      <w:r w:rsidR="00143234" w:rsidRPr="00143234">
        <w:rPr>
          <w:color w:val="000000"/>
        </w:rPr>
        <w:t xml:space="preserve"> </w:t>
      </w:r>
    </w:p>
    <w:p w14:paraId="2B6AC802" w14:textId="77777777" w:rsidR="00434E96" w:rsidRDefault="00434E96" w:rsidP="008A5EE5">
      <w:pPr>
        <w:pStyle w:val="ListParagraph"/>
        <w:numPr>
          <w:ilvl w:val="0"/>
          <w:numId w:val="29"/>
        </w:numPr>
        <w:tabs>
          <w:tab w:val="left" w:pos="-1440"/>
          <w:tab w:val="left" w:pos="-720"/>
          <w:tab w:val="left" w:pos="1418"/>
        </w:tabs>
        <w:suppressAutoHyphens/>
        <w:spacing w:line="480" w:lineRule="auto"/>
        <w:ind w:left="851" w:hanging="425"/>
        <w:rPr>
          <w:color w:val="000000"/>
        </w:rPr>
      </w:pPr>
      <w:r w:rsidRPr="00143234">
        <w:rPr>
          <w:color w:val="000000"/>
        </w:rPr>
        <w:t>1.5 % Agarose gel</w:t>
      </w:r>
    </w:p>
    <w:p w14:paraId="3A87BC6F" w14:textId="77777777" w:rsidR="00434E96" w:rsidRDefault="00434E96" w:rsidP="008A5EE5">
      <w:pPr>
        <w:pStyle w:val="ListParagraph"/>
        <w:numPr>
          <w:ilvl w:val="0"/>
          <w:numId w:val="29"/>
        </w:numPr>
        <w:tabs>
          <w:tab w:val="left" w:pos="-1440"/>
          <w:tab w:val="left" w:pos="-720"/>
          <w:tab w:val="left" w:pos="1418"/>
        </w:tabs>
        <w:suppressAutoHyphens/>
        <w:spacing w:line="480" w:lineRule="auto"/>
        <w:ind w:left="851" w:hanging="425"/>
        <w:rPr>
          <w:color w:val="000000"/>
        </w:rPr>
      </w:pPr>
      <w:r>
        <w:rPr>
          <w:color w:val="000000"/>
        </w:rPr>
        <w:t>Loading dye</w:t>
      </w:r>
    </w:p>
    <w:p w14:paraId="0454C1A6" w14:textId="77777777" w:rsidR="00A949BD" w:rsidRDefault="00A949BD" w:rsidP="008A5EE5">
      <w:pPr>
        <w:pStyle w:val="ListParagraph"/>
        <w:numPr>
          <w:ilvl w:val="0"/>
          <w:numId w:val="29"/>
        </w:numPr>
        <w:tabs>
          <w:tab w:val="left" w:pos="-1440"/>
          <w:tab w:val="left" w:pos="-720"/>
          <w:tab w:val="left" w:pos="1418"/>
        </w:tabs>
        <w:suppressAutoHyphens/>
        <w:spacing w:line="480" w:lineRule="auto"/>
        <w:ind w:left="851" w:hanging="425"/>
        <w:rPr>
          <w:color w:val="000000"/>
        </w:rPr>
      </w:pPr>
      <w:r>
        <w:rPr>
          <w:color w:val="000000"/>
        </w:rPr>
        <w:t>Cot</w:t>
      </w:r>
      <w:r w:rsidR="00AD5B6B">
        <w:rPr>
          <w:color w:val="000000"/>
        </w:rPr>
        <w:t>--</w:t>
      </w:r>
      <w:r>
        <w:rPr>
          <w:color w:val="000000"/>
        </w:rPr>
        <w:t>1 DNA</w:t>
      </w:r>
    </w:p>
    <w:p w14:paraId="4295B02E" w14:textId="77777777" w:rsidR="00A949BD" w:rsidRDefault="00A949BD" w:rsidP="008A5EE5">
      <w:pPr>
        <w:pStyle w:val="ListParagraph"/>
        <w:numPr>
          <w:ilvl w:val="0"/>
          <w:numId w:val="29"/>
        </w:numPr>
        <w:tabs>
          <w:tab w:val="left" w:pos="-1440"/>
          <w:tab w:val="left" w:pos="-720"/>
          <w:tab w:val="left" w:pos="1418"/>
        </w:tabs>
        <w:suppressAutoHyphens/>
        <w:spacing w:line="480" w:lineRule="auto"/>
        <w:ind w:left="851" w:hanging="425"/>
        <w:rPr>
          <w:color w:val="000000"/>
        </w:rPr>
      </w:pPr>
      <w:r>
        <w:rPr>
          <w:color w:val="000000"/>
        </w:rPr>
        <w:t>Salmon sperm DNA</w:t>
      </w:r>
    </w:p>
    <w:p w14:paraId="0394BB5E" w14:textId="77777777" w:rsidR="00A949BD" w:rsidRDefault="00A949BD" w:rsidP="008A5EE5">
      <w:pPr>
        <w:pStyle w:val="ListParagraph"/>
        <w:numPr>
          <w:ilvl w:val="0"/>
          <w:numId w:val="29"/>
        </w:numPr>
        <w:tabs>
          <w:tab w:val="left" w:pos="-1440"/>
          <w:tab w:val="left" w:pos="-720"/>
          <w:tab w:val="left" w:pos="1418"/>
        </w:tabs>
        <w:suppressAutoHyphens/>
        <w:spacing w:line="480" w:lineRule="auto"/>
        <w:ind w:left="851" w:hanging="425"/>
        <w:rPr>
          <w:color w:val="000000"/>
        </w:rPr>
      </w:pPr>
      <w:r>
        <w:rPr>
          <w:color w:val="000000"/>
        </w:rPr>
        <w:t>Sodium acetate</w:t>
      </w:r>
    </w:p>
    <w:p w14:paraId="7BE4B2C7" w14:textId="77777777" w:rsidR="00A949BD" w:rsidRDefault="00A949BD" w:rsidP="008A5EE5">
      <w:pPr>
        <w:pStyle w:val="ListParagraph"/>
        <w:numPr>
          <w:ilvl w:val="0"/>
          <w:numId w:val="29"/>
        </w:numPr>
        <w:tabs>
          <w:tab w:val="left" w:pos="-1440"/>
          <w:tab w:val="left" w:pos="-720"/>
          <w:tab w:val="left" w:pos="1418"/>
        </w:tabs>
        <w:suppressAutoHyphens/>
        <w:spacing w:line="480" w:lineRule="auto"/>
        <w:ind w:left="851" w:hanging="425"/>
        <w:rPr>
          <w:color w:val="000000"/>
        </w:rPr>
      </w:pPr>
      <w:r>
        <w:rPr>
          <w:color w:val="000000"/>
        </w:rPr>
        <w:t>Magnesium chloride</w:t>
      </w:r>
    </w:p>
    <w:p w14:paraId="0FAB6DE3" w14:textId="77777777" w:rsidR="00A949BD" w:rsidRPr="00F259A2" w:rsidRDefault="00A949BD" w:rsidP="008A5EE5">
      <w:pPr>
        <w:pStyle w:val="ListParagraph"/>
        <w:numPr>
          <w:ilvl w:val="0"/>
          <w:numId w:val="29"/>
        </w:numPr>
        <w:tabs>
          <w:tab w:val="left" w:pos="-1440"/>
          <w:tab w:val="left" w:pos="-720"/>
          <w:tab w:val="left" w:pos="1418"/>
        </w:tabs>
        <w:suppressAutoHyphens/>
        <w:spacing w:line="480" w:lineRule="auto"/>
        <w:ind w:left="851" w:hanging="425"/>
        <w:rPr>
          <w:color w:val="000000"/>
        </w:rPr>
      </w:pPr>
      <w:r>
        <w:rPr>
          <w:color w:val="000000"/>
        </w:rPr>
        <w:t>Formaldehyde</w:t>
      </w:r>
    </w:p>
    <w:p w14:paraId="3EA35F07" w14:textId="77777777" w:rsidR="000E2369" w:rsidRPr="00F259A2" w:rsidRDefault="000E2369" w:rsidP="008A5EE5">
      <w:pPr>
        <w:tabs>
          <w:tab w:val="left" w:pos="-1440"/>
          <w:tab w:val="left" w:pos="-720"/>
        </w:tabs>
        <w:suppressAutoHyphens/>
        <w:spacing w:line="480" w:lineRule="auto"/>
        <w:rPr>
          <w:color w:val="000000"/>
        </w:rPr>
      </w:pPr>
    </w:p>
    <w:p w14:paraId="2B55CA8B" w14:textId="77777777" w:rsidR="001C1B16" w:rsidRPr="00F259A2" w:rsidRDefault="008D754A" w:rsidP="008A5EE5">
      <w:pPr>
        <w:spacing w:line="480" w:lineRule="auto"/>
        <w:rPr>
          <w:color w:val="000000"/>
        </w:rPr>
      </w:pPr>
      <w:r w:rsidRPr="00F259A2">
        <w:rPr>
          <w:color w:val="000000"/>
        </w:rPr>
        <w:br w:type="page"/>
      </w:r>
    </w:p>
    <w:p w14:paraId="1547FE6E" w14:textId="77777777" w:rsidR="001C1B16" w:rsidRPr="00F259A2" w:rsidRDefault="00982EC7" w:rsidP="008A5EE5">
      <w:pPr>
        <w:tabs>
          <w:tab w:val="left" w:pos="-1440"/>
          <w:tab w:val="left" w:pos="-720"/>
        </w:tabs>
        <w:suppressAutoHyphens/>
        <w:spacing w:line="480" w:lineRule="auto"/>
        <w:rPr>
          <w:b/>
          <w:color w:val="000000"/>
        </w:rPr>
      </w:pPr>
      <w:r w:rsidRPr="00F259A2">
        <w:rPr>
          <w:b/>
          <w:color w:val="000000"/>
        </w:rPr>
        <w:lastRenderedPageBreak/>
        <w:t>3. Methods</w:t>
      </w:r>
    </w:p>
    <w:p w14:paraId="05F883D4" w14:textId="77777777" w:rsidR="001C1B16" w:rsidRPr="00F259A2" w:rsidRDefault="00084D72" w:rsidP="008A5EE5">
      <w:pPr>
        <w:pStyle w:val="Heading2"/>
        <w:spacing w:line="480" w:lineRule="auto"/>
        <w:rPr>
          <w:rFonts w:ascii="Times New Roman" w:hAnsi="Times New Roman" w:cs="Times New Roman"/>
          <w:color w:val="000000"/>
          <w:sz w:val="24"/>
          <w:szCs w:val="24"/>
        </w:rPr>
      </w:pPr>
      <w:r w:rsidRPr="00F259A2">
        <w:rPr>
          <w:rFonts w:ascii="Times New Roman" w:hAnsi="Times New Roman" w:cs="Times New Roman"/>
          <w:color w:val="000000"/>
          <w:sz w:val="24"/>
          <w:szCs w:val="24"/>
        </w:rPr>
        <w:t xml:space="preserve">3.1. DNA labelling </w:t>
      </w:r>
    </w:p>
    <w:p w14:paraId="29E60288" w14:textId="77777777" w:rsidR="001C1B16" w:rsidRPr="00F259A2" w:rsidRDefault="001C1B16" w:rsidP="008A5EE5">
      <w:pPr>
        <w:spacing w:line="480" w:lineRule="auto"/>
      </w:pPr>
    </w:p>
    <w:p w14:paraId="77FBDCD1" w14:textId="77777777" w:rsidR="001C1B16" w:rsidRPr="00F259A2" w:rsidRDefault="000D64AB" w:rsidP="008A5EE5">
      <w:pPr>
        <w:spacing w:line="480" w:lineRule="auto"/>
      </w:pPr>
      <w:r w:rsidRPr="00F259A2">
        <w:t xml:space="preserve">Occasionally, the amount of isolated DNA </w:t>
      </w:r>
      <w:r w:rsidR="0081476E" w:rsidRPr="00F259A2">
        <w:t xml:space="preserve">from test cells or single cells </w:t>
      </w:r>
      <w:r w:rsidRPr="00F259A2">
        <w:t xml:space="preserve">is </w:t>
      </w:r>
      <w:r w:rsidR="009D0043" w:rsidRPr="00F259A2">
        <w:t>not enough</w:t>
      </w:r>
      <w:r w:rsidRPr="00F259A2">
        <w:t>. Then</w:t>
      </w:r>
      <w:r w:rsidR="009D0043" w:rsidRPr="00F259A2">
        <w:t>,</w:t>
      </w:r>
      <w:r w:rsidRPr="00F259A2">
        <w:t xml:space="preserve"> it is recommended to amplify the DNA </w:t>
      </w:r>
      <w:r w:rsidR="009D0043" w:rsidRPr="00F259A2">
        <w:t xml:space="preserve">before DNA labelling by using degenerate oligonucleotide primed PCR </w:t>
      </w:r>
      <w:r w:rsidR="002929DB">
        <w:t>[</w:t>
      </w:r>
      <w:r w:rsidR="009D0043" w:rsidRPr="00F259A2">
        <w:t>DOP</w:t>
      </w:r>
      <w:r w:rsidR="002929DB">
        <w:t>—</w:t>
      </w:r>
      <w:r w:rsidR="009D0043" w:rsidRPr="00F259A2">
        <w:t>PCR</w:t>
      </w:r>
      <w:r w:rsidR="00963C66">
        <w:t>;</w:t>
      </w:r>
      <w:r w:rsidR="002929DB">
        <w:t xml:space="preserve"> </w:t>
      </w:r>
      <w:r w:rsidR="002929DB" w:rsidRPr="00641157">
        <w:rPr>
          <w:b/>
          <w:i/>
        </w:rPr>
        <w:fldChar w:fldCharType="begin"/>
      </w:r>
      <w:r w:rsidR="002929DB" w:rsidRPr="00641157">
        <w:rPr>
          <w:b/>
          <w:i/>
        </w:rPr>
        <w:instrText xml:space="preserve"> ADDIN ZOTERO_ITEM CSL_CITATION {"citationID":"2frijuag0d","properties":{"formattedCitation":"{\\rtf (\\b \\i 74\\i0{}\\b0{})}","plainCitation":"(74)"},"citationItems":[{"id":44,"uris":["http://zotero.org/users/1046410/items/9973VQRN"],"uri":["http://zotero.org/users/1046410/items/9973VQRN"],"itemData":{"id":44,"type":"article-journal","title":"Degenerate oligonucleotide-primed PCR: general amplification of target DNA by a single degenerate primer","container-title":"Genomics","page":"718-725","volume":"13","issue":"3","abstract":"A version of the polymerase chain reaction (PCR), termed degenerate oligonucleotide-primed PCR (DOP-PCR), which employs oligonucleotides of partially degenerate sequence, has been developed for genome mapping studies. This degeneracy, together with a PCR protocol utilizing a low initial annealing temperature, ensures priming from multiple (e.g., approximately 10(6) in human) evenly dispersed sites within a given genome. Furthermore, as efficient amplification is achieved from the genomes of all species tested using the same primer, the method appears to be species-independent. Thus, for the general amplification of target DNA, DOP-PCR has advantages over interspersed repetitive sequence PCR (IRS-PCR), which relies on the appropriate positioning of species-specific repeat elements. In conjunction with chromosome flow sorting, DOP-PCR has been applied to the characterization of abnormal chromosomes and also to the cloning of new markers for specific chromosome regions. DOP-PCR therefore represents a rapid, efficient, and species-independent technique for general DNA amplification.","note":"PMID: 1639399","shortTitle":"Degenerate oligonucleotide-primed PCR","journalAbbreviation":"Genomics","author":[{"family":"Telenius","given":"H"},{"family":"Carter","given":"N P"},{"family":"Bebb","given":"C E"},{"family":"Nordenskjöld","given":"M"},{"family":"Ponder","given":"B A"},{"family":"Tunnacliffe","given":"A"}],"issued":{"year":1992,"month":7},"accessed":{"year":2012,"month":7,"day":27},"page-first":"718"}}],"schema":"https://github.com/citation-style-language/schema/raw/master/csl-citation.json"} </w:instrText>
      </w:r>
      <w:r w:rsidR="002929DB" w:rsidRPr="00641157">
        <w:rPr>
          <w:b/>
          <w:i/>
        </w:rPr>
        <w:fldChar w:fldCharType="separate"/>
      </w:r>
      <w:r w:rsidR="002929DB" w:rsidRPr="00641157">
        <w:rPr>
          <w:b/>
          <w:i/>
        </w:rPr>
        <w:t>(</w:t>
      </w:r>
      <w:r w:rsidR="002929DB" w:rsidRPr="00641157">
        <w:rPr>
          <w:b/>
          <w:bCs/>
          <w:i/>
          <w:iCs/>
        </w:rPr>
        <w:t>74</w:t>
      </w:r>
      <w:r w:rsidR="002929DB" w:rsidRPr="00641157">
        <w:rPr>
          <w:b/>
          <w:i/>
        </w:rPr>
        <w:t>)</w:t>
      </w:r>
      <w:r w:rsidR="002929DB" w:rsidRPr="00641157">
        <w:rPr>
          <w:b/>
          <w:i/>
        </w:rPr>
        <w:fldChar w:fldCharType="end"/>
      </w:r>
      <w:r w:rsidR="002929DB">
        <w:t>]</w:t>
      </w:r>
      <w:r w:rsidR="009D0043" w:rsidRPr="00F259A2">
        <w:t xml:space="preserve"> or primer extension pre-</w:t>
      </w:r>
      <w:r w:rsidR="00302FCD" w:rsidRPr="00F259A2">
        <w:t>-</w:t>
      </w:r>
      <w:r w:rsidR="009D0043" w:rsidRPr="00F259A2">
        <w:t xml:space="preserve">amplification </w:t>
      </w:r>
      <w:r w:rsidR="00E908C4">
        <w:t>[</w:t>
      </w:r>
      <w:r w:rsidR="009D0043" w:rsidRPr="00F259A2">
        <w:t>PEP</w:t>
      </w:r>
      <w:r w:rsidR="00963C66">
        <w:t>;</w:t>
      </w:r>
      <w:r w:rsidR="00492E4A" w:rsidRPr="00F259A2">
        <w:t xml:space="preserve"> </w:t>
      </w:r>
      <w:r w:rsidR="009A377C" w:rsidRPr="00195041">
        <w:rPr>
          <w:b/>
          <w:i/>
        </w:rPr>
        <w:fldChar w:fldCharType="begin"/>
      </w:r>
      <w:r w:rsidR="0042106E" w:rsidRPr="00195041">
        <w:rPr>
          <w:b/>
          <w:i/>
        </w:rPr>
        <w:instrText xml:space="preserve"> ADDIN ZOTERO_ITEM CSL_CITATION {"citationID":"2pb7p9s47p","properties":{"formattedCitation":"{\\rtf (\\b \\i 75\\i0{}\\b0{})}","plainCitation":"(75)"},"citationItems":[{"id":43,"uris":["http://zotero.org/users/1046410/items/ZBCPDWFQ"],"uri":["http://zotero.org/users/1046410/items/ZBCPDWFQ"],"itemData":{"id":43,"type":"article-journal","title":"Whole genome amplification from a single cell: implications for genetic analysis","container-title":"Proceedings of the National Academy of Sciences of the United States of America","page":"5847-5851","volume":"89","issue":"13","abstract":"We have developed an in vitro method for amplifying a large fraction of the DNA sequences present in a single haploid cell by repeated primer extensions using a mixture of 15-base random oligonucleotides. We studied 12 genetic loci and estimate that the probability of amplifying any sequence in the genome to a minimum of 30 copies is not less than 0.78 (95% confidence). Whole genome amplification beginning with a single cell, or other samples with very small amounts of DNA, has significant implications for multipoint mapping by sperm or oocyte typing and possibly for genetic disease diagnosis, forensics, and the analysis of ancient DNA samples.","note":"PMID: 1631067","shortTitle":"Whole genome amplification from a single cell","journalAbbreviation":"Proc. Natl. Acad. Sci. U.S.A.","author":[{"family":"Zhang","given":"L"},{"family":"Cui","given":"X"},{"family":"Schmitt","given":"K"},{"family":"Hubert","given":"R"},{"family":"Navidi","given":"W"},{"family":"Arnheim","given":"N"}],"issued":{"year":1992,"month":7,"day":1},"accessed":{"year":2012,"month":7,"day":27},"page-first":"5847"}}],"schema":"https://github.com/citation-style-language/schema/raw/master/csl-citation.json"} </w:instrText>
      </w:r>
      <w:r w:rsidR="009A377C" w:rsidRPr="00195041">
        <w:rPr>
          <w:b/>
          <w:i/>
        </w:rPr>
        <w:fldChar w:fldCharType="separate"/>
      </w:r>
      <w:r w:rsidR="001B1391" w:rsidRPr="00195041">
        <w:rPr>
          <w:b/>
          <w:i/>
        </w:rPr>
        <w:t>(</w:t>
      </w:r>
      <w:r w:rsidR="001B1391" w:rsidRPr="00195041">
        <w:rPr>
          <w:b/>
          <w:bCs/>
          <w:i/>
          <w:iCs/>
        </w:rPr>
        <w:t>75</w:t>
      </w:r>
      <w:r w:rsidR="001B1391" w:rsidRPr="00195041">
        <w:rPr>
          <w:b/>
          <w:i/>
        </w:rPr>
        <w:t>)</w:t>
      </w:r>
      <w:r w:rsidR="009A377C" w:rsidRPr="00195041">
        <w:rPr>
          <w:b/>
          <w:i/>
        </w:rPr>
        <w:fldChar w:fldCharType="end"/>
      </w:r>
      <w:r w:rsidR="00E908C4" w:rsidRPr="004B538F">
        <w:t>]</w:t>
      </w:r>
      <w:r w:rsidR="00492E4A" w:rsidRPr="00F259A2">
        <w:t>.</w:t>
      </w:r>
    </w:p>
    <w:p w14:paraId="14532DB9" w14:textId="77777777" w:rsidR="001C1B16" w:rsidRPr="00F259A2" w:rsidRDefault="001C1B16" w:rsidP="008A5EE5">
      <w:pPr>
        <w:spacing w:line="480" w:lineRule="auto"/>
      </w:pPr>
    </w:p>
    <w:p w14:paraId="560DC5FB" w14:textId="77777777" w:rsidR="001C1B16" w:rsidRPr="00F259A2" w:rsidRDefault="00AE66D6" w:rsidP="008A5EE5">
      <w:pPr>
        <w:pStyle w:val="Heading1"/>
        <w:spacing w:line="480" w:lineRule="auto"/>
        <w:rPr>
          <w:color w:val="000000"/>
        </w:rPr>
      </w:pPr>
      <w:r w:rsidRPr="00F259A2">
        <w:rPr>
          <w:color w:val="000000"/>
        </w:rPr>
        <w:t>3.1.</w:t>
      </w:r>
      <w:r w:rsidR="00084D72" w:rsidRPr="00F259A2">
        <w:rPr>
          <w:color w:val="000000"/>
        </w:rPr>
        <w:t>1</w:t>
      </w:r>
      <w:r w:rsidR="00B6177F" w:rsidRPr="00F259A2">
        <w:rPr>
          <w:color w:val="000000"/>
        </w:rPr>
        <w:t>.</w:t>
      </w:r>
      <w:r w:rsidR="00084D72" w:rsidRPr="00F259A2">
        <w:rPr>
          <w:color w:val="000000"/>
        </w:rPr>
        <w:t xml:space="preserve"> Nick </w:t>
      </w:r>
      <w:r w:rsidR="009F7D7D" w:rsidRPr="00F259A2">
        <w:rPr>
          <w:color w:val="000000"/>
        </w:rPr>
        <w:t>t</w:t>
      </w:r>
      <w:r w:rsidR="00084D72" w:rsidRPr="00F259A2">
        <w:rPr>
          <w:color w:val="000000"/>
        </w:rPr>
        <w:t>ranslation</w:t>
      </w:r>
    </w:p>
    <w:p w14:paraId="69711BBA" w14:textId="77777777" w:rsidR="001C1B16" w:rsidRPr="00F259A2" w:rsidRDefault="001C1B16" w:rsidP="008A5EE5">
      <w:pPr>
        <w:spacing w:line="480" w:lineRule="auto"/>
      </w:pPr>
    </w:p>
    <w:p w14:paraId="33419DD7" w14:textId="77777777" w:rsidR="001C1B16" w:rsidRPr="00F259A2" w:rsidRDefault="00C849A6" w:rsidP="008A5EE5">
      <w:pPr>
        <w:spacing w:line="480" w:lineRule="auto"/>
        <w:ind w:left="288"/>
      </w:pPr>
      <w:r w:rsidRPr="00F259A2">
        <w:t xml:space="preserve">Nick translation is used to incorporate fluorescently labelled deoxynucleotides into </w:t>
      </w:r>
      <w:r w:rsidR="00E545DF" w:rsidRPr="00F259A2">
        <w:t xml:space="preserve">the </w:t>
      </w:r>
      <w:r w:rsidRPr="00F259A2">
        <w:t>DNA. Two enzymes</w:t>
      </w:r>
      <w:r w:rsidR="00E545DF" w:rsidRPr="00F259A2">
        <w:t>,</w:t>
      </w:r>
      <w:r w:rsidRPr="00F259A2">
        <w:t xml:space="preserve"> DNase I </w:t>
      </w:r>
      <w:proofErr w:type="spellStart"/>
      <w:r w:rsidRPr="00F259A2">
        <w:t>rando</w:t>
      </w:r>
      <w:r w:rsidR="00F97688" w:rsidRPr="00F97688">
        <w:t>mL</w:t>
      </w:r>
      <w:r w:rsidRPr="00F259A2">
        <w:t>y</w:t>
      </w:r>
      <w:proofErr w:type="spellEnd"/>
      <w:r w:rsidRPr="00F259A2">
        <w:t xml:space="preserve"> nicking the DNA and bacterial DNA polymerase I</w:t>
      </w:r>
      <w:r w:rsidR="00E545DF" w:rsidRPr="00F259A2">
        <w:t>,</w:t>
      </w:r>
      <w:r w:rsidRPr="00F259A2">
        <w:t xml:space="preserve"> are employed in this assay. The latter enzyme possesses </w:t>
      </w:r>
      <w:r w:rsidR="00E545DF" w:rsidRPr="00F259A2">
        <w:t>a 5’</w:t>
      </w:r>
      <w:r w:rsidR="00E545DF" w:rsidRPr="00F259A2">
        <w:sym w:font="Wingdings" w:char="F0E0"/>
      </w:r>
      <w:r w:rsidR="00E545DF" w:rsidRPr="00F259A2">
        <w:t>3’ exonuclease activity to remove 1</w:t>
      </w:r>
      <w:r w:rsidR="00742086" w:rsidRPr="00F259A2">
        <w:t>–10</w:t>
      </w:r>
      <w:r w:rsidR="00E545DF" w:rsidRPr="00F259A2">
        <w:t xml:space="preserve"> nucleotides starting from a nick in the DNA as well as a </w:t>
      </w:r>
      <w:r w:rsidRPr="00F259A2">
        <w:t>5’</w:t>
      </w:r>
      <w:r w:rsidR="00E545DF" w:rsidRPr="00F259A2">
        <w:sym w:font="Wingdings" w:char="F0E0"/>
      </w:r>
      <w:r w:rsidRPr="00F259A2">
        <w:t xml:space="preserve">3’ polymerizing </w:t>
      </w:r>
      <w:r w:rsidR="00A3472E" w:rsidRPr="00F259A2">
        <w:t>gap</w:t>
      </w:r>
      <w:r w:rsidR="00AD5B6B">
        <w:t>--</w:t>
      </w:r>
      <w:r w:rsidR="00A3472E" w:rsidRPr="00F259A2">
        <w:t xml:space="preserve">filling </w:t>
      </w:r>
      <w:r w:rsidRPr="00F259A2">
        <w:t>activity</w:t>
      </w:r>
      <w:r w:rsidR="008A5EE5">
        <w:t>,</w:t>
      </w:r>
      <w:r w:rsidRPr="00F259A2">
        <w:t xml:space="preserve"> </w:t>
      </w:r>
      <w:r w:rsidR="00E545DF" w:rsidRPr="00F259A2">
        <w:t>elongating the DNA from the 3’ hydroxyl terminus</w:t>
      </w:r>
      <w:r w:rsidR="00A3472E" w:rsidRPr="00F259A2">
        <w:t xml:space="preserve"> mediating nick translation along the strand. By encountering a nick on the opposite strand</w:t>
      </w:r>
      <w:r w:rsidR="001E4136">
        <w:t>,</w:t>
      </w:r>
      <w:r w:rsidR="00A3472E" w:rsidRPr="00F259A2">
        <w:t xml:space="preserve"> a double</w:t>
      </w:r>
      <w:r w:rsidR="00AD5B6B">
        <w:t>--</w:t>
      </w:r>
      <w:r w:rsidR="00A3472E" w:rsidRPr="00F259A2">
        <w:t xml:space="preserve">strand break will be generated. </w:t>
      </w:r>
      <w:r w:rsidR="004C2D23" w:rsidRPr="00F259A2">
        <w:t xml:space="preserve">For </w:t>
      </w:r>
      <w:r w:rsidR="00A3472E" w:rsidRPr="00F259A2">
        <w:t xml:space="preserve">DNA </w:t>
      </w:r>
      <w:r w:rsidR="004C2D23" w:rsidRPr="00F259A2">
        <w:t>polymerization, this template</w:t>
      </w:r>
      <w:r w:rsidR="00AD5B6B">
        <w:t>--</w:t>
      </w:r>
      <w:r w:rsidR="004C2D23" w:rsidRPr="00F259A2">
        <w:t xml:space="preserve">dependent enzyme requires deoxynucleotides (dNTP) and </w:t>
      </w:r>
      <w:r w:rsidR="00E545DF" w:rsidRPr="00F259A2">
        <w:t>bivalent Mg</w:t>
      </w:r>
      <w:r w:rsidR="00E545DF" w:rsidRPr="00F259A2">
        <w:rPr>
          <w:vertAlign w:val="superscript"/>
        </w:rPr>
        <w:t>2+</w:t>
      </w:r>
      <w:r w:rsidR="002470D5">
        <w:rPr>
          <w:vertAlign w:val="superscript"/>
        </w:rPr>
        <w:t xml:space="preserve"> </w:t>
      </w:r>
      <w:r w:rsidR="004C2D23" w:rsidRPr="00F259A2">
        <w:t>ions.</w:t>
      </w:r>
      <w:r w:rsidR="002470D5">
        <w:t xml:space="preserve"> </w:t>
      </w:r>
      <w:r w:rsidR="003E1D11" w:rsidRPr="00F259A2">
        <w:t xml:space="preserve">To enhance the efficiency of DNA labelling the employed DNA polymerase I </w:t>
      </w:r>
      <w:r w:rsidR="00333E27" w:rsidRPr="00F259A2">
        <w:t>lack</w:t>
      </w:r>
      <w:r w:rsidR="00434E96">
        <w:t>s</w:t>
      </w:r>
      <w:r w:rsidR="00333E27" w:rsidRPr="00F259A2">
        <w:t xml:space="preserve"> the 3’</w:t>
      </w:r>
      <w:r w:rsidR="00333E27" w:rsidRPr="00F259A2">
        <w:sym w:font="Wingdings" w:char="F0E0"/>
      </w:r>
      <w:r w:rsidR="00333E27" w:rsidRPr="00F259A2">
        <w:t>5’ proofreading activity</w:t>
      </w:r>
      <w:r w:rsidR="003E1D11" w:rsidRPr="00F259A2">
        <w:t xml:space="preserve">, which is found in </w:t>
      </w:r>
      <w:r w:rsidR="00333E27" w:rsidRPr="00F259A2">
        <w:t xml:space="preserve">the native enzyme. </w:t>
      </w:r>
      <w:r w:rsidR="00A3472E" w:rsidRPr="00F259A2">
        <w:t xml:space="preserve">This assay </w:t>
      </w:r>
      <w:r w:rsidR="001E4136" w:rsidRPr="00F259A2">
        <w:t>produce</w:t>
      </w:r>
      <w:r w:rsidR="001E4136">
        <w:t>s</w:t>
      </w:r>
      <w:r w:rsidR="001E4136" w:rsidRPr="00F259A2">
        <w:t xml:space="preserve"> </w:t>
      </w:r>
      <w:r w:rsidR="00A3472E" w:rsidRPr="00F259A2">
        <w:t>a range of differently sized probes resulting in smaller fragments over time.</w:t>
      </w:r>
    </w:p>
    <w:p w14:paraId="775110D3" w14:textId="77777777" w:rsidR="001C1B16" w:rsidRPr="00F259A2" w:rsidRDefault="001C1B16" w:rsidP="008A5EE5">
      <w:pPr>
        <w:spacing w:line="480" w:lineRule="auto"/>
        <w:ind w:left="284"/>
      </w:pPr>
    </w:p>
    <w:p w14:paraId="7BFF790B" w14:textId="77777777" w:rsidR="00AD632F" w:rsidRDefault="00C96C1D" w:rsidP="008A5EE5">
      <w:pPr>
        <w:pStyle w:val="Footer"/>
        <w:numPr>
          <w:ilvl w:val="0"/>
          <w:numId w:val="35"/>
        </w:numPr>
        <w:tabs>
          <w:tab w:val="clear" w:pos="4536"/>
          <w:tab w:val="clear" w:pos="9072"/>
        </w:tabs>
        <w:spacing w:line="480" w:lineRule="auto"/>
        <w:rPr>
          <w:color w:val="000000"/>
        </w:rPr>
      </w:pPr>
      <w:r w:rsidRPr="00F259A2">
        <w:rPr>
          <w:color w:val="000000"/>
        </w:rPr>
        <w:lastRenderedPageBreak/>
        <w:t>Prerequisites</w:t>
      </w:r>
      <w:r w:rsidR="00090B7B" w:rsidRPr="00F259A2">
        <w:rPr>
          <w:color w:val="000000"/>
        </w:rPr>
        <w:t>:</w:t>
      </w:r>
      <w:r w:rsidR="00302FCD" w:rsidRPr="00F259A2">
        <w:rPr>
          <w:color w:val="000000"/>
        </w:rPr>
        <w:t xml:space="preserve"> </w:t>
      </w:r>
      <w:r w:rsidR="003E1D11" w:rsidRPr="00F259A2">
        <w:rPr>
          <w:color w:val="000000"/>
        </w:rPr>
        <w:t xml:space="preserve">Set </w:t>
      </w:r>
      <w:r w:rsidR="00E94D04" w:rsidRPr="00F259A2">
        <w:rPr>
          <w:color w:val="000000"/>
        </w:rPr>
        <w:t xml:space="preserve">the </w:t>
      </w:r>
      <w:r w:rsidR="003E1D11" w:rsidRPr="00F259A2">
        <w:rPr>
          <w:color w:val="000000"/>
        </w:rPr>
        <w:t>water bath to 16</w:t>
      </w:r>
      <w:r w:rsidR="002470D5">
        <w:rPr>
          <w:color w:val="000000"/>
        </w:rPr>
        <w:t xml:space="preserve"> </w:t>
      </w:r>
      <w:r w:rsidR="003E1D11" w:rsidRPr="00F259A2">
        <w:rPr>
          <w:color w:val="000000"/>
        </w:rPr>
        <w:t>°C</w:t>
      </w:r>
      <w:r w:rsidR="00090B7B" w:rsidRPr="00F259A2">
        <w:rPr>
          <w:color w:val="000000"/>
        </w:rPr>
        <w:t>, s</w:t>
      </w:r>
      <w:r w:rsidR="003E1D11" w:rsidRPr="00F259A2">
        <w:rPr>
          <w:color w:val="000000"/>
        </w:rPr>
        <w:t xml:space="preserve">et </w:t>
      </w:r>
      <w:r w:rsidR="00364B01" w:rsidRPr="00F259A2">
        <w:rPr>
          <w:color w:val="000000"/>
        </w:rPr>
        <w:t xml:space="preserve">the </w:t>
      </w:r>
      <w:r w:rsidR="003E1D11" w:rsidRPr="00F259A2">
        <w:rPr>
          <w:color w:val="000000"/>
        </w:rPr>
        <w:t>heating blocks to 37</w:t>
      </w:r>
      <w:r w:rsidR="002470D5">
        <w:rPr>
          <w:color w:val="000000"/>
        </w:rPr>
        <w:t xml:space="preserve"> </w:t>
      </w:r>
      <w:r w:rsidR="003E1D11" w:rsidRPr="00F259A2">
        <w:rPr>
          <w:color w:val="000000"/>
        </w:rPr>
        <w:t>°C and 65</w:t>
      </w:r>
      <w:r w:rsidR="002470D5">
        <w:rPr>
          <w:color w:val="000000"/>
        </w:rPr>
        <w:t xml:space="preserve"> </w:t>
      </w:r>
      <w:r w:rsidR="003E1D11" w:rsidRPr="00F259A2">
        <w:rPr>
          <w:color w:val="000000"/>
        </w:rPr>
        <w:t>°C</w:t>
      </w:r>
      <w:r w:rsidR="00090B7B" w:rsidRPr="00F259A2">
        <w:rPr>
          <w:color w:val="000000"/>
        </w:rPr>
        <w:t>, c</w:t>
      </w:r>
      <w:r w:rsidR="003E1D11" w:rsidRPr="00F259A2">
        <w:rPr>
          <w:color w:val="000000"/>
        </w:rPr>
        <w:t xml:space="preserve">ool down absolute ethanol at </w:t>
      </w:r>
      <w:r w:rsidR="00AD5B6B">
        <w:rPr>
          <w:color w:val="000000"/>
        </w:rPr>
        <w:t>--</w:t>
      </w:r>
      <w:r w:rsidR="003E1D11" w:rsidRPr="00F259A2">
        <w:rPr>
          <w:color w:val="000000"/>
        </w:rPr>
        <w:t>20</w:t>
      </w:r>
      <w:r w:rsidR="002470D5">
        <w:rPr>
          <w:color w:val="000000"/>
        </w:rPr>
        <w:t xml:space="preserve"> </w:t>
      </w:r>
      <w:r w:rsidR="003E1D11" w:rsidRPr="00F259A2">
        <w:rPr>
          <w:color w:val="000000"/>
        </w:rPr>
        <w:t>°C</w:t>
      </w:r>
      <w:r w:rsidR="00090B7B" w:rsidRPr="00F259A2">
        <w:rPr>
          <w:color w:val="000000"/>
        </w:rPr>
        <w:t>, p</w:t>
      </w:r>
      <w:r w:rsidR="003E1D11" w:rsidRPr="00F259A2">
        <w:rPr>
          <w:color w:val="000000"/>
        </w:rPr>
        <w:t>repare agarose gel and buffers during the procedure</w:t>
      </w:r>
    </w:p>
    <w:p w14:paraId="12D387B8" w14:textId="77777777" w:rsidR="00AD632F" w:rsidRDefault="009A377C" w:rsidP="008A5EE5">
      <w:pPr>
        <w:pStyle w:val="ListParagraph"/>
        <w:numPr>
          <w:ilvl w:val="0"/>
          <w:numId w:val="35"/>
        </w:numPr>
        <w:spacing w:line="480" w:lineRule="auto"/>
        <w:rPr>
          <w:color w:val="000000"/>
        </w:rPr>
      </w:pPr>
      <w:r w:rsidRPr="009A377C">
        <w:rPr>
          <w:color w:val="000000"/>
        </w:rPr>
        <w:t xml:space="preserve">Mix reactions from </w:t>
      </w:r>
      <w:r w:rsidRPr="00955464">
        <w:rPr>
          <w:b/>
          <w:color w:val="000000"/>
        </w:rPr>
        <w:t>Table 1</w:t>
      </w:r>
      <w:r w:rsidRPr="009A377C">
        <w:rPr>
          <w:color w:val="000000"/>
        </w:rPr>
        <w:t xml:space="preserve"> in 500</w:t>
      </w:r>
      <w:r w:rsidR="00F97688" w:rsidRPr="00F97688">
        <w:rPr>
          <w:color w:val="000000"/>
        </w:rPr>
        <w:t>µL</w:t>
      </w:r>
      <w:r w:rsidRPr="009A377C">
        <w:rPr>
          <w:color w:val="000000"/>
        </w:rPr>
        <w:t xml:space="preserve"> vials, e.g. Eppendorf vials, always pipette enzymes on ice (</w:t>
      </w:r>
      <w:r w:rsidRPr="009A377C">
        <w:rPr>
          <w:i/>
          <w:color w:val="000000"/>
        </w:rPr>
        <w:t>see</w:t>
      </w:r>
      <w:r w:rsidRPr="009A377C">
        <w:rPr>
          <w:color w:val="000000"/>
        </w:rPr>
        <w:t xml:space="preserve"> </w:t>
      </w:r>
      <w:r w:rsidRPr="009A377C">
        <w:rPr>
          <w:b/>
          <w:color w:val="000000"/>
        </w:rPr>
        <w:t>Note 1</w:t>
      </w:r>
      <w:r w:rsidRPr="009A377C">
        <w:rPr>
          <w:color w:val="000000"/>
        </w:rPr>
        <w:t>)</w:t>
      </w:r>
    </w:p>
    <w:p w14:paraId="580A66E6" w14:textId="77777777" w:rsidR="00AD632F" w:rsidRDefault="009A377C" w:rsidP="008A5EE5">
      <w:pPr>
        <w:pStyle w:val="ListParagraph"/>
        <w:numPr>
          <w:ilvl w:val="0"/>
          <w:numId w:val="35"/>
        </w:numPr>
        <w:spacing w:line="480" w:lineRule="auto"/>
        <w:rPr>
          <w:color w:val="000000"/>
        </w:rPr>
      </w:pPr>
      <w:r w:rsidRPr="009A377C">
        <w:rPr>
          <w:color w:val="000000"/>
        </w:rPr>
        <w:t>Incubate reactions at 16</w:t>
      </w:r>
      <w:r w:rsidR="002470D5">
        <w:rPr>
          <w:color w:val="000000"/>
        </w:rPr>
        <w:t xml:space="preserve"> </w:t>
      </w:r>
      <w:r w:rsidRPr="009A377C">
        <w:rPr>
          <w:color w:val="000000"/>
        </w:rPr>
        <w:t xml:space="preserve">°C for 90 min and </w:t>
      </w:r>
      <w:r w:rsidR="001E4136">
        <w:rPr>
          <w:color w:val="000000"/>
        </w:rPr>
        <w:t xml:space="preserve">then </w:t>
      </w:r>
      <w:r w:rsidRPr="009A377C">
        <w:rPr>
          <w:color w:val="000000"/>
        </w:rPr>
        <w:t>put them on ice</w:t>
      </w:r>
    </w:p>
    <w:p w14:paraId="221A6338" w14:textId="77777777" w:rsidR="00AD632F" w:rsidRDefault="009A377C" w:rsidP="008A5EE5">
      <w:pPr>
        <w:pStyle w:val="ListParagraph"/>
        <w:numPr>
          <w:ilvl w:val="0"/>
          <w:numId w:val="35"/>
        </w:numPr>
        <w:spacing w:line="480" w:lineRule="auto"/>
        <w:rPr>
          <w:color w:val="000000"/>
        </w:rPr>
      </w:pPr>
      <w:r w:rsidRPr="009A377C">
        <w:rPr>
          <w:color w:val="000000"/>
        </w:rPr>
        <w:t xml:space="preserve">Run 10 </w:t>
      </w:r>
      <w:r w:rsidR="00F97688" w:rsidRPr="00F97688">
        <w:rPr>
          <w:color w:val="000000"/>
        </w:rPr>
        <w:t>µL</w:t>
      </w:r>
      <w:r w:rsidRPr="009A377C">
        <w:rPr>
          <w:color w:val="000000"/>
        </w:rPr>
        <w:t xml:space="preserve"> volume of each reaction on a 1.5% agarose gel – the range of the length of the labelled DNA fragments on the gel should run as a smear from 0.3–2.3 kb (</w:t>
      </w:r>
      <w:r w:rsidRPr="00365D1A">
        <w:rPr>
          <w:i/>
          <w:color w:val="000000"/>
        </w:rPr>
        <w:t>see</w:t>
      </w:r>
      <w:r w:rsidRPr="009A377C">
        <w:rPr>
          <w:color w:val="000000"/>
        </w:rPr>
        <w:t xml:space="preserve"> </w:t>
      </w:r>
      <w:r w:rsidR="001E4136" w:rsidRPr="00DE2A7F">
        <w:rPr>
          <w:b/>
          <w:color w:val="000000"/>
        </w:rPr>
        <w:t>S</w:t>
      </w:r>
      <w:r w:rsidRPr="00DE2A7F">
        <w:rPr>
          <w:b/>
          <w:color w:val="000000"/>
        </w:rPr>
        <w:t>ection 3.1.2</w:t>
      </w:r>
      <w:r w:rsidRPr="009A377C">
        <w:rPr>
          <w:color w:val="000000"/>
        </w:rPr>
        <w:t>)</w:t>
      </w:r>
    </w:p>
    <w:p w14:paraId="695D10C4" w14:textId="77777777" w:rsidR="00AD632F" w:rsidRDefault="009A377C" w:rsidP="008A5EE5">
      <w:pPr>
        <w:pStyle w:val="ListParagraph"/>
        <w:numPr>
          <w:ilvl w:val="0"/>
          <w:numId w:val="35"/>
        </w:numPr>
        <w:spacing w:line="480" w:lineRule="auto"/>
        <w:rPr>
          <w:color w:val="000000"/>
        </w:rPr>
      </w:pPr>
      <w:r w:rsidRPr="009A377C">
        <w:rPr>
          <w:color w:val="000000"/>
        </w:rPr>
        <w:t>Continue incubation at 16 °C for another 15</w:t>
      </w:r>
      <w:r w:rsidR="00AD5B6B">
        <w:rPr>
          <w:color w:val="000000"/>
        </w:rPr>
        <w:t>--</w:t>
      </w:r>
      <w:r w:rsidRPr="009A377C">
        <w:rPr>
          <w:color w:val="000000"/>
        </w:rPr>
        <w:t>30 min if the fragments are still too large  or stop reaction at 65 °C for 15 min accordingly</w:t>
      </w:r>
    </w:p>
    <w:p w14:paraId="32591C99" w14:textId="77777777" w:rsidR="00AD632F" w:rsidRDefault="009A377C" w:rsidP="008A5EE5">
      <w:pPr>
        <w:pStyle w:val="ListParagraph"/>
        <w:numPr>
          <w:ilvl w:val="0"/>
          <w:numId w:val="35"/>
        </w:numPr>
        <w:spacing w:line="480" w:lineRule="auto"/>
        <w:rPr>
          <w:color w:val="000000"/>
        </w:rPr>
      </w:pPr>
      <w:r w:rsidRPr="009A377C">
        <w:rPr>
          <w:color w:val="000000"/>
        </w:rPr>
        <w:t xml:space="preserve">Remove excess nucleotides, by using </w:t>
      </w:r>
      <w:r w:rsidR="00222803" w:rsidRPr="009A377C">
        <w:rPr>
          <w:color w:val="000000"/>
        </w:rPr>
        <w:t xml:space="preserve">Nucleotide Removal Kit </w:t>
      </w:r>
      <w:r w:rsidR="00222803">
        <w:rPr>
          <w:color w:val="000000"/>
        </w:rPr>
        <w:t xml:space="preserve">commercially available (e.g. </w:t>
      </w:r>
      <w:r w:rsidRPr="009A377C">
        <w:rPr>
          <w:color w:val="000000"/>
        </w:rPr>
        <w:t>Bio Spin 30 columns [Bio</w:t>
      </w:r>
      <w:r w:rsidR="00AD5B6B">
        <w:rPr>
          <w:color w:val="000000"/>
        </w:rPr>
        <w:t>--</w:t>
      </w:r>
      <w:r w:rsidRPr="009A377C">
        <w:rPr>
          <w:color w:val="000000"/>
        </w:rPr>
        <w:t xml:space="preserve">Rad] or </w:t>
      </w:r>
      <w:r w:rsidR="00222803" w:rsidRPr="009A377C">
        <w:rPr>
          <w:color w:val="000000"/>
        </w:rPr>
        <w:t xml:space="preserve">the </w:t>
      </w:r>
      <w:proofErr w:type="spellStart"/>
      <w:r w:rsidR="00222803" w:rsidRPr="009A377C">
        <w:rPr>
          <w:color w:val="000000"/>
        </w:rPr>
        <w:t>QIAquick</w:t>
      </w:r>
      <w:proofErr w:type="spellEnd"/>
      <w:r w:rsidR="00222803" w:rsidRPr="009A377C">
        <w:rPr>
          <w:color w:val="000000"/>
        </w:rPr>
        <w:t xml:space="preserve"> </w:t>
      </w:r>
      <w:r w:rsidRPr="009A377C">
        <w:rPr>
          <w:color w:val="000000"/>
        </w:rPr>
        <w:t>from QIAGEN</w:t>
      </w:r>
      <w:r w:rsidR="00F56050">
        <w:rPr>
          <w:color w:val="000000"/>
        </w:rPr>
        <w:t>)</w:t>
      </w:r>
    </w:p>
    <w:p w14:paraId="1FAAFAEB" w14:textId="77777777" w:rsidR="00AD632F" w:rsidRDefault="009A377C" w:rsidP="008A5EE5">
      <w:pPr>
        <w:pStyle w:val="ListParagraph"/>
        <w:numPr>
          <w:ilvl w:val="0"/>
          <w:numId w:val="35"/>
        </w:numPr>
        <w:spacing w:line="480" w:lineRule="auto"/>
        <w:rPr>
          <w:color w:val="000000"/>
        </w:rPr>
      </w:pPr>
      <w:r w:rsidRPr="009A377C">
        <w:rPr>
          <w:color w:val="000000"/>
        </w:rPr>
        <w:t>Ethanol</w:t>
      </w:r>
      <w:r w:rsidR="00AD5B6B">
        <w:rPr>
          <w:color w:val="000000"/>
        </w:rPr>
        <w:t>--</w:t>
      </w:r>
      <w:r w:rsidRPr="009A377C">
        <w:rPr>
          <w:color w:val="000000"/>
        </w:rPr>
        <w:t>precipitate the labelled DNA (</w:t>
      </w:r>
      <w:r w:rsidRPr="00F56050">
        <w:rPr>
          <w:i/>
          <w:color w:val="000000"/>
        </w:rPr>
        <w:t>see</w:t>
      </w:r>
      <w:r w:rsidRPr="009A377C">
        <w:rPr>
          <w:color w:val="000000"/>
        </w:rPr>
        <w:t xml:space="preserve"> </w:t>
      </w:r>
      <w:r w:rsidR="00222803" w:rsidRPr="00F56050">
        <w:rPr>
          <w:b/>
          <w:color w:val="000000"/>
        </w:rPr>
        <w:t>S</w:t>
      </w:r>
      <w:r w:rsidRPr="00F56050">
        <w:rPr>
          <w:b/>
          <w:color w:val="000000"/>
        </w:rPr>
        <w:t>ection 3.1.3</w:t>
      </w:r>
      <w:r w:rsidRPr="009A377C">
        <w:rPr>
          <w:color w:val="000000"/>
        </w:rPr>
        <w:t>)</w:t>
      </w:r>
    </w:p>
    <w:p w14:paraId="7D68BAF8" w14:textId="77777777" w:rsidR="00AD632F" w:rsidRDefault="00DE3674" w:rsidP="008A5EE5">
      <w:pPr>
        <w:pStyle w:val="ListParagraph"/>
        <w:numPr>
          <w:ilvl w:val="0"/>
          <w:numId w:val="35"/>
        </w:numPr>
        <w:spacing w:line="480" w:lineRule="auto"/>
        <w:rPr>
          <w:color w:val="000000"/>
        </w:rPr>
      </w:pPr>
      <w:r>
        <w:rPr>
          <w:color w:val="000000"/>
        </w:rPr>
        <w:t>Keep the r</w:t>
      </w:r>
      <w:r w:rsidR="009A377C" w:rsidRPr="009A377C">
        <w:rPr>
          <w:color w:val="000000"/>
        </w:rPr>
        <w:t>esuspend</w:t>
      </w:r>
      <w:r>
        <w:rPr>
          <w:color w:val="000000"/>
        </w:rPr>
        <w:t>ed</w:t>
      </w:r>
      <w:r w:rsidR="009A377C" w:rsidRPr="009A377C">
        <w:rPr>
          <w:color w:val="000000"/>
        </w:rPr>
        <w:t xml:space="preserve"> DNA</w:t>
      </w:r>
      <w:r>
        <w:rPr>
          <w:color w:val="000000"/>
        </w:rPr>
        <w:t xml:space="preserve"> in the fridge </w:t>
      </w:r>
      <w:r w:rsidR="00C4136F">
        <w:rPr>
          <w:color w:val="000000"/>
        </w:rPr>
        <w:t xml:space="preserve">before </w:t>
      </w:r>
      <w:r>
        <w:rPr>
          <w:color w:val="000000"/>
        </w:rPr>
        <w:t>use</w:t>
      </w:r>
      <w:r w:rsidR="00434E96">
        <w:rPr>
          <w:color w:val="000000"/>
        </w:rPr>
        <w:t>.</w:t>
      </w:r>
      <w:r>
        <w:rPr>
          <w:color w:val="000000"/>
        </w:rPr>
        <w:t xml:space="preserve"> For longer storage, store at </w:t>
      </w:r>
      <w:r w:rsidR="00AD5B6B">
        <w:rPr>
          <w:color w:val="000000"/>
        </w:rPr>
        <w:t>-</w:t>
      </w:r>
      <w:r>
        <w:rPr>
          <w:color w:val="000000"/>
        </w:rPr>
        <w:t xml:space="preserve">20 </w:t>
      </w:r>
      <w:r w:rsidRPr="002470D5">
        <w:rPr>
          <w:color w:val="000000"/>
        </w:rPr>
        <w:t>°C</w:t>
      </w:r>
    </w:p>
    <w:p w14:paraId="35D9C5BD" w14:textId="77777777" w:rsidR="001C1B16" w:rsidRPr="00DE3674" w:rsidRDefault="001C1B16" w:rsidP="008A5EE5">
      <w:pPr>
        <w:pStyle w:val="Footer"/>
        <w:tabs>
          <w:tab w:val="clear" w:pos="4536"/>
          <w:tab w:val="clear" w:pos="9072"/>
        </w:tabs>
        <w:spacing w:line="480" w:lineRule="auto"/>
        <w:rPr>
          <w:color w:val="000000"/>
        </w:rPr>
      </w:pPr>
    </w:p>
    <w:p w14:paraId="7E83B10F" w14:textId="77777777" w:rsidR="001C1B16" w:rsidRPr="00DE3674" w:rsidRDefault="005E6C1B" w:rsidP="008A5EE5">
      <w:pPr>
        <w:pStyle w:val="Footer"/>
        <w:tabs>
          <w:tab w:val="clear" w:pos="4536"/>
          <w:tab w:val="clear" w:pos="9072"/>
        </w:tabs>
        <w:spacing w:line="480" w:lineRule="auto"/>
        <w:rPr>
          <w:color w:val="000000"/>
        </w:rPr>
      </w:pPr>
      <w:r w:rsidRPr="00DE3674">
        <w:rPr>
          <w:color w:val="000000"/>
        </w:rPr>
        <w:t xml:space="preserve">&lt; Insert </w:t>
      </w:r>
      <w:r w:rsidRPr="00DE3674">
        <w:rPr>
          <w:b/>
          <w:color w:val="000000"/>
        </w:rPr>
        <w:t>Table 1</w:t>
      </w:r>
      <w:r w:rsidRPr="00DE3674">
        <w:rPr>
          <w:color w:val="000000"/>
        </w:rPr>
        <w:t xml:space="preserve"> here &gt;</w:t>
      </w:r>
    </w:p>
    <w:p w14:paraId="1D2C7EA4" w14:textId="77777777" w:rsidR="001C1B16" w:rsidRPr="00DE3674" w:rsidRDefault="001C1B16" w:rsidP="008A5EE5">
      <w:pPr>
        <w:pStyle w:val="Footer"/>
        <w:tabs>
          <w:tab w:val="clear" w:pos="4536"/>
          <w:tab w:val="clear" w:pos="9072"/>
        </w:tabs>
        <w:spacing w:line="480" w:lineRule="auto"/>
        <w:rPr>
          <w:color w:val="000000"/>
        </w:rPr>
      </w:pPr>
    </w:p>
    <w:p w14:paraId="4F032C86" w14:textId="77777777" w:rsidR="001C1B16" w:rsidRPr="00DE3674" w:rsidRDefault="001C1B16" w:rsidP="008A5EE5">
      <w:pPr>
        <w:pStyle w:val="Footer"/>
        <w:spacing w:line="480" w:lineRule="auto"/>
        <w:rPr>
          <w:color w:val="000000"/>
        </w:rPr>
      </w:pPr>
    </w:p>
    <w:p w14:paraId="47CFED71" w14:textId="77777777" w:rsidR="001C1B16" w:rsidRPr="00DE3674" w:rsidRDefault="0049255E" w:rsidP="008A5EE5">
      <w:pPr>
        <w:pStyle w:val="Heading1"/>
        <w:spacing w:line="480" w:lineRule="auto"/>
        <w:rPr>
          <w:color w:val="000000"/>
        </w:rPr>
      </w:pPr>
      <w:r w:rsidRPr="00DE3674">
        <w:rPr>
          <w:color w:val="000000"/>
        </w:rPr>
        <w:t>3.1.</w:t>
      </w:r>
      <w:r w:rsidR="00AE66D6" w:rsidRPr="00DE3674">
        <w:rPr>
          <w:color w:val="000000"/>
        </w:rPr>
        <w:t>2</w:t>
      </w:r>
      <w:r w:rsidR="009F7D7D" w:rsidRPr="00DE3674">
        <w:rPr>
          <w:color w:val="000000"/>
        </w:rPr>
        <w:t>. Agarose gel</w:t>
      </w:r>
      <w:r w:rsidR="007B496A" w:rsidRPr="00DE3674">
        <w:rPr>
          <w:color w:val="000000"/>
        </w:rPr>
        <w:t xml:space="preserve"> electrophoresis</w:t>
      </w:r>
    </w:p>
    <w:p w14:paraId="0ED4DCF3" w14:textId="77777777" w:rsidR="001C1B16" w:rsidRPr="00DE3674" w:rsidRDefault="001C1B16" w:rsidP="008A5EE5">
      <w:pPr>
        <w:pStyle w:val="Footer"/>
        <w:tabs>
          <w:tab w:val="clear" w:pos="4536"/>
          <w:tab w:val="clear" w:pos="9072"/>
        </w:tabs>
        <w:spacing w:line="480" w:lineRule="auto"/>
        <w:rPr>
          <w:color w:val="000000"/>
        </w:rPr>
      </w:pPr>
    </w:p>
    <w:p w14:paraId="172D020A" w14:textId="77777777" w:rsidR="00634F5E" w:rsidRPr="00F259A2" w:rsidRDefault="009A377C" w:rsidP="008A5EE5">
      <w:pPr>
        <w:pStyle w:val="Footer"/>
        <w:numPr>
          <w:ilvl w:val="0"/>
          <w:numId w:val="32"/>
        </w:numPr>
        <w:tabs>
          <w:tab w:val="clear" w:pos="4536"/>
          <w:tab w:val="clear" w:pos="9072"/>
        </w:tabs>
        <w:spacing w:line="480" w:lineRule="auto"/>
        <w:rPr>
          <w:color w:val="000000"/>
        </w:rPr>
      </w:pPr>
      <w:r w:rsidRPr="009A377C">
        <w:rPr>
          <w:color w:val="000000"/>
        </w:rPr>
        <w:t>Prepare</w:t>
      </w:r>
      <w:r w:rsidR="009F7D7D" w:rsidRPr="00F259A2">
        <w:rPr>
          <w:color w:val="000000"/>
        </w:rPr>
        <w:t xml:space="preserve"> </w:t>
      </w:r>
      <w:r w:rsidR="009F7D7D" w:rsidRPr="00DE3674">
        <w:rPr>
          <w:color w:val="000000"/>
        </w:rPr>
        <w:t>a 1.5% normal melting point agaros</w:t>
      </w:r>
      <w:r w:rsidR="009F7D7D" w:rsidRPr="00F259A2">
        <w:rPr>
          <w:color w:val="000000"/>
        </w:rPr>
        <w:t xml:space="preserve">e gel in </w:t>
      </w:r>
      <w:r w:rsidR="00526329" w:rsidRPr="00F259A2">
        <w:rPr>
          <w:color w:val="000000"/>
        </w:rPr>
        <w:t>1</w:t>
      </w:r>
      <w:r w:rsidR="005458EA">
        <w:rPr>
          <w:color w:val="000000"/>
        </w:rPr>
        <w:t>X</w:t>
      </w:r>
      <w:r w:rsidR="00526329" w:rsidRPr="00F259A2">
        <w:rPr>
          <w:color w:val="000000"/>
        </w:rPr>
        <w:t xml:space="preserve"> </w:t>
      </w:r>
      <w:r w:rsidR="00006F34" w:rsidRPr="00F259A2">
        <w:rPr>
          <w:color w:val="000000"/>
        </w:rPr>
        <w:t>TAE buffer</w:t>
      </w:r>
    </w:p>
    <w:p w14:paraId="34B3F01B" w14:textId="77777777" w:rsidR="00634F5E" w:rsidRPr="00F259A2" w:rsidRDefault="00634F5E" w:rsidP="008A5EE5">
      <w:pPr>
        <w:pStyle w:val="Footer"/>
        <w:numPr>
          <w:ilvl w:val="0"/>
          <w:numId w:val="32"/>
        </w:numPr>
        <w:tabs>
          <w:tab w:val="clear" w:pos="4536"/>
          <w:tab w:val="clear" w:pos="9072"/>
        </w:tabs>
        <w:spacing w:line="480" w:lineRule="auto"/>
        <w:rPr>
          <w:color w:val="000000"/>
        </w:rPr>
      </w:pPr>
      <w:r w:rsidRPr="00F259A2">
        <w:rPr>
          <w:color w:val="000000"/>
        </w:rPr>
        <w:lastRenderedPageBreak/>
        <w:t>M</w:t>
      </w:r>
      <w:r w:rsidR="00526329" w:rsidRPr="00F259A2">
        <w:rPr>
          <w:color w:val="000000"/>
        </w:rPr>
        <w:t xml:space="preserve">ix </w:t>
      </w:r>
      <w:r w:rsidR="00434E96">
        <w:rPr>
          <w:color w:val="000000"/>
        </w:rPr>
        <w:t>10</w:t>
      </w:r>
      <w:r w:rsidR="00526329" w:rsidRPr="00F259A2">
        <w:rPr>
          <w:color w:val="000000"/>
        </w:rPr>
        <w:t xml:space="preserve"> </w:t>
      </w:r>
      <w:r w:rsidR="00F97688" w:rsidRPr="00F97688">
        <w:rPr>
          <w:color w:val="000000"/>
        </w:rPr>
        <w:t>µL</w:t>
      </w:r>
      <w:r w:rsidR="00526329" w:rsidRPr="00F259A2">
        <w:rPr>
          <w:color w:val="000000"/>
        </w:rPr>
        <w:t xml:space="preserve"> </w:t>
      </w:r>
      <w:r w:rsidR="00434E11">
        <w:rPr>
          <w:color w:val="000000"/>
        </w:rPr>
        <w:t xml:space="preserve">of </w:t>
      </w:r>
      <w:r w:rsidR="00526329" w:rsidRPr="00F259A2">
        <w:rPr>
          <w:color w:val="000000"/>
        </w:rPr>
        <w:t xml:space="preserve">reaction volume with 1 </w:t>
      </w:r>
      <w:r w:rsidR="00F97688" w:rsidRPr="00F97688">
        <w:rPr>
          <w:color w:val="000000"/>
        </w:rPr>
        <w:t>µL</w:t>
      </w:r>
      <w:r w:rsidR="00526329" w:rsidRPr="00F259A2">
        <w:rPr>
          <w:color w:val="000000"/>
        </w:rPr>
        <w:t xml:space="preserve"> </w:t>
      </w:r>
      <w:r w:rsidR="00434E11">
        <w:rPr>
          <w:color w:val="000000"/>
        </w:rPr>
        <w:t xml:space="preserve">of </w:t>
      </w:r>
      <w:r w:rsidR="00526329" w:rsidRPr="00F259A2">
        <w:rPr>
          <w:color w:val="000000"/>
        </w:rPr>
        <w:t xml:space="preserve">loading </w:t>
      </w:r>
      <w:r w:rsidR="00434E96">
        <w:rPr>
          <w:color w:val="000000"/>
        </w:rPr>
        <w:t>dye</w:t>
      </w:r>
      <w:r w:rsidR="00434E96" w:rsidRPr="00F259A2">
        <w:rPr>
          <w:color w:val="000000"/>
        </w:rPr>
        <w:t xml:space="preserve"> </w:t>
      </w:r>
      <w:r w:rsidRPr="00F259A2">
        <w:rPr>
          <w:color w:val="000000"/>
        </w:rPr>
        <w:t xml:space="preserve">– </w:t>
      </w:r>
      <w:r w:rsidR="00090B7B" w:rsidRPr="00F259A2">
        <w:rPr>
          <w:color w:val="000000"/>
        </w:rPr>
        <w:t>a</w:t>
      </w:r>
      <w:r w:rsidR="00526329" w:rsidRPr="00F259A2">
        <w:rPr>
          <w:color w:val="000000"/>
        </w:rPr>
        <w:t xml:space="preserve">s a </w:t>
      </w:r>
      <w:r w:rsidR="001761E2" w:rsidRPr="00F259A2">
        <w:rPr>
          <w:color w:val="000000"/>
        </w:rPr>
        <w:t>marker</w:t>
      </w:r>
      <w:r w:rsidR="00526329" w:rsidRPr="00F259A2">
        <w:rPr>
          <w:color w:val="000000"/>
        </w:rPr>
        <w:t xml:space="preserve"> use a 1 kb standard</w:t>
      </w:r>
      <w:r w:rsidR="001761E2" w:rsidRPr="00F259A2">
        <w:rPr>
          <w:color w:val="000000"/>
        </w:rPr>
        <w:t xml:space="preserve"> [</w:t>
      </w:r>
      <w:r w:rsidRPr="00F259A2">
        <w:rPr>
          <w:color w:val="000000"/>
        </w:rPr>
        <w:t xml:space="preserve">e.g. </w:t>
      </w:r>
      <w:proofErr w:type="spellStart"/>
      <w:r w:rsidR="001761E2" w:rsidRPr="00F259A2">
        <w:rPr>
          <w:color w:val="000000"/>
        </w:rPr>
        <w:t>GeneRuler</w:t>
      </w:r>
      <w:proofErr w:type="spellEnd"/>
      <w:r w:rsidR="001761E2" w:rsidRPr="00F259A2">
        <w:rPr>
          <w:color w:val="000000"/>
        </w:rPr>
        <w:t xml:space="preserve">, </w:t>
      </w:r>
      <w:proofErr w:type="spellStart"/>
      <w:r w:rsidR="001761E2" w:rsidRPr="00F259A2">
        <w:rPr>
          <w:color w:val="000000"/>
        </w:rPr>
        <w:t>Fermentas</w:t>
      </w:r>
      <w:proofErr w:type="spellEnd"/>
      <w:r w:rsidR="001761E2" w:rsidRPr="00F259A2">
        <w:rPr>
          <w:color w:val="000000"/>
        </w:rPr>
        <w:t>]</w:t>
      </w:r>
    </w:p>
    <w:p w14:paraId="760F17AB" w14:textId="77777777" w:rsidR="00634F5E" w:rsidRPr="00F259A2" w:rsidRDefault="00634F5E" w:rsidP="008A5EE5">
      <w:pPr>
        <w:pStyle w:val="Footer"/>
        <w:numPr>
          <w:ilvl w:val="0"/>
          <w:numId w:val="32"/>
        </w:numPr>
        <w:tabs>
          <w:tab w:val="clear" w:pos="4536"/>
          <w:tab w:val="clear" w:pos="9072"/>
        </w:tabs>
        <w:spacing w:line="480" w:lineRule="auto"/>
        <w:rPr>
          <w:color w:val="000000"/>
        </w:rPr>
      </w:pPr>
      <w:r w:rsidRPr="00F259A2">
        <w:rPr>
          <w:color w:val="000000"/>
        </w:rPr>
        <w:t>M</w:t>
      </w:r>
      <w:r w:rsidR="001761E2" w:rsidRPr="00F259A2">
        <w:rPr>
          <w:color w:val="000000"/>
        </w:rPr>
        <w:t>ix</w:t>
      </w:r>
      <w:r w:rsidR="00526329" w:rsidRPr="00F259A2">
        <w:rPr>
          <w:color w:val="000000"/>
        </w:rPr>
        <w:t xml:space="preserve"> 4 </w:t>
      </w:r>
      <w:r w:rsidR="00F97688" w:rsidRPr="00F97688">
        <w:rPr>
          <w:color w:val="000000"/>
        </w:rPr>
        <w:t>µL</w:t>
      </w:r>
      <w:r w:rsidR="00526329" w:rsidRPr="00F259A2">
        <w:rPr>
          <w:color w:val="000000"/>
        </w:rPr>
        <w:t xml:space="preserve"> </w:t>
      </w:r>
      <w:r w:rsidR="00434E11">
        <w:rPr>
          <w:color w:val="000000"/>
        </w:rPr>
        <w:t xml:space="preserve">of </w:t>
      </w:r>
      <w:r w:rsidR="00526329" w:rsidRPr="00F259A2">
        <w:rPr>
          <w:color w:val="000000"/>
        </w:rPr>
        <w:t>water</w:t>
      </w:r>
      <w:r w:rsidR="001761E2" w:rsidRPr="00F259A2">
        <w:rPr>
          <w:color w:val="000000"/>
        </w:rPr>
        <w:t xml:space="preserve"> with</w:t>
      </w:r>
      <w:r w:rsidR="00526329" w:rsidRPr="00F259A2">
        <w:rPr>
          <w:color w:val="000000"/>
        </w:rPr>
        <w:t xml:space="preserve"> 1 </w:t>
      </w:r>
      <w:r w:rsidR="00F97688" w:rsidRPr="00F97688">
        <w:rPr>
          <w:color w:val="000000"/>
        </w:rPr>
        <w:t>µL</w:t>
      </w:r>
      <w:r w:rsidR="00526329" w:rsidRPr="00F259A2">
        <w:rPr>
          <w:color w:val="000000"/>
        </w:rPr>
        <w:t xml:space="preserve"> </w:t>
      </w:r>
      <w:r w:rsidR="00222803">
        <w:rPr>
          <w:color w:val="000000"/>
        </w:rPr>
        <w:t xml:space="preserve">of </w:t>
      </w:r>
      <w:r w:rsidR="00526329" w:rsidRPr="00F259A2">
        <w:rPr>
          <w:color w:val="000000"/>
        </w:rPr>
        <w:t xml:space="preserve">1 kb </w:t>
      </w:r>
      <w:r w:rsidR="001761E2" w:rsidRPr="00F259A2">
        <w:rPr>
          <w:color w:val="000000"/>
        </w:rPr>
        <w:t xml:space="preserve">ladder and </w:t>
      </w:r>
      <w:r w:rsidR="00526329" w:rsidRPr="00F259A2">
        <w:rPr>
          <w:color w:val="000000"/>
        </w:rPr>
        <w:t xml:space="preserve">1 </w:t>
      </w:r>
      <w:r w:rsidR="00F97688" w:rsidRPr="00F97688">
        <w:rPr>
          <w:color w:val="000000"/>
        </w:rPr>
        <w:t>µL</w:t>
      </w:r>
      <w:r w:rsidR="00526329" w:rsidRPr="00F259A2">
        <w:rPr>
          <w:color w:val="000000"/>
        </w:rPr>
        <w:t xml:space="preserve"> </w:t>
      </w:r>
      <w:r w:rsidR="00222803">
        <w:rPr>
          <w:color w:val="000000"/>
        </w:rPr>
        <w:t xml:space="preserve">of </w:t>
      </w:r>
      <w:commentRangeStart w:id="5"/>
      <w:r w:rsidR="00526329" w:rsidRPr="00F259A2">
        <w:rPr>
          <w:color w:val="000000"/>
        </w:rPr>
        <w:t>loading buffer</w:t>
      </w:r>
      <w:commentRangeEnd w:id="5"/>
      <w:r w:rsidR="00BB488B">
        <w:rPr>
          <w:color w:val="000000"/>
        </w:rPr>
        <w:t xml:space="preserve"> [e.g. Blue/Orange Loading Dye (6X) from </w:t>
      </w:r>
      <w:r w:rsidR="00434E11">
        <w:rPr>
          <w:rStyle w:val="CommentReference"/>
        </w:rPr>
        <w:commentReference w:id="5"/>
      </w:r>
      <w:r w:rsidR="00BB488B">
        <w:rPr>
          <w:color w:val="000000"/>
        </w:rPr>
        <w:t>Promega</w:t>
      </w:r>
      <w:r w:rsidR="00AE12A6">
        <w:rPr>
          <w:color w:val="000000"/>
        </w:rPr>
        <w:t>)</w:t>
      </w:r>
    </w:p>
    <w:p w14:paraId="3C0BEF7C" w14:textId="77777777" w:rsidR="00634F5E" w:rsidRPr="00F259A2" w:rsidRDefault="00634F5E" w:rsidP="008A5EE5">
      <w:pPr>
        <w:pStyle w:val="Footer"/>
        <w:numPr>
          <w:ilvl w:val="0"/>
          <w:numId w:val="32"/>
        </w:numPr>
        <w:tabs>
          <w:tab w:val="clear" w:pos="4536"/>
          <w:tab w:val="clear" w:pos="9072"/>
        </w:tabs>
        <w:spacing w:line="480" w:lineRule="auto"/>
        <w:rPr>
          <w:color w:val="000000"/>
        </w:rPr>
      </w:pPr>
      <w:r w:rsidRPr="00F259A2">
        <w:rPr>
          <w:color w:val="000000"/>
        </w:rPr>
        <w:t>F</w:t>
      </w:r>
      <w:r w:rsidR="001761E2" w:rsidRPr="00F259A2">
        <w:rPr>
          <w:color w:val="000000"/>
        </w:rPr>
        <w:t>ill the wells of the gel with the standard and the reactions</w:t>
      </w:r>
    </w:p>
    <w:p w14:paraId="30EF4555" w14:textId="77777777" w:rsidR="00634F5E" w:rsidRPr="00F259A2" w:rsidRDefault="00634F5E" w:rsidP="008A5EE5">
      <w:pPr>
        <w:pStyle w:val="Footer"/>
        <w:numPr>
          <w:ilvl w:val="0"/>
          <w:numId w:val="32"/>
        </w:numPr>
        <w:tabs>
          <w:tab w:val="clear" w:pos="4536"/>
          <w:tab w:val="clear" w:pos="9072"/>
        </w:tabs>
        <w:spacing w:line="480" w:lineRule="auto"/>
        <w:rPr>
          <w:color w:val="000000"/>
        </w:rPr>
      </w:pPr>
      <w:r w:rsidRPr="00F259A2">
        <w:rPr>
          <w:color w:val="000000"/>
        </w:rPr>
        <w:t>U</w:t>
      </w:r>
      <w:r w:rsidR="001761E2" w:rsidRPr="00F259A2">
        <w:rPr>
          <w:color w:val="000000"/>
        </w:rPr>
        <w:t>se 1</w:t>
      </w:r>
      <w:r w:rsidR="00222803">
        <w:rPr>
          <w:color w:val="000000"/>
        </w:rPr>
        <w:t>X</w:t>
      </w:r>
      <w:r w:rsidR="001761E2" w:rsidRPr="00F259A2">
        <w:rPr>
          <w:color w:val="000000"/>
        </w:rPr>
        <w:t xml:space="preserve"> TAE buffer as the electrophoresis running buffer</w:t>
      </w:r>
    </w:p>
    <w:p w14:paraId="6643AD30" w14:textId="77777777" w:rsidR="00634F5E" w:rsidRPr="00F259A2" w:rsidRDefault="00634F5E" w:rsidP="008A5EE5">
      <w:pPr>
        <w:pStyle w:val="Footer"/>
        <w:numPr>
          <w:ilvl w:val="0"/>
          <w:numId w:val="32"/>
        </w:numPr>
        <w:tabs>
          <w:tab w:val="clear" w:pos="4536"/>
          <w:tab w:val="clear" w:pos="9072"/>
        </w:tabs>
        <w:spacing w:line="480" w:lineRule="auto"/>
        <w:rPr>
          <w:color w:val="000000"/>
        </w:rPr>
      </w:pPr>
      <w:r w:rsidRPr="00F259A2">
        <w:rPr>
          <w:color w:val="000000"/>
        </w:rPr>
        <w:t>R</w:t>
      </w:r>
      <w:r w:rsidR="00526329" w:rsidRPr="00F259A2">
        <w:rPr>
          <w:color w:val="000000"/>
        </w:rPr>
        <w:t>un the electrophoresis at 100 V, 300 mA for approx</w:t>
      </w:r>
      <w:r w:rsidR="0049255E" w:rsidRPr="00F259A2">
        <w:rPr>
          <w:color w:val="000000"/>
        </w:rPr>
        <w:t>imately</w:t>
      </w:r>
      <w:r w:rsidR="00526329" w:rsidRPr="00F259A2">
        <w:rPr>
          <w:color w:val="000000"/>
        </w:rPr>
        <w:t xml:space="preserve"> 20 min</w:t>
      </w:r>
    </w:p>
    <w:p w14:paraId="4D57E613" w14:textId="77777777" w:rsidR="00634F5E" w:rsidRPr="00F259A2" w:rsidRDefault="00634F5E" w:rsidP="008A5EE5">
      <w:pPr>
        <w:pStyle w:val="Footer"/>
        <w:numPr>
          <w:ilvl w:val="0"/>
          <w:numId w:val="32"/>
        </w:numPr>
        <w:tabs>
          <w:tab w:val="clear" w:pos="4536"/>
          <w:tab w:val="clear" w:pos="9072"/>
        </w:tabs>
        <w:spacing w:line="480" w:lineRule="auto"/>
        <w:rPr>
          <w:color w:val="000000"/>
        </w:rPr>
      </w:pPr>
      <w:r w:rsidRPr="00F259A2">
        <w:rPr>
          <w:color w:val="000000"/>
        </w:rPr>
        <w:t>S</w:t>
      </w:r>
      <w:r w:rsidR="001753B8" w:rsidRPr="00F259A2">
        <w:rPr>
          <w:color w:val="000000"/>
        </w:rPr>
        <w:t>tain the DNA</w:t>
      </w:r>
      <w:r w:rsidR="00365FF8" w:rsidRPr="00F259A2">
        <w:rPr>
          <w:color w:val="000000"/>
        </w:rPr>
        <w:t>,</w:t>
      </w:r>
      <w:r w:rsidR="001753B8" w:rsidRPr="00F259A2">
        <w:rPr>
          <w:color w:val="000000"/>
        </w:rPr>
        <w:t xml:space="preserve"> </w:t>
      </w:r>
      <w:r w:rsidR="00365FF8" w:rsidRPr="00F259A2">
        <w:rPr>
          <w:color w:val="000000"/>
        </w:rPr>
        <w:t>by</w:t>
      </w:r>
      <w:r w:rsidR="001753B8" w:rsidRPr="00F259A2">
        <w:rPr>
          <w:color w:val="000000"/>
        </w:rPr>
        <w:t xml:space="preserve"> using </w:t>
      </w:r>
      <w:r w:rsidR="008A3F74" w:rsidRPr="00F259A2">
        <w:rPr>
          <w:color w:val="000000"/>
        </w:rPr>
        <w:t xml:space="preserve">0.5 </w:t>
      </w:r>
      <w:r w:rsidR="00F97688" w:rsidRPr="00F97688">
        <w:rPr>
          <w:color w:val="000000"/>
        </w:rPr>
        <w:t>µL</w:t>
      </w:r>
      <w:r w:rsidR="008A3F74" w:rsidRPr="00F259A2">
        <w:rPr>
          <w:color w:val="000000"/>
        </w:rPr>
        <w:t>/</w:t>
      </w:r>
      <w:r w:rsidR="00F97688" w:rsidRPr="00F97688">
        <w:rPr>
          <w:color w:val="000000"/>
        </w:rPr>
        <w:t>mL</w:t>
      </w:r>
      <w:r w:rsidR="008A3F74" w:rsidRPr="00F259A2">
        <w:rPr>
          <w:color w:val="000000"/>
        </w:rPr>
        <w:t xml:space="preserve"> of </w:t>
      </w:r>
      <w:r w:rsidR="001753B8" w:rsidRPr="00F259A2">
        <w:rPr>
          <w:color w:val="000000"/>
        </w:rPr>
        <w:t>ethidium bromide</w:t>
      </w:r>
      <w:r w:rsidR="00365FF8" w:rsidRPr="00F259A2">
        <w:rPr>
          <w:color w:val="000000"/>
        </w:rPr>
        <w:t xml:space="preserve"> or </w:t>
      </w:r>
      <w:proofErr w:type="spellStart"/>
      <w:r w:rsidR="00365FF8" w:rsidRPr="00F259A2">
        <w:rPr>
          <w:color w:val="000000"/>
        </w:rPr>
        <w:t>SybrGreen</w:t>
      </w:r>
      <w:proofErr w:type="spellEnd"/>
      <w:r w:rsidR="00365FF8" w:rsidRPr="00F259A2">
        <w:rPr>
          <w:color w:val="000000"/>
        </w:rPr>
        <w:t xml:space="preserve"> I</w:t>
      </w:r>
      <w:r w:rsidR="00434E96">
        <w:rPr>
          <w:color w:val="000000"/>
        </w:rPr>
        <w:t>,</w:t>
      </w:r>
      <w:r w:rsidR="00365FF8" w:rsidRPr="00F259A2">
        <w:rPr>
          <w:color w:val="000000"/>
        </w:rPr>
        <w:t xml:space="preserve"> </w:t>
      </w:r>
      <w:r w:rsidR="00434E96">
        <w:rPr>
          <w:color w:val="000000"/>
        </w:rPr>
        <w:t>either during preparation of the gel or by submersing the gel in an ethidium bromide solution</w:t>
      </w:r>
    </w:p>
    <w:p w14:paraId="4022465C" w14:textId="77777777" w:rsidR="009F7D7D" w:rsidRPr="00F259A2" w:rsidRDefault="00634F5E" w:rsidP="008A5EE5">
      <w:pPr>
        <w:pStyle w:val="Footer"/>
        <w:numPr>
          <w:ilvl w:val="0"/>
          <w:numId w:val="32"/>
        </w:numPr>
        <w:tabs>
          <w:tab w:val="clear" w:pos="4536"/>
          <w:tab w:val="clear" w:pos="9072"/>
        </w:tabs>
        <w:spacing w:line="480" w:lineRule="auto"/>
        <w:rPr>
          <w:color w:val="000000"/>
        </w:rPr>
      </w:pPr>
      <w:r w:rsidRPr="00F259A2">
        <w:rPr>
          <w:color w:val="000000"/>
        </w:rPr>
        <w:t>D</w:t>
      </w:r>
      <w:r w:rsidR="00526329" w:rsidRPr="00F259A2">
        <w:rPr>
          <w:color w:val="000000"/>
        </w:rPr>
        <w:t>ocument the agarose gel</w:t>
      </w:r>
      <w:r w:rsidRPr="00F259A2">
        <w:rPr>
          <w:color w:val="000000"/>
        </w:rPr>
        <w:t xml:space="preserve"> – </w:t>
      </w:r>
      <w:r w:rsidR="00090B7B" w:rsidRPr="00F259A2">
        <w:rPr>
          <w:color w:val="000000"/>
        </w:rPr>
        <w:t>t</w:t>
      </w:r>
      <w:r w:rsidR="009F7D7D" w:rsidRPr="00F259A2">
        <w:rPr>
          <w:color w:val="000000"/>
        </w:rPr>
        <w:t xml:space="preserve">he </w:t>
      </w:r>
      <w:r w:rsidR="00526329" w:rsidRPr="00F259A2">
        <w:rPr>
          <w:color w:val="000000"/>
        </w:rPr>
        <w:t>length</w:t>
      </w:r>
      <w:r w:rsidR="009F7D7D" w:rsidRPr="00F259A2">
        <w:rPr>
          <w:color w:val="000000"/>
        </w:rPr>
        <w:t xml:space="preserve"> of the </w:t>
      </w:r>
      <w:r w:rsidR="00C72716" w:rsidRPr="00F259A2">
        <w:rPr>
          <w:color w:val="000000"/>
        </w:rPr>
        <w:t>labelled</w:t>
      </w:r>
      <w:r w:rsidR="009F7D7D" w:rsidRPr="00F259A2">
        <w:rPr>
          <w:color w:val="000000"/>
        </w:rPr>
        <w:t xml:space="preserve"> DNA fragment should be</w:t>
      </w:r>
      <w:r w:rsidR="00526329" w:rsidRPr="00F259A2">
        <w:rPr>
          <w:color w:val="000000"/>
        </w:rPr>
        <w:t xml:space="preserve"> in the range of</w:t>
      </w:r>
      <w:r w:rsidR="00E504E3" w:rsidRPr="00F259A2">
        <w:rPr>
          <w:color w:val="000000"/>
        </w:rPr>
        <w:t xml:space="preserve"> </w:t>
      </w:r>
      <w:r w:rsidR="00D15536" w:rsidRPr="00F259A2">
        <w:rPr>
          <w:color w:val="000000"/>
        </w:rPr>
        <w:t>0.3</w:t>
      </w:r>
      <w:r w:rsidR="00AD5B6B">
        <w:rPr>
          <w:color w:val="000000"/>
        </w:rPr>
        <w:t>--</w:t>
      </w:r>
      <w:r w:rsidR="00D15536" w:rsidRPr="00F259A2">
        <w:rPr>
          <w:color w:val="000000"/>
        </w:rPr>
        <w:t>2.3k</w:t>
      </w:r>
      <w:r w:rsidR="009F7D7D" w:rsidRPr="00F259A2">
        <w:rPr>
          <w:color w:val="000000"/>
        </w:rPr>
        <w:t>b</w:t>
      </w:r>
    </w:p>
    <w:p w14:paraId="7DF220FE" w14:textId="77777777" w:rsidR="001C1B16" w:rsidRPr="00F259A2" w:rsidRDefault="001C1B16" w:rsidP="008A5EE5">
      <w:pPr>
        <w:pStyle w:val="Footer"/>
        <w:spacing w:line="480" w:lineRule="auto"/>
        <w:rPr>
          <w:color w:val="000000"/>
        </w:rPr>
      </w:pPr>
    </w:p>
    <w:p w14:paraId="4CE8ADDA" w14:textId="77777777" w:rsidR="001C1B16" w:rsidRPr="00F259A2" w:rsidRDefault="0049255E" w:rsidP="008A5EE5">
      <w:pPr>
        <w:pStyle w:val="Heading1"/>
        <w:spacing w:line="480" w:lineRule="auto"/>
        <w:rPr>
          <w:color w:val="000000"/>
        </w:rPr>
      </w:pPr>
      <w:r w:rsidRPr="00F259A2">
        <w:rPr>
          <w:color w:val="000000"/>
        </w:rPr>
        <w:t>3.1.</w:t>
      </w:r>
      <w:r w:rsidR="008A3F74" w:rsidRPr="00F259A2">
        <w:rPr>
          <w:color w:val="000000"/>
        </w:rPr>
        <w:t>3</w:t>
      </w:r>
      <w:r w:rsidR="009F7D7D" w:rsidRPr="00F259A2">
        <w:rPr>
          <w:color w:val="000000"/>
        </w:rPr>
        <w:t>. Ethanol precipitation</w:t>
      </w:r>
    </w:p>
    <w:p w14:paraId="15626E85" w14:textId="77777777" w:rsidR="001C1B16" w:rsidRPr="00F259A2" w:rsidRDefault="001C1B16" w:rsidP="008A5EE5">
      <w:pPr>
        <w:spacing w:line="480" w:lineRule="auto"/>
        <w:rPr>
          <w:color w:val="000000"/>
        </w:rPr>
      </w:pPr>
    </w:p>
    <w:p w14:paraId="7C36B47D" w14:textId="77777777" w:rsidR="003B05F2" w:rsidRPr="00F259A2" w:rsidRDefault="003B05F2" w:rsidP="008A5EE5">
      <w:pPr>
        <w:pStyle w:val="Footer"/>
        <w:numPr>
          <w:ilvl w:val="0"/>
          <w:numId w:val="31"/>
        </w:numPr>
        <w:tabs>
          <w:tab w:val="clear" w:pos="4536"/>
          <w:tab w:val="clear" w:pos="9072"/>
        </w:tabs>
        <w:spacing w:line="480" w:lineRule="auto"/>
        <w:rPr>
          <w:color w:val="000000"/>
        </w:rPr>
      </w:pPr>
      <w:r w:rsidRPr="00F259A2">
        <w:rPr>
          <w:color w:val="000000"/>
        </w:rPr>
        <w:t xml:space="preserve">Add to each reaction 1 </w:t>
      </w:r>
      <w:r w:rsidR="00F97688" w:rsidRPr="00F97688">
        <w:rPr>
          <w:color w:val="000000"/>
        </w:rPr>
        <w:t>µL</w:t>
      </w:r>
      <w:r w:rsidRPr="00F259A2">
        <w:rPr>
          <w:color w:val="000000"/>
        </w:rPr>
        <w:t xml:space="preserve"> </w:t>
      </w:r>
      <w:r w:rsidR="006E288A">
        <w:rPr>
          <w:color w:val="000000"/>
        </w:rPr>
        <w:t xml:space="preserve">of </w:t>
      </w:r>
      <w:r w:rsidR="00811459">
        <w:rPr>
          <w:color w:val="000000"/>
        </w:rPr>
        <w:t xml:space="preserve">20 </w:t>
      </w:r>
      <w:r w:rsidR="00AE12A6">
        <w:rPr>
          <w:color w:val="000000"/>
        </w:rPr>
        <w:t>m</w:t>
      </w:r>
      <w:r w:rsidR="00811459">
        <w:rPr>
          <w:color w:val="000000"/>
        </w:rPr>
        <w:t>g/</w:t>
      </w:r>
      <w:r w:rsidR="00AE12A6">
        <w:rPr>
          <w:color w:val="000000"/>
        </w:rPr>
        <w:t>m</w:t>
      </w:r>
      <w:r w:rsidR="00BB488B">
        <w:rPr>
          <w:color w:val="000000"/>
        </w:rPr>
        <w:t>L</w:t>
      </w:r>
      <w:r w:rsidR="00811459" w:rsidRPr="00F259A2">
        <w:rPr>
          <w:color w:val="000000"/>
        </w:rPr>
        <w:t xml:space="preserve"> </w:t>
      </w:r>
      <w:commentRangeStart w:id="6"/>
      <w:r w:rsidRPr="00F259A2">
        <w:rPr>
          <w:color w:val="000000"/>
        </w:rPr>
        <w:t>glycogen</w:t>
      </w:r>
      <w:commentRangeEnd w:id="6"/>
      <w:r w:rsidR="00434E11">
        <w:rPr>
          <w:rStyle w:val="CommentReference"/>
        </w:rPr>
        <w:commentReference w:id="6"/>
      </w:r>
      <w:r w:rsidR="00AE12A6">
        <w:rPr>
          <w:color w:val="000000"/>
        </w:rPr>
        <w:t xml:space="preserve"> (Invitrogen)</w:t>
      </w:r>
      <w:r w:rsidRPr="00F259A2">
        <w:rPr>
          <w:color w:val="000000"/>
        </w:rPr>
        <w:t xml:space="preserve"> </w:t>
      </w:r>
      <w:r w:rsidR="005A692E" w:rsidRPr="00F259A2">
        <w:rPr>
          <w:color w:val="000000"/>
        </w:rPr>
        <w:t xml:space="preserve">per 50 </w:t>
      </w:r>
      <w:r w:rsidR="00F97688" w:rsidRPr="00F97688">
        <w:rPr>
          <w:color w:val="000000"/>
        </w:rPr>
        <w:t>µL</w:t>
      </w:r>
      <w:r w:rsidR="005A692E" w:rsidRPr="00F259A2">
        <w:rPr>
          <w:color w:val="000000"/>
        </w:rPr>
        <w:t xml:space="preserve"> </w:t>
      </w:r>
      <w:r w:rsidR="00BF5EBB" w:rsidRPr="00F259A2">
        <w:rPr>
          <w:color w:val="000000"/>
        </w:rPr>
        <w:t xml:space="preserve">of </w:t>
      </w:r>
      <w:r w:rsidR="005A692E" w:rsidRPr="00F259A2">
        <w:rPr>
          <w:color w:val="000000"/>
        </w:rPr>
        <w:t>volume</w:t>
      </w:r>
      <w:r w:rsidR="007E144A" w:rsidRPr="00F259A2">
        <w:rPr>
          <w:color w:val="000000"/>
        </w:rPr>
        <w:t xml:space="preserve"> and m</w:t>
      </w:r>
      <w:r w:rsidRPr="00F259A2">
        <w:rPr>
          <w:color w:val="000000"/>
        </w:rPr>
        <w:t>ix thoroughly</w:t>
      </w:r>
      <w:r w:rsidR="0075261A">
        <w:rPr>
          <w:color w:val="000000"/>
        </w:rPr>
        <w:t>.</w:t>
      </w:r>
      <w:r w:rsidR="00811459">
        <w:rPr>
          <w:color w:val="000000"/>
        </w:rPr>
        <w:t xml:space="preserve"> </w:t>
      </w:r>
      <w:r w:rsidR="0075261A">
        <w:rPr>
          <w:color w:val="000000"/>
        </w:rPr>
        <w:t>G</w:t>
      </w:r>
      <w:r w:rsidR="00811459">
        <w:rPr>
          <w:color w:val="000000"/>
        </w:rPr>
        <w:t>lycogen will help to precipitate the DNA in an ethanol solution</w:t>
      </w:r>
      <w:r w:rsidR="00E504E3" w:rsidRPr="00F259A2">
        <w:rPr>
          <w:color w:val="000000"/>
        </w:rPr>
        <w:t>.</w:t>
      </w:r>
    </w:p>
    <w:p w14:paraId="59B706E3" w14:textId="77777777" w:rsidR="003B05F2" w:rsidRPr="00F259A2" w:rsidRDefault="003B05F2" w:rsidP="008A5EE5">
      <w:pPr>
        <w:pStyle w:val="Footer"/>
        <w:numPr>
          <w:ilvl w:val="0"/>
          <w:numId w:val="31"/>
        </w:numPr>
        <w:tabs>
          <w:tab w:val="clear" w:pos="4536"/>
          <w:tab w:val="clear" w:pos="9072"/>
        </w:tabs>
        <w:spacing w:line="480" w:lineRule="auto"/>
        <w:rPr>
          <w:color w:val="000000"/>
        </w:rPr>
      </w:pPr>
      <w:r w:rsidRPr="00F259A2">
        <w:rPr>
          <w:color w:val="000000"/>
        </w:rPr>
        <w:t xml:space="preserve">Add </w:t>
      </w:r>
      <w:r w:rsidR="00AD5B6B">
        <w:rPr>
          <w:color w:val="000000"/>
        </w:rPr>
        <w:t>-</w:t>
      </w:r>
      <w:r w:rsidRPr="00F259A2">
        <w:rPr>
          <w:color w:val="000000"/>
        </w:rPr>
        <w:t>20 °C cold ethanol (2.5</w:t>
      </w:r>
      <w:r w:rsidR="00E504E3" w:rsidRPr="00F259A2">
        <w:rPr>
          <w:color w:val="000000"/>
        </w:rPr>
        <w:t xml:space="preserve"> times </w:t>
      </w:r>
      <w:r w:rsidRPr="00F259A2">
        <w:rPr>
          <w:color w:val="000000"/>
        </w:rPr>
        <w:t xml:space="preserve"> the reaction volume</w:t>
      </w:r>
      <w:r w:rsidR="00DE3674">
        <w:rPr>
          <w:color w:val="000000"/>
        </w:rPr>
        <w:t>)</w:t>
      </w:r>
      <w:r w:rsidR="00DE3674" w:rsidRPr="00F259A2">
        <w:rPr>
          <w:color w:val="000000"/>
        </w:rPr>
        <w:t xml:space="preserve"> </w:t>
      </w:r>
    </w:p>
    <w:p w14:paraId="5D900675" w14:textId="77777777" w:rsidR="003B05F2" w:rsidRPr="00F259A2" w:rsidRDefault="003B05F2" w:rsidP="008A5EE5">
      <w:pPr>
        <w:pStyle w:val="Footer"/>
        <w:numPr>
          <w:ilvl w:val="0"/>
          <w:numId w:val="31"/>
        </w:numPr>
        <w:tabs>
          <w:tab w:val="clear" w:pos="4536"/>
          <w:tab w:val="clear" w:pos="9072"/>
        </w:tabs>
        <w:spacing w:line="480" w:lineRule="auto"/>
        <w:rPr>
          <w:color w:val="000000"/>
        </w:rPr>
      </w:pPr>
      <w:r w:rsidRPr="00F259A2">
        <w:rPr>
          <w:color w:val="000000"/>
        </w:rPr>
        <w:t>Mix by inverting the vial three times</w:t>
      </w:r>
      <w:r w:rsidR="00DE3674">
        <w:rPr>
          <w:color w:val="000000"/>
        </w:rPr>
        <w:t>.</w:t>
      </w:r>
    </w:p>
    <w:p w14:paraId="7954A818" w14:textId="77777777" w:rsidR="003B05F2" w:rsidRPr="00F259A2" w:rsidRDefault="003B05F2" w:rsidP="008A5EE5">
      <w:pPr>
        <w:pStyle w:val="Footer"/>
        <w:numPr>
          <w:ilvl w:val="0"/>
          <w:numId w:val="31"/>
        </w:numPr>
        <w:tabs>
          <w:tab w:val="clear" w:pos="4536"/>
          <w:tab w:val="clear" w:pos="9072"/>
        </w:tabs>
        <w:spacing w:line="480" w:lineRule="auto"/>
        <w:rPr>
          <w:color w:val="000000"/>
        </w:rPr>
      </w:pPr>
      <w:r w:rsidRPr="00F259A2">
        <w:rPr>
          <w:color w:val="000000"/>
        </w:rPr>
        <w:t xml:space="preserve">Put vials for </w:t>
      </w:r>
      <w:r w:rsidR="008775D0" w:rsidRPr="00F259A2">
        <w:rPr>
          <w:color w:val="000000"/>
        </w:rPr>
        <w:t>a minimum of 30 min in the freezer</w:t>
      </w:r>
      <w:r w:rsidR="005A692E" w:rsidRPr="00F259A2">
        <w:rPr>
          <w:color w:val="000000"/>
        </w:rPr>
        <w:t xml:space="preserve"> (better </w:t>
      </w:r>
      <w:r w:rsidR="002E159E" w:rsidRPr="00F259A2">
        <w:rPr>
          <w:color w:val="000000"/>
        </w:rPr>
        <w:t xml:space="preserve">for </w:t>
      </w:r>
      <w:r w:rsidR="005A692E" w:rsidRPr="00F259A2">
        <w:rPr>
          <w:color w:val="000000"/>
        </w:rPr>
        <w:t>1 h or overnight)</w:t>
      </w:r>
    </w:p>
    <w:p w14:paraId="3FC188A5" w14:textId="77777777" w:rsidR="008775D0" w:rsidRPr="00F259A2" w:rsidRDefault="008775D0" w:rsidP="008A5EE5">
      <w:pPr>
        <w:pStyle w:val="Footer"/>
        <w:numPr>
          <w:ilvl w:val="0"/>
          <w:numId w:val="31"/>
        </w:numPr>
        <w:tabs>
          <w:tab w:val="clear" w:pos="4536"/>
          <w:tab w:val="clear" w:pos="9072"/>
        </w:tabs>
        <w:spacing w:line="480" w:lineRule="auto"/>
        <w:rPr>
          <w:color w:val="000000"/>
        </w:rPr>
      </w:pPr>
      <w:r w:rsidRPr="00F259A2">
        <w:rPr>
          <w:color w:val="000000"/>
        </w:rPr>
        <w:t xml:space="preserve">Centrifuge </w:t>
      </w:r>
      <w:r w:rsidR="002E159E" w:rsidRPr="00F259A2">
        <w:rPr>
          <w:color w:val="000000"/>
        </w:rPr>
        <w:t xml:space="preserve">at </w:t>
      </w:r>
      <w:r w:rsidRPr="00F259A2">
        <w:rPr>
          <w:color w:val="000000"/>
        </w:rPr>
        <w:t xml:space="preserve">highest speed </w:t>
      </w:r>
      <w:r w:rsidR="00287694" w:rsidRPr="00F259A2">
        <w:rPr>
          <w:color w:val="000000"/>
        </w:rPr>
        <w:t xml:space="preserve">at 4 °C </w:t>
      </w:r>
      <w:r w:rsidRPr="00F259A2">
        <w:rPr>
          <w:color w:val="000000"/>
        </w:rPr>
        <w:t>for 30 min using a table</w:t>
      </w:r>
      <w:r w:rsidR="00AD5B6B">
        <w:rPr>
          <w:color w:val="000000"/>
        </w:rPr>
        <w:t>--</w:t>
      </w:r>
      <w:r w:rsidRPr="00F259A2">
        <w:rPr>
          <w:color w:val="000000"/>
        </w:rPr>
        <w:t>top centrifuge</w:t>
      </w:r>
      <w:r w:rsidR="0036776D" w:rsidRPr="00F259A2">
        <w:rPr>
          <w:color w:val="000000"/>
        </w:rPr>
        <w:t>.</w:t>
      </w:r>
    </w:p>
    <w:p w14:paraId="7EA3F961" w14:textId="77777777" w:rsidR="008775D0" w:rsidRPr="00F259A2" w:rsidRDefault="008775D0" w:rsidP="008A5EE5">
      <w:pPr>
        <w:pStyle w:val="Footer"/>
        <w:numPr>
          <w:ilvl w:val="0"/>
          <w:numId w:val="31"/>
        </w:numPr>
        <w:tabs>
          <w:tab w:val="clear" w:pos="4536"/>
          <w:tab w:val="clear" w:pos="9072"/>
        </w:tabs>
        <w:spacing w:line="480" w:lineRule="auto"/>
        <w:rPr>
          <w:color w:val="000000"/>
        </w:rPr>
      </w:pPr>
      <w:r w:rsidRPr="00F259A2">
        <w:rPr>
          <w:color w:val="000000"/>
        </w:rPr>
        <w:t>Discard the supernatant, place the vials upside down on paper tissue</w:t>
      </w:r>
    </w:p>
    <w:p w14:paraId="73A2FD77" w14:textId="77777777" w:rsidR="007E1480" w:rsidRPr="00F259A2" w:rsidRDefault="007E1480" w:rsidP="008A5EE5">
      <w:pPr>
        <w:pStyle w:val="Footer"/>
        <w:numPr>
          <w:ilvl w:val="0"/>
          <w:numId w:val="31"/>
        </w:numPr>
        <w:tabs>
          <w:tab w:val="clear" w:pos="4536"/>
          <w:tab w:val="clear" w:pos="9072"/>
        </w:tabs>
        <w:spacing w:line="480" w:lineRule="auto"/>
        <w:rPr>
          <w:color w:val="000000"/>
        </w:rPr>
      </w:pPr>
      <w:r w:rsidRPr="00F259A2">
        <w:rPr>
          <w:color w:val="000000"/>
        </w:rPr>
        <w:t>Dry the pellet for 5 min using a Speed</w:t>
      </w:r>
      <w:r w:rsidR="00AD5B6B">
        <w:rPr>
          <w:color w:val="000000"/>
        </w:rPr>
        <w:t>--</w:t>
      </w:r>
      <w:r w:rsidRPr="00F259A2">
        <w:rPr>
          <w:color w:val="000000"/>
        </w:rPr>
        <w:t xml:space="preserve">Vac centrifuge (no heating) or </w:t>
      </w:r>
      <w:r w:rsidR="00287694" w:rsidRPr="00F259A2">
        <w:rPr>
          <w:color w:val="000000"/>
        </w:rPr>
        <w:t xml:space="preserve">at 37 °C </w:t>
      </w:r>
      <w:r w:rsidRPr="00F259A2">
        <w:rPr>
          <w:color w:val="000000"/>
        </w:rPr>
        <w:t>for 2</w:t>
      </w:r>
      <w:r w:rsidR="00287694" w:rsidRPr="00F259A2">
        <w:rPr>
          <w:color w:val="000000"/>
        </w:rPr>
        <w:t>0–</w:t>
      </w:r>
      <w:r w:rsidRPr="00F259A2">
        <w:rPr>
          <w:color w:val="000000"/>
        </w:rPr>
        <w:t>30 min in a drying cabinet</w:t>
      </w:r>
    </w:p>
    <w:p w14:paraId="4EE2A88E" w14:textId="77777777" w:rsidR="008775D0" w:rsidRPr="00F259A2" w:rsidRDefault="008775D0" w:rsidP="008A5EE5">
      <w:pPr>
        <w:pStyle w:val="Footer"/>
        <w:numPr>
          <w:ilvl w:val="0"/>
          <w:numId w:val="31"/>
        </w:numPr>
        <w:tabs>
          <w:tab w:val="clear" w:pos="4536"/>
          <w:tab w:val="clear" w:pos="9072"/>
        </w:tabs>
        <w:spacing w:line="480" w:lineRule="auto"/>
        <w:rPr>
          <w:color w:val="000000"/>
        </w:rPr>
      </w:pPr>
      <w:r w:rsidRPr="00F259A2">
        <w:rPr>
          <w:color w:val="000000"/>
        </w:rPr>
        <w:lastRenderedPageBreak/>
        <w:t xml:space="preserve">Resuspend </w:t>
      </w:r>
      <w:r w:rsidR="00DE3674">
        <w:rPr>
          <w:color w:val="000000"/>
        </w:rPr>
        <w:t xml:space="preserve">each DNA </w:t>
      </w:r>
      <w:r w:rsidRPr="00F259A2">
        <w:rPr>
          <w:color w:val="000000"/>
        </w:rPr>
        <w:t>pellet in pure water</w:t>
      </w:r>
      <w:r w:rsidR="005A692E" w:rsidRPr="00F259A2">
        <w:rPr>
          <w:color w:val="000000"/>
        </w:rPr>
        <w:t xml:space="preserve"> </w:t>
      </w:r>
      <w:r w:rsidR="00DE3674">
        <w:rPr>
          <w:color w:val="000000"/>
        </w:rPr>
        <w:t>(20</w:t>
      </w:r>
      <w:r w:rsidR="00AD5B6B">
        <w:rPr>
          <w:color w:val="000000"/>
        </w:rPr>
        <w:t>--</w:t>
      </w:r>
      <w:r w:rsidR="00DE3674">
        <w:rPr>
          <w:color w:val="000000"/>
        </w:rPr>
        <w:t xml:space="preserve">80 </w:t>
      </w:r>
      <w:r w:rsidR="00F97688" w:rsidRPr="00F97688">
        <w:rPr>
          <w:color w:val="000000"/>
        </w:rPr>
        <w:t>µL</w:t>
      </w:r>
      <w:r w:rsidR="00DE3674">
        <w:rPr>
          <w:color w:val="000000"/>
        </w:rPr>
        <w:t xml:space="preserve">) </w:t>
      </w:r>
      <w:r w:rsidR="005A692E" w:rsidRPr="00F259A2">
        <w:rPr>
          <w:color w:val="000000"/>
        </w:rPr>
        <w:t xml:space="preserve">and shake </w:t>
      </w:r>
      <w:r w:rsidR="00287694" w:rsidRPr="00F259A2">
        <w:rPr>
          <w:color w:val="000000"/>
        </w:rPr>
        <w:t xml:space="preserve">at 37 °C </w:t>
      </w:r>
      <w:r w:rsidR="005A692E" w:rsidRPr="00F259A2">
        <w:rPr>
          <w:color w:val="000000"/>
        </w:rPr>
        <w:t>for 30 min</w:t>
      </w:r>
    </w:p>
    <w:p w14:paraId="68691FD5" w14:textId="77777777" w:rsidR="001C1B16" w:rsidRPr="00F259A2" w:rsidRDefault="001C1B16" w:rsidP="008A5EE5">
      <w:pPr>
        <w:spacing w:line="480" w:lineRule="auto"/>
        <w:rPr>
          <w:color w:val="000000"/>
        </w:rPr>
      </w:pPr>
    </w:p>
    <w:p w14:paraId="23F71CD3" w14:textId="77777777" w:rsidR="00982EC7" w:rsidRPr="00F259A2" w:rsidRDefault="00982EC7" w:rsidP="008A5EE5">
      <w:pPr>
        <w:pStyle w:val="Heading2"/>
        <w:spacing w:line="480" w:lineRule="auto"/>
        <w:rPr>
          <w:rFonts w:ascii="Times New Roman" w:hAnsi="Times New Roman" w:cs="Times New Roman"/>
          <w:color w:val="000000"/>
          <w:sz w:val="24"/>
          <w:szCs w:val="24"/>
        </w:rPr>
      </w:pPr>
      <w:r w:rsidRPr="00F259A2">
        <w:rPr>
          <w:rFonts w:ascii="Times New Roman" w:hAnsi="Times New Roman" w:cs="Times New Roman"/>
          <w:color w:val="000000"/>
          <w:sz w:val="24"/>
          <w:szCs w:val="24"/>
        </w:rPr>
        <w:t>3.</w:t>
      </w:r>
      <w:r w:rsidR="00084D72" w:rsidRPr="00F259A2">
        <w:rPr>
          <w:rFonts w:ascii="Times New Roman" w:hAnsi="Times New Roman" w:cs="Times New Roman"/>
          <w:color w:val="000000"/>
          <w:sz w:val="24"/>
          <w:szCs w:val="24"/>
        </w:rPr>
        <w:t>2</w:t>
      </w:r>
      <w:r w:rsidRPr="00F259A2">
        <w:rPr>
          <w:rFonts w:ascii="Times New Roman" w:hAnsi="Times New Roman" w:cs="Times New Roman"/>
          <w:color w:val="000000"/>
          <w:sz w:val="24"/>
          <w:szCs w:val="24"/>
        </w:rPr>
        <w:t xml:space="preserve">. </w:t>
      </w:r>
      <w:r w:rsidR="00AF016E" w:rsidRPr="00F259A2">
        <w:rPr>
          <w:rFonts w:ascii="Times New Roman" w:hAnsi="Times New Roman" w:cs="Times New Roman"/>
          <w:color w:val="000000"/>
          <w:sz w:val="24"/>
          <w:szCs w:val="24"/>
        </w:rPr>
        <w:t>Chromosomal</w:t>
      </w:r>
      <w:r w:rsidRPr="00F259A2">
        <w:rPr>
          <w:rFonts w:ascii="Times New Roman" w:hAnsi="Times New Roman" w:cs="Times New Roman"/>
          <w:color w:val="000000"/>
          <w:sz w:val="24"/>
          <w:szCs w:val="24"/>
        </w:rPr>
        <w:t xml:space="preserve"> CGH</w:t>
      </w:r>
    </w:p>
    <w:p w14:paraId="5A199A73" w14:textId="77777777" w:rsidR="001739ED" w:rsidRPr="00F259A2" w:rsidRDefault="00C96C1D" w:rsidP="008A5EE5">
      <w:pPr>
        <w:pStyle w:val="Footer"/>
        <w:tabs>
          <w:tab w:val="clear" w:pos="4536"/>
          <w:tab w:val="clear" w:pos="9072"/>
          <w:tab w:val="left" w:pos="154"/>
        </w:tabs>
        <w:spacing w:line="480" w:lineRule="auto"/>
        <w:rPr>
          <w:color w:val="000000"/>
        </w:rPr>
      </w:pPr>
      <w:r w:rsidRPr="00F259A2">
        <w:rPr>
          <w:color w:val="000000"/>
        </w:rPr>
        <w:t>Prerequisites</w:t>
      </w:r>
      <w:r w:rsidR="007E144A" w:rsidRPr="00F259A2">
        <w:rPr>
          <w:color w:val="000000"/>
        </w:rPr>
        <w:t xml:space="preserve">: </w:t>
      </w:r>
      <w:r w:rsidR="001739ED" w:rsidRPr="00F259A2">
        <w:rPr>
          <w:color w:val="000000"/>
        </w:rPr>
        <w:t xml:space="preserve">Set </w:t>
      </w:r>
      <w:r w:rsidR="008A7DAE" w:rsidRPr="00F259A2">
        <w:rPr>
          <w:color w:val="000000"/>
        </w:rPr>
        <w:t xml:space="preserve">the </w:t>
      </w:r>
      <w:r w:rsidR="001739ED" w:rsidRPr="00F259A2">
        <w:rPr>
          <w:color w:val="000000"/>
        </w:rPr>
        <w:t>water bath to 72 °C</w:t>
      </w:r>
      <w:r w:rsidR="006B7B60" w:rsidRPr="00F259A2">
        <w:rPr>
          <w:color w:val="000000"/>
        </w:rPr>
        <w:t xml:space="preserve"> and warm up </w:t>
      </w:r>
      <w:r w:rsidR="006032DE" w:rsidRPr="00F259A2">
        <w:rPr>
          <w:color w:val="000000"/>
        </w:rPr>
        <w:t xml:space="preserve">both </w:t>
      </w:r>
      <w:r w:rsidR="006B7B60" w:rsidRPr="00F259A2">
        <w:rPr>
          <w:color w:val="000000"/>
        </w:rPr>
        <w:t xml:space="preserve">water and </w:t>
      </w:r>
      <w:proofErr w:type="spellStart"/>
      <w:r w:rsidR="006B7B60" w:rsidRPr="00F259A2">
        <w:rPr>
          <w:color w:val="000000"/>
        </w:rPr>
        <w:t>Coplin</w:t>
      </w:r>
      <w:proofErr w:type="spellEnd"/>
      <w:r w:rsidR="006B7B60" w:rsidRPr="00F259A2">
        <w:rPr>
          <w:color w:val="000000"/>
        </w:rPr>
        <w:t xml:space="preserve"> jar with 70% formamide</w:t>
      </w:r>
      <w:r w:rsidR="00E504E3" w:rsidRPr="00F259A2">
        <w:rPr>
          <w:color w:val="000000"/>
        </w:rPr>
        <w:t xml:space="preserve"> </w:t>
      </w:r>
      <w:r w:rsidR="006B7B60" w:rsidRPr="00F259A2">
        <w:rPr>
          <w:color w:val="000000"/>
        </w:rPr>
        <w:t>at</w:t>
      </w:r>
      <w:r w:rsidR="00E504E3" w:rsidRPr="00F259A2">
        <w:rPr>
          <w:color w:val="000000"/>
        </w:rPr>
        <w:t xml:space="preserve"> </w:t>
      </w:r>
      <w:r w:rsidR="006B7B60" w:rsidRPr="00F259A2">
        <w:rPr>
          <w:color w:val="000000"/>
        </w:rPr>
        <w:t>the same time</w:t>
      </w:r>
      <w:r w:rsidR="007E144A" w:rsidRPr="00F259A2">
        <w:rPr>
          <w:color w:val="000000"/>
        </w:rPr>
        <w:t>, s</w:t>
      </w:r>
      <w:r w:rsidR="001739ED" w:rsidRPr="00F259A2">
        <w:rPr>
          <w:color w:val="000000"/>
        </w:rPr>
        <w:t>et heating blocks to 37 °C and 76 °C</w:t>
      </w:r>
      <w:r w:rsidR="007E144A" w:rsidRPr="00F259A2">
        <w:rPr>
          <w:color w:val="000000"/>
        </w:rPr>
        <w:t>, c</w:t>
      </w:r>
      <w:r w:rsidR="001739ED" w:rsidRPr="00F259A2">
        <w:rPr>
          <w:color w:val="000000"/>
        </w:rPr>
        <w:t xml:space="preserve">ool down 70% ethanol at </w:t>
      </w:r>
      <w:r w:rsidR="00AD5B6B">
        <w:rPr>
          <w:color w:val="000000"/>
        </w:rPr>
        <w:t>--</w:t>
      </w:r>
      <w:r w:rsidR="001739ED" w:rsidRPr="00F259A2">
        <w:rPr>
          <w:color w:val="000000"/>
        </w:rPr>
        <w:t>20 °C</w:t>
      </w:r>
      <w:r w:rsidR="007E144A" w:rsidRPr="00F259A2">
        <w:rPr>
          <w:color w:val="000000"/>
        </w:rPr>
        <w:t>, w</w:t>
      </w:r>
      <w:r w:rsidR="00867CCC" w:rsidRPr="00F259A2">
        <w:rPr>
          <w:color w:val="000000"/>
        </w:rPr>
        <w:t>arm up washing solutions a) 2</w:t>
      </w:r>
      <w:r w:rsidR="006E288A">
        <w:rPr>
          <w:color w:val="000000"/>
        </w:rPr>
        <w:t>X</w:t>
      </w:r>
      <w:r w:rsidR="00867CCC" w:rsidRPr="00F259A2">
        <w:rPr>
          <w:color w:val="000000"/>
        </w:rPr>
        <w:t xml:space="preserve"> SSC, b) 50% formamide and c) 0.2</w:t>
      </w:r>
      <w:r w:rsidR="006E288A">
        <w:rPr>
          <w:color w:val="000000"/>
        </w:rPr>
        <w:t>X</w:t>
      </w:r>
      <w:r w:rsidR="00867CCC" w:rsidRPr="00F259A2">
        <w:rPr>
          <w:color w:val="000000"/>
        </w:rPr>
        <w:t xml:space="preserve"> SSC to 42 °C</w:t>
      </w:r>
      <w:r w:rsidR="008A7DAE" w:rsidRPr="00F259A2">
        <w:rPr>
          <w:color w:val="000000"/>
        </w:rPr>
        <w:t>. A</w:t>
      </w:r>
      <w:r w:rsidR="0062502C" w:rsidRPr="00F259A2">
        <w:rPr>
          <w:color w:val="000000"/>
        </w:rPr>
        <w:t>void exposure to light when working with fluorochromes</w:t>
      </w:r>
      <w:r w:rsidR="007E144A" w:rsidRPr="00F259A2">
        <w:rPr>
          <w:color w:val="000000"/>
        </w:rPr>
        <w:t>.</w:t>
      </w:r>
    </w:p>
    <w:p w14:paraId="234718C7" w14:textId="77777777" w:rsidR="001C1B16" w:rsidRPr="00F259A2" w:rsidRDefault="001C1B16" w:rsidP="008A5EE5">
      <w:pPr>
        <w:pStyle w:val="Footer"/>
        <w:tabs>
          <w:tab w:val="clear" w:pos="4536"/>
          <w:tab w:val="clear" w:pos="9072"/>
        </w:tabs>
        <w:spacing w:line="480" w:lineRule="auto"/>
        <w:rPr>
          <w:color w:val="000000"/>
        </w:rPr>
      </w:pPr>
    </w:p>
    <w:p w14:paraId="798E4C74" w14:textId="77777777" w:rsidR="001C1B16" w:rsidRPr="00F259A2" w:rsidRDefault="004A2BCB" w:rsidP="008A5EE5">
      <w:pPr>
        <w:pStyle w:val="Heading1"/>
        <w:tabs>
          <w:tab w:val="left" w:pos="-1440"/>
          <w:tab w:val="left" w:pos="-720"/>
        </w:tabs>
        <w:suppressAutoHyphens/>
        <w:spacing w:line="480" w:lineRule="auto"/>
        <w:rPr>
          <w:color w:val="000000"/>
        </w:rPr>
      </w:pPr>
      <w:r w:rsidRPr="00F259A2">
        <w:rPr>
          <w:color w:val="000000"/>
        </w:rPr>
        <w:t>3.2.</w:t>
      </w:r>
      <w:r w:rsidR="007E144A" w:rsidRPr="00F259A2">
        <w:rPr>
          <w:color w:val="000000"/>
        </w:rPr>
        <w:t xml:space="preserve">1. </w:t>
      </w:r>
      <w:r w:rsidR="003B6386" w:rsidRPr="00F259A2">
        <w:rPr>
          <w:color w:val="000000"/>
        </w:rPr>
        <w:t>DNA precipitation</w:t>
      </w:r>
    </w:p>
    <w:p w14:paraId="6317E6E3" w14:textId="77777777" w:rsidR="001C1B16" w:rsidRPr="00F259A2" w:rsidRDefault="001C1B16" w:rsidP="008A5EE5">
      <w:pPr>
        <w:pStyle w:val="Footer"/>
        <w:tabs>
          <w:tab w:val="clear" w:pos="4536"/>
          <w:tab w:val="clear" w:pos="9072"/>
        </w:tabs>
        <w:spacing w:line="480" w:lineRule="auto"/>
        <w:rPr>
          <w:color w:val="000000"/>
        </w:rPr>
      </w:pPr>
    </w:p>
    <w:p w14:paraId="27019045" w14:textId="77777777" w:rsidR="001C1B16" w:rsidRPr="00F259A2" w:rsidRDefault="007E144A" w:rsidP="008A5EE5">
      <w:pPr>
        <w:spacing w:line="480" w:lineRule="auto"/>
        <w:ind w:left="284"/>
        <w:rPr>
          <w:color w:val="000000"/>
        </w:rPr>
      </w:pPr>
      <w:r w:rsidRPr="00F259A2">
        <w:rPr>
          <w:color w:val="000000"/>
        </w:rPr>
        <w:t xml:space="preserve">1. </w:t>
      </w:r>
      <w:r w:rsidR="00DF04E8" w:rsidRPr="00F259A2">
        <w:rPr>
          <w:color w:val="000000"/>
        </w:rPr>
        <w:t xml:space="preserve">Mix reaction </w:t>
      </w:r>
      <w:r w:rsidR="008A7DAE" w:rsidRPr="00F259A2">
        <w:rPr>
          <w:color w:val="000000"/>
        </w:rPr>
        <w:t xml:space="preserve">(as given in </w:t>
      </w:r>
      <w:r w:rsidR="008A7DAE" w:rsidRPr="00434E11">
        <w:rPr>
          <w:b/>
          <w:color w:val="000000"/>
        </w:rPr>
        <w:t>Table</w:t>
      </w:r>
      <w:r w:rsidR="00892581" w:rsidRPr="00434E11">
        <w:rPr>
          <w:b/>
          <w:color w:val="000000"/>
        </w:rPr>
        <w:t xml:space="preserve"> </w:t>
      </w:r>
      <w:r w:rsidR="008A7DAE" w:rsidRPr="00434E11">
        <w:rPr>
          <w:b/>
          <w:color w:val="000000"/>
        </w:rPr>
        <w:t>2</w:t>
      </w:r>
      <w:r w:rsidR="008A7DAE" w:rsidRPr="00F259A2">
        <w:rPr>
          <w:color w:val="000000"/>
        </w:rPr>
        <w:t xml:space="preserve">) </w:t>
      </w:r>
      <w:r w:rsidR="00DF04E8" w:rsidRPr="00F259A2">
        <w:rPr>
          <w:color w:val="000000"/>
        </w:rPr>
        <w:t xml:space="preserve">in </w:t>
      </w:r>
      <w:r w:rsidR="007E1480" w:rsidRPr="00F259A2">
        <w:rPr>
          <w:color w:val="000000"/>
        </w:rPr>
        <w:t xml:space="preserve">a </w:t>
      </w:r>
      <w:r w:rsidR="00DF04E8" w:rsidRPr="00F259A2">
        <w:rPr>
          <w:color w:val="000000"/>
        </w:rPr>
        <w:t>500</w:t>
      </w:r>
      <w:r w:rsidR="00F97688" w:rsidRPr="00F97688">
        <w:rPr>
          <w:color w:val="000000"/>
        </w:rPr>
        <w:t>µL</w:t>
      </w:r>
      <w:r w:rsidR="008A7DAE" w:rsidRPr="00F259A2">
        <w:rPr>
          <w:color w:val="000000"/>
        </w:rPr>
        <w:t xml:space="preserve"> </w:t>
      </w:r>
      <w:r w:rsidR="00DF04E8" w:rsidRPr="00F259A2">
        <w:rPr>
          <w:color w:val="000000"/>
        </w:rPr>
        <w:t>vial, e.g. Eppendorf</w:t>
      </w:r>
      <w:r w:rsidR="008A7DAE" w:rsidRPr="00F259A2">
        <w:rPr>
          <w:color w:val="000000"/>
        </w:rPr>
        <w:t xml:space="preserve"> </w:t>
      </w:r>
      <w:r w:rsidR="00DF04E8" w:rsidRPr="00F259A2">
        <w:rPr>
          <w:color w:val="000000"/>
        </w:rPr>
        <w:t>vial</w:t>
      </w:r>
      <w:r w:rsidR="00892581">
        <w:rPr>
          <w:color w:val="000000"/>
        </w:rPr>
        <w:t xml:space="preserve"> (</w:t>
      </w:r>
      <w:r w:rsidR="00892581" w:rsidRPr="00F259A2">
        <w:rPr>
          <w:i/>
          <w:color w:val="000000"/>
        </w:rPr>
        <w:t>see</w:t>
      </w:r>
      <w:r w:rsidR="00892581" w:rsidRPr="00F259A2">
        <w:rPr>
          <w:color w:val="000000"/>
        </w:rPr>
        <w:t xml:space="preserve"> </w:t>
      </w:r>
      <w:r w:rsidR="00892581" w:rsidRPr="00F259A2">
        <w:rPr>
          <w:b/>
          <w:color w:val="000000"/>
        </w:rPr>
        <w:t xml:space="preserve">Note </w:t>
      </w:r>
      <w:r w:rsidR="00892581">
        <w:rPr>
          <w:b/>
          <w:color w:val="000000"/>
        </w:rPr>
        <w:t>2)</w:t>
      </w:r>
      <w:r w:rsidR="00DF04E8" w:rsidRPr="00F259A2">
        <w:rPr>
          <w:color w:val="000000"/>
        </w:rPr>
        <w:t xml:space="preserve"> </w:t>
      </w:r>
    </w:p>
    <w:p w14:paraId="02087FEF" w14:textId="77777777" w:rsidR="001C1B16" w:rsidRPr="00F259A2" w:rsidRDefault="007E144A" w:rsidP="008A5EE5">
      <w:pPr>
        <w:spacing w:line="480" w:lineRule="auto"/>
        <w:ind w:left="284"/>
        <w:rPr>
          <w:color w:val="000000"/>
        </w:rPr>
      </w:pPr>
      <w:r w:rsidRPr="00F259A2">
        <w:rPr>
          <w:color w:val="000000"/>
        </w:rPr>
        <w:t xml:space="preserve">2. </w:t>
      </w:r>
      <w:r w:rsidR="007E1480" w:rsidRPr="00F259A2">
        <w:rPr>
          <w:color w:val="000000"/>
        </w:rPr>
        <w:t xml:space="preserve">Precipitate </w:t>
      </w:r>
      <w:r w:rsidR="00287694" w:rsidRPr="00F259A2">
        <w:rPr>
          <w:color w:val="000000"/>
        </w:rPr>
        <w:t xml:space="preserve">at </w:t>
      </w:r>
      <w:r w:rsidR="00AD5B6B">
        <w:rPr>
          <w:color w:val="000000"/>
        </w:rPr>
        <w:t>-</w:t>
      </w:r>
      <w:r w:rsidR="00287694" w:rsidRPr="00F259A2">
        <w:rPr>
          <w:color w:val="000000"/>
        </w:rPr>
        <w:t xml:space="preserve">20 °C </w:t>
      </w:r>
      <w:r w:rsidR="007E1480" w:rsidRPr="00F259A2">
        <w:rPr>
          <w:color w:val="000000"/>
        </w:rPr>
        <w:t xml:space="preserve">overnight (alternatively </w:t>
      </w:r>
      <w:r w:rsidR="00287694" w:rsidRPr="00F259A2">
        <w:rPr>
          <w:color w:val="000000"/>
        </w:rPr>
        <w:t xml:space="preserve">at </w:t>
      </w:r>
      <w:r w:rsidR="00AD5B6B">
        <w:rPr>
          <w:color w:val="000000"/>
        </w:rPr>
        <w:t>--</w:t>
      </w:r>
      <w:r w:rsidR="00287694" w:rsidRPr="00F259A2">
        <w:rPr>
          <w:color w:val="000000"/>
        </w:rPr>
        <w:t xml:space="preserve">80 °C </w:t>
      </w:r>
      <w:r w:rsidR="007E1480" w:rsidRPr="00F259A2">
        <w:rPr>
          <w:color w:val="000000"/>
        </w:rPr>
        <w:t>for 30</w:t>
      </w:r>
      <w:r w:rsidR="003B0E4B">
        <w:rPr>
          <w:color w:val="000000"/>
        </w:rPr>
        <w:t xml:space="preserve"> </w:t>
      </w:r>
      <w:r w:rsidR="007E1480" w:rsidRPr="00F259A2">
        <w:rPr>
          <w:color w:val="000000"/>
        </w:rPr>
        <w:t>min)</w:t>
      </w:r>
    </w:p>
    <w:p w14:paraId="1B20B7A3" w14:textId="77777777" w:rsidR="001C1B16" w:rsidRPr="00F259A2" w:rsidRDefault="007E144A" w:rsidP="008A5EE5">
      <w:pPr>
        <w:pStyle w:val="Footer"/>
        <w:tabs>
          <w:tab w:val="clear" w:pos="4536"/>
          <w:tab w:val="clear" w:pos="9072"/>
        </w:tabs>
        <w:spacing w:line="480" w:lineRule="auto"/>
        <w:ind w:left="284"/>
        <w:rPr>
          <w:color w:val="000000"/>
        </w:rPr>
      </w:pPr>
      <w:r w:rsidRPr="00F259A2">
        <w:rPr>
          <w:color w:val="000000"/>
        </w:rPr>
        <w:t xml:space="preserve">3. </w:t>
      </w:r>
      <w:r w:rsidR="007E1480" w:rsidRPr="00F259A2">
        <w:rPr>
          <w:color w:val="000000"/>
        </w:rPr>
        <w:t xml:space="preserve">Centrifuge with highest speed </w:t>
      </w:r>
      <w:r w:rsidR="00287694" w:rsidRPr="00F259A2">
        <w:rPr>
          <w:color w:val="000000"/>
        </w:rPr>
        <w:t xml:space="preserve">at 4 °C </w:t>
      </w:r>
      <w:r w:rsidR="007E1480" w:rsidRPr="00F259A2">
        <w:rPr>
          <w:color w:val="000000"/>
        </w:rPr>
        <w:t>for 30 min using a table</w:t>
      </w:r>
      <w:r w:rsidR="0071309A" w:rsidRPr="0071309A">
        <w:rPr>
          <w:color w:val="000000"/>
        </w:rPr>
        <w:t>--</w:t>
      </w:r>
      <w:r w:rsidR="007E1480" w:rsidRPr="00F259A2">
        <w:rPr>
          <w:color w:val="000000"/>
        </w:rPr>
        <w:t>top centrifuge</w:t>
      </w:r>
    </w:p>
    <w:p w14:paraId="5131AA74" w14:textId="77777777" w:rsidR="001C1B16" w:rsidRPr="00F259A2" w:rsidRDefault="007E144A" w:rsidP="008A5EE5">
      <w:pPr>
        <w:pStyle w:val="Footer"/>
        <w:tabs>
          <w:tab w:val="clear" w:pos="4536"/>
          <w:tab w:val="clear" w:pos="9072"/>
        </w:tabs>
        <w:spacing w:line="480" w:lineRule="auto"/>
        <w:ind w:left="284"/>
        <w:rPr>
          <w:color w:val="000000"/>
        </w:rPr>
      </w:pPr>
      <w:r w:rsidRPr="00F259A2">
        <w:rPr>
          <w:color w:val="000000"/>
        </w:rPr>
        <w:t xml:space="preserve">4. </w:t>
      </w:r>
      <w:r w:rsidR="007E1480" w:rsidRPr="00F259A2">
        <w:rPr>
          <w:color w:val="000000"/>
        </w:rPr>
        <w:t xml:space="preserve">Remove </w:t>
      </w:r>
      <w:r w:rsidR="00A95E9F" w:rsidRPr="00F259A2">
        <w:rPr>
          <w:color w:val="000000"/>
        </w:rPr>
        <w:t xml:space="preserve">the </w:t>
      </w:r>
      <w:r w:rsidR="007E1480" w:rsidRPr="00F259A2">
        <w:rPr>
          <w:color w:val="000000"/>
        </w:rPr>
        <w:t>supernatant</w:t>
      </w:r>
    </w:p>
    <w:p w14:paraId="7965047F" w14:textId="77777777" w:rsidR="001C1B16" w:rsidRPr="00F259A2" w:rsidRDefault="007E144A" w:rsidP="008A5EE5">
      <w:pPr>
        <w:pStyle w:val="Footer"/>
        <w:tabs>
          <w:tab w:val="clear" w:pos="4536"/>
          <w:tab w:val="clear" w:pos="9072"/>
        </w:tabs>
        <w:spacing w:line="480" w:lineRule="auto"/>
        <w:ind w:left="284"/>
        <w:rPr>
          <w:color w:val="000000"/>
        </w:rPr>
      </w:pPr>
      <w:r w:rsidRPr="00F259A2">
        <w:rPr>
          <w:color w:val="000000"/>
        </w:rPr>
        <w:t xml:space="preserve">5. </w:t>
      </w:r>
      <w:r w:rsidR="007E1480" w:rsidRPr="00F259A2">
        <w:rPr>
          <w:color w:val="000000"/>
        </w:rPr>
        <w:t xml:space="preserve">Wash </w:t>
      </w:r>
      <w:r w:rsidR="00F34D6B" w:rsidRPr="00F259A2">
        <w:rPr>
          <w:color w:val="000000"/>
        </w:rPr>
        <w:t xml:space="preserve">the </w:t>
      </w:r>
      <w:r w:rsidR="007E1480" w:rsidRPr="00F259A2">
        <w:rPr>
          <w:color w:val="000000"/>
        </w:rPr>
        <w:t>pellet with 2</w:t>
      </w:r>
      <w:r w:rsidR="000F1BD8" w:rsidRPr="00F259A2">
        <w:rPr>
          <w:color w:val="000000"/>
        </w:rPr>
        <w:t>5</w:t>
      </w:r>
      <w:r w:rsidR="007E1480" w:rsidRPr="00F259A2">
        <w:rPr>
          <w:color w:val="000000"/>
        </w:rPr>
        <w:t xml:space="preserve">0 </w:t>
      </w:r>
      <w:r w:rsidR="00F97688" w:rsidRPr="00F97688">
        <w:rPr>
          <w:color w:val="000000"/>
        </w:rPr>
        <w:t>µL</w:t>
      </w:r>
      <w:r w:rsidR="007E1480" w:rsidRPr="00F259A2">
        <w:rPr>
          <w:color w:val="000000"/>
        </w:rPr>
        <w:t xml:space="preserve"> </w:t>
      </w:r>
      <w:r w:rsidR="00F34D6B" w:rsidRPr="00F259A2">
        <w:rPr>
          <w:color w:val="000000"/>
        </w:rPr>
        <w:t xml:space="preserve">of </w:t>
      </w:r>
      <w:r w:rsidR="007E1480" w:rsidRPr="00F259A2">
        <w:rPr>
          <w:color w:val="000000"/>
        </w:rPr>
        <w:t>70% ethanol (</w:t>
      </w:r>
      <w:r w:rsidR="00AD5B6B">
        <w:rPr>
          <w:color w:val="000000"/>
        </w:rPr>
        <w:t>--</w:t>
      </w:r>
      <w:r w:rsidR="007E1480" w:rsidRPr="00F259A2">
        <w:rPr>
          <w:color w:val="000000"/>
        </w:rPr>
        <w:t xml:space="preserve">20 </w:t>
      </w:r>
      <w:r w:rsidR="00DF5018" w:rsidRPr="00F259A2">
        <w:rPr>
          <w:color w:val="000000"/>
        </w:rPr>
        <w:t>°</w:t>
      </w:r>
      <w:r w:rsidR="007E1480" w:rsidRPr="00F259A2">
        <w:rPr>
          <w:color w:val="000000"/>
        </w:rPr>
        <w:t>C cold)</w:t>
      </w:r>
    </w:p>
    <w:p w14:paraId="336A6C9B" w14:textId="77777777" w:rsidR="001C1B16" w:rsidRPr="00F259A2" w:rsidRDefault="007E144A" w:rsidP="008A5EE5">
      <w:pPr>
        <w:pStyle w:val="Footer"/>
        <w:tabs>
          <w:tab w:val="clear" w:pos="4536"/>
          <w:tab w:val="clear" w:pos="9072"/>
        </w:tabs>
        <w:spacing w:line="480" w:lineRule="auto"/>
        <w:ind w:left="284"/>
        <w:rPr>
          <w:color w:val="000000"/>
        </w:rPr>
      </w:pPr>
      <w:r w:rsidRPr="00F259A2">
        <w:rPr>
          <w:color w:val="000000"/>
        </w:rPr>
        <w:t xml:space="preserve">6. </w:t>
      </w:r>
      <w:r w:rsidR="007E1480" w:rsidRPr="00F259A2">
        <w:rPr>
          <w:color w:val="000000"/>
        </w:rPr>
        <w:t xml:space="preserve">Centrifuge with highest speed </w:t>
      </w:r>
      <w:r w:rsidR="00287694" w:rsidRPr="00F259A2">
        <w:rPr>
          <w:color w:val="000000"/>
        </w:rPr>
        <w:t xml:space="preserve">at 4 °C </w:t>
      </w:r>
      <w:r w:rsidR="007E1480" w:rsidRPr="00F259A2">
        <w:rPr>
          <w:color w:val="000000"/>
        </w:rPr>
        <w:t>for 10 min using a table</w:t>
      </w:r>
      <w:r w:rsidR="00AD5B6B">
        <w:rPr>
          <w:color w:val="000000"/>
        </w:rPr>
        <w:t>--</w:t>
      </w:r>
      <w:r w:rsidR="007E1480" w:rsidRPr="00F259A2">
        <w:rPr>
          <w:color w:val="000000"/>
        </w:rPr>
        <w:t>top centrifuge</w:t>
      </w:r>
    </w:p>
    <w:p w14:paraId="14D54283" w14:textId="77777777" w:rsidR="001C1B16" w:rsidRPr="00F259A2" w:rsidRDefault="007E144A" w:rsidP="008A5EE5">
      <w:pPr>
        <w:pStyle w:val="Footer"/>
        <w:tabs>
          <w:tab w:val="clear" w:pos="4536"/>
          <w:tab w:val="clear" w:pos="9072"/>
        </w:tabs>
        <w:spacing w:line="480" w:lineRule="auto"/>
        <w:ind w:left="284"/>
        <w:rPr>
          <w:color w:val="000000"/>
        </w:rPr>
      </w:pPr>
      <w:r w:rsidRPr="00F259A2">
        <w:rPr>
          <w:color w:val="000000"/>
        </w:rPr>
        <w:t xml:space="preserve">7. </w:t>
      </w:r>
      <w:r w:rsidR="007E1480" w:rsidRPr="00F259A2">
        <w:rPr>
          <w:color w:val="000000"/>
        </w:rPr>
        <w:t xml:space="preserve">Remove </w:t>
      </w:r>
      <w:r w:rsidR="001D2940" w:rsidRPr="00F259A2">
        <w:rPr>
          <w:color w:val="000000"/>
        </w:rPr>
        <w:t xml:space="preserve">the </w:t>
      </w:r>
      <w:r w:rsidR="007E1480" w:rsidRPr="00F259A2">
        <w:rPr>
          <w:color w:val="000000"/>
        </w:rPr>
        <w:t>supernatant and place the vials upside down on tissue</w:t>
      </w:r>
      <w:r w:rsidR="001D2940" w:rsidRPr="00F259A2">
        <w:rPr>
          <w:color w:val="000000"/>
        </w:rPr>
        <w:t xml:space="preserve"> paper</w:t>
      </w:r>
    </w:p>
    <w:p w14:paraId="54656B03" w14:textId="77777777" w:rsidR="001C1B16" w:rsidRPr="00F259A2" w:rsidRDefault="007E144A" w:rsidP="008A5EE5">
      <w:pPr>
        <w:pStyle w:val="Footer"/>
        <w:tabs>
          <w:tab w:val="clear" w:pos="4536"/>
          <w:tab w:val="clear" w:pos="9072"/>
        </w:tabs>
        <w:spacing w:line="480" w:lineRule="auto"/>
        <w:ind w:left="284"/>
        <w:rPr>
          <w:color w:val="000000"/>
        </w:rPr>
      </w:pPr>
      <w:r w:rsidRPr="00F259A2">
        <w:rPr>
          <w:color w:val="000000"/>
        </w:rPr>
        <w:t xml:space="preserve">8. </w:t>
      </w:r>
      <w:r w:rsidR="007E1480" w:rsidRPr="00F259A2">
        <w:rPr>
          <w:color w:val="000000"/>
        </w:rPr>
        <w:t>Dry the pellet for 5 min using a Speed</w:t>
      </w:r>
      <w:r w:rsidR="000F1BD8" w:rsidRPr="00F259A2">
        <w:rPr>
          <w:color w:val="000000"/>
        </w:rPr>
        <w:t>-</w:t>
      </w:r>
      <w:r w:rsidR="006648EF" w:rsidRPr="00F259A2">
        <w:rPr>
          <w:color w:val="000000"/>
        </w:rPr>
        <w:t>-</w:t>
      </w:r>
      <w:r w:rsidR="007E1480" w:rsidRPr="00F259A2">
        <w:rPr>
          <w:color w:val="000000"/>
        </w:rPr>
        <w:t xml:space="preserve">Vac centrifuge (no heating) or </w:t>
      </w:r>
      <w:r w:rsidR="00287694" w:rsidRPr="00F259A2">
        <w:rPr>
          <w:color w:val="000000"/>
        </w:rPr>
        <w:t xml:space="preserve">at 37 °C </w:t>
      </w:r>
      <w:r w:rsidR="007E1480" w:rsidRPr="00F259A2">
        <w:rPr>
          <w:color w:val="000000"/>
        </w:rPr>
        <w:t>for 20</w:t>
      </w:r>
      <w:r w:rsidR="003B0E4B">
        <w:rPr>
          <w:color w:val="000000"/>
        </w:rPr>
        <w:t>--</w:t>
      </w:r>
      <w:r w:rsidR="007E1480" w:rsidRPr="00F259A2">
        <w:rPr>
          <w:color w:val="000000"/>
        </w:rPr>
        <w:t xml:space="preserve">30 min in a drying cabinet </w:t>
      </w:r>
    </w:p>
    <w:p w14:paraId="51C7409C" w14:textId="77777777" w:rsidR="001C1B16" w:rsidRPr="00F259A2" w:rsidRDefault="007E144A" w:rsidP="008A5EE5">
      <w:pPr>
        <w:pStyle w:val="Footer"/>
        <w:tabs>
          <w:tab w:val="clear" w:pos="4536"/>
          <w:tab w:val="clear" w:pos="9072"/>
        </w:tabs>
        <w:spacing w:line="480" w:lineRule="auto"/>
        <w:ind w:left="284"/>
        <w:rPr>
          <w:color w:val="000000"/>
        </w:rPr>
      </w:pPr>
      <w:r w:rsidRPr="00F259A2">
        <w:rPr>
          <w:color w:val="000000"/>
        </w:rPr>
        <w:t xml:space="preserve">9. </w:t>
      </w:r>
      <w:r w:rsidR="003B6386" w:rsidRPr="00F259A2">
        <w:rPr>
          <w:color w:val="000000"/>
        </w:rPr>
        <w:t xml:space="preserve">Resuspend the pellet in 3 </w:t>
      </w:r>
      <w:r w:rsidR="00F97688" w:rsidRPr="00F97688">
        <w:rPr>
          <w:color w:val="000000"/>
        </w:rPr>
        <w:t>µL</w:t>
      </w:r>
      <w:r w:rsidR="003B6386" w:rsidRPr="00F259A2">
        <w:rPr>
          <w:color w:val="000000"/>
        </w:rPr>
        <w:t xml:space="preserve"> </w:t>
      </w:r>
      <w:r w:rsidR="001D2940" w:rsidRPr="00F259A2">
        <w:rPr>
          <w:color w:val="000000"/>
        </w:rPr>
        <w:t xml:space="preserve">of </w:t>
      </w:r>
      <w:r w:rsidR="003B6386" w:rsidRPr="00F259A2">
        <w:rPr>
          <w:color w:val="000000"/>
        </w:rPr>
        <w:t>pure water</w:t>
      </w:r>
      <w:r w:rsidR="003B0E4B">
        <w:rPr>
          <w:color w:val="000000"/>
        </w:rPr>
        <w:t xml:space="preserve">. This is the ‘probe DNA’. </w:t>
      </w:r>
    </w:p>
    <w:p w14:paraId="64067770" w14:textId="77777777" w:rsidR="001C1B16" w:rsidRPr="00F259A2" w:rsidRDefault="001C1B16" w:rsidP="008A5EE5">
      <w:pPr>
        <w:pStyle w:val="Footer"/>
        <w:spacing w:line="480" w:lineRule="auto"/>
        <w:rPr>
          <w:color w:val="000000"/>
        </w:rPr>
      </w:pPr>
    </w:p>
    <w:p w14:paraId="6720EA90" w14:textId="77777777" w:rsidR="001C1B16" w:rsidRPr="00F259A2" w:rsidRDefault="001C1B16" w:rsidP="008A5EE5">
      <w:pPr>
        <w:pStyle w:val="Footer"/>
        <w:spacing w:line="480" w:lineRule="auto"/>
        <w:rPr>
          <w:color w:val="000000"/>
        </w:rPr>
      </w:pPr>
    </w:p>
    <w:p w14:paraId="74D37F36" w14:textId="77777777" w:rsidR="001C1B16" w:rsidRPr="00F259A2" w:rsidRDefault="005E6C1B" w:rsidP="008A5EE5">
      <w:pPr>
        <w:pStyle w:val="Footer"/>
        <w:spacing w:line="480" w:lineRule="auto"/>
        <w:rPr>
          <w:color w:val="000000"/>
        </w:rPr>
      </w:pPr>
      <w:r w:rsidRPr="00F259A2">
        <w:rPr>
          <w:color w:val="000000"/>
        </w:rPr>
        <w:lastRenderedPageBreak/>
        <w:t xml:space="preserve">&lt; Insert </w:t>
      </w:r>
      <w:r w:rsidRPr="00F259A2">
        <w:rPr>
          <w:b/>
          <w:color w:val="000000"/>
        </w:rPr>
        <w:t>Table 2</w:t>
      </w:r>
      <w:r w:rsidRPr="00F259A2">
        <w:rPr>
          <w:color w:val="000000"/>
        </w:rPr>
        <w:t xml:space="preserve"> here &gt;</w:t>
      </w:r>
    </w:p>
    <w:p w14:paraId="70C41FD8" w14:textId="77777777" w:rsidR="001C1B16" w:rsidRPr="00F259A2" w:rsidRDefault="001C1B16" w:rsidP="008A5EE5">
      <w:pPr>
        <w:pStyle w:val="Footer"/>
        <w:spacing w:line="480" w:lineRule="auto"/>
        <w:rPr>
          <w:color w:val="000000"/>
        </w:rPr>
      </w:pPr>
    </w:p>
    <w:p w14:paraId="2F068A98" w14:textId="77777777" w:rsidR="001C1B16" w:rsidRPr="00F259A2" w:rsidRDefault="001C1B16" w:rsidP="008A5EE5">
      <w:pPr>
        <w:pStyle w:val="Footer"/>
        <w:tabs>
          <w:tab w:val="clear" w:pos="4536"/>
          <w:tab w:val="clear" w:pos="9072"/>
        </w:tabs>
        <w:spacing w:line="480" w:lineRule="auto"/>
        <w:rPr>
          <w:color w:val="000000"/>
        </w:rPr>
      </w:pPr>
    </w:p>
    <w:p w14:paraId="28FFBD11" w14:textId="77777777" w:rsidR="001C1B16" w:rsidRPr="00F259A2" w:rsidRDefault="004A2BCB" w:rsidP="008A5EE5">
      <w:pPr>
        <w:pStyle w:val="Heading1"/>
        <w:tabs>
          <w:tab w:val="left" w:pos="-1440"/>
          <w:tab w:val="left" w:pos="-720"/>
        </w:tabs>
        <w:suppressAutoHyphens/>
        <w:spacing w:line="480" w:lineRule="auto"/>
        <w:rPr>
          <w:color w:val="000000"/>
        </w:rPr>
      </w:pPr>
      <w:r w:rsidRPr="00F259A2">
        <w:rPr>
          <w:color w:val="000000"/>
        </w:rPr>
        <w:t>3.2.</w:t>
      </w:r>
      <w:r w:rsidR="003B6386" w:rsidRPr="00F259A2">
        <w:rPr>
          <w:color w:val="000000"/>
        </w:rPr>
        <w:t>2. Preparation of the hybridization mix</w:t>
      </w:r>
    </w:p>
    <w:p w14:paraId="7604F277" w14:textId="77777777" w:rsidR="001C1B16" w:rsidRPr="00F259A2" w:rsidRDefault="001C1B16" w:rsidP="008A5EE5">
      <w:pPr>
        <w:pStyle w:val="Footer"/>
        <w:tabs>
          <w:tab w:val="clear" w:pos="4536"/>
          <w:tab w:val="clear" w:pos="9072"/>
        </w:tabs>
        <w:spacing w:line="480" w:lineRule="auto"/>
        <w:rPr>
          <w:color w:val="000000"/>
        </w:rPr>
      </w:pPr>
    </w:p>
    <w:p w14:paraId="36D6AF66" w14:textId="40A55547" w:rsidR="001C1B16" w:rsidRPr="00F259A2" w:rsidRDefault="007E144A" w:rsidP="008A5EE5">
      <w:pPr>
        <w:pStyle w:val="Footer"/>
        <w:tabs>
          <w:tab w:val="clear" w:pos="4536"/>
          <w:tab w:val="clear" w:pos="9072"/>
        </w:tabs>
        <w:spacing w:line="480" w:lineRule="auto"/>
        <w:ind w:left="284"/>
        <w:rPr>
          <w:color w:val="000000"/>
        </w:rPr>
      </w:pPr>
      <w:r w:rsidRPr="00F259A2">
        <w:rPr>
          <w:color w:val="000000"/>
        </w:rPr>
        <w:t xml:space="preserve">1. </w:t>
      </w:r>
      <w:r w:rsidR="007E1480" w:rsidRPr="00F259A2">
        <w:rPr>
          <w:color w:val="000000"/>
        </w:rPr>
        <w:t xml:space="preserve">Add 7 </w:t>
      </w:r>
      <w:r w:rsidR="00F97688" w:rsidRPr="00F97688">
        <w:rPr>
          <w:color w:val="000000"/>
        </w:rPr>
        <w:t>µL</w:t>
      </w:r>
      <w:r w:rsidR="007E1480" w:rsidRPr="00F259A2">
        <w:rPr>
          <w:color w:val="000000"/>
        </w:rPr>
        <w:t xml:space="preserve"> </w:t>
      </w:r>
      <w:r w:rsidR="006648EF" w:rsidRPr="00F259A2">
        <w:rPr>
          <w:color w:val="000000"/>
        </w:rPr>
        <w:t xml:space="preserve">of </w:t>
      </w:r>
      <w:r w:rsidR="00E1115F">
        <w:rPr>
          <w:color w:val="000000"/>
        </w:rPr>
        <w:t>M</w:t>
      </w:r>
      <w:r w:rsidR="007E1480" w:rsidRPr="00F259A2">
        <w:rPr>
          <w:color w:val="000000"/>
        </w:rPr>
        <w:t xml:space="preserve">aster </w:t>
      </w:r>
      <w:r w:rsidR="00E1115F">
        <w:rPr>
          <w:color w:val="000000"/>
        </w:rPr>
        <w:t>M</w:t>
      </w:r>
      <w:r w:rsidR="007E1480" w:rsidRPr="00F259A2">
        <w:rPr>
          <w:color w:val="000000"/>
        </w:rPr>
        <w:t>ix</w:t>
      </w:r>
      <w:r w:rsidR="003B6386" w:rsidRPr="00F259A2">
        <w:rPr>
          <w:color w:val="000000"/>
        </w:rPr>
        <w:t xml:space="preserve"> </w:t>
      </w:r>
      <w:r w:rsidR="00477CF1" w:rsidRPr="00F259A2">
        <w:rPr>
          <w:color w:val="000000"/>
        </w:rPr>
        <w:t>(</w:t>
      </w:r>
      <w:r w:rsidR="00477CF1" w:rsidRPr="00F259A2">
        <w:rPr>
          <w:i/>
          <w:color w:val="000000"/>
        </w:rPr>
        <w:t>see</w:t>
      </w:r>
      <w:r w:rsidR="00477CF1" w:rsidRPr="00F259A2">
        <w:rPr>
          <w:color w:val="000000"/>
        </w:rPr>
        <w:t xml:space="preserve"> </w:t>
      </w:r>
      <w:r w:rsidR="00477CF1" w:rsidRPr="00F259A2">
        <w:rPr>
          <w:b/>
          <w:color w:val="000000"/>
        </w:rPr>
        <w:t xml:space="preserve">Note </w:t>
      </w:r>
      <w:r w:rsidR="00892581">
        <w:rPr>
          <w:b/>
          <w:color w:val="000000"/>
        </w:rPr>
        <w:t>3</w:t>
      </w:r>
      <w:r w:rsidR="00477CF1" w:rsidRPr="00F259A2">
        <w:rPr>
          <w:color w:val="000000"/>
        </w:rPr>
        <w:t>)</w:t>
      </w:r>
      <w:r w:rsidR="00477CF1">
        <w:rPr>
          <w:color w:val="000000"/>
        </w:rPr>
        <w:t xml:space="preserve"> </w:t>
      </w:r>
      <w:r w:rsidR="003B6386" w:rsidRPr="00F259A2">
        <w:rPr>
          <w:color w:val="000000"/>
        </w:rPr>
        <w:t>to the resuspended probe DNA</w:t>
      </w:r>
      <w:r w:rsidR="006648EF" w:rsidRPr="00F259A2">
        <w:rPr>
          <w:color w:val="000000"/>
        </w:rPr>
        <w:t xml:space="preserve"> (from step 9 of section </w:t>
      </w:r>
      <w:r w:rsidR="00653F69">
        <w:rPr>
          <w:color w:val="000000"/>
        </w:rPr>
        <w:t>3.2.</w:t>
      </w:r>
      <w:r w:rsidR="006648EF" w:rsidRPr="00F259A2">
        <w:rPr>
          <w:color w:val="000000"/>
        </w:rPr>
        <w:t>1)</w:t>
      </w:r>
    </w:p>
    <w:p w14:paraId="6513B2BF" w14:textId="77777777" w:rsidR="001C1B16" w:rsidRPr="00F259A2" w:rsidRDefault="00866887" w:rsidP="008A5EE5">
      <w:pPr>
        <w:pStyle w:val="Footer"/>
        <w:tabs>
          <w:tab w:val="clear" w:pos="4536"/>
          <w:tab w:val="clear" w:pos="9072"/>
        </w:tabs>
        <w:spacing w:line="480" w:lineRule="auto"/>
        <w:ind w:left="284"/>
        <w:rPr>
          <w:color w:val="000000"/>
        </w:rPr>
      </w:pPr>
      <w:r>
        <w:rPr>
          <w:color w:val="000000"/>
        </w:rPr>
        <w:t xml:space="preserve">2. Mix thoroughly </w:t>
      </w:r>
    </w:p>
    <w:p w14:paraId="3FBD294C" w14:textId="77777777" w:rsidR="001C1B16" w:rsidRPr="00F259A2" w:rsidRDefault="00866887" w:rsidP="008A5EE5">
      <w:pPr>
        <w:pStyle w:val="Footer"/>
        <w:tabs>
          <w:tab w:val="clear" w:pos="4536"/>
          <w:tab w:val="clear" w:pos="9072"/>
        </w:tabs>
        <w:spacing w:line="480" w:lineRule="auto"/>
        <w:ind w:left="284"/>
        <w:rPr>
          <w:color w:val="000000"/>
        </w:rPr>
      </w:pPr>
      <w:r>
        <w:rPr>
          <w:color w:val="000000"/>
        </w:rPr>
        <w:t>3. Incubate at 37 °C for 30 min</w:t>
      </w:r>
      <w:r w:rsidR="009A377C" w:rsidRPr="009A377C">
        <w:rPr>
          <w:color w:val="000000"/>
        </w:rPr>
        <w:t xml:space="preserve"> </w:t>
      </w:r>
    </w:p>
    <w:p w14:paraId="56E60F44" w14:textId="77777777" w:rsidR="001C1B16" w:rsidRPr="00F259A2" w:rsidRDefault="001C1B16" w:rsidP="008A5EE5">
      <w:pPr>
        <w:pStyle w:val="Footer"/>
        <w:tabs>
          <w:tab w:val="clear" w:pos="4536"/>
          <w:tab w:val="clear" w:pos="9072"/>
        </w:tabs>
        <w:spacing w:line="480" w:lineRule="auto"/>
        <w:rPr>
          <w:color w:val="000000"/>
        </w:rPr>
      </w:pPr>
    </w:p>
    <w:p w14:paraId="52E4888E" w14:textId="77777777" w:rsidR="001C1B16" w:rsidRPr="00F259A2" w:rsidRDefault="003B6386" w:rsidP="008A5EE5">
      <w:pPr>
        <w:pStyle w:val="Heading1"/>
        <w:tabs>
          <w:tab w:val="left" w:pos="-1440"/>
          <w:tab w:val="left" w:pos="-720"/>
        </w:tabs>
        <w:suppressAutoHyphens/>
        <w:spacing w:line="480" w:lineRule="auto"/>
        <w:rPr>
          <w:color w:val="000000"/>
        </w:rPr>
      </w:pPr>
      <w:r w:rsidRPr="00F259A2">
        <w:rPr>
          <w:color w:val="000000"/>
        </w:rPr>
        <w:t>3</w:t>
      </w:r>
      <w:r w:rsidR="006B0A1E" w:rsidRPr="00F259A2">
        <w:rPr>
          <w:color w:val="000000"/>
        </w:rPr>
        <w:t>.2.3</w:t>
      </w:r>
      <w:r w:rsidRPr="00F259A2">
        <w:rPr>
          <w:color w:val="000000"/>
        </w:rPr>
        <w:t>. Denaturation and pre</w:t>
      </w:r>
      <w:r w:rsidR="00AD5B6B">
        <w:rPr>
          <w:color w:val="000000"/>
        </w:rPr>
        <w:t>--</w:t>
      </w:r>
      <w:r w:rsidRPr="00F259A2">
        <w:rPr>
          <w:color w:val="000000"/>
        </w:rPr>
        <w:t>annealing of the probe DNA</w:t>
      </w:r>
    </w:p>
    <w:p w14:paraId="24579C29" w14:textId="77777777" w:rsidR="001C1B16" w:rsidRPr="00F259A2" w:rsidRDefault="001C1B16" w:rsidP="008A5EE5">
      <w:pPr>
        <w:pStyle w:val="Footer"/>
        <w:tabs>
          <w:tab w:val="clear" w:pos="4536"/>
          <w:tab w:val="clear" w:pos="9072"/>
        </w:tabs>
        <w:spacing w:line="480" w:lineRule="auto"/>
        <w:rPr>
          <w:color w:val="000000"/>
        </w:rPr>
      </w:pPr>
    </w:p>
    <w:p w14:paraId="500E8BF0" w14:textId="77777777" w:rsidR="001C1B16" w:rsidRPr="00F259A2" w:rsidRDefault="007E144A" w:rsidP="008A5EE5">
      <w:pPr>
        <w:pStyle w:val="Footer"/>
        <w:tabs>
          <w:tab w:val="clear" w:pos="4536"/>
          <w:tab w:val="clear" w:pos="9072"/>
        </w:tabs>
        <w:spacing w:line="480" w:lineRule="auto"/>
        <w:ind w:left="284"/>
        <w:rPr>
          <w:color w:val="000000"/>
        </w:rPr>
      </w:pPr>
      <w:r w:rsidRPr="00F259A2">
        <w:rPr>
          <w:color w:val="000000"/>
        </w:rPr>
        <w:t xml:space="preserve">1. </w:t>
      </w:r>
      <w:r w:rsidR="003B6386" w:rsidRPr="00F259A2">
        <w:rPr>
          <w:color w:val="000000"/>
        </w:rPr>
        <w:t xml:space="preserve">Denature the probe DNA </w:t>
      </w:r>
      <w:r w:rsidR="00287694" w:rsidRPr="00F259A2">
        <w:rPr>
          <w:color w:val="000000"/>
        </w:rPr>
        <w:t xml:space="preserve">at 76 °C </w:t>
      </w:r>
      <w:r w:rsidR="003B6386" w:rsidRPr="00F259A2">
        <w:rPr>
          <w:color w:val="000000"/>
        </w:rPr>
        <w:t xml:space="preserve">for 7 min </w:t>
      </w:r>
    </w:p>
    <w:p w14:paraId="591B551F" w14:textId="77777777" w:rsidR="001C1B16" w:rsidRPr="00F259A2" w:rsidRDefault="00845BAC" w:rsidP="008A5EE5">
      <w:pPr>
        <w:pStyle w:val="Footer"/>
        <w:tabs>
          <w:tab w:val="clear" w:pos="4536"/>
          <w:tab w:val="clear" w:pos="9072"/>
        </w:tabs>
        <w:spacing w:line="480" w:lineRule="auto"/>
        <w:ind w:left="284"/>
        <w:rPr>
          <w:color w:val="000000"/>
        </w:rPr>
      </w:pPr>
      <w:r w:rsidRPr="00F259A2">
        <w:rPr>
          <w:color w:val="000000"/>
        </w:rPr>
        <w:t xml:space="preserve">2. </w:t>
      </w:r>
      <w:r w:rsidR="003B6386" w:rsidRPr="00F259A2">
        <w:rPr>
          <w:color w:val="000000"/>
        </w:rPr>
        <w:t xml:space="preserve">Incubate </w:t>
      </w:r>
      <w:r w:rsidR="00287694" w:rsidRPr="00F259A2">
        <w:rPr>
          <w:color w:val="000000"/>
        </w:rPr>
        <w:t xml:space="preserve">at 37 °C </w:t>
      </w:r>
      <w:r w:rsidR="003B6386" w:rsidRPr="00F259A2">
        <w:rPr>
          <w:color w:val="000000"/>
        </w:rPr>
        <w:t>for 45 min to allow for pre</w:t>
      </w:r>
      <w:r w:rsidR="00AD5B6B">
        <w:rPr>
          <w:color w:val="000000"/>
        </w:rPr>
        <w:t>--</w:t>
      </w:r>
      <w:r w:rsidR="003B6386" w:rsidRPr="00F259A2">
        <w:rPr>
          <w:color w:val="000000"/>
        </w:rPr>
        <w:t>annealing of cot</w:t>
      </w:r>
      <w:r w:rsidR="00AD5B6B">
        <w:rPr>
          <w:color w:val="000000"/>
        </w:rPr>
        <w:t>--</w:t>
      </w:r>
      <w:r w:rsidR="003B6386" w:rsidRPr="00F259A2">
        <w:rPr>
          <w:color w:val="000000"/>
        </w:rPr>
        <w:t>1 DNA</w:t>
      </w:r>
      <w:r w:rsidR="006648EF" w:rsidRPr="00F259A2">
        <w:rPr>
          <w:color w:val="000000"/>
        </w:rPr>
        <w:t xml:space="preserve"> </w:t>
      </w:r>
      <w:r w:rsidR="003B6386" w:rsidRPr="00F259A2">
        <w:rPr>
          <w:color w:val="000000"/>
        </w:rPr>
        <w:t>to repetitive DNA sequences</w:t>
      </w:r>
      <w:r w:rsidRPr="00F259A2">
        <w:rPr>
          <w:color w:val="000000"/>
        </w:rPr>
        <w:t xml:space="preserve">, </w:t>
      </w:r>
      <w:r w:rsidR="003B6386" w:rsidRPr="00F259A2">
        <w:rPr>
          <w:color w:val="000000"/>
        </w:rPr>
        <w:t xml:space="preserve">e.g. </w:t>
      </w:r>
      <w:proofErr w:type="spellStart"/>
      <w:r w:rsidR="003B6386" w:rsidRPr="00F259A2">
        <w:rPr>
          <w:i/>
          <w:color w:val="000000"/>
        </w:rPr>
        <w:t>alu</w:t>
      </w:r>
      <w:proofErr w:type="spellEnd"/>
      <w:r w:rsidR="003B6386" w:rsidRPr="00F259A2">
        <w:rPr>
          <w:color w:val="000000"/>
        </w:rPr>
        <w:t xml:space="preserve"> sequences</w:t>
      </w:r>
      <w:r w:rsidRPr="00F259A2">
        <w:rPr>
          <w:color w:val="000000"/>
        </w:rPr>
        <w:t>,</w:t>
      </w:r>
      <w:r w:rsidR="003B6386" w:rsidRPr="00F259A2">
        <w:rPr>
          <w:color w:val="000000"/>
        </w:rPr>
        <w:t xml:space="preserve"> in the reference and test DNA</w:t>
      </w:r>
      <w:r w:rsidR="006648EF" w:rsidRPr="00F259A2">
        <w:rPr>
          <w:color w:val="000000"/>
        </w:rPr>
        <w:t xml:space="preserve"> </w:t>
      </w:r>
      <w:r w:rsidRPr="00F259A2">
        <w:rPr>
          <w:color w:val="000000"/>
        </w:rPr>
        <w:t>(</w:t>
      </w:r>
      <w:r w:rsidRPr="00CB0339">
        <w:rPr>
          <w:i/>
          <w:color w:val="000000"/>
        </w:rPr>
        <w:t>see</w:t>
      </w:r>
      <w:r w:rsidRPr="00F259A2">
        <w:rPr>
          <w:color w:val="000000"/>
        </w:rPr>
        <w:t xml:space="preserve"> </w:t>
      </w:r>
      <w:r w:rsidRPr="00F259A2">
        <w:rPr>
          <w:b/>
          <w:color w:val="000000"/>
        </w:rPr>
        <w:t xml:space="preserve">Note </w:t>
      </w:r>
      <w:r w:rsidR="00892581">
        <w:rPr>
          <w:b/>
          <w:color w:val="000000"/>
        </w:rPr>
        <w:t>4</w:t>
      </w:r>
      <w:r w:rsidRPr="00F259A2">
        <w:rPr>
          <w:color w:val="000000"/>
        </w:rPr>
        <w:t>)</w:t>
      </w:r>
    </w:p>
    <w:p w14:paraId="089D656D" w14:textId="77777777" w:rsidR="001C1B16" w:rsidRPr="00F259A2" w:rsidRDefault="00845BAC" w:rsidP="008A5EE5">
      <w:pPr>
        <w:pStyle w:val="Footer"/>
        <w:tabs>
          <w:tab w:val="clear" w:pos="4536"/>
          <w:tab w:val="clear" w:pos="9072"/>
        </w:tabs>
        <w:spacing w:line="480" w:lineRule="auto"/>
        <w:ind w:left="284"/>
        <w:rPr>
          <w:color w:val="000000"/>
        </w:rPr>
      </w:pPr>
      <w:r w:rsidRPr="00F259A2">
        <w:rPr>
          <w:color w:val="000000"/>
        </w:rPr>
        <w:t xml:space="preserve">3. </w:t>
      </w:r>
      <w:r w:rsidR="003B6386" w:rsidRPr="00F259A2">
        <w:rPr>
          <w:color w:val="000000"/>
        </w:rPr>
        <w:t xml:space="preserve">In the meantime warm up formamide solution and start denaturing metaphase slides </w:t>
      </w:r>
      <w:r w:rsidR="00E8065C">
        <w:rPr>
          <w:color w:val="000000"/>
        </w:rPr>
        <w:t>(</w:t>
      </w:r>
      <w:r w:rsidR="00E8065C" w:rsidRPr="00783883">
        <w:rPr>
          <w:i/>
          <w:color w:val="000000"/>
        </w:rPr>
        <w:t>see</w:t>
      </w:r>
      <w:r w:rsidR="00E8065C">
        <w:rPr>
          <w:color w:val="000000"/>
        </w:rPr>
        <w:t xml:space="preserve"> </w:t>
      </w:r>
      <w:r w:rsidR="00F34055" w:rsidRPr="00783883">
        <w:rPr>
          <w:b/>
          <w:color w:val="000000"/>
        </w:rPr>
        <w:t xml:space="preserve">Section </w:t>
      </w:r>
      <w:r w:rsidR="00E8065C" w:rsidRPr="00783883">
        <w:rPr>
          <w:b/>
          <w:color w:val="000000"/>
        </w:rPr>
        <w:t>3.2.5</w:t>
      </w:r>
      <w:r w:rsidR="00E8065C">
        <w:rPr>
          <w:color w:val="000000"/>
        </w:rPr>
        <w:t xml:space="preserve">) </w:t>
      </w:r>
      <w:r w:rsidR="003B6386" w:rsidRPr="00F259A2">
        <w:rPr>
          <w:color w:val="000000"/>
        </w:rPr>
        <w:t>15 min before the end of the pre</w:t>
      </w:r>
      <w:r w:rsidR="00AD5B6B">
        <w:rPr>
          <w:color w:val="000000"/>
        </w:rPr>
        <w:t>--</w:t>
      </w:r>
      <w:r w:rsidR="003B6386" w:rsidRPr="00F259A2">
        <w:rPr>
          <w:color w:val="000000"/>
        </w:rPr>
        <w:t>annealing step</w:t>
      </w:r>
    </w:p>
    <w:p w14:paraId="1948ADF0" w14:textId="77777777" w:rsidR="001C1B16" w:rsidRPr="00F259A2" w:rsidRDefault="001C1B16" w:rsidP="008A5EE5">
      <w:pPr>
        <w:pStyle w:val="Footer"/>
        <w:tabs>
          <w:tab w:val="clear" w:pos="4536"/>
          <w:tab w:val="clear" w:pos="9072"/>
        </w:tabs>
        <w:spacing w:line="480" w:lineRule="auto"/>
        <w:rPr>
          <w:color w:val="000000"/>
        </w:rPr>
      </w:pPr>
    </w:p>
    <w:p w14:paraId="14459187" w14:textId="77777777" w:rsidR="001C1B16" w:rsidRPr="00F259A2" w:rsidRDefault="006B0A1E" w:rsidP="008A5EE5">
      <w:pPr>
        <w:pStyle w:val="Heading1"/>
        <w:tabs>
          <w:tab w:val="left" w:pos="-1440"/>
          <w:tab w:val="left" w:pos="-720"/>
        </w:tabs>
        <w:suppressAutoHyphens/>
        <w:spacing w:line="480" w:lineRule="auto"/>
        <w:rPr>
          <w:color w:val="000000"/>
        </w:rPr>
      </w:pPr>
      <w:r w:rsidRPr="00F259A2">
        <w:rPr>
          <w:color w:val="000000"/>
        </w:rPr>
        <w:t>3.2.</w:t>
      </w:r>
      <w:r w:rsidR="00214628" w:rsidRPr="00F259A2">
        <w:rPr>
          <w:color w:val="000000"/>
        </w:rPr>
        <w:t xml:space="preserve">4. </w:t>
      </w:r>
      <w:proofErr w:type="spellStart"/>
      <w:r w:rsidR="00214628" w:rsidRPr="00F259A2">
        <w:rPr>
          <w:color w:val="000000"/>
        </w:rPr>
        <w:t>Pre</w:t>
      </w:r>
      <w:r w:rsidR="00AD5B6B">
        <w:rPr>
          <w:color w:val="000000"/>
        </w:rPr>
        <w:t>--</w:t>
      </w:r>
      <w:r w:rsidR="00214628" w:rsidRPr="00F259A2">
        <w:rPr>
          <w:color w:val="000000"/>
        </w:rPr>
        <w:t>treatment</w:t>
      </w:r>
      <w:proofErr w:type="spellEnd"/>
      <w:r w:rsidR="00214628" w:rsidRPr="00F259A2">
        <w:rPr>
          <w:color w:val="000000"/>
        </w:rPr>
        <w:t xml:space="preserve"> </w:t>
      </w:r>
      <w:r w:rsidR="00430B7F" w:rsidRPr="00F259A2">
        <w:rPr>
          <w:color w:val="000000"/>
        </w:rPr>
        <w:t xml:space="preserve">of metaphase chromosomes with RNase A and Pepsin </w:t>
      </w:r>
    </w:p>
    <w:p w14:paraId="4BECAA81" w14:textId="77777777" w:rsidR="001C1B16" w:rsidRPr="00F259A2" w:rsidRDefault="003E19D3" w:rsidP="008A5EE5">
      <w:pPr>
        <w:tabs>
          <w:tab w:val="left" w:pos="993"/>
        </w:tabs>
        <w:spacing w:line="480" w:lineRule="auto"/>
        <w:ind w:left="284"/>
        <w:rPr>
          <w:color w:val="000000"/>
        </w:rPr>
      </w:pPr>
      <w:r w:rsidRPr="00F259A2">
        <w:rPr>
          <w:color w:val="000000"/>
        </w:rPr>
        <w:br/>
      </w:r>
      <w:r w:rsidRPr="00F259A2">
        <w:rPr>
          <w:i/>
          <w:color w:val="000000"/>
        </w:rPr>
        <w:t xml:space="preserve">The following </w:t>
      </w:r>
      <w:proofErr w:type="spellStart"/>
      <w:r w:rsidRPr="00F259A2">
        <w:rPr>
          <w:i/>
          <w:color w:val="000000"/>
        </w:rPr>
        <w:t>pre</w:t>
      </w:r>
      <w:r w:rsidR="00AD5B6B">
        <w:rPr>
          <w:i/>
          <w:color w:val="000000"/>
        </w:rPr>
        <w:t>--</w:t>
      </w:r>
      <w:r w:rsidRPr="00F259A2">
        <w:rPr>
          <w:i/>
          <w:color w:val="000000"/>
        </w:rPr>
        <w:t>treatment</w:t>
      </w:r>
      <w:proofErr w:type="spellEnd"/>
      <w:r w:rsidRPr="00F259A2">
        <w:rPr>
          <w:i/>
          <w:color w:val="000000"/>
        </w:rPr>
        <w:t xml:space="preserve"> steps are </w:t>
      </w:r>
      <w:r w:rsidR="00DC3D1A" w:rsidRPr="00F259A2">
        <w:rPr>
          <w:i/>
          <w:color w:val="000000"/>
        </w:rPr>
        <w:t>optional;</w:t>
      </w:r>
      <w:r w:rsidRPr="00F259A2">
        <w:rPr>
          <w:i/>
          <w:color w:val="000000"/>
        </w:rPr>
        <w:t xml:space="preserve"> however, they might be crucial for optimal hybridization of the DNA probes</w:t>
      </w:r>
      <w:r w:rsidR="00C96C1D" w:rsidRPr="00F259A2">
        <w:rPr>
          <w:i/>
          <w:color w:val="000000"/>
        </w:rPr>
        <w:t>, especiall</w:t>
      </w:r>
      <w:r w:rsidR="00933064" w:rsidRPr="00F259A2">
        <w:rPr>
          <w:i/>
          <w:color w:val="000000"/>
        </w:rPr>
        <w:t xml:space="preserve">y when </w:t>
      </w:r>
      <w:proofErr w:type="spellStart"/>
      <w:r w:rsidR="00933064" w:rsidRPr="00F259A2">
        <w:rPr>
          <w:i/>
          <w:color w:val="000000"/>
        </w:rPr>
        <w:t>self</w:t>
      </w:r>
      <w:r w:rsidR="00AD5B6B">
        <w:rPr>
          <w:i/>
          <w:color w:val="000000"/>
        </w:rPr>
        <w:t>--</w:t>
      </w:r>
      <w:r w:rsidR="00933064" w:rsidRPr="00F259A2">
        <w:rPr>
          <w:i/>
          <w:color w:val="000000"/>
        </w:rPr>
        <w:t>made</w:t>
      </w:r>
      <w:proofErr w:type="spellEnd"/>
      <w:r w:rsidR="00933064" w:rsidRPr="00F259A2">
        <w:rPr>
          <w:i/>
          <w:color w:val="000000"/>
        </w:rPr>
        <w:t xml:space="preserve"> slides are used</w:t>
      </w:r>
      <w:r w:rsidR="003B0E4B">
        <w:rPr>
          <w:i/>
          <w:color w:val="000000"/>
        </w:rPr>
        <w:t>.</w:t>
      </w:r>
    </w:p>
    <w:p w14:paraId="5155F51F" w14:textId="77777777" w:rsidR="001C1B16" w:rsidRPr="00F259A2" w:rsidRDefault="001C1B16" w:rsidP="008A5EE5">
      <w:pPr>
        <w:pStyle w:val="Footer"/>
        <w:tabs>
          <w:tab w:val="clear" w:pos="4536"/>
          <w:tab w:val="clear" w:pos="9072"/>
        </w:tabs>
        <w:spacing w:line="480" w:lineRule="auto"/>
        <w:ind w:left="284"/>
        <w:rPr>
          <w:color w:val="000000"/>
        </w:rPr>
      </w:pPr>
    </w:p>
    <w:p w14:paraId="69A9936E" w14:textId="77777777" w:rsidR="001C1B16" w:rsidRPr="00F259A2" w:rsidRDefault="00845BAC" w:rsidP="008A5EE5">
      <w:pPr>
        <w:spacing w:line="480" w:lineRule="auto"/>
        <w:ind w:left="284"/>
        <w:rPr>
          <w:color w:val="000000"/>
        </w:rPr>
      </w:pPr>
      <w:r w:rsidRPr="00F259A2">
        <w:rPr>
          <w:color w:val="000000"/>
        </w:rPr>
        <w:lastRenderedPageBreak/>
        <w:t xml:space="preserve">1. </w:t>
      </w:r>
      <w:r w:rsidR="00404240" w:rsidRPr="00F259A2">
        <w:rPr>
          <w:color w:val="000000"/>
        </w:rPr>
        <w:t xml:space="preserve">Apply 150 </w:t>
      </w:r>
      <w:r w:rsidR="00F97688" w:rsidRPr="00F97688">
        <w:rPr>
          <w:color w:val="000000"/>
        </w:rPr>
        <w:t>µL</w:t>
      </w:r>
      <w:r w:rsidR="00404240" w:rsidRPr="00F259A2">
        <w:rPr>
          <w:color w:val="000000"/>
        </w:rPr>
        <w:t xml:space="preserve"> </w:t>
      </w:r>
      <w:r w:rsidR="004A2BCB" w:rsidRPr="00F259A2">
        <w:rPr>
          <w:color w:val="000000"/>
        </w:rPr>
        <w:t>of 100 µg/</w:t>
      </w:r>
      <w:r w:rsidR="00F97688" w:rsidRPr="00F97688">
        <w:rPr>
          <w:color w:val="000000"/>
        </w:rPr>
        <w:t>mL</w:t>
      </w:r>
      <w:r w:rsidR="004A2BCB" w:rsidRPr="00F259A2">
        <w:rPr>
          <w:color w:val="000000"/>
        </w:rPr>
        <w:t xml:space="preserve"> </w:t>
      </w:r>
      <w:r w:rsidR="00404240" w:rsidRPr="00F259A2">
        <w:rPr>
          <w:color w:val="000000"/>
        </w:rPr>
        <w:t>RNase A solution</w:t>
      </w:r>
      <w:r w:rsidR="00A453F4">
        <w:rPr>
          <w:color w:val="000000"/>
        </w:rPr>
        <w:t>,</w:t>
      </w:r>
      <w:r w:rsidR="00404240" w:rsidRPr="00F259A2">
        <w:rPr>
          <w:color w:val="000000"/>
        </w:rPr>
        <w:t xml:space="preserve"> on to the slides</w:t>
      </w:r>
    </w:p>
    <w:p w14:paraId="2989D5C1" w14:textId="77777777" w:rsidR="001C1B16" w:rsidRPr="00F259A2" w:rsidRDefault="00845BAC" w:rsidP="008A5EE5">
      <w:pPr>
        <w:spacing w:line="480" w:lineRule="auto"/>
        <w:ind w:left="284"/>
        <w:rPr>
          <w:color w:val="000000"/>
        </w:rPr>
      </w:pPr>
      <w:r w:rsidRPr="00F259A2">
        <w:rPr>
          <w:color w:val="000000"/>
        </w:rPr>
        <w:t xml:space="preserve">2. </w:t>
      </w:r>
      <w:r w:rsidR="00404240" w:rsidRPr="00F259A2">
        <w:rPr>
          <w:color w:val="000000"/>
        </w:rPr>
        <w:t xml:space="preserve">Cover </w:t>
      </w:r>
      <w:r w:rsidR="004A2BCB" w:rsidRPr="00F259A2">
        <w:rPr>
          <w:color w:val="000000"/>
        </w:rPr>
        <w:t xml:space="preserve">the </w:t>
      </w:r>
      <w:r w:rsidR="00404240" w:rsidRPr="00F259A2">
        <w:rPr>
          <w:color w:val="000000"/>
        </w:rPr>
        <w:t>slides with a plastic cover slip, e.g. a piece of Parafilm</w:t>
      </w:r>
    </w:p>
    <w:p w14:paraId="27DA0B15" w14:textId="77777777" w:rsidR="001C1B16" w:rsidRPr="00F259A2" w:rsidRDefault="00845BAC" w:rsidP="008A5EE5">
      <w:pPr>
        <w:spacing w:line="480" w:lineRule="auto"/>
        <w:ind w:left="284"/>
        <w:rPr>
          <w:color w:val="000000"/>
        </w:rPr>
      </w:pPr>
      <w:r w:rsidRPr="00F259A2">
        <w:rPr>
          <w:color w:val="000000"/>
        </w:rPr>
        <w:t xml:space="preserve">3. </w:t>
      </w:r>
      <w:r w:rsidR="00404240" w:rsidRPr="00F259A2">
        <w:rPr>
          <w:color w:val="000000"/>
        </w:rPr>
        <w:t>Incubate at 37 °C for 60 min in a wet box</w:t>
      </w:r>
    </w:p>
    <w:p w14:paraId="72E7E06B" w14:textId="77777777" w:rsidR="001C1B16" w:rsidRPr="00F259A2" w:rsidRDefault="00845BAC" w:rsidP="008A5EE5">
      <w:pPr>
        <w:spacing w:line="480" w:lineRule="auto"/>
        <w:ind w:left="284"/>
        <w:rPr>
          <w:color w:val="000000"/>
        </w:rPr>
      </w:pPr>
      <w:r w:rsidRPr="00F259A2">
        <w:rPr>
          <w:color w:val="000000"/>
        </w:rPr>
        <w:t xml:space="preserve">4. </w:t>
      </w:r>
      <w:r w:rsidR="00404240" w:rsidRPr="00F259A2">
        <w:rPr>
          <w:color w:val="000000"/>
        </w:rPr>
        <w:t>Shortly dip slides in 2</w:t>
      </w:r>
      <w:r w:rsidR="0025091A">
        <w:rPr>
          <w:color w:val="000000"/>
        </w:rPr>
        <w:t>X</w:t>
      </w:r>
      <w:r w:rsidR="00404240" w:rsidRPr="00F259A2">
        <w:rPr>
          <w:color w:val="000000"/>
        </w:rPr>
        <w:t xml:space="preserve"> SSC</w:t>
      </w:r>
    </w:p>
    <w:p w14:paraId="44996720" w14:textId="77777777" w:rsidR="001C1B16" w:rsidRPr="00F259A2" w:rsidRDefault="00845BAC" w:rsidP="008A5EE5">
      <w:pPr>
        <w:spacing w:line="480" w:lineRule="auto"/>
        <w:ind w:left="284"/>
        <w:rPr>
          <w:color w:val="000000"/>
        </w:rPr>
      </w:pPr>
      <w:r w:rsidRPr="00F259A2">
        <w:rPr>
          <w:color w:val="000000"/>
        </w:rPr>
        <w:t xml:space="preserve">5. </w:t>
      </w:r>
      <w:r w:rsidR="00404240" w:rsidRPr="00F259A2">
        <w:rPr>
          <w:color w:val="000000"/>
        </w:rPr>
        <w:t>Wash three times</w:t>
      </w:r>
      <w:r w:rsidR="004A2BCB" w:rsidRPr="00F259A2">
        <w:rPr>
          <w:color w:val="000000"/>
        </w:rPr>
        <w:t xml:space="preserve"> for</w:t>
      </w:r>
      <w:r w:rsidR="00404240" w:rsidRPr="00F259A2">
        <w:rPr>
          <w:color w:val="000000"/>
        </w:rPr>
        <w:t xml:space="preserve"> 5 min</w:t>
      </w:r>
      <w:r w:rsidR="004A2BCB" w:rsidRPr="00F259A2">
        <w:rPr>
          <w:color w:val="000000"/>
        </w:rPr>
        <w:t xml:space="preserve"> </w:t>
      </w:r>
      <w:r w:rsidR="00404240" w:rsidRPr="00F259A2">
        <w:rPr>
          <w:color w:val="000000"/>
        </w:rPr>
        <w:t>in 2</w:t>
      </w:r>
      <w:r w:rsidR="0025091A">
        <w:rPr>
          <w:color w:val="000000"/>
        </w:rPr>
        <w:t>X</w:t>
      </w:r>
      <w:r w:rsidR="00404240" w:rsidRPr="00F259A2">
        <w:rPr>
          <w:color w:val="000000"/>
        </w:rPr>
        <w:t xml:space="preserve"> SSC at room temperature</w:t>
      </w:r>
    </w:p>
    <w:p w14:paraId="4C161303" w14:textId="77777777" w:rsidR="001C1B16" w:rsidRPr="00F259A2" w:rsidRDefault="006F4FE1" w:rsidP="008A5EE5">
      <w:pPr>
        <w:spacing w:line="480" w:lineRule="auto"/>
        <w:ind w:left="284"/>
        <w:rPr>
          <w:color w:val="000000"/>
        </w:rPr>
      </w:pPr>
      <w:r w:rsidRPr="00F259A2">
        <w:rPr>
          <w:color w:val="000000"/>
        </w:rPr>
        <w:t xml:space="preserve">6. </w:t>
      </w:r>
      <w:r w:rsidR="000E2369" w:rsidRPr="00F259A2">
        <w:rPr>
          <w:color w:val="000000"/>
        </w:rPr>
        <w:t xml:space="preserve">Place slides in an empty </w:t>
      </w:r>
      <w:proofErr w:type="spellStart"/>
      <w:r w:rsidR="000E2369" w:rsidRPr="00F259A2">
        <w:rPr>
          <w:color w:val="000000"/>
        </w:rPr>
        <w:t>Coplin</w:t>
      </w:r>
      <w:proofErr w:type="spellEnd"/>
      <w:r w:rsidR="000E2369" w:rsidRPr="00F259A2">
        <w:rPr>
          <w:color w:val="000000"/>
        </w:rPr>
        <w:t xml:space="preserve"> jar and fill it up with </w:t>
      </w:r>
      <w:r w:rsidR="00143234">
        <w:rPr>
          <w:color w:val="000000"/>
        </w:rPr>
        <w:t xml:space="preserve">pepsin working solution </w:t>
      </w:r>
      <w:r w:rsidR="005A09E8" w:rsidRPr="00F259A2">
        <w:rPr>
          <w:color w:val="000000"/>
        </w:rPr>
        <w:t xml:space="preserve"> </w:t>
      </w:r>
    </w:p>
    <w:p w14:paraId="05E43282" w14:textId="77777777" w:rsidR="001C1B16" w:rsidRPr="00F259A2" w:rsidRDefault="006F4FE1" w:rsidP="008A5EE5">
      <w:pPr>
        <w:spacing w:line="480" w:lineRule="auto"/>
        <w:ind w:left="284"/>
        <w:rPr>
          <w:color w:val="000000"/>
        </w:rPr>
      </w:pPr>
      <w:r w:rsidRPr="00F259A2">
        <w:rPr>
          <w:color w:val="000000"/>
        </w:rPr>
        <w:t xml:space="preserve">7. </w:t>
      </w:r>
      <w:r w:rsidR="003C228F" w:rsidRPr="00F259A2">
        <w:rPr>
          <w:color w:val="000000"/>
        </w:rPr>
        <w:t>Incubate at 37</w:t>
      </w:r>
      <w:r w:rsidR="002470D5">
        <w:rPr>
          <w:color w:val="000000"/>
        </w:rPr>
        <w:t xml:space="preserve"> </w:t>
      </w:r>
      <w:r w:rsidR="003C228F" w:rsidRPr="00F259A2">
        <w:rPr>
          <w:color w:val="000000"/>
        </w:rPr>
        <w:t>°C for 3–10 min</w:t>
      </w:r>
      <w:r w:rsidR="00532EBC" w:rsidRPr="00F259A2">
        <w:rPr>
          <w:color w:val="000000"/>
        </w:rPr>
        <w:t xml:space="preserve"> (see </w:t>
      </w:r>
      <w:r w:rsidR="00532EBC" w:rsidRPr="00F259A2">
        <w:rPr>
          <w:b/>
          <w:color w:val="000000"/>
        </w:rPr>
        <w:t xml:space="preserve">Note </w:t>
      </w:r>
      <w:r w:rsidR="00892581">
        <w:rPr>
          <w:b/>
          <w:color w:val="000000"/>
        </w:rPr>
        <w:t>5</w:t>
      </w:r>
      <w:r w:rsidR="00532EBC" w:rsidRPr="00F259A2">
        <w:rPr>
          <w:color w:val="000000"/>
        </w:rPr>
        <w:t>)</w:t>
      </w:r>
    </w:p>
    <w:p w14:paraId="1E726598" w14:textId="77777777" w:rsidR="001C1B16" w:rsidRPr="00F259A2" w:rsidRDefault="006F4FE1" w:rsidP="008A5EE5">
      <w:pPr>
        <w:spacing w:line="480" w:lineRule="auto"/>
        <w:ind w:left="284"/>
        <w:rPr>
          <w:color w:val="000000"/>
        </w:rPr>
      </w:pPr>
      <w:r w:rsidRPr="00F259A2">
        <w:rPr>
          <w:color w:val="000000"/>
        </w:rPr>
        <w:t xml:space="preserve">8. </w:t>
      </w:r>
      <w:r w:rsidR="00897ADD" w:rsidRPr="00F259A2">
        <w:rPr>
          <w:color w:val="000000"/>
        </w:rPr>
        <w:t>Rinse shortly in PBS</w:t>
      </w:r>
      <w:r w:rsidRPr="00F259A2">
        <w:rPr>
          <w:color w:val="000000"/>
        </w:rPr>
        <w:t xml:space="preserve">. </w:t>
      </w:r>
      <w:r w:rsidR="00897ADD" w:rsidRPr="00F259A2">
        <w:rPr>
          <w:color w:val="000000"/>
        </w:rPr>
        <w:t>Wash twice for 5 min each in PBS at room temperature</w:t>
      </w:r>
    </w:p>
    <w:p w14:paraId="25B02CD2" w14:textId="77777777" w:rsidR="001C1B16" w:rsidRPr="00F259A2" w:rsidRDefault="006F4FE1" w:rsidP="008A5EE5">
      <w:pPr>
        <w:spacing w:line="480" w:lineRule="auto"/>
        <w:ind w:left="284"/>
        <w:rPr>
          <w:color w:val="000000"/>
        </w:rPr>
      </w:pPr>
      <w:r w:rsidRPr="00F259A2">
        <w:rPr>
          <w:color w:val="000000"/>
        </w:rPr>
        <w:t xml:space="preserve">10. </w:t>
      </w:r>
      <w:r w:rsidR="00897ADD" w:rsidRPr="00F259A2">
        <w:rPr>
          <w:color w:val="000000"/>
        </w:rPr>
        <w:t>Incubate for 5 min in PBS substituted with 50 mM MgCl</w:t>
      </w:r>
      <w:r w:rsidR="00897ADD" w:rsidRPr="00F259A2">
        <w:rPr>
          <w:color w:val="000000"/>
          <w:vertAlign w:val="subscript"/>
        </w:rPr>
        <w:t>2</w:t>
      </w:r>
    </w:p>
    <w:p w14:paraId="72B43B65" w14:textId="77777777" w:rsidR="008342BB" w:rsidRPr="00F259A2" w:rsidRDefault="006F4FE1" w:rsidP="008A5EE5">
      <w:pPr>
        <w:spacing w:line="480" w:lineRule="auto"/>
        <w:ind w:left="284"/>
        <w:rPr>
          <w:color w:val="000000"/>
        </w:rPr>
      </w:pPr>
      <w:r w:rsidRPr="00F259A2">
        <w:rPr>
          <w:color w:val="000000"/>
        </w:rPr>
        <w:t xml:space="preserve">11. </w:t>
      </w:r>
      <w:r w:rsidR="00897ADD" w:rsidRPr="00F259A2">
        <w:rPr>
          <w:color w:val="000000"/>
        </w:rPr>
        <w:t xml:space="preserve">Incubate for </w:t>
      </w:r>
      <w:r w:rsidR="00837FAD" w:rsidRPr="00F259A2">
        <w:rPr>
          <w:color w:val="000000"/>
        </w:rPr>
        <w:t>4</w:t>
      </w:r>
      <w:r w:rsidR="00897ADD" w:rsidRPr="00F259A2">
        <w:rPr>
          <w:color w:val="000000"/>
        </w:rPr>
        <w:t xml:space="preserve"> min</w:t>
      </w:r>
      <w:r w:rsidR="00837FAD" w:rsidRPr="00F259A2">
        <w:rPr>
          <w:color w:val="000000"/>
        </w:rPr>
        <w:t xml:space="preserve"> in 1% formaldehyde</w:t>
      </w:r>
      <w:r w:rsidR="007564AE">
        <w:rPr>
          <w:color w:val="000000"/>
        </w:rPr>
        <w:t xml:space="preserve"> to </w:t>
      </w:r>
      <w:r w:rsidR="00FE2C0A">
        <w:rPr>
          <w:color w:val="000000"/>
        </w:rPr>
        <w:t xml:space="preserve">bind </w:t>
      </w:r>
      <w:r w:rsidR="007564AE">
        <w:rPr>
          <w:color w:val="000000"/>
        </w:rPr>
        <w:t xml:space="preserve">the chromosomes </w:t>
      </w:r>
      <w:r w:rsidR="00FE2C0A">
        <w:rPr>
          <w:color w:val="000000"/>
        </w:rPr>
        <w:t>to</w:t>
      </w:r>
      <w:r w:rsidR="007564AE">
        <w:rPr>
          <w:color w:val="000000"/>
        </w:rPr>
        <w:t xml:space="preserve"> the glass surface</w:t>
      </w:r>
      <w:r w:rsidR="00FE2C0A">
        <w:rPr>
          <w:color w:val="000000"/>
        </w:rPr>
        <w:t xml:space="preserve"> and to cross</w:t>
      </w:r>
      <w:r w:rsidR="00AD5B6B">
        <w:rPr>
          <w:color w:val="000000"/>
        </w:rPr>
        <w:t>--</w:t>
      </w:r>
      <w:r w:rsidR="00FE2C0A">
        <w:rPr>
          <w:color w:val="000000"/>
        </w:rPr>
        <w:t>link residual proteins on the slide, this also includes the deactivation of remaining pepsin</w:t>
      </w:r>
      <w:r w:rsidR="008342BB" w:rsidRPr="00F259A2">
        <w:rPr>
          <w:color w:val="000000"/>
        </w:rPr>
        <w:t xml:space="preserve"> (</w:t>
      </w:r>
      <w:r w:rsidR="008342BB" w:rsidRPr="00F259A2">
        <w:rPr>
          <w:i/>
          <w:color w:val="000000"/>
        </w:rPr>
        <w:t>The incubation time might vary from 1–15 min depending on the metaphase quality</w:t>
      </w:r>
      <w:r w:rsidR="008342BB" w:rsidRPr="00F259A2">
        <w:rPr>
          <w:color w:val="000000"/>
        </w:rPr>
        <w:t>)</w:t>
      </w:r>
    </w:p>
    <w:p w14:paraId="075779FF" w14:textId="77777777" w:rsidR="001C1B16" w:rsidRPr="00F259A2" w:rsidRDefault="006F4FE1" w:rsidP="008A5EE5">
      <w:pPr>
        <w:spacing w:line="480" w:lineRule="auto"/>
        <w:ind w:left="284"/>
        <w:rPr>
          <w:color w:val="000000"/>
        </w:rPr>
      </w:pPr>
      <w:r w:rsidRPr="00F259A2">
        <w:rPr>
          <w:color w:val="000000"/>
        </w:rPr>
        <w:t xml:space="preserve">12. </w:t>
      </w:r>
      <w:r w:rsidR="00837FAD" w:rsidRPr="00F259A2">
        <w:rPr>
          <w:color w:val="000000"/>
        </w:rPr>
        <w:t>Rinse shortly in PBS</w:t>
      </w:r>
      <w:r w:rsidR="0025091A">
        <w:rPr>
          <w:color w:val="000000"/>
        </w:rPr>
        <w:t>, then w</w:t>
      </w:r>
      <w:r w:rsidR="00837FAD" w:rsidRPr="00F259A2">
        <w:rPr>
          <w:color w:val="000000"/>
        </w:rPr>
        <w:t>ash for 5 min in PBS at room temperature</w:t>
      </w:r>
    </w:p>
    <w:p w14:paraId="41EFD91E" w14:textId="77777777" w:rsidR="001C1B16" w:rsidRPr="00F259A2" w:rsidRDefault="006F4FE1" w:rsidP="008A5EE5">
      <w:pPr>
        <w:spacing w:line="480" w:lineRule="auto"/>
        <w:ind w:left="284"/>
        <w:rPr>
          <w:color w:val="000000"/>
        </w:rPr>
      </w:pPr>
      <w:r w:rsidRPr="00F259A2">
        <w:rPr>
          <w:color w:val="000000"/>
        </w:rPr>
        <w:t xml:space="preserve">14. </w:t>
      </w:r>
      <w:r w:rsidR="00837FAD" w:rsidRPr="00F259A2">
        <w:rPr>
          <w:color w:val="000000"/>
        </w:rPr>
        <w:t xml:space="preserve">Run slides through </w:t>
      </w:r>
      <w:r w:rsidR="00A453F4" w:rsidRPr="00F259A2">
        <w:rPr>
          <w:color w:val="000000"/>
        </w:rPr>
        <w:t>70%, 90% and 100%</w:t>
      </w:r>
      <w:r w:rsidR="00837FAD" w:rsidRPr="00F259A2">
        <w:rPr>
          <w:color w:val="000000"/>
        </w:rPr>
        <w:t xml:space="preserve"> ethanol series </w:t>
      </w:r>
      <w:r w:rsidR="008857D5" w:rsidRPr="00F259A2">
        <w:rPr>
          <w:color w:val="000000"/>
        </w:rPr>
        <w:t xml:space="preserve">for </w:t>
      </w:r>
      <w:r w:rsidR="00837FAD" w:rsidRPr="00F259A2">
        <w:rPr>
          <w:color w:val="000000"/>
        </w:rPr>
        <w:t>2 min each</w:t>
      </w:r>
    </w:p>
    <w:p w14:paraId="2969378E" w14:textId="77777777" w:rsidR="001C1B16" w:rsidRPr="00F259A2" w:rsidRDefault="006F4FE1" w:rsidP="008A5EE5">
      <w:pPr>
        <w:spacing w:line="480" w:lineRule="auto"/>
        <w:ind w:left="284"/>
        <w:rPr>
          <w:color w:val="000000"/>
        </w:rPr>
      </w:pPr>
      <w:r w:rsidRPr="00F259A2">
        <w:rPr>
          <w:color w:val="000000"/>
        </w:rPr>
        <w:t xml:space="preserve">15. </w:t>
      </w:r>
      <w:r w:rsidR="00837FAD" w:rsidRPr="00F259A2">
        <w:rPr>
          <w:color w:val="000000"/>
        </w:rPr>
        <w:t>Air</w:t>
      </w:r>
      <w:r w:rsidR="00AD5B6B">
        <w:rPr>
          <w:color w:val="000000"/>
        </w:rPr>
        <w:t>--</w:t>
      </w:r>
      <w:r w:rsidR="00837FAD" w:rsidRPr="00F259A2">
        <w:rPr>
          <w:color w:val="000000"/>
        </w:rPr>
        <w:t>dry slides</w:t>
      </w:r>
    </w:p>
    <w:p w14:paraId="44850C64" w14:textId="77777777" w:rsidR="001C1B16" w:rsidRPr="00F259A2" w:rsidRDefault="001C1B16" w:rsidP="008A5EE5">
      <w:pPr>
        <w:pStyle w:val="Footer"/>
        <w:tabs>
          <w:tab w:val="clear" w:pos="4536"/>
          <w:tab w:val="clear" w:pos="9072"/>
        </w:tabs>
        <w:spacing w:line="480" w:lineRule="auto"/>
        <w:rPr>
          <w:color w:val="000000"/>
        </w:rPr>
      </w:pPr>
    </w:p>
    <w:p w14:paraId="3F392EF2" w14:textId="77777777" w:rsidR="001C1B16" w:rsidRPr="00F259A2" w:rsidRDefault="006B0A1E" w:rsidP="008A5EE5">
      <w:pPr>
        <w:pStyle w:val="Heading1"/>
        <w:tabs>
          <w:tab w:val="left" w:pos="-1440"/>
          <w:tab w:val="left" w:pos="-720"/>
        </w:tabs>
        <w:suppressAutoHyphens/>
        <w:spacing w:line="480" w:lineRule="auto"/>
        <w:rPr>
          <w:color w:val="000000"/>
        </w:rPr>
      </w:pPr>
      <w:r w:rsidRPr="00F259A2">
        <w:rPr>
          <w:color w:val="000000"/>
        </w:rPr>
        <w:t>3.2.</w:t>
      </w:r>
      <w:r w:rsidR="00214628" w:rsidRPr="00F259A2">
        <w:rPr>
          <w:color w:val="000000"/>
        </w:rPr>
        <w:t>5</w:t>
      </w:r>
      <w:r w:rsidR="003B6386" w:rsidRPr="00F259A2">
        <w:rPr>
          <w:color w:val="000000"/>
        </w:rPr>
        <w:t xml:space="preserve">. Denaturation </w:t>
      </w:r>
      <w:r w:rsidR="00AD2073" w:rsidRPr="00F259A2">
        <w:rPr>
          <w:color w:val="000000"/>
        </w:rPr>
        <w:t>of the</w:t>
      </w:r>
      <w:r w:rsidR="0091483D" w:rsidRPr="00F259A2">
        <w:rPr>
          <w:color w:val="000000"/>
        </w:rPr>
        <w:t xml:space="preserve"> </w:t>
      </w:r>
      <w:r w:rsidR="006C5665" w:rsidRPr="00F259A2">
        <w:rPr>
          <w:color w:val="000000"/>
        </w:rPr>
        <w:t>target</w:t>
      </w:r>
      <w:r w:rsidR="003B6386" w:rsidRPr="00F259A2">
        <w:rPr>
          <w:color w:val="000000"/>
        </w:rPr>
        <w:t xml:space="preserve"> DNA</w:t>
      </w:r>
    </w:p>
    <w:p w14:paraId="0FCAD2DB" w14:textId="77777777" w:rsidR="001C1B16" w:rsidRPr="00F259A2" w:rsidRDefault="001C1B16" w:rsidP="008A5EE5">
      <w:pPr>
        <w:spacing w:line="480" w:lineRule="auto"/>
        <w:rPr>
          <w:color w:val="000000"/>
        </w:rPr>
      </w:pPr>
    </w:p>
    <w:p w14:paraId="7307E656" w14:textId="77777777" w:rsidR="001C1B16" w:rsidRPr="00F259A2" w:rsidRDefault="006F4FE1" w:rsidP="008A5EE5">
      <w:pPr>
        <w:spacing w:line="480" w:lineRule="auto"/>
        <w:ind w:left="284"/>
        <w:rPr>
          <w:i/>
          <w:color w:val="000000"/>
        </w:rPr>
      </w:pPr>
      <w:r w:rsidRPr="00F259A2">
        <w:rPr>
          <w:color w:val="000000"/>
        </w:rPr>
        <w:t xml:space="preserve">1. </w:t>
      </w:r>
      <w:r w:rsidR="001739ED" w:rsidRPr="00F259A2">
        <w:rPr>
          <w:color w:val="000000"/>
        </w:rPr>
        <w:t xml:space="preserve">In a </w:t>
      </w:r>
      <w:proofErr w:type="spellStart"/>
      <w:r w:rsidR="001739ED" w:rsidRPr="00F259A2">
        <w:rPr>
          <w:color w:val="000000"/>
        </w:rPr>
        <w:t>Coplin</w:t>
      </w:r>
      <w:proofErr w:type="spellEnd"/>
      <w:r w:rsidR="001739ED" w:rsidRPr="00F259A2">
        <w:rPr>
          <w:color w:val="000000"/>
        </w:rPr>
        <w:t xml:space="preserve"> jar with 70% formamide, denature metaphase slides (e.g. </w:t>
      </w:r>
      <w:r w:rsidR="001739ED" w:rsidRPr="00F259A2">
        <w:t>CGH Metaphase Target Slides</w:t>
      </w:r>
      <w:r w:rsidR="001739ED" w:rsidRPr="00F259A2">
        <w:rPr>
          <w:color w:val="000000"/>
        </w:rPr>
        <w:t xml:space="preserve"> from Abbott Molecular) </w:t>
      </w:r>
      <w:r w:rsidR="00287694" w:rsidRPr="00F259A2">
        <w:rPr>
          <w:color w:val="000000"/>
        </w:rPr>
        <w:t xml:space="preserve">at 72 °C </w:t>
      </w:r>
      <w:r w:rsidR="001739ED" w:rsidRPr="00F259A2">
        <w:rPr>
          <w:color w:val="000000"/>
        </w:rPr>
        <w:t>for 5 min</w:t>
      </w:r>
      <w:r w:rsidR="00670BF3" w:rsidRPr="00F259A2">
        <w:rPr>
          <w:color w:val="000000"/>
        </w:rPr>
        <w:t>. (</w:t>
      </w:r>
      <w:r w:rsidR="001739ED" w:rsidRPr="00F259A2">
        <w:rPr>
          <w:i/>
          <w:color w:val="000000"/>
        </w:rPr>
        <w:t>Caution: Temperature decreases by 1 °C per slide</w:t>
      </w:r>
      <w:r w:rsidR="00670BF3" w:rsidRPr="00F259A2">
        <w:rPr>
          <w:i/>
          <w:color w:val="000000"/>
        </w:rPr>
        <w:t>)</w:t>
      </w:r>
    </w:p>
    <w:p w14:paraId="111C55B9" w14:textId="77777777" w:rsidR="001C1B16" w:rsidRPr="00F259A2" w:rsidRDefault="006F4FE1" w:rsidP="008A5EE5">
      <w:pPr>
        <w:spacing w:line="480" w:lineRule="auto"/>
        <w:ind w:left="284"/>
        <w:rPr>
          <w:color w:val="000000"/>
        </w:rPr>
      </w:pPr>
      <w:r w:rsidRPr="00F259A2">
        <w:rPr>
          <w:color w:val="000000"/>
        </w:rPr>
        <w:t xml:space="preserve">2. </w:t>
      </w:r>
      <w:r w:rsidR="00AD2073" w:rsidRPr="00F259A2">
        <w:rPr>
          <w:color w:val="000000"/>
        </w:rPr>
        <w:t xml:space="preserve">Transfer the slides into a </w:t>
      </w:r>
      <w:proofErr w:type="spellStart"/>
      <w:r w:rsidR="00AD2073" w:rsidRPr="00F259A2">
        <w:rPr>
          <w:color w:val="000000"/>
        </w:rPr>
        <w:t>Coplin</w:t>
      </w:r>
      <w:proofErr w:type="spellEnd"/>
      <w:r w:rsidR="00AD2073" w:rsidRPr="00F259A2">
        <w:rPr>
          <w:color w:val="000000"/>
        </w:rPr>
        <w:t xml:space="preserve"> jar with 70% ethanol (-20 °C cold) and incubate for 2 min</w:t>
      </w:r>
      <w:r w:rsidR="009450BC">
        <w:rPr>
          <w:color w:val="000000"/>
        </w:rPr>
        <w:t xml:space="preserve"> (cold 70% ethanol is favoured in this step; dehydration and the drastic </w:t>
      </w:r>
      <w:r w:rsidR="009450BC">
        <w:rPr>
          <w:color w:val="000000"/>
        </w:rPr>
        <w:lastRenderedPageBreak/>
        <w:t xml:space="preserve">temperature change helps to keep the strands of the denatured target DNA separated).  </w:t>
      </w:r>
    </w:p>
    <w:p w14:paraId="07116404" w14:textId="77777777" w:rsidR="001C1B16" w:rsidRPr="00F259A2" w:rsidRDefault="006F4FE1" w:rsidP="008A5EE5">
      <w:pPr>
        <w:spacing w:line="480" w:lineRule="auto"/>
        <w:ind w:left="284"/>
        <w:rPr>
          <w:color w:val="000000"/>
        </w:rPr>
      </w:pPr>
      <w:r w:rsidRPr="00F259A2">
        <w:rPr>
          <w:color w:val="000000"/>
        </w:rPr>
        <w:t xml:space="preserve">3. </w:t>
      </w:r>
      <w:r w:rsidR="00AD2073" w:rsidRPr="00F259A2">
        <w:rPr>
          <w:color w:val="000000"/>
        </w:rPr>
        <w:t xml:space="preserve">Incubate </w:t>
      </w:r>
      <w:r w:rsidR="0025091A">
        <w:rPr>
          <w:color w:val="000000"/>
        </w:rPr>
        <w:t xml:space="preserve">the slides </w:t>
      </w:r>
      <w:r w:rsidR="00AD2073" w:rsidRPr="00F259A2">
        <w:rPr>
          <w:color w:val="000000"/>
        </w:rPr>
        <w:t>for 2 min each in 90% and absolute ethanol (at room temperature)</w:t>
      </w:r>
    </w:p>
    <w:p w14:paraId="41369DB5" w14:textId="77777777" w:rsidR="001C1B16" w:rsidRPr="00F259A2" w:rsidRDefault="006F4FE1" w:rsidP="008A5EE5">
      <w:pPr>
        <w:spacing w:line="480" w:lineRule="auto"/>
        <w:ind w:left="284"/>
        <w:rPr>
          <w:color w:val="000000"/>
        </w:rPr>
      </w:pPr>
      <w:r w:rsidRPr="00F259A2">
        <w:rPr>
          <w:color w:val="000000"/>
        </w:rPr>
        <w:t xml:space="preserve">4. </w:t>
      </w:r>
      <w:r w:rsidR="00AD2073" w:rsidRPr="00F259A2">
        <w:rPr>
          <w:color w:val="000000"/>
        </w:rPr>
        <w:t>Allow the slides to air</w:t>
      </w:r>
      <w:r w:rsidR="00AD5B6B">
        <w:rPr>
          <w:color w:val="000000"/>
        </w:rPr>
        <w:t>--</w:t>
      </w:r>
      <w:r w:rsidR="00AD2073" w:rsidRPr="00F259A2">
        <w:rPr>
          <w:color w:val="000000"/>
        </w:rPr>
        <w:t>dry</w:t>
      </w:r>
    </w:p>
    <w:p w14:paraId="674D01B1" w14:textId="77777777" w:rsidR="001C1B16" w:rsidRPr="00F259A2" w:rsidRDefault="001C1B16" w:rsidP="008A5EE5">
      <w:pPr>
        <w:pStyle w:val="Footer"/>
        <w:tabs>
          <w:tab w:val="clear" w:pos="4536"/>
          <w:tab w:val="clear" w:pos="9072"/>
        </w:tabs>
        <w:spacing w:line="480" w:lineRule="auto"/>
        <w:rPr>
          <w:color w:val="000000"/>
        </w:rPr>
      </w:pPr>
    </w:p>
    <w:p w14:paraId="1046D472" w14:textId="77777777" w:rsidR="001C1B16" w:rsidRPr="00F259A2" w:rsidRDefault="006B0A1E" w:rsidP="008A5EE5">
      <w:pPr>
        <w:pStyle w:val="Heading1"/>
        <w:tabs>
          <w:tab w:val="left" w:pos="-1440"/>
          <w:tab w:val="left" w:pos="-720"/>
        </w:tabs>
        <w:suppressAutoHyphens/>
        <w:spacing w:line="480" w:lineRule="auto"/>
        <w:rPr>
          <w:color w:val="000000"/>
        </w:rPr>
      </w:pPr>
      <w:r w:rsidRPr="00F259A2">
        <w:rPr>
          <w:color w:val="000000"/>
        </w:rPr>
        <w:t>3.2.</w:t>
      </w:r>
      <w:r w:rsidR="00214628" w:rsidRPr="00F259A2">
        <w:rPr>
          <w:color w:val="000000"/>
        </w:rPr>
        <w:t>6</w:t>
      </w:r>
      <w:r w:rsidR="00A46AFF" w:rsidRPr="00F259A2">
        <w:rPr>
          <w:color w:val="000000"/>
        </w:rPr>
        <w:t xml:space="preserve">. </w:t>
      </w:r>
      <w:r w:rsidR="0062502C" w:rsidRPr="00F259A2">
        <w:rPr>
          <w:color w:val="000000"/>
        </w:rPr>
        <w:t>In situ hybridization</w:t>
      </w:r>
    </w:p>
    <w:p w14:paraId="0850D789" w14:textId="77777777" w:rsidR="001C1B16" w:rsidRPr="00F259A2" w:rsidRDefault="001C1B16" w:rsidP="008A5EE5">
      <w:pPr>
        <w:pStyle w:val="Footer"/>
        <w:tabs>
          <w:tab w:val="clear" w:pos="4536"/>
          <w:tab w:val="clear" w:pos="9072"/>
        </w:tabs>
        <w:spacing w:line="480" w:lineRule="auto"/>
        <w:rPr>
          <w:color w:val="000000"/>
        </w:rPr>
      </w:pPr>
    </w:p>
    <w:p w14:paraId="20694623" w14:textId="77777777" w:rsidR="001C1B16" w:rsidRPr="00F259A2" w:rsidRDefault="006F4FE1" w:rsidP="008A5EE5">
      <w:pPr>
        <w:spacing w:line="480" w:lineRule="auto"/>
        <w:ind w:left="284"/>
        <w:rPr>
          <w:color w:val="000000"/>
        </w:rPr>
      </w:pPr>
      <w:r w:rsidRPr="00F259A2">
        <w:rPr>
          <w:color w:val="000000"/>
        </w:rPr>
        <w:t xml:space="preserve">1. </w:t>
      </w:r>
      <w:r w:rsidR="0062502C" w:rsidRPr="00F259A2">
        <w:rPr>
          <w:color w:val="000000"/>
        </w:rPr>
        <w:t>Shortly pre</w:t>
      </w:r>
      <w:r w:rsidR="00AD5B6B">
        <w:rPr>
          <w:color w:val="000000"/>
        </w:rPr>
        <w:t>--</w:t>
      </w:r>
      <w:r w:rsidR="0062502C" w:rsidRPr="00F259A2">
        <w:rPr>
          <w:color w:val="000000"/>
        </w:rPr>
        <w:t xml:space="preserve">warm metaphase slides on a warming block </w:t>
      </w:r>
      <w:r w:rsidR="00F57B69" w:rsidRPr="00F259A2">
        <w:rPr>
          <w:color w:val="000000"/>
        </w:rPr>
        <w:t xml:space="preserve">at </w:t>
      </w:r>
      <w:r w:rsidR="0062502C" w:rsidRPr="00F259A2">
        <w:rPr>
          <w:color w:val="000000"/>
        </w:rPr>
        <w:t>37 °C</w:t>
      </w:r>
    </w:p>
    <w:p w14:paraId="01B47C5E" w14:textId="77777777" w:rsidR="001C1B16" w:rsidRPr="00F259A2" w:rsidRDefault="006F4FE1" w:rsidP="008A5EE5">
      <w:pPr>
        <w:spacing w:line="480" w:lineRule="auto"/>
        <w:ind w:left="284"/>
        <w:rPr>
          <w:color w:val="000000"/>
        </w:rPr>
      </w:pPr>
      <w:r w:rsidRPr="00F259A2">
        <w:rPr>
          <w:color w:val="000000"/>
        </w:rPr>
        <w:t xml:space="preserve">2. </w:t>
      </w:r>
      <w:r w:rsidR="0062502C" w:rsidRPr="00F259A2">
        <w:rPr>
          <w:color w:val="000000"/>
        </w:rPr>
        <w:t>Apply the hybridization mix on to the metaphase slides at an area with a high amount of metaphases</w:t>
      </w:r>
    </w:p>
    <w:p w14:paraId="0413D8DA" w14:textId="77777777" w:rsidR="001C1B16" w:rsidRPr="00F259A2" w:rsidRDefault="006F4FE1" w:rsidP="008A5EE5">
      <w:pPr>
        <w:spacing w:line="480" w:lineRule="auto"/>
        <w:ind w:left="284"/>
        <w:rPr>
          <w:color w:val="000000"/>
        </w:rPr>
      </w:pPr>
      <w:r w:rsidRPr="00F259A2">
        <w:rPr>
          <w:color w:val="000000"/>
        </w:rPr>
        <w:t xml:space="preserve">3. </w:t>
      </w:r>
      <w:r w:rsidR="0062502C" w:rsidRPr="00F259A2">
        <w:rPr>
          <w:color w:val="000000"/>
        </w:rPr>
        <w:t>Cover with a 22x22 mm</w:t>
      </w:r>
      <w:r w:rsidR="0062502C" w:rsidRPr="00F259A2">
        <w:rPr>
          <w:color w:val="000000"/>
          <w:vertAlign w:val="superscript"/>
        </w:rPr>
        <w:t>2</w:t>
      </w:r>
      <w:r w:rsidR="0062502C" w:rsidRPr="00F259A2">
        <w:rPr>
          <w:color w:val="000000"/>
        </w:rPr>
        <w:t xml:space="preserve"> glass cover slip and seal it with rubber cement </w:t>
      </w:r>
    </w:p>
    <w:p w14:paraId="0872C73E" w14:textId="77777777" w:rsidR="001C1B16" w:rsidRPr="00F259A2" w:rsidRDefault="006F4FE1" w:rsidP="008A5EE5">
      <w:pPr>
        <w:spacing w:line="480" w:lineRule="auto"/>
        <w:ind w:left="284"/>
        <w:rPr>
          <w:color w:val="000000"/>
        </w:rPr>
      </w:pPr>
      <w:r w:rsidRPr="00F259A2">
        <w:rPr>
          <w:color w:val="000000"/>
        </w:rPr>
        <w:t xml:space="preserve">4. </w:t>
      </w:r>
      <w:r w:rsidR="0062502C" w:rsidRPr="00F259A2">
        <w:rPr>
          <w:color w:val="000000"/>
        </w:rPr>
        <w:t xml:space="preserve">Incubate at 37 °C for 48–72 hours in an incubator </w:t>
      </w:r>
    </w:p>
    <w:p w14:paraId="365247CB" w14:textId="77777777" w:rsidR="001C1B16" w:rsidRPr="00F259A2" w:rsidRDefault="001C1B16" w:rsidP="008A5EE5">
      <w:pPr>
        <w:pStyle w:val="Footer"/>
        <w:tabs>
          <w:tab w:val="clear" w:pos="4536"/>
          <w:tab w:val="clear" w:pos="9072"/>
        </w:tabs>
        <w:spacing w:line="480" w:lineRule="auto"/>
        <w:rPr>
          <w:color w:val="000000"/>
        </w:rPr>
      </w:pPr>
    </w:p>
    <w:p w14:paraId="0D98FCC3" w14:textId="77777777" w:rsidR="001C1B16" w:rsidRPr="00F259A2" w:rsidRDefault="006B0A1E" w:rsidP="008A5EE5">
      <w:pPr>
        <w:pStyle w:val="Heading1"/>
        <w:tabs>
          <w:tab w:val="left" w:pos="-1440"/>
          <w:tab w:val="left" w:pos="-720"/>
        </w:tabs>
        <w:suppressAutoHyphens/>
        <w:spacing w:line="480" w:lineRule="auto"/>
        <w:rPr>
          <w:color w:val="000000"/>
        </w:rPr>
      </w:pPr>
      <w:r w:rsidRPr="00F259A2">
        <w:rPr>
          <w:color w:val="000000"/>
        </w:rPr>
        <w:t>3.2.</w:t>
      </w:r>
      <w:r w:rsidR="00214628" w:rsidRPr="00F259A2">
        <w:rPr>
          <w:color w:val="000000"/>
        </w:rPr>
        <w:t>7</w:t>
      </w:r>
      <w:r w:rsidR="00867CCC" w:rsidRPr="00F259A2">
        <w:rPr>
          <w:color w:val="000000"/>
        </w:rPr>
        <w:t xml:space="preserve">. </w:t>
      </w:r>
      <w:r w:rsidR="004A7463" w:rsidRPr="00F259A2">
        <w:rPr>
          <w:color w:val="000000"/>
        </w:rPr>
        <w:t>Washing steps</w:t>
      </w:r>
    </w:p>
    <w:p w14:paraId="41257266" w14:textId="77777777" w:rsidR="001C1B16" w:rsidRPr="00F259A2" w:rsidRDefault="003E19D3" w:rsidP="008A5EE5">
      <w:pPr>
        <w:tabs>
          <w:tab w:val="left" w:pos="1276"/>
        </w:tabs>
        <w:spacing w:line="480" w:lineRule="auto"/>
        <w:ind w:left="284"/>
        <w:rPr>
          <w:color w:val="000000"/>
        </w:rPr>
      </w:pPr>
      <w:r w:rsidRPr="00F259A2">
        <w:rPr>
          <w:i/>
          <w:color w:val="000000"/>
        </w:rPr>
        <w:br/>
      </w:r>
      <w:r w:rsidR="004A7463" w:rsidRPr="00F259A2">
        <w:rPr>
          <w:i/>
          <w:color w:val="000000"/>
        </w:rPr>
        <w:t>Caution:</w:t>
      </w:r>
      <w:r w:rsidR="004A7463" w:rsidRPr="00F259A2">
        <w:rPr>
          <w:i/>
          <w:color w:val="000000"/>
        </w:rPr>
        <w:tab/>
        <w:t xml:space="preserve">Protect </w:t>
      </w:r>
      <w:r w:rsidR="00A453F4">
        <w:rPr>
          <w:i/>
          <w:color w:val="000000"/>
        </w:rPr>
        <w:t xml:space="preserve">the </w:t>
      </w:r>
      <w:r w:rsidR="004A7463" w:rsidRPr="00F259A2">
        <w:rPr>
          <w:i/>
          <w:color w:val="000000"/>
        </w:rPr>
        <w:t>slides from light exposure in all the subsequent steps</w:t>
      </w:r>
    </w:p>
    <w:p w14:paraId="54A27750" w14:textId="77777777" w:rsidR="001C1B16" w:rsidRPr="00F259A2" w:rsidRDefault="004A7463" w:rsidP="008A5EE5">
      <w:pPr>
        <w:tabs>
          <w:tab w:val="left" w:pos="1276"/>
        </w:tabs>
        <w:spacing w:line="480" w:lineRule="auto"/>
        <w:ind w:left="284"/>
        <w:rPr>
          <w:i/>
          <w:color w:val="000000"/>
        </w:rPr>
      </w:pPr>
      <w:r w:rsidRPr="00F259A2">
        <w:rPr>
          <w:i/>
          <w:color w:val="000000"/>
        </w:rPr>
        <w:tab/>
        <w:t>Do not ever let the targeted area(s) on the slides dry out</w:t>
      </w:r>
    </w:p>
    <w:p w14:paraId="77C8241B" w14:textId="77777777" w:rsidR="001C1B16" w:rsidRPr="00F259A2" w:rsidRDefault="001C1B16" w:rsidP="008A5EE5">
      <w:pPr>
        <w:pStyle w:val="Footer"/>
        <w:tabs>
          <w:tab w:val="clear" w:pos="4536"/>
          <w:tab w:val="clear" w:pos="9072"/>
        </w:tabs>
        <w:spacing w:line="480" w:lineRule="auto"/>
        <w:ind w:left="284"/>
        <w:rPr>
          <w:color w:val="000000"/>
        </w:rPr>
      </w:pPr>
    </w:p>
    <w:p w14:paraId="541E1D2A" w14:textId="77777777" w:rsidR="001C1B16" w:rsidRPr="00F259A2" w:rsidRDefault="006F4FE1" w:rsidP="008A5EE5">
      <w:pPr>
        <w:spacing w:line="480" w:lineRule="auto"/>
        <w:ind w:left="284"/>
        <w:rPr>
          <w:color w:val="000000"/>
        </w:rPr>
      </w:pPr>
      <w:r w:rsidRPr="00F259A2">
        <w:rPr>
          <w:color w:val="000000"/>
        </w:rPr>
        <w:t xml:space="preserve">1. </w:t>
      </w:r>
      <w:r w:rsidR="00867CCC" w:rsidRPr="00F259A2">
        <w:rPr>
          <w:color w:val="000000"/>
        </w:rPr>
        <w:t xml:space="preserve">Carefully remove the rubber cement </w:t>
      </w:r>
    </w:p>
    <w:p w14:paraId="2251A9C1" w14:textId="77777777" w:rsidR="001C1B16" w:rsidRPr="00F259A2" w:rsidRDefault="006F4FE1" w:rsidP="008A5EE5">
      <w:pPr>
        <w:spacing w:line="480" w:lineRule="auto"/>
        <w:ind w:left="284"/>
        <w:rPr>
          <w:color w:val="000000"/>
        </w:rPr>
      </w:pPr>
      <w:r w:rsidRPr="00F259A2">
        <w:rPr>
          <w:color w:val="000000"/>
        </w:rPr>
        <w:t xml:space="preserve">2. </w:t>
      </w:r>
      <w:r w:rsidR="00867CCC" w:rsidRPr="00F259A2">
        <w:rPr>
          <w:color w:val="000000"/>
        </w:rPr>
        <w:t>Let the cover slip slide off in 2</w:t>
      </w:r>
      <w:r w:rsidR="00A453F4">
        <w:rPr>
          <w:color w:val="000000"/>
        </w:rPr>
        <w:t>X</w:t>
      </w:r>
      <w:r w:rsidR="00867CCC" w:rsidRPr="00F259A2">
        <w:rPr>
          <w:color w:val="000000"/>
        </w:rPr>
        <w:t xml:space="preserve"> SSC (this takes approx. 5 min) </w:t>
      </w:r>
    </w:p>
    <w:p w14:paraId="31EA0E42" w14:textId="77777777" w:rsidR="001C1B16" w:rsidRPr="00F259A2" w:rsidRDefault="006F4FE1" w:rsidP="008A5EE5">
      <w:pPr>
        <w:spacing w:line="480" w:lineRule="auto"/>
        <w:ind w:left="284"/>
        <w:rPr>
          <w:color w:val="000000"/>
        </w:rPr>
      </w:pPr>
      <w:r w:rsidRPr="00F259A2">
        <w:rPr>
          <w:color w:val="000000"/>
        </w:rPr>
        <w:t xml:space="preserve">3. </w:t>
      </w:r>
      <w:r w:rsidR="00112D2A" w:rsidRPr="00F259A2">
        <w:rPr>
          <w:color w:val="000000"/>
        </w:rPr>
        <w:t>Wash for 30 min in 50% formamide solution at 42 °C</w:t>
      </w:r>
    </w:p>
    <w:p w14:paraId="7B31B5D7" w14:textId="77777777" w:rsidR="001C1B16" w:rsidRPr="00F259A2" w:rsidRDefault="006F4FE1" w:rsidP="008A5EE5">
      <w:pPr>
        <w:spacing w:line="480" w:lineRule="auto"/>
        <w:ind w:left="284"/>
        <w:rPr>
          <w:color w:val="000000"/>
        </w:rPr>
      </w:pPr>
      <w:r w:rsidRPr="00F259A2">
        <w:rPr>
          <w:color w:val="000000"/>
        </w:rPr>
        <w:t xml:space="preserve">4. </w:t>
      </w:r>
      <w:r w:rsidR="00112D2A" w:rsidRPr="00F259A2">
        <w:rPr>
          <w:color w:val="000000"/>
        </w:rPr>
        <w:t>Rinse shortly in 2</w:t>
      </w:r>
      <w:r w:rsidR="00A453F4">
        <w:rPr>
          <w:color w:val="000000"/>
        </w:rPr>
        <w:t>X</w:t>
      </w:r>
      <w:r w:rsidR="00112D2A" w:rsidRPr="00F259A2">
        <w:rPr>
          <w:color w:val="000000"/>
        </w:rPr>
        <w:t xml:space="preserve"> SSC</w:t>
      </w:r>
    </w:p>
    <w:p w14:paraId="3D19FE54" w14:textId="77777777" w:rsidR="001C1B16" w:rsidRPr="00F259A2" w:rsidRDefault="006F4FE1" w:rsidP="008A5EE5">
      <w:pPr>
        <w:spacing w:line="480" w:lineRule="auto"/>
        <w:ind w:left="284"/>
        <w:rPr>
          <w:color w:val="000000"/>
        </w:rPr>
      </w:pPr>
      <w:r w:rsidRPr="00F259A2">
        <w:rPr>
          <w:color w:val="000000"/>
        </w:rPr>
        <w:t xml:space="preserve">5. </w:t>
      </w:r>
      <w:r w:rsidR="00112D2A" w:rsidRPr="00F259A2">
        <w:rPr>
          <w:color w:val="000000"/>
        </w:rPr>
        <w:t>Wash for 5 min in 2</w:t>
      </w:r>
      <w:r w:rsidR="0087453B">
        <w:rPr>
          <w:color w:val="000000"/>
        </w:rPr>
        <w:t>X</w:t>
      </w:r>
      <w:r w:rsidR="00112D2A" w:rsidRPr="00F259A2">
        <w:rPr>
          <w:color w:val="000000"/>
        </w:rPr>
        <w:t xml:space="preserve"> SSC </w:t>
      </w:r>
      <w:r w:rsidR="005E2C16" w:rsidRPr="00F259A2">
        <w:rPr>
          <w:color w:val="000000"/>
        </w:rPr>
        <w:t xml:space="preserve">at </w:t>
      </w:r>
      <w:r w:rsidR="00112D2A" w:rsidRPr="00F259A2">
        <w:rPr>
          <w:color w:val="000000"/>
        </w:rPr>
        <w:t>42 °C</w:t>
      </w:r>
    </w:p>
    <w:p w14:paraId="293EB4DC" w14:textId="77777777" w:rsidR="001C1B16" w:rsidRPr="00F259A2" w:rsidRDefault="006F4FE1" w:rsidP="008A5EE5">
      <w:pPr>
        <w:spacing w:line="480" w:lineRule="auto"/>
        <w:ind w:left="284"/>
        <w:rPr>
          <w:color w:val="000000"/>
        </w:rPr>
      </w:pPr>
      <w:r w:rsidRPr="00F259A2">
        <w:rPr>
          <w:color w:val="000000"/>
        </w:rPr>
        <w:t xml:space="preserve">6. </w:t>
      </w:r>
      <w:r w:rsidR="00112D2A" w:rsidRPr="00F259A2">
        <w:rPr>
          <w:color w:val="000000"/>
        </w:rPr>
        <w:t xml:space="preserve">Wash twice for 5 min </w:t>
      </w:r>
      <w:r w:rsidR="005E2C16" w:rsidRPr="00F259A2">
        <w:rPr>
          <w:color w:val="000000"/>
        </w:rPr>
        <w:t xml:space="preserve">each </w:t>
      </w:r>
      <w:r w:rsidR="00112D2A" w:rsidRPr="00F259A2">
        <w:rPr>
          <w:color w:val="000000"/>
        </w:rPr>
        <w:t>in 0.2</w:t>
      </w:r>
      <w:r w:rsidR="0087453B">
        <w:rPr>
          <w:color w:val="000000"/>
        </w:rPr>
        <w:t>X</w:t>
      </w:r>
      <w:r w:rsidR="00112D2A" w:rsidRPr="00F259A2">
        <w:rPr>
          <w:color w:val="000000"/>
        </w:rPr>
        <w:t xml:space="preserve"> SSC </w:t>
      </w:r>
      <w:r w:rsidR="005E2C16" w:rsidRPr="00F259A2">
        <w:rPr>
          <w:color w:val="000000"/>
        </w:rPr>
        <w:t xml:space="preserve">at </w:t>
      </w:r>
      <w:r w:rsidR="00112D2A" w:rsidRPr="00F259A2">
        <w:rPr>
          <w:color w:val="000000"/>
        </w:rPr>
        <w:t>42 °C</w:t>
      </w:r>
    </w:p>
    <w:p w14:paraId="65AD1551" w14:textId="77777777" w:rsidR="001C1B16" w:rsidRPr="00F259A2" w:rsidRDefault="006F4FE1" w:rsidP="008A5EE5">
      <w:pPr>
        <w:spacing w:line="480" w:lineRule="auto"/>
        <w:ind w:left="284"/>
        <w:rPr>
          <w:color w:val="000000"/>
        </w:rPr>
      </w:pPr>
      <w:r w:rsidRPr="00F259A2">
        <w:rPr>
          <w:color w:val="000000"/>
        </w:rPr>
        <w:lastRenderedPageBreak/>
        <w:t xml:space="preserve">7. </w:t>
      </w:r>
      <w:r w:rsidR="00112D2A" w:rsidRPr="00F259A2">
        <w:rPr>
          <w:color w:val="000000"/>
        </w:rPr>
        <w:t xml:space="preserve">Place slides for 5 min in PN buffer at room temperature </w:t>
      </w:r>
      <w:r w:rsidR="005E2C16" w:rsidRPr="00F259A2">
        <w:rPr>
          <w:color w:val="000000"/>
        </w:rPr>
        <w:t>(</w:t>
      </w:r>
      <w:r w:rsidR="008D754A" w:rsidRPr="00F259A2">
        <w:rPr>
          <w:i/>
          <w:color w:val="000000"/>
        </w:rPr>
        <w:t>See</w:t>
      </w:r>
      <w:r w:rsidR="007D2E20" w:rsidRPr="00F259A2">
        <w:rPr>
          <w:color w:val="000000"/>
        </w:rPr>
        <w:t xml:space="preserve"> </w:t>
      </w:r>
      <w:r w:rsidR="007D2E20" w:rsidRPr="00F259A2">
        <w:rPr>
          <w:b/>
          <w:color w:val="000000"/>
        </w:rPr>
        <w:t xml:space="preserve">Note </w:t>
      </w:r>
      <w:r w:rsidR="00892581">
        <w:rPr>
          <w:b/>
          <w:color w:val="000000"/>
        </w:rPr>
        <w:t>6</w:t>
      </w:r>
      <w:r w:rsidR="009A377C" w:rsidRPr="009A377C">
        <w:rPr>
          <w:bCs/>
          <w:color w:val="000000"/>
        </w:rPr>
        <w:t>)</w:t>
      </w:r>
    </w:p>
    <w:p w14:paraId="3C17A383" w14:textId="77777777" w:rsidR="001C1B16" w:rsidRPr="00F259A2" w:rsidRDefault="001C1B16" w:rsidP="008A5EE5">
      <w:pPr>
        <w:pStyle w:val="Footer"/>
        <w:tabs>
          <w:tab w:val="clear" w:pos="4536"/>
          <w:tab w:val="clear" w:pos="9072"/>
        </w:tabs>
        <w:spacing w:line="480" w:lineRule="auto"/>
        <w:rPr>
          <w:color w:val="000000"/>
        </w:rPr>
      </w:pPr>
    </w:p>
    <w:p w14:paraId="71E89F52" w14:textId="77777777" w:rsidR="001C1B16" w:rsidRPr="00F259A2" w:rsidRDefault="006B0A1E" w:rsidP="008A5EE5">
      <w:pPr>
        <w:pStyle w:val="Heading1"/>
        <w:tabs>
          <w:tab w:val="left" w:pos="-1440"/>
          <w:tab w:val="left" w:pos="-720"/>
        </w:tabs>
        <w:suppressAutoHyphens/>
        <w:spacing w:line="480" w:lineRule="auto"/>
        <w:rPr>
          <w:color w:val="000000"/>
        </w:rPr>
      </w:pPr>
      <w:r w:rsidRPr="00F259A2">
        <w:rPr>
          <w:color w:val="000000"/>
        </w:rPr>
        <w:t>3.2.</w:t>
      </w:r>
      <w:r w:rsidR="00AF016E" w:rsidRPr="00F259A2">
        <w:rPr>
          <w:color w:val="000000"/>
        </w:rPr>
        <w:t>8</w:t>
      </w:r>
      <w:r w:rsidR="00BA06A7" w:rsidRPr="00F259A2">
        <w:rPr>
          <w:color w:val="000000"/>
        </w:rPr>
        <w:t>. DNA counterstaining</w:t>
      </w:r>
    </w:p>
    <w:p w14:paraId="0434F89D" w14:textId="77777777" w:rsidR="001C1B16" w:rsidRPr="00F259A2" w:rsidRDefault="001C1B16" w:rsidP="008A5EE5">
      <w:pPr>
        <w:pStyle w:val="Footer"/>
        <w:tabs>
          <w:tab w:val="clear" w:pos="4536"/>
          <w:tab w:val="clear" w:pos="9072"/>
        </w:tabs>
        <w:spacing w:line="480" w:lineRule="auto"/>
        <w:rPr>
          <w:color w:val="000000"/>
        </w:rPr>
      </w:pPr>
    </w:p>
    <w:p w14:paraId="7F326131" w14:textId="77777777" w:rsidR="001C1B16" w:rsidRPr="00F259A2" w:rsidRDefault="006F4FE1" w:rsidP="008A5EE5">
      <w:pPr>
        <w:spacing w:line="480" w:lineRule="auto"/>
        <w:ind w:left="284"/>
        <w:rPr>
          <w:color w:val="000000"/>
        </w:rPr>
      </w:pPr>
      <w:r w:rsidRPr="00F259A2">
        <w:rPr>
          <w:color w:val="000000"/>
        </w:rPr>
        <w:t xml:space="preserve">1. </w:t>
      </w:r>
      <w:r w:rsidR="00BA06A7" w:rsidRPr="00F259A2">
        <w:rPr>
          <w:color w:val="000000"/>
        </w:rPr>
        <w:t xml:space="preserve">Incubate slides in </w:t>
      </w:r>
      <w:r w:rsidR="006D7A52" w:rsidRPr="00F259A2">
        <w:rPr>
          <w:color w:val="000000"/>
        </w:rPr>
        <w:t>DNA</w:t>
      </w:r>
      <w:r w:rsidR="00BA06A7" w:rsidRPr="00F259A2">
        <w:rPr>
          <w:color w:val="000000"/>
        </w:rPr>
        <w:t xml:space="preserve"> counterstaining solution for 30–60 s at room temperature</w:t>
      </w:r>
    </w:p>
    <w:p w14:paraId="4AC7A3EA" w14:textId="77777777" w:rsidR="001C1B16" w:rsidRPr="00F259A2" w:rsidRDefault="006F4FE1" w:rsidP="008A5EE5">
      <w:pPr>
        <w:spacing w:line="480" w:lineRule="auto"/>
        <w:ind w:left="284"/>
        <w:rPr>
          <w:color w:val="000000"/>
        </w:rPr>
      </w:pPr>
      <w:r w:rsidRPr="00F259A2">
        <w:rPr>
          <w:color w:val="000000"/>
        </w:rPr>
        <w:t xml:space="preserve">2. </w:t>
      </w:r>
      <w:r w:rsidR="00BA06A7" w:rsidRPr="00F259A2">
        <w:rPr>
          <w:color w:val="000000"/>
        </w:rPr>
        <w:t>Wash shortly in pure water</w:t>
      </w:r>
    </w:p>
    <w:p w14:paraId="67E81F72" w14:textId="77777777" w:rsidR="001C1B16" w:rsidRPr="00F259A2" w:rsidRDefault="006F4FE1" w:rsidP="008A5EE5">
      <w:pPr>
        <w:spacing w:line="480" w:lineRule="auto"/>
        <w:ind w:left="284"/>
        <w:rPr>
          <w:color w:val="000000"/>
        </w:rPr>
      </w:pPr>
      <w:r w:rsidRPr="00F259A2">
        <w:rPr>
          <w:color w:val="000000"/>
        </w:rPr>
        <w:t xml:space="preserve">3. </w:t>
      </w:r>
      <w:r w:rsidR="00BA06A7" w:rsidRPr="00F259A2">
        <w:rPr>
          <w:color w:val="000000"/>
        </w:rPr>
        <w:t>Place slides for 5 min each in PN buffer at room temperature</w:t>
      </w:r>
    </w:p>
    <w:p w14:paraId="4F0B57A4" w14:textId="77777777" w:rsidR="001C1B16" w:rsidRPr="00F259A2" w:rsidRDefault="006F4FE1" w:rsidP="008A5EE5">
      <w:pPr>
        <w:spacing w:line="480" w:lineRule="auto"/>
        <w:ind w:left="284"/>
        <w:rPr>
          <w:color w:val="000000"/>
        </w:rPr>
      </w:pPr>
      <w:r w:rsidRPr="00F259A2">
        <w:rPr>
          <w:color w:val="000000"/>
        </w:rPr>
        <w:t xml:space="preserve">4. </w:t>
      </w:r>
      <w:r w:rsidR="00BA06A7" w:rsidRPr="00F259A2">
        <w:rPr>
          <w:color w:val="000000"/>
        </w:rPr>
        <w:t xml:space="preserve">Drain </w:t>
      </w:r>
      <w:r w:rsidR="005E2C16" w:rsidRPr="00F259A2">
        <w:rPr>
          <w:color w:val="000000"/>
        </w:rPr>
        <w:t xml:space="preserve">the </w:t>
      </w:r>
      <w:r w:rsidR="00BA06A7" w:rsidRPr="00F259A2">
        <w:rPr>
          <w:color w:val="000000"/>
        </w:rPr>
        <w:t>buffer</w:t>
      </w:r>
      <w:r w:rsidR="002E6AE3" w:rsidRPr="00F259A2">
        <w:rPr>
          <w:color w:val="000000"/>
        </w:rPr>
        <w:t>,</w:t>
      </w:r>
      <w:r w:rsidR="00BA06A7" w:rsidRPr="00F259A2">
        <w:rPr>
          <w:color w:val="000000"/>
        </w:rPr>
        <w:t xml:space="preserve"> apply </w:t>
      </w:r>
      <w:r w:rsidR="004C67B9">
        <w:rPr>
          <w:color w:val="000000"/>
        </w:rPr>
        <w:t xml:space="preserve">40 </w:t>
      </w:r>
      <w:r w:rsidR="00F97688" w:rsidRPr="00F97688">
        <w:rPr>
          <w:color w:val="000000"/>
        </w:rPr>
        <w:t>µL</w:t>
      </w:r>
      <w:r w:rsidR="004C67B9" w:rsidRPr="00F259A2">
        <w:rPr>
          <w:color w:val="000000"/>
        </w:rPr>
        <w:t xml:space="preserve"> </w:t>
      </w:r>
      <w:r w:rsidR="002E6AE3" w:rsidRPr="00F259A2">
        <w:rPr>
          <w:color w:val="000000"/>
        </w:rPr>
        <w:t xml:space="preserve">antifade solution and </w:t>
      </w:r>
      <w:r w:rsidR="00BA06A7" w:rsidRPr="00F259A2">
        <w:rPr>
          <w:color w:val="000000"/>
        </w:rPr>
        <w:t>cover</w:t>
      </w:r>
      <w:r w:rsidR="00AD5B6B">
        <w:rPr>
          <w:color w:val="000000"/>
        </w:rPr>
        <w:t>--</w:t>
      </w:r>
      <w:r w:rsidR="00BA06A7" w:rsidRPr="00F259A2">
        <w:rPr>
          <w:color w:val="000000"/>
        </w:rPr>
        <w:t xml:space="preserve">slip </w:t>
      </w:r>
      <w:r w:rsidR="005E2C16" w:rsidRPr="00F259A2">
        <w:rPr>
          <w:color w:val="000000"/>
        </w:rPr>
        <w:t xml:space="preserve">the </w:t>
      </w:r>
      <w:r w:rsidR="00BA06A7" w:rsidRPr="00F259A2">
        <w:rPr>
          <w:color w:val="000000"/>
        </w:rPr>
        <w:t>slides</w:t>
      </w:r>
    </w:p>
    <w:p w14:paraId="012E18C1" w14:textId="77777777" w:rsidR="001C1B16" w:rsidRPr="00F259A2" w:rsidRDefault="006F4FE1" w:rsidP="008A5EE5">
      <w:pPr>
        <w:spacing w:line="480" w:lineRule="auto"/>
        <w:ind w:left="284"/>
        <w:rPr>
          <w:color w:val="000000"/>
        </w:rPr>
      </w:pPr>
      <w:r w:rsidRPr="00F259A2">
        <w:rPr>
          <w:color w:val="000000"/>
        </w:rPr>
        <w:t xml:space="preserve">5. </w:t>
      </w:r>
      <w:r w:rsidR="002E6AE3" w:rsidRPr="00F259A2">
        <w:rPr>
          <w:color w:val="000000"/>
        </w:rPr>
        <w:t>Store slides in the dark at 4 °C until evaluation</w:t>
      </w:r>
    </w:p>
    <w:p w14:paraId="60786659" w14:textId="77777777" w:rsidR="001C1B16" w:rsidRPr="00F259A2" w:rsidRDefault="001C1B16" w:rsidP="008A5EE5">
      <w:pPr>
        <w:pStyle w:val="Footer"/>
        <w:tabs>
          <w:tab w:val="clear" w:pos="4536"/>
          <w:tab w:val="clear" w:pos="9072"/>
        </w:tabs>
        <w:spacing w:line="480" w:lineRule="auto"/>
        <w:rPr>
          <w:color w:val="000000"/>
        </w:rPr>
      </w:pPr>
    </w:p>
    <w:p w14:paraId="05FB540E" w14:textId="77777777" w:rsidR="001C1B16" w:rsidRPr="00F259A2" w:rsidRDefault="006B0A1E" w:rsidP="008A5EE5">
      <w:pPr>
        <w:pStyle w:val="Heading1"/>
        <w:tabs>
          <w:tab w:val="left" w:pos="-1440"/>
          <w:tab w:val="left" w:pos="-720"/>
        </w:tabs>
        <w:suppressAutoHyphens/>
        <w:spacing w:line="480" w:lineRule="auto"/>
        <w:rPr>
          <w:color w:val="000000" w:themeColor="text1"/>
        </w:rPr>
      </w:pPr>
      <w:r w:rsidRPr="00F259A2">
        <w:rPr>
          <w:color w:val="000000" w:themeColor="text1"/>
        </w:rPr>
        <w:t>3.2.</w:t>
      </w:r>
      <w:r w:rsidR="006F4FE1" w:rsidRPr="00F259A2">
        <w:rPr>
          <w:color w:val="000000" w:themeColor="text1"/>
        </w:rPr>
        <w:t>9</w:t>
      </w:r>
      <w:r w:rsidR="00982EC7" w:rsidRPr="00F259A2">
        <w:rPr>
          <w:color w:val="000000" w:themeColor="text1"/>
        </w:rPr>
        <w:t xml:space="preserve">. </w:t>
      </w:r>
      <w:r w:rsidR="00DA781E" w:rsidRPr="00F259A2">
        <w:rPr>
          <w:color w:val="000000" w:themeColor="text1"/>
        </w:rPr>
        <w:t>Evaluation</w:t>
      </w:r>
    </w:p>
    <w:p w14:paraId="15D4555C" w14:textId="77777777" w:rsidR="001C1B16" w:rsidRPr="00F259A2" w:rsidRDefault="001C1B16" w:rsidP="008A5EE5">
      <w:pPr>
        <w:spacing w:line="480" w:lineRule="auto"/>
        <w:rPr>
          <w:color w:val="000000"/>
        </w:rPr>
      </w:pPr>
    </w:p>
    <w:p w14:paraId="0DDB6DB6" w14:textId="77777777" w:rsidR="001C1B16" w:rsidRPr="00F259A2" w:rsidRDefault="00585A4F" w:rsidP="008A5EE5">
      <w:pPr>
        <w:spacing w:line="480" w:lineRule="auto"/>
        <w:ind w:left="284"/>
        <w:rPr>
          <w:color w:val="000000"/>
        </w:rPr>
      </w:pPr>
      <w:r w:rsidRPr="00F259A2">
        <w:rPr>
          <w:color w:val="000000"/>
        </w:rPr>
        <w:t xml:space="preserve">For the evaluation of the CGH slides a fluorescent microscope </w:t>
      </w:r>
      <w:r w:rsidR="00D500DA" w:rsidRPr="00F259A2">
        <w:rPr>
          <w:color w:val="000000"/>
        </w:rPr>
        <w:t>e</w:t>
      </w:r>
      <w:r w:rsidRPr="00F259A2">
        <w:rPr>
          <w:color w:val="000000"/>
        </w:rPr>
        <w:t xml:space="preserve">quipped with a set of suitable </w:t>
      </w:r>
      <w:r w:rsidR="00DD0E52" w:rsidRPr="00F259A2">
        <w:rPr>
          <w:color w:val="000000"/>
        </w:rPr>
        <w:t>excitation</w:t>
      </w:r>
      <w:r w:rsidRPr="00F259A2">
        <w:rPr>
          <w:color w:val="000000"/>
        </w:rPr>
        <w:t xml:space="preserve"> and </w:t>
      </w:r>
      <w:r w:rsidR="00DD0E52" w:rsidRPr="00F259A2">
        <w:rPr>
          <w:color w:val="000000"/>
        </w:rPr>
        <w:t xml:space="preserve">emission filters, CCD camera and a computer is considered a prerequisite. </w:t>
      </w:r>
      <w:r w:rsidR="00DF5018" w:rsidRPr="00F259A2">
        <w:rPr>
          <w:color w:val="000000"/>
        </w:rPr>
        <w:t>In principles, it is possible to roughly analyse CGH slides manually; however, this is rather inaccurate</w:t>
      </w:r>
      <w:r w:rsidR="004A3CC0" w:rsidRPr="00F259A2">
        <w:rPr>
          <w:color w:val="000000"/>
        </w:rPr>
        <w:t>. A</w:t>
      </w:r>
      <w:r w:rsidR="00DF5018" w:rsidRPr="00F259A2">
        <w:rPr>
          <w:color w:val="000000"/>
        </w:rPr>
        <w:t>nalysis</w:t>
      </w:r>
      <w:r w:rsidR="004A3CC0" w:rsidRPr="00F259A2">
        <w:rPr>
          <w:color w:val="000000"/>
        </w:rPr>
        <w:t xml:space="preserve"> software is highly recommended to get an accurate quantitative and qualitative evaluation of the CGH.</w:t>
      </w:r>
      <w:r w:rsidR="009B01FF" w:rsidRPr="00F259A2">
        <w:rPr>
          <w:color w:val="000000"/>
        </w:rPr>
        <w:t xml:space="preserve"> </w:t>
      </w:r>
      <w:r w:rsidR="000259DF" w:rsidRPr="00F259A2">
        <w:rPr>
          <w:color w:val="000000"/>
        </w:rPr>
        <w:t>Companies</w:t>
      </w:r>
      <w:r w:rsidR="00DD0E52" w:rsidRPr="00F259A2">
        <w:rPr>
          <w:color w:val="000000"/>
        </w:rPr>
        <w:t xml:space="preserve"> like </w:t>
      </w:r>
      <w:proofErr w:type="spellStart"/>
      <w:r w:rsidR="00DD0E52" w:rsidRPr="00F259A2">
        <w:rPr>
          <w:color w:val="000000"/>
        </w:rPr>
        <w:t>MetaSystems</w:t>
      </w:r>
      <w:proofErr w:type="spellEnd"/>
      <w:r w:rsidR="00DD0E52" w:rsidRPr="00F259A2">
        <w:rPr>
          <w:color w:val="000000"/>
        </w:rPr>
        <w:t xml:space="preserve">, </w:t>
      </w:r>
      <w:proofErr w:type="spellStart"/>
      <w:r w:rsidR="00DD0E52" w:rsidRPr="00F259A2">
        <w:t>Altlussheim</w:t>
      </w:r>
      <w:proofErr w:type="spellEnd"/>
      <w:r w:rsidR="00DD0E52" w:rsidRPr="00F259A2">
        <w:t>, Germany offer evaluation software</w:t>
      </w:r>
      <w:r w:rsidR="000259DF" w:rsidRPr="00F259A2">
        <w:t xml:space="preserve"> (http://www.metasystems</w:t>
      </w:r>
      <w:r w:rsidR="00AD5B6B">
        <w:t>--</w:t>
      </w:r>
      <w:r w:rsidR="000259DF" w:rsidRPr="00F259A2">
        <w:t>international.com/</w:t>
      </w:r>
      <w:proofErr w:type="spellStart"/>
      <w:r w:rsidR="000259DF" w:rsidRPr="00F259A2">
        <w:t>isis</w:t>
      </w:r>
      <w:proofErr w:type="spellEnd"/>
      <w:r w:rsidR="000259DF" w:rsidRPr="00F259A2">
        <w:t>/</w:t>
      </w:r>
      <w:proofErr w:type="spellStart"/>
      <w:r w:rsidR="000259DF" w:rsidRPr="00F259A2">
        <w:t>cgh</w:t>
      </w:r>
      <w:proofErr w:type="spellEnd"/>
      <w:r w:rsidR="000259DF" w:rsidRPr="00F259A2">
        <w:t xml:space="preserve">) </w:t>
      </w:r>
      <w:r w:rsidR="00DD0E52" w:rsidRPr="00F259A2">
        <w:rPr>
          <w:color w:val="000000"/>
        </w:rPr>
        <w:t>to analyse a set of metaphase for numerical abnormalities as well as copy number variations as seen in loss and gains of chromosomal material.</w:t>
      </w:r>
      <w:r w:rsidR="0081476E" w:rsidRPr="00F259A2">
        <w:rPr>
          <w:color w:val="000000"/>
        </w:rPr>
        <w:t xml:space="preserve"> Data interpretation then becomes more precise as the results from many metaphases are integrated for each chromosome</w:t>
      </w:r>
      <w:r w:rsidR="00805AE0" w:rsidRPr="00F259A2">
        <w:rPr>
          <w:color w:val="000000"/>
        </w:rPr>
        <w:t xml:space="preserve"> (</w:t>
      </w:r>
      <w:r w:rsidR="00805AE0" w:rsidRPr="000E212A">
        <w:rPr>
          <w:i/>
          <w:color w:val="000000"/>
        </w:rPr>
        <w:t>see</w:t>
      </w:r>
      <w:r w:rsidR="00805AE0" w:rsidRPr="00F259A2">
        <w:rPr>
          <w:color w:val="000000"/>
        </w:rPr>
        <w:t xml:space="preserve"> </w:t>
      </w:r>
      <w:r w:rsidR="00805AE0" w:rsidRPr="00F259A2">
        <w:rPr>
          <w:b/>
          <w:color w:val="000000"/>
        </w:rPr>
        <w:t xml:space="preserve">Note </w:t>
      </w:r>
      <w:r w:rsidR="0019594D">
        <w:rPr>
          <w:b/>
          <w:color w:val="000000"/>
        </w:rPr>
        <w:t>7</w:t>
      </w:r>
      <w:r w:rsidR="00805AE0" w:rsidRPr="00F259A2">
        <w:rPr>
          <w:color w:val="000000"/>
        </w:rPr>
        <w:t>)</w:t>
      </w:r>
      <w:r w:rsidR="0081476E" w:rsidRPr="00F259A2">
        <w:rPr>
          <w:color w:val="000000"/>
        </w:rPr>
        <w:t>.</w:t>
      </w:r>
    </w:p>
    <w:p w14:paraId="360C96F1" w14:textId="77777777" w:rsidR="001C1B16" w:rsidRPr="00F259A2" w:rsidRDefault="001C1B16" w:rsidP="008A5EE5">
      <w:pPr>
        <w:spacing w:line="480" w:lineRule="auto"/>
        <w:ind w:left="284"/>
        <w:rPr>
          <w:color w:val="000000"/>
        </w:rPr>
      </w:pPr>
    </w:p>
    <w:p w14:paraId="1C075B64" w14:textId="77777777" w:rsidR="001C1B16" w:rsidRPr="00F259A2" w:rsidRDefault="009A2953" w:rsidP="008A5EE5">
      <w:pPr>
        <w:spacing w:line="480" w:lineRule="auto"/>
        <w:ind w:left="284"/>
        <w:rPr>
          <w:color w:val="000000"/>
        </w:rPr>
      </w:pPr>
      <w:r w:rsidRPr="00F259A2">
        <w:rPr>
          <w:color w:val="000000"/>
        </w:rPr>
        <w:lastRenderedPageBreak/>
        <w:t>A reliable evaluation requires the assessment of a number of metaphases (usually 5 to 15) with certain characteristics. The spreading has to be optimal with an even staining and only a few or none overlapping chromosomes. Besides a low unspecific background, the hybridization pattern along the chromosomes has to be even with consistent intensities. The correct setting</w:t>
      </w:r>
      <w:r w:rsidR="00E07445" w:rsidRPr="00F259A2">
        <w:rPr>
          <w:color w:val="000000"/>
        </w:rPr>
        <w:t>s</w:t>
      </w:r>
      <w:r w:rsidRPr="00F259A2">
        <w:rPr>
          <w:color w:val="000000"/>
        </w:rPr>
        <w:t xml:space="preserve"> of upper and lower threshold</w:t>
      </w:r>
      <w:r w:rsidR="00E07445" w:rsidRPr="00F259A2">
        <w:rPr>
          <w:color w:val="000000"/>
        </w:rPr>
        <w:t>s</w:t>
      </w:r>
      <w:r w:rsidR="009B01FF" w:rsidRPr="00F259A2">
        <w:rPr>
          <w:color w:val="000000"/>
        </w:rPr>
        <w:t xml:space="preserve"> </w:t>
      </w:r>
      <w:r w:rsidR="00E07445" w:rsidRPr="00F259A2">
        <w:rPr>
          <w:color w:val="000000"/>
        </w:rPr>
        <w:t>are</w:t>
      </w:r>
      <w:r w:rsidRPr="00F259A2">
        <w:rPr>
          <w:color w:val="000000"/>
        </w:rPr>
        <w:t xml:space="preserve"> therefore very important. For karyotyping, </w:t>
      </w:r>
      <w:r w:rsidR="00E07445" w:rsidRPr="00F259A2">
        <w:rPr>
          <w:color w:val="000000"/>
        </w:rPr>
        <w:t>the inverted black</w:t>
      </w:r>
      <w:r w:rsidR="00AD5B6B">
        <w:rPr>
          <w:color w:val="000000"/>
        </w:rPr>
        <w:t>--</w:t>
      </w:r>
      <w:r w:rsidR="00E07445" w:rsidRPr="00F259A2">
        <w:rPr>
          <w:color w:val="000000"/>
        </w:rPr>
        <w:t>and</w:t>
      </w:r>
      <w:r w:rsidR="00AD5B6B">
        <w:rPr>
          <w:color w:val="000000"/>
        </w:rPr>
        <w:t>--</w:t>
      </w:r>
      <w:r w:rsidR="00E07445" w:rsidRPr="00F259A2">
        <w:rPr>
          <w:color w:val="000000"/>
        </w:rPr>
        <w:t>white image of the counterstained metaphase is used. T</w:t>
      </w:r>
      <w:r w:rsidRPr="00F259A2">
        <w:rPr>
          <w:color w:val="000000"/>
        </w:rPr>
        <w:t xml:space="preserve">he chromosomes </w:t>
      </w:r>
      <w:r w:rsidR="00E47CCF" w:rsidRPr="00F259A2">
        <w:rPr>
          <w:color w:val="000000"/>
        </w:rPr>
        <w:t>are subsequently</w:t>
      </w:r>
      <w:r w:rsidRPr="00F259A2">
        <w:rPr>
          <w:color w:val="000000"/>
        </w:rPr>
        <w:t xml:space="preserve"> sorted </w:t>
      </w:r>
      <w:r w:rsidR="00E47CCF" w:rsidRPr="00F259A2">
        <w:rPr>
          <w:color w:val="000000"/>
        </w:rPr>
        <w:t xml:space="preserve">for identification </w:t>
      </w:r>
      <w:r w:rsidRPr="00F259A2">
        <w:rPr>
          <w:color w:val="000000"/>
        </w:rPr>
        <w:t>according to their number</w:t>
      </w:r>
      <w:r w:rsidR="00E07445" w:rsidRPr="00F259A2">
        <w:rPr>
          <w:color w:val="000000"/>
        </w:rPr>
        <w:t>, size and banding pattern</w:t>
      </w:r>
      <w:r w:rsidR="00E47CCF" w:rsidRPr="00F259A2">
        <w:rPr>
          <w:color w:val="000000"/>
        </w:rPr>
        <w:t>s</w:t>
      </w:r>
      <w:r w:rsidR="00E07445" w:rsidRPr="00F259A2">
        <w:rPr>
          <w:color w:val="000000"/>
        </w:rPr>
        <w:t xml:space="preserve"> by an experienced investigator</w:t>
      </w:r>
      <w:r w:rsidR="00E47CCF" w:rsidRPr="00F259A2">
        <w:rPr>
          <w:color w:val="000000"/>
        </w:rPr>
        <w:t>.</w:t>
      </w:r>
      <w:r w:rsidR="009B01FF" w:rsidRPr="00F259A2">
        <w:rPr>
          <w:color w:val="000000"/>
        </w:rPr>
        <w:t xml:space="preserve"> </w:t>
      </w:r>
      <w:r w:rsidR="00E47CCF" w:rsidRPr="00F259A2">
        <w:rPr>
          <w:color w:val="000000"/>
        </w:rPr>
        <w:t>S</w:t>
      </w:r>
      <w:r w:rsidRPr="00F259A2">
        <w:rPr>
          <w:color w:val="000000"/>
        </w:rPr>
        <w:t>ome programmes allow automatic sorting of the chromosome</w:t>
      </w:r>
      <w:r w:rsidR="00E47CCF" w:rsidRPr="00F259A2">
        <w:rPr>
          <w:color w:val="000000"/>
        </w:rPr>
        <w:t xml:space="preserve">s but the resulting karyotype should always be additionally checked. The fluorescent intensities along the axis of the chromosomes finally result in </w:t>
      </w:r>
      <w:r w:rsidR="00C03E75" w:rsidRPr="00F259A2">
        <w:rPr>
          <w:color w:val="000000"/>
        </w:rPr>
        <w:t xml:space="preserve">an </w:t>
      </w:r>
      <w:r w:rsidR="00E47CCF" w:rsidRPr="00F259A2">
        <w:rPr>
          <w:color w:val="000000"/>
        </w:rPr>
        <w:t>intensity profile. Average profiles for all 24 different human chromosomes are then calculated by using the profiles from all analysed metaphases</w:t>
      </w:r>
      <w:r w:rsidR="009B01FF" w:rsidRPr="00F259A2">
        <w:rPr>
          <w:color w:val="000000"/>
        </w:rPr>
        <w:t xml:space="preserve"> --</w:t>
      </w:r>
      <w:r w:rsidR="00C03E75" w:rsidRPr="00F259A2">
        <w:rPr>
          <w:color w:val="000000"/>
        </w:rPr>
        <w:t xml:space="preserve"> at least four copies of each chromosome should be analysed</w:t>
      </w:r>
      <w:r w:rsidR="00E47CCF" w:rsidRPr="00F259A2">
        <w:rPr>
          <w:color w:val="000000"/>
        </w:rPr>
        <w:t>. Centromer</w:t>
      </w:r>
      <w:r w:rsidR="00C03E75" w:rsidRPr="00F259A2">
        <w:rPr>
          <w:color w:val="000000"/>
        </w:rPr>
        <w:t>es, the p</w:t>
      </w:r>
      <w:r w:rsidR="00AD5B6B">
        <w:rPr>
          <w:color w:val="000000"/>
        </w:rPr>
        <w:t>--</w:t>
      </w:r>
      <w:r w:rsidR="00C03E75" w:rsidRPr="00F259A2">
        <w:rPr>
          <w:color w:val="000000"/>
        </w:rPr>
        <w:t>arms of acrocentric chromosomes (13, 14, 15, 21 and 22)</w:t>
      </w:r>
      <w:r w:rsidR="00E47CCF" w:rsidRPr="00F259A2">
        <w:rPr>
          <w:color w:val="000000"/>
        </w:rPr>
        <w:t xml:space="preserve"> and heterochromatin regions, </w:t>
      </w:r>
      <w:r w:rsidR="00C03E75" w:rsidRPr="00F259A2">
        <w:rPr>
          <w:color w:val="000000"/>
        </w:rPr>
        <w:t>i.e.</w:t>
      </w:r>
      <w:r w:rsidR="00E47CCF" w:rsidRPr="00F259A2">
        <w:rPr>
          <w:color w:val="000000"/>
        </w:rPr>
        <w:t xml:space="preserve"> 1q12, </w:t>
      </w:r>
      <w:r w:rsidR="00C03E75" w:rsidRPr="00F259A2">
        <w:rPr>
          <w:color w:val="000000"/>
        </w:rPr>
        <w:t>9q12, 16q11.2 and Yq12, are usually excluded from interpretation</w:t>
      </w:r>
      <w:r w:rsidR="009B01FF" w:rsidRPr="00F259A2">
        <w:rPr>
          <w:color w:val="000000"/>
        </w:rPr>
        <w:t xml:space="preserve"> </w:t>
      </w:r>
      <w:r w:rsidR="009A377C" w:rsidRPr="00F259A2">
        <w:rPr>
          <w:color w:val="000000"/>
        </w:rPr>
        <w:fldChar w:fldCharType="begin"/>
      </w:r>
      <w:r w:rsidR="00F431FC" w:rsidRPr="00F259A2">
        <w:rPr>
          <w:color w:val="000000"/>
        </w:rPr>
        <w:instrText xml:space="preserve"> ADDIN ZOTERO_ITEM CSL_CITATION {"citationID":"24udam3qt3","properties":{"formattedCitation":"{\\rtf (\\b \\i 76\\i0{}\\b0{}\\uc0\\u8211{}\\b \\i 79\\i0{}\\b0{})}","plainCitation":"(76–79)"},"citationItems":[{"id":51,"uris":["http://zotero.org/users/1046410/items/IHRDHX66"],"uri":["http://zotero.org/users/1046410/items/IHRDHX66"],"itemData":{"id":51,"type":"article-journal","title":"Hardware and software requirements for quantitative analysis of comparative genomic hybridization","container-title":"Cytometry","page":"4-9","volume":"19","issue":"1","abstract":"Recommendations are made for hardware and software capabilities that will permit a level of performance of comparative genomic hybridization (CGH) analysis on metaphase chromosomes that is comparable to the best current practice. Guidelines for interpreting the results of CGH analysis in terms of chromosomal gains or losses are also presented.","DOI":"10.1002/cyto.990190103","note":"PMID: 7705183","journalAbbreviation":"Cytometry","author":[{"family":"du Manoir","given":"S"},{"family":"Kallioniemi","given":"O P"},{"family":"Lichter","given":"P"},{"family":"Piper","given":"J"},{"family":"Benedetti","given":"P A"},{"family":"Carothers","given":"A D"},{"family":"Fantes","given":"J A"},{"family":"García-Sagredo","given":"J M"},{"family":"Gerdes","given":"T"},{"family":"Giollant","given":"M"}],"issued":{"year":1995,"month":1,"day":1},"accessed":{"year":2012,"month":7,"day":31},"page-first":"4"}},{"id":52,"uris":["http://zotero.org/users/1046410/items/CS52PQQF"],"uri":["http://zotero.org/users/1046410/items/CS52PQQF"],"itemData":{"id":52,"type":"article-journal","title":"Quantitative analysis of comparative genomic hybridization","container-title":"Cytometry","page":"27-41","volume":"19","issue":"1","abstract":"Comparative genomic hybridization (CGH) is a new molecular cytogenetic method for the detection of chromosomal imbalances. Following cohybridization of DNA prepared from a sample to be studied and control DNA to normal metaphase spreads, probes are detected via different fluorochromes. The ratio of the test and control fluorescence intensities along a chromosome reflects the relative copy number of segments of a chromosome in the test genome. Quantitative evaluation of CGH experiments is required for the determination of low copy changes, e.g., monosomy or trisomy, and for the definition of the breakpoints involved in unbalanced rearrangements. In this study, a program for quantitation of CGH preparations is presented. This program is based on the extraction of the fluorescence ratio profile along each chromosome, followed by averaging of individual profiles from several meta phase spreads. Objective parameters critical for quantitative evaluations were tested, and the criteria for selection of suitable CGH preparations are described. The granularity of the chromosome painting and the regional inhomogeneity of fluorescence intensities in metaphase spreads proved to be crucial parameters. The coefficient of variation of the ratio value for chromosomes in balanced state (CVBS) provides a general quality criterion for CGH experiments. Different cutoff levels (thresholds) of average fluorescence ratio values were compared for their specificity and sensitivity with regard to the detection of chromosomal imbalances.","DOI":"10.1002/cyto.990190105","note":"PMID: 7705182","journalAbbreviation":"Cytometry","author":[{"family":"du Manoir","given":"S"},{"family":"Schröck","given":"E"},{"family":"Bentz","given":"M"},{"family":"Speicher","given":"M R"},{"family":"Joos","given":"S"},{"family":"Ried","given":"T"},{"family":"Lichter","given":"P"},{"family":"Cremer","given":"T"}],"issued":{"year":1995,"month":1,"day":1},"accessed":{"year":2012,"month":7,"day":31},"page-first":"27"}},{"id":53,"uris":["http://zotero.org/users/1046410/items/GM4HCVPJ"],"uri":["http://zotero.org/users/1046410/items/GM4HCVPJ"],"itemData":{"id":53,"type":"article-journal","title":"Computer image analysis of comparative genomic hybridization","container-title":"Cytometry","page":"10-26","volume":"19","issue":"1","abstract":"We describe and evaluate the image-processing and analysis techniques we have developed for the quantitative analysis of comparative genomic hybridization (CGH; Science 258:818, 1992). In a typical CGH application, two genomic DNA samples are simultaneously hybridized to metaphase chromosomes and detected with different fluorochromes. The primary data in CGH are contained in the intensity ratios of the fluorochromes as a function of position on the chromosomes, which reflect variation in DNA copy number ratio between the two DNA samples. Analysis involves chromosome segmentation, intensity normalization, background corrections, and calculation of the fluorescence intensity profiles and the ratio profile along the chromosome's length. Profiles from several copies of the same chromosome in different metaphases are averaged to reduce the noise. Confidence intervals are calculated and displayed for the mean profiles. The techniques were evaluated by examining the variability found in comparisons of two normal genomic DNAs, where the ratio was expected to be constant, and by measuring the ratios obtained for cell lines with cytogenetically documented copy number changes involving several chromosomal segments. The limits of sensitivity of CGH analysis were investigated by simulation. Guidelines for the interpretation of CGH data and indications of areas for future development of the analytical techniques are also presented.","DOI":"10.1002/cyto.990190104","note":"PMID: 7705181","journalAbbreviation":"Cytometry","author":[{"family":"Piper","given":"J"},{"family":"Rutovitz","given":"D"},{"family":"Sudar","given":"D"},{"family":"Kallioniemi","given":"A"},{"family":"Kallioniemi","given":"O P"},{"family":"Waldman","given":"F M"},{"family":"Gray","given":"J W"},{"family":"Pinkel","given":"D"}],"issued":{"year":1995,"month":1,"day":1},"accessed":{"year":2012,"month":7,"day":31},"page-first":"10"}},{"id":54,"uris":["http://zotero.org/users/1046410/items/9HJ99JXU"],"uri":["http://zotero.org/users/1046410/items/9HJ99JXU"],"itemData":{"id":54,"type":"article-journal","title":"Image analysis in comparative genomic hybridization","container-title":"Cytometry","page":"42-50","volume":"19","issue":"1","abstract":"Comparative genomic hybridization (CGH) is a new technique by which genomic imbalances can be detected by combining in situ suppression hybridization of whole genomic DNA and image analysis. We have developed software for rapid, quantitative CGH image analysis by a modification and extension of the standard software used for routine karyotyping of G-banded metaphase spreads in the Magiscan chromosome analysis system. The DAPI-counterstained metaphase spread is karyotyped interactively. Corrections for image shifts between the DAPI, FITC, and TRITC images are done manually by moving the three images relative to each other. The fluorescence background is subtracted. A mean filter is applied to smooth the FITC and TRITC images before the fluorescence ratio between the individual FITC- and TRITC-stained chromosomes is computed pixel by pixel inside the area of the chromosomes determined by the DAPI boundaries. Fluorescence intensity ratio profiles are generated, and peaks and valleys indicating possible gains and losses of test DNA are marked if they exceed ratios below 0.75 and above 1.25. By combining the analysis of several metaphase spreads, consistent findings of gains and losses in all or almost all spreads indicate chromosomal imbalance. Chromosomal imbalances are detected either by visual inspection of fluorescence ratio (FR) profiles or by a statistical approach that compares FR measurements of the individual case with measurements of normal chromosomes. The complete analysis of one metaphase can be carried out in approximately 10 minutes.","DOI":"10.1002/cyto.990190106","note":"PMID: 7705184","journalAbbreviation":"Cytometry","author":[{"family":"Lundsteen","given":"C"},{"family":"Maahr","given":"J"},{"family":"Christensen","given":"B"},{"family":"Bryndorf","given":"T"},{"family":"Bentz","given":"M"},{"family":"Lichter","given":"P"},{"family":"Gerdes","given":"T"}],"issued":{"year":1995,"month":1,"day":1},"accessed":{"year":2012,"month":7,"day":31},"page-first":"42"}}],"schema":"https://github.com/citation-style-language/schema/raw/master/csl-citation.json"} </w:instrText>
      </w:r>
      <w:r w:rsidR="009A377C" w:rsidRPr="00F259A2">
        <w:rPr>
          <w:color w:val="000000"/>
        </w:rPr>
        <w:fldChar w:fldCharType="separate"/>
      </w:r>
      <w:r w:rsidR="00F431FC" w:rsidRPr="00F259A2">
        <w:t>(</w:t>
      </w:r>
      <w:r w:rsidR="00F431FC" w:rsidRPr="00F259A2">
        <w:rPr>
          <w:b/>
          <w:bCs/>
          <w:i/>
          <w:iCs/>
        </w:rPr>
        <w:t>76</w:t>
      </w:r>
      <w:r w:rsidR="00F431FC" w:rsidRPr="00F259A2">
        <w:t>–</w:t>
      </w:r>
      <w:r w:rsidR="00F431FC" w:rsidRPr="00F259A2">
        <w:rPr>
          <w:b/>
          <w:bCs/>
          <w:i/>
          <w:iCs/>
        </w:rPr>
        <w:t>79</w:t>
      </w:r>
      <w:r w:rsidR="00F431FC" w:rsidRPr="00F259A2">
        <w:t>)</w:t>
      </w:r>
      <w:r w:rsidR="009A377C" w:rsidRPr="00F259A2">
        <w:rPr>
          <w:color w:val="000000"/>
        </w:rPr>
        <w:fldChar w:fldCharType="end"/>
      </w:r>
      <w:r w:rsidR="00C03E75" w:rsidRPr="00F259A2">
        <w:rPr>
          <w:color w:val="000000"/>
        </w:rPr>
        <w:t xml:space="preserve">. </w:t>
      </w:r>
    </w:p>
    <w:p w14:paraId="6149DBE0" w14:textId="77777777" w:rsidR="001C1B16" w:rsidRPr="00F259A2" w:rsidRDefault="001C1B16" w:rsidP="008A5EE5">
      <w:pPr>
        <w:spacing w:line="480" w:lineRule="auto"/>
        <w:rPr>
          <w:color w:val="000000"/>
        </w:rPr>
      </w:pPr>
    </w:p>
    <w:p w14:paraId="69850454" w14:textId="77777777" w:rsidR="001C1B16" w:rsidRPr="00F259A2" w:rsidRDefault="0064685A" w:rsidP="008A5EE5">
      <w:pPr>
        <w:spacing w:line="480" w:lineRule="auto"/>
        <w:rPr>
          <w:b/>
          <w:bCs/>
          <w:color w:val="000000"/>
        </w:rPr>
      </w:pPr>
      <w:r w:rsidRPr="00F259A2">
        <w:rPr>
          <w:i/>
          <w:iCs/>
          <w:color w:val="000000"/>
        </w:rPr>
        <w:br w:type="page"/>
      </w:r>
    </w:p>
    <w:p w14:paraId="2F03F032" w14:textId="77777777" w:rsidR="001C1B16" w:rsidRPr="00F259A2" w:rsidRDefault="002D6106" w:rsidP="008A5EE5">
      <w:pPr>
        <w:pStyle w:val="Heading2"/>
        <w:spacing w:line="480" w:lineRule="auto"/>
        <w:rPr>
          <w:rFonts w:ascii="Times New Roman" w:hAnsi="Times New Roman" w:cs="Times New Roman"/>
          <w:i w:val="0"/>
          <w:iCs w:val="0"/>
          <w:color w:val="000000"/>
          <w:sz w:val="24"/>
          <w:szCs w:val="24"/>
        </w:rPr>
      </w:pPr>
      <w:r w:rsidRPr="00F259A2">
        <w:rPr>
          <w:rFonts w:ascii="Times New Roman" w:hAnsi="Times New Roman" w:cs="Times New Roman"/>
          <w:i w:val="0"/>
          <w:iCs w:val="0"/>
          <w:color w:val="000000"/>
          <w:sz w:val="24"/>
          <w:szCs w:val="24"/>
        </w:rPr>
        <w:lastRenderedPageBreak/>
        <w:t>4. Notes</w:t>
      </w:r>
    </w:p>
    <w:p w14:paraId="4522744C" w14:textId="77777777" w:rsidR="001C1B16" w:rsidRDefault="002D6106" w:rsidP="008A5EE5">
      <w:pPr>
        <w:pStyle w:val="ListParagraph"/>
        <w:numPr>
          <w:ilvl w:val="0"/>
          <w:numId w:val="33"/>
        </w:numPr>
        <w:spacing w:line="480" w:lineRule="auto"/>
        <w:rPr>
          <w:color w:val="000000"/>
        </w:rPr>
      </w:pPr>
      <w:r w:rsidRPr="008031A5">
        <w:rPr>
          <w:color w:val="000000"/>
        </w:rPr>
        <w:t>Avoid exposure to light when working with fluorochrome labelled nucleotides. Use drawers, covers or boxes to protect the slides from direct sun light. Use yellow fluorescent lights in the lab if possible.</w:t>
      </w:r>
    </w:p>
    <w:p w14:paraId="55D4620C" w14:textId="77777777" w:rsidR="009654BF" w:rsidRDefault="00892581" w:rsidP="009654BF">
      <w:pPr>
        <w:pStyle w:val="ListParagraph"/>
        <w:numPr>
          <w:ilvl w:val="0"/>
          <w:numId w:val="33"/>
        </w:numPr>
        <w:spacing w:line="480" w:lineRule="auto"/>
        <w:rPr>
          <w:color w:val="000000"/>
        </w:rPr>
      </w:pPr>
      <w:r w:rsidRPr="00E8065C">
        <w:rPr>
          <w:color w:val="000000"/>
        </w:rPr>
        <w:t xml:space="preserve">This DNA precipitation </w:t>
      </w:r>
      <w:r w:rsidR="00E8065C" w:rsidRPr="00E8065C">
        <w:rPr>
          <w:color w:val="000000"/>
        </w:rPr>
        <w:t xml:space="preserve">mix already </w:t>
      </w:r>
      <w:r w:rsidRPr="00E8065C">
        <w:rPr>
          <w:color w:val="000000"/>
        </w:rPr>
        <w:t>contains all the DNAs needed for the hybridisation process: both the labelled reference as well as the test DNA, human cot</w:t>
      </w:r>
      <w:r w:rsidR="00AD5B6B">
        <w:rPr>
          <w:color w:val="000000"/>
        </w:rPr>
        <w:t>--</w:t>
      </w:r>
      <w:r w:rsidRPr="00E8065C">
        <w:rPr>
          <w:color w:val="000000"/>
        </w:rPr>
        <w:t xml:space="preserve">1 DNA in excess (to block </w:t>
      </w:r>
      <w:proofErr w:type="spellStart"/>
      <w:r w:rsidRPr="00E8065C">
        <w:rPr>
          <w:color w:val="000000"/>
        </w:rPr>
        <w:t>non</w:t>
      </w:r>
      <w:r w:rsidR="00AD5B6B">
        <w:rPr>
          <w:color w:val="000000"/>
        </w:rPr>
        <w:t>--</w:t>
      </w:r>
      <w:r w:rsidRPr="00E8065C">
        <w:rPr>
          <w:color w:val="000000"/>
        </w:rPr>
        <w:t>specific</w:t>
      </w:r>
      <w:proofErr w:type="spellEnd"/>
      <w:r w:rsidRPr="00E8065C">
        <w:rPr>
          <w:color w:val="000000"/>
        </w:rPr>
        <w:t xml:space="preserve"> hybridisation of the probe to </w:t>
      </w:r>
      <w:proofErr w:type="spellStart"/>
      <w:r w:rsidRPr="00E8065C">
        <w:rPr>
          <w:color w:val="000000"/>
        </w:rPr>
        <w:t>non</w:t>
      </w:r>
      <w:r w:rsidR="00AD5B6B">
        <w:rPr>
          <w:color w:val="000000"/>
        </w:rPr>
        <w:t>--</w:t>
      </w:r>
      <w:r w:rsidRPr="00E8065C">
        <w:rPr>
          <w:color w:val="000000"/>
        </w:rPr>
        <w:t>target</w:t>
      </w:r>
      <w:proofErr w:type="spellEnd"/>
      <w:r w:rsidRPr="00E8065C">
        <w:rPr>
          <w:color w:val="000000"/>
        </w:rPr>
        <w:t xml:space="preserve"> DNA</w:t>
      </w:r>
      <w:r w:rsidR="00E8065C">
        <w:rPr>
          <w:color w:val="000000"/>
        </w:rPr>
        <w:t>, hence the pre</w:t>
      </w:r>
      <w:r w:rsidR="00AD5B6B">
        <w:rPr>
          <w:color w:val="000000"/>
        </w:rPr>
        <w:t>--</w:t>
      </w:r>
      <w:r w:rsidR="00E8065C">
        <w:rPr>
          <w:color w:val="000000"/>
        </w:rPr>
        <w:t>annealing step later on in the protocol</w:t>
      </w:r>
      <w:r w:rsidRPr="00E8065C">
        <w:rPr>
          <w:color w:val="000000"/>
        </w:rPr>
        <w:t xml:space="preserve">) and salmon sperm DNA (which acts as a carrier DNA reducing the background by associating to </w:t>
      </w:r>
      <w:proofErr w:type="spellStart"/>
      <w:r w:rsidRPr="00E8065C">
        <w:rPr>
          <w:color w:val="000000"/>
        </w:rPr>
        <w:t>non</w:t>
      </w:r>
      <w:r w:rsidR="00AD5B6B">
        <w:rPr>
          <w:color w:val="000000"/>
        </w:rPr>
        <w:t>--</w:t>
      </w:r>
      <w:r w:rsidRPr="00E8065C">
        <w:rPr>
          <w:color w:val="000000"/>
        </w:rPr>
        <w:t>biological</w:t>
      </w:r>
      <w:proofErr w:type="spellEnd"/>
      <w:r w:rsidRPr="00E8065C">
        <w:rPr>
          <w:color w:val="000000"/>
        </w:rPr>
        <w:t xml:space="preserve"> sites during hybridisation).</w:t>
      </w:r>
      <w:r w:rsidR="00E8065C" w:rsidRPr="00E8065C">
        <w:rPr>
          <w:color w:val="000000"/>
        </w:rPr>
        <w:t xml:space="preserve"> Sodium acetate and ethanol are used to precipitate the DNAs</w:t>
      </w:r>
      <w:r w:rsidR="009654BF">
        <w:rPr>
          <w:color w:val="000000"/>
        </w:rPr>
        <w:t>.</w:t>
      </w:r>
    </w:p>
    <w:p w14:paraId="4FC2496A" w14:textId="7B3EDBAB" w:rsidR="001A5183" w:rsidRDefault="001A5183" w:rsidP="009654BF">
      <w:pPr>
        <w:pStyle w:val="ListParagraph"/>
        <w:numPr>
          <w:ilvl w:val="0"/>
          <w:numId w:val="33"/>
        </w:numPr>
        <w:spacing w:line="480" w:lineRule="auto"/>
        <w:rPr>
          <w:color w:val="000000"/>
        </w:rPr>
      </w:pPr>
      <w:r>
        <w:rPr>
          <w:color w:val="000000"/>
        </w:rPr>
        <w:t xml:space="preserve">The </w:t>
      </w:r>
      <w:r w:rsidRPr="009654BF">
        <w:rPr>
          <w:color w:val="000000"/>
        </w:rPr>
        <w:t xml:space="preserve">Master </w:t>
      </w:r>
      <w:r w:rsidR="00E1115F">
        <w:rPr>
          <w:color w:val="000000"/>
        </w:rPr>
        <w:t>M</w:t>
      </w:r>
      <w:r w:rsidRPr="009654BF">
        <w:rPr>
          <w:color w:val="000000"/>
        </w:rPr>
        <w:t xml:space="preserve">ix contains 3 crucial ingredients necessary for successful hybridisation of DNA probes to target DNA. Formamide destabilises hydrogen bonds within the DNA’s double helix; as a consequence reducing the melting point of the DNA. Dextran sulphate is a polyanionic derivative of the glucan dextran acting as a crowder substance in the </w:t>
      </w:r>
      <w:r w:rsidR="00E1115F">
        <w:rPr>
          <w:color w:val="000000"/>
        </w:rPr>
        <w:t>M</w:t>
      </w:r>
      <w:r w:rsidRPr="009654BF">
        <w:rPr>
          <w:color w:val="000000"/>
        </w:rPr>
        <w:t xml:space="preserve">aster </w:t>
      </w:r>
      <w:r w:rsidR="00E1115F">
        <w:rPr>
          <w:color w:val="000000"/>
        </w:rPr>
        <w:t>M</w:t>
      </w:r>
      <w:r w:rsidRPr="009654BF">
        <w:rPr>
          <w:color w:val="000000"/>
        </w:rPr>
        <w:t xml:space="preserve">ix. It helps to accelerate the hybridisation process by reducing the access to water to nucleic acids. Monovalent cations like </w:t>
      </w:r>
      <w:proofErr w:type="spellStart"/>
      <w:r w:rsidRPr="009654BF">
        <w:rPr>
          <w:color w:val="000000"/>
        </w:rPr>
        <w:t>Na</w:t>
      </w:r>
      <w:r w:rsidRPr="009654BF">
        <w:rPr>
          <w:color w:val="000000"/>
          <w:vertAlign w:val="superscript"/>
        </w:rPr>
        <w:t>+</w:t>
      </w:r>
      <w:r w:rsidRPr="009654BF">
        <w:rPr>
          <w:color w:val="000000"/>
        </w:rPr>
        <w:t>f</w:t>
      </w:r>
      <w:r w:rsidRPr="009654BF">
        <w:rPr>
          <w:color w:val="000000"/>
          <w:vertAlign w:val="superscript"/>
        </w:rPr>
        <w:t>rom</w:t>
      </w:r>
      <w:proofErr w:type="spellEnd"/>
      <w:r w:rsidRPr="009654BF">
        <w:rPr>
          <w:color w:val="000000"/>
          <w:vertAlign w:val="superscript"/>
        </w:rPr>
        <w:t xml:space="preserve"> </w:t>
      </w:r>
      <w:r w:rsidRPr="009654BF">
        <w:rPr>
          <w:color w:val="000000"/>
        </w:rPr>
        <w:t>t</w:t>
      </w:r>
      <w:r w:rsidRPr="009654BF">
        <w:rPr>
          <w:color w:val="000000"/>
          <w:vertAlign w:val="superscript"/>
        </w:rPr>
        <w:t>he S</w:t>
      </w:r>
      <w:r w:rsidRPr="009654BF">
        <w:rPr>
          <w:color w:val="000000"/>
        </w:rPr>
        <w:t xml:space="preserve">SC buffer interact with the negatively charged phosphate backbone of the DNA, thus, increasing the affinity between the DNA probe and the target DNA.  </w:t>
      </w:r>
    </w:p>
    <w:p w14:paraId="6B87464A" w14:textId="77777777" w:rsidR="001C1B16" w:rsidRPr="008031A5" w:rsidRDefault="009654BF" w:rsidP="008A5EE5">
      <w:pPr>
        <w:pStyle w:val="ListParagraph"/>
        <w:numPr>
          <w:ilvl w:val="0"/>
          <w:numId w:val="33"/>
        </w:numPr>
        <w:spacing w:line="480" w:lineRule="auto"/>
        <w:rPr>
          <w:color w:val="000000"/>
        </w:rPr>
      </w:pPr>
      <w:r>
        <w:rPr>
          <w:color w:val="000000"/>
        </w:rPr>
        <w:t xml:space="preserve"> </w:t>
      </w:r>
      <w:r w:rsidR="00730FF7" w:rsidRPr="009654BF">
        <w:rPr>
          <w:color w:val="000000"/>
        </w:rPr>
        <w:t>This</w:t>
      </w:r>
      <w:r w:rsidR="00730FF7" w:rsidRPr="008031A5">
        <w:rPr>
          <w:color w:val="000000"/>
        </w:rPr>
        <w:t xml:space="preserve"> incubation is crucial as cot</w:t>
      </w:r>
      <w:r w:rsidR="00AD5B6B">
        <w:rPr>
          <w:color w:val="000000"/>
        </w:rPr>
        <w:t>--</w:t>
      </w:r>
      <w:r w:rsidR="00730FF7" w:rsidRPr="008031A5">
        <w:rPr>
          <w:color w:val="000000"/>
        </w:rPr>
        <w:t>1 DNA pre</w:t>
      </w:r>
      <w:r w:rsidR="00AD5B6B">
        <w:rPr>
          <w:color w:val="000000"/>
        </w:rPr>
        <w:t>--</w:t>
      </w:r>
      <w:r w:rsidR="00730FF7" w:rsidRPr="008031A5">
        <w:rPr>
          <w:color w:val="000000"/>
        </w:rPr>
        <w:t>anneals in this step with moderately repetitive sequences in the probe</w:t>
      </w:r>
      <w:r w:rsidR="00AD5B6B">
        <w:rPr>
          <w:color w:val="000000"/>
        </w:rPr>
        <w:t>--</w:t>
      </w:r>
      <w:r w:rsidR="00730FF7" w:rsidRPr="008031A5">
        <w:rPr>
          <w:color w:val="000000"/>
        </w:rPr>
        <w:t>DNA reducing later on unspecific background signals on the target DNA throughout the genome. Cot</w:t>
      </w:r>
      <w:r w:rsidR="00AD5B6B">
        <w:rPr>
          <w:color w:val="000000"/>
        </w:rPr>
        <w:t>--</w:t>
      </w:r>
      <w:r w:rsidR="00730FF7" w:rsidRPr="008031A5">
        <w:rPr>
          <w:color w:val="000000"/>
        </w:rPr>
        <w:t>1 DNA consist of a fraction of DNA with a re</w:t>
      </w:r>
      <w:r w:rsidR="00AD5B6B">
        <w:rPr>
          <w:color w:val="000000"/>
        </w:rPr>
        <w:t>--</w:t>
      </w:r>
      <w:r w:rsidR="00730FF7" w:rsidRPr="008031A5">
        <w:rPr>
          <w:color w:val="000000"/>
        </w:rPr>
        <w:t xml:space="preserve">association coefficient of </w:t>
      </w:r>
      <w:r w:rsidR="00730FF7" w:rsidRPr="008031A5">
        <w:rPr>
          <w:color w:val="000000"/>
        </w:rPr>
        <w:lastRenderedPageBreak/>
        <w:t>c</w:t>
      </w:r>
      <w:r w:rsidR="00730FF7" w:rsidRPr="008031A5">
        <w:rPr>
          <w:color w:val="000000"/>
          <w:vertAlign w:val="subscript"/>
        </w:rPr>
        <w:t>o</w:t>
      </w:r>
      <w:r w:rsidR="00730FF7" w:rsidRPr="008031A5">
        <w:rPr>
          <w:color w:val="000000"/>
        </w:rPr>
        <w:t xml:space="preserve"> * t = 1 mol s l</w:t>
      </w:r>
      <w:r w:rsidR="00AD5B6B">
        <w:rPr>
          <w:color w:val="000000"/>
          <w:vertAlign w:val="superscript"/>
        </w:rPr>
        <w:t>--</w:t>
      </w:r>
      <w:r w:rsidR="00730FF7" w:rsidRPr="008031A5">
        <w:rPr>
          <w:color w:val="000000"/>
          <w:vertAlign w:val="superscript"/>
        </w:rPr>
        <w:t>1</w:t>
      </w:r>
      <w:r w:rsidR="00730FF7" w:rsidRPr="008031A5">
        <w:rPr>
          <w:color w:val="000000"/>
        </w:rPr>
        <w:t>, combining time of incubation and DNA concentration in this term</w:t>
      </w:r>
      <w:r w:rsidR="00532EBC" w:rsidRPr="008031A5">
        <w:rPr>
          <w:color w:val="000000"/>
        </w:rPr>
        <w:t>.</w:t>
      </w:r>
    </w:p>
    <w:p w14:paraId="3FA07C78" w14:textId="77777777" w:rsidR="001C1B16" w:rsidRPr="008031A5" w:rsidRDefault="00532EBC" w:rsidP="008A5EE5">
      <w:pPr>
        <w:pStyle w:val="ListParagraph"/>
        <w:numPr>
          <w:ilvl w:val="0"/>
          <w:numId w:val="33"/>
        </w:numPr>
        <w:spacing w:line="480" w:lineRule="auto"/>
        <w:rPr>
          <w:color w:val="000000"/>
        </w:rPr>
      </w:pPr>
      <w:r w:rsidRPr="008031A5">
        <w:rPr>
          <w:color w:val="000000"/>
        </w:rPr>
        <w:t>The incubation time depends in the quality and the age of the metaphase slides. It is recommended to use different time intervals to determine the optimal incubation time</w:t>
      </w:r>
      <w:r w:rsidR="007564AE">
        <w:rPr>
          <w:color w:val="000000"/>
        </w:rPr>
        <w:t xml:space="preserve"> as well as different concentrations of pepsin as indicated in section 2,2</w:t>
      </w:r>
      <w:r w:rsidRPr="008031A5">
        <w:rPr>
          <w:color w:val="000000"/>
        </w:rPr>
        <w:t>.</w:t>
      </w:r>
      <w:r w:rsidR="007564AE">
        <w:rPr>
          <w:color w:val="000000"/>
        </w:rPr>
        <w:t xml:space="preserve"> Once established for a batch of slides, use the optimal concentration and time of exposure to digest superficial proteins for the rest of the slides.</w:t>
      </w:r>
      <w:r w:rsidRPr="008031A5">
        <w:rPr>
          <w:color w:val="000000"/>
        </w:rPr>
        <w:t xml:space="preserve"> Avoid over</w:t>
      </w:r>
      <w:r w:rsidR="00AD5B6B">
        <w:rPr>
          <w:color w:val="000000"/>
        </w:rPr>
        <w:t>--</w:t>
      </w:r>
      <w:r w:rsidRPr="008031A5">
        <w:rPr>
          <w:color w:val="000000"/>
        </w:rPr>
        <w:t>exposure to pepsin as the chromosomes can detach from the glass surface of the slide</w:t>
      </w:r>
      <w:r w:rsidR="00DC3D1A" w:rsidRPr="008031A5">
        <w:rPr>
          <w:color w:val="000000"/>
        </w:rPr>
        <w:t>.</w:t>
      </w:r>
    </w:p>
    <w:p w14:paraId="0AD3DD8A" w14:textId="77777777" w:rsidR="001C1B16" w:rsidRPr="008031A5" w:rsidRDefault="00DC3D1A" w:rsidP="008A5EE5">
      <w:pPr>
        <w:pStyle w:val="ListParagraph"/>
        <w:numPr>
          <w:ilvl w:val="0"/>
          <w:numId w:val="33"/>
        </w:numPr>
        <w:spacing w:line="480" w:lineRule="auto"/>
        <w:rPr>
          <w:color w:val="000000"/>
        </w:rPr>
      </w:pPr>
      <w:r w:rsidRPr="008031A5">
        <w:rPr>
          <w:color w:val="000000"/>
        </w:rPr>
        <w:t>If DNA probes have been indirectly labelled with reporter molecules like biotin or digoxigenin by using correspondingly conjugated nucleotides for the mixture in Table 1 then the detection procedure must be carried out after the above washing steps. For this example, no detection procedure is necessary as the DNA probes are directly labelled with fluorochromes.</w:t>
      </w:r>
    </w:p>
    <w:p w14:paraId="7CE6B7B8" w14:textId="77777777" w:rsidR="001C1B16" w:rsidRPr="008031A5" w:rsidRDefault="006A003B" w:rsidP="008A5EE5">
      <w:pPr>
        <w:pStyle w:val="ListParagraph"/>
        <w:numPr>
          <w:ilvl w:val="0"/>
          <w:numId w:val="33"/>
        </w:numPr>
        <w:spacing w:line="480" w:lineRule="auto"/>
        <w:rPr>
          <w:color w:val="000000"/>
        </w:rPr>
      </w:pPr>
      <w:r w:rsidRPr="008031A5">
        <w:rPr>
          <w:color w:val="000000"/>
        </w:rPr>
        <w:t xml:space="preserve">The </w:t>
      </w:r>
      <w:r w:rsidR="00805AE0" w:rsidRPr="008031A5">
        <w:rPr>
          <w:color w:val="000000"/>
        </w:rPr>
        <w:t xml:space="preserve">resolution of an experiment is </w:t>
      </w:r>
      <w:r w:rsidRPr="008031A5">
        <w:rPr>
          <w:color w:val="000000"/>
        </w:rPr>
        <w:t xml:space="preserve">in general </w:t>
      </w:r>
      <w:r w:rsidR="00805AE0" w:rsidRPr="008031A5">
        <w:rPr>
          <w:color w:val="000000"/>
        </w:rPr>
        <w:t xml:space="preserve">defined by the number of bands that can be </w:t>
      </w:r>
      <w:r w:rsidRPr="008031A5">
        <w:rPr>
          <w:color w:val="000000"/>
        </w:rPr>
        <w:t>distinguished</w:t>
      </w:r>
      <w:r w:rsidR="0064685A" w:rsidRPr="008031A5">
        <w:rPr>
          <w:color w:val="000000"/>
        </w:rPr>
        <w:t xml:space="preserve"> (high resolution</w:t>
      </w:r>
      <w:r w:rsidR="002746CB" w:rsidRPr="008031A5">
        <w:rPr>
          <w:color w:val="000000"/>
        </w:rPr>
        <w:t xml:space="preserve"> ranges from</w:t>
      </w:r>
      <w:r w:rsidR="0064685A" w:rsidRPr="008031A5">
        <w:rPr>
          <w:color w:val="000000"/>
        </w:rPr>
        <w:t xml:space="preserve"> 550</w:t>
      </w:r>
      <w:r w:rsidR="002746CB" w:rsidRPr="008031A5">
        <w:rPr>
          <w:color w:val="000000"/>
        </w:rPr>
        <w:t xml:space="preserve"> – </w:t>
      </w:r>
      <w:r w:rsidR="0064685A" w:rsidRPr="008031A5">
        <w:rPr>
          <w:color w:val="000000"/>
        </w:rPr>
        <w:t xml:space="preserve">850 </w:t>
      </w:r>
      <w:r w:rsidR="002746CB" w:rsidRPr="008031A5">
        <w:rPr>
          <w:color w:val="000000"/>
        </w:rPr>
        <w:t xml:space="preserve">visible </w:t>
      </w:r>
      <w:r w:rsidR="0064685A" w:rsidRPr="008031A5">
        <w:rPr>
          <w:color w:val="000000"/>
        </w:rPr>
        <w:t>bands)</w:t>
      </w:r>
      <w:r w:rsidR="00805AE0" w:rsidRPr="008031A5">
        <w:rPr>
          <w:color w:val="000000"/>
        </w:rPr>
        <w:t>.</w:t>
      </w:r>
      <w:r w:rsidRPr="008031A5">
        <w:rPr>
          <w:color w:val="000000"/>
        </w:rPr>
        <w:t xml:space="preserve"> Hence, it is directly proportional to the length of the metaphase chromosomes. The condensation degree which defines the length of the metaphase chromosomes can be influenced by the concentration and the duration of exposure of </w:t>
      </w:r>
      <w:proofErr w:type="spellStart"/>
      <w:r w:rsidRPr="008031A5">
        <w:rPr>
          <w:color w:val="000000"/>
        </w:rPr>
        <w:t>colcemid</w:t>
      </w:r>
      <w:proofErr w:type="spellEnd"/>
      <w:r w:rsidRPr="008031A5">
        <w:rPr>
          <w:color w:val="000000"/>
        </w:rPr>
        <w:t xml:space="preserve"> to the cells during </w:t>
      </w:r>
      <w:r w:rsidR="0064685A" w:rsidRPr="008031A5">
        <w:rPr>
          <w:color w:val="000000"/>
        </w:rPr>
        <w:t>the culture of PHA</w:t>
      </w:r>
      <w:r w:rsidR="00AD5B6B">
        <w:rPr>
          <w:color w:val="000000"/>
        </w:rPr>
        <w:t>--</w:t>
      </w:r>
      <w:r w:rsidR="0064685A" w:rsidRPr="008031A5">
        <w:rPr>
          <w:color w:val="000000"/>
        </w:rPr>
        <w:t>stimulated peripheral blood lymphocytes</w:t>
      </w:r>
      <w:r w:rsidRPr="008031A5">
        <w:rPr>
          <w:color w:val="000000"/>
        </w:rPr>
        <w:t xml:space="preserve">. </w:t>
      </w:r>
      <w:proofErr w:type="spellStart"/>
      <w:r w:rsidRPr="008031A5">
        <w:rPr>
          <w:color w:val="000000"/>
        </w:rPr>
        <w:t>Colcemid</w:t>
      </w:r>
      <w:proofErr w:type="spellEnd"/>
      <w:r w:rsidRPr="008031A5">
        <w:rPr>
          <w:color w:val="000000"/>
        </w:rPr>
        <w:t xml:space="preserve"> arrests the cells in metaphase by depolymerising the microtubules of the spindle fibre. Commercially available metaphase spreads are usual showing long</w:t>
      </w:r>
      <w:r w:rsidR="00F259A2" w:rsidRPr="008031A5">
        <w:rPr>
          <w:color w:val="000000"/>
        </w:rPr>
        <w:t xml:space="preserve"> </w:t>
      </w:r>
      <w:r w:rsidR="0064685A" w:rsidRPr="008031A5">
        <w:rPr>
          <w:color w:val="000000"/>
        </w:rPr>
        <w:t>prometaphase</w:t>
      </w:r>
      <w:r w:rsidRPr="008031A5">
        <w:rPr>
          <w:color w:val="000000"/>
        </w:rPr>
        <w:t xml:space="preserve"> chromosomes</w:t>
      </w:r>
      <w:r w:rsidR="00015334" w:rsidRPr="008031A5">
        <w:rPr>
          <w:color w:val="000000"/>
        </w:rPr>
        <w:t xml:space="preserve"> suitable for high resolution CGH</w:t>
      </w:r>
      <w:r w:rsidR="0064685A" w:rsidRPr="008031A5">
        <w:rPr>
          <w:color w:val="000000"/>
        </w:rPr>
        <w:t>.</w:t>
      </w:r>
    </w:p>
    <w:p w14:paraId="3A22FDB6" w14:textId="77777777" w:rsidR="001C1B16" w:rsidRPr="00F259A2" w:rsidRDefault="001C1B16" w:rsidP="008A5EE5">
      <w:pPr>
        <w:spacing w:line="480" w:lineRule="auto"/>
        <w:rPr>
          <w:b/>
          <w:bCs/>
          <w:color w:val="000000"/>
        </w:rPr>
      </w:pPr>
    </w:p>
    <w:p w14:paraId="6B6C104C" w14:textId="77777777" w:rsidR="001C1B16" w:rsidRPr="00F259A2" w:rsidRDefault="002D6106" w:rsidP="008A5EE5">
      <w:pPr>
        <w:pStyle w:val="Heading2"/>
        <w:spacing w:line="480" w:lineRule="auto"/>
        <w:rPr>
          <w:rFonts w:ascii="Times New Roman" w:hAnsi="Times New Roman" w:cs="Times New Roman"/>
          <w:i w:val="0"/>
          <w:iCs w:val="0"/>
          <w:color w:val="000000"/>
          <w:sz w:val="24"/>
          <w:szCs w:val="24"/>
        </w:rPr>
      </w:pPr>
      <w:r w:rsidRPr="00F259A2">
        <w:rPr>
          <w:rFonts w:ascii="Times New Roman" w:hAnsi="Times New Roman" w:cs="Times New Roman"/>
          <w:i w:val="0"/>
          <w:iCs w:val="0"/>
          <w:color w:val="000000"/>
          <w:sz w:val="24"/>
          <w:szCs w:val="24"/>
        </w:rPr>
        <w:lastRenderedPageBreak/>
        <w:t xml:space="preserve">5. </w:t>
      </w:r>
      <w:r w:rsidR="003A0C70" w:rsidRPr="00F259A2">
        <w:rPr>
          <w:rFonts w:ascii="Times New Roman" w:hAnsi="Times New Roman" w:cs="Times New Roman"/>
          <w:i w:val="0"/>
          <w:iCs w:val="0"/>
          <w:color w:val="000000"/>
          <w:sz w:val="24"/>
          <w:szCs w:val="24"/>
        </w:rPr>
        <w:t>References</w:t>
      </w:r>
    </w:p>
    <w:p w14:paraId="2BBA2401" w14:textId="77777777" w:rsidR="001C1B16" w:rsidRPr="00F259A2" w:rsidRDefault="001C1B16" w:rsidP="008A5EE5">
      <w:pPr>
        <w:tabs>
          <w:tab w:val="left" w:pos="-1440"/>
          <w:tab w:val="left" w:pos="-720"/>
        </w:tabs>
        <w:suppressAutoHyphens/>
        <w:spacing w:line="480" w:lineRule="auto"/>
        <w:rPr>
          <w:color w:val="000000"/>
        </w:rPr>
      </w:pPr>
    </w:p>
    <w:p w14:paraId="1F03FF86" w14:textId="77777777" w:rsidR="001C1B16" w:rsidRPr="00F259A2" w:rsidRDefault="009A377C" w:rsidP="008A5EE5">
      <w:pPr>
        <w:pStyle w:val="Bibliography"/>
        <w:spacing w:line="480" w:lineRule="auto"/>
      </w:pPr>
      <w:r w:rsidRPr="00F259A2">
        <w:rPr>
          <w:color w:val="000000"/>
        </w:rPr>
        <w:fldChar w:fldCharType="begin"/>
      </w:r>
      <w:r w:rsidR="00AB347E" w:rsidRPr="00F259A2">
        <w:rPr>
          <w:color w:val="000000"/>
        </w:rPr>
        <w:instrText xml:space="preserve"> ADDIN ZOTERO_BIBL {"custom":[]} CSL_BIBLIOGRAPHY </w:instrText>
      </w:r>
      <w:r w:rsidRPr="00F259A2">
        <w:rPr>
          <w:color w:val="000000"/>
        </w:rPr>
        <w:fldChar w:fldCharType="separate"/>
      </w:r>
      <w:r w:rsidR="00AB347E" w:rsidRPr="00F259A2">
        <w:rPr>
          <w:b/>
          <w:bCs/>
        </w:rPr>
        <w:t>1</w:t>
      </w:r>
      <w:r w:rsidR="00AB347E" w:rsidRPr="00F259A2">
        <w:t>.</w:t>
      </w:r>
      <w:r w:rsidR="00AB347E" w:rsidRPr="00F259A2">
        <w:tab/>
        <w:t>Pinkel D., Straume T., Gray J.W. (1986) Cytogenetic analysis using quantitative, high</w:t>
      </w:r>
      <w:r w:rsidR="00AD5B6B">
        <w:t>--</w:t>
      </w:r>
      <w:r w:rsidR="00AB347E" w:rsidRPr="00F259A2">
        <w:t xml:space="preserve">sensitivity, fluorescence hybridization. </w:t>
      </w:r>
      <w:r w:rsidR="00AB347E" w:rsidRPr="00F259A2">
        <w:rPr>
          <w:i/>
          <w:iCs/>
        </w:rPr>
        <w:t>Proc Natl Acad Sci USA</w:t>
      </w:r>
      <w:r w:rsidR="004403BE">
        <w:rPr>
          <w:i/>
          <w:iCs/>
        </w:rPr>
        <w:t xml:space="preserve"> </w:t>
      </w:r>
      <w:r w:rsidR="00AB347E" w:rsidRPr="00F259A2">
        <w:rPr>
          <w:b/>
          <w:bCs/>
        </w:rPr>
        <w:t>83</w:t>
      </w:r>
      <w:r w:rsidR="00AB347E" w:rsidRPr="00F259A2">
        <w:t>, 2934–2938</w:t>
      </w:r>
    </w:p>
    <w:p w14:paraId="776E8441" w14:textId="77777777" w:rsidR="001C1B16" w:rsidRPr="00F259A2" w:rsidRDefault="00AB347E" w:rsidP="008A5EE5">
      <w:pPr>
        <w:pStyle w:val="Bibliography"/>
        <w:spacing w:line="480" w:lineRule="auto"/>
      </w:pPr>
      <w:r w:rsidRPr="00F259A2">
        <w:rPr>
          <w:b/>
          <w:bCs/>
        </w:rPr>
        <w:t>2</w:t>
      </w:r>
      <w:r w:rsidRPr="00F259A2">
        <w:t>.</w:t>
      </w:r>
      <w:r w:rsidRPr="00F259A2">
        <w:tab/>
        <w:t>Heng H.H., Squire J., Tsui L.C. (1992) High</w:t>
      </w:r>
      <w:r w:rsidR="00AD5B6B">
        <w:t>--</w:t>
      </w:r>
      <w:r w:rsidRPr="00F259A2">
        <w:t xml:space="preserve">resolution mapping of mammalian genes by in situ hybridization to free chromatin. </w:t>
      </w:r>
      <w:r w:rsidRPr="00F259A2">
        <w:rPr>
          <w:i/>
          <w:iCs/>
        </w:rPr>
        <w:t>Proc Natl Acad Sci USA</w:t>
      </w:r>
      <w:r w:rsidR="00A70731" w:rsidRPr="00F259A2">
        <w:rPr>
          <w:i/>
          <w:iCs/>
        </w:rPr>
        <w:t xml:space="preserve"> </w:t>
      </w:r>
      <w:r w:rsidRPr="00F259A2">
        <w:rPr>
          <w:b/>
          <w:bCs/>
        </w:rPr>
        <w:t>89</w:t>
      </w:r>
      <w:r w:rsidRPr="00F259A2">
        <w:t>, 9509–9513</w:t>
      </w:r>
    </w:p>
    <w:p w14:paraId="65D4A3E0" w14:textId="77777777" w:rsidR="001C1B16" w:rsidRPr="00F259A2" w:rsidRDefault="00AB347E" w:rsidP="008A5EE5">
      <w:pPr>
        <w:pStyle w:val="Bibliography"/>
        <w:spacing w:line="480" w:lineRule="auto"/>
      </w:pPr>
      <w:r w:rsidRPr="00F259A2">
        <w:rPr>
          <w:b/>
          <w:bCs/>
        </w:rPr>
        <w:t>3</w:t>
      </w:r>
      <w:r w:rsidRPr="00F259A2">
        <w:t>.</w:t>
      </w:r>
      <w:r w:rsidRPr="00F259A2">
        <w:tab/>
        <w:t>Speicher M.R., Gwyn Ballard S., Ward D.C. (1996) Karyotyping human chromosomes by combinatorial multi</w:t>
      </w:r>
      <w:r w:rsidR="00AD5B6B">
        <w:t>--</w:t>
      </w:r>
      <w:r w:rsidRPr="00F259A2">
        <w:t xml:space="preserve">fluor FISH. </w:t>
      </w:r>
      <w:r w:rsidRPr="00F259A2">
        <w:rPr>
          <w:i/>
          <w:iCs/>
        </w:rPr>
        <w:t>Nat Genet</w:t>
      </w:r>
      <w:r w:rsidR="00A70731" w:rsidRPr="00F259A2">
        <w:rPr>
          <w:i/>
          <w:iCs/>
        </w:rPr>
        <w:t xml:space="preserve"> </w:t>
      </w:r>
      <w:r w:rsidRPr="00F259A2">
        <w:rPr>
          <w:b/>
          <w:bCs/>
        </w:rPr>
        <w:t>12</w:t>
      </w:r>
      <w:r w:rsidRPr="00F259A2">
        <w:t>, 368–375</w:t>
      </w:r>
    </w:p>
    <w:p w14:paraId="299FC8BB" w14:textId="77777777" w:rsidR="001C1B16" w:rsidRPr="00F259A2" w:rsidRDefault="00AB347E" w:rsidP="008A5EE5">
      <w:pPr>
        <w:pStyle w:val="Bibliography"/>
        <w:spacing w:line="480" w:lineRule="auto"/>
      </w:pPr>
      <w:r w:rsidRPr="00F259A2">
        <w:rPr>
          <w:b/>
          <w:bCs/>
        </w:rPr>
        <w:t>4</w:t>
      </w:r>
      <w:r w:rsidRPr="00F259A2">
        <w:t>.</w:t>
      </w:r>
      <w:r w:rsidRPr="00F259A2">
        <w:tab/>
        <w:t xml:space="preserve">Schröck E., du Manoir S., Veldman T. </w:t>
      </w:r>
      <w:r w:rsidR="008B5C98" w:rsidRPr="008B5C98">
        <w:rPr>
          <w:i/>
        </w:rPr>
        <w:t>et al</w:t>
      </w:r>
      <w:r w:rsidRPr="00F259A2">
        <w:t xml:space="preserve">. (1996) Multicolor spectral karyotyping of human chromosomes. </w:t>
      </w:r>
      <w:r w:rsidRPr="00F259A2">
        <w:rPr>
          <w:i/>
          <w:iCs/>
        </w:rPr>
        <w:t>Science</w:t>
      </w:r>
      <w:r w:rsidR="009B01FF" w:rsidRPr="00F259A2">
        <w:rPr>
          <w:i/>
          <w:iCs/>
        </w:rPr>
        <w:t xml:space="preserve"> </w:t>
      </w:r>
      <w:r w:rsidRPr="00F259A2">
        <w:rPr>
          <w:b/>
          <w:bCs/>
        </w:rPr>
        <w:t>273</w:t>
      </w:r>
      <w:r w:rsidRPr="00F259A2">
        <w:t>, 494–497</w:t>
      </w:r>
    </w:p>
    <w:p w14:paraId="71E4672D" w14:textId="77777777" w:rsidR="001C1B16" w:rsidRPr="00F259A2" w:rsidRDefault="00AB347E" w:rsidP="008A5EE5">
      <w:pPr>
        <w:pStyle w:val="Bibliography"/>
        <w:spacing w:line="480" w:lineRule="auto"/>
      </w:pPr>
      <w:r w:rsidRPr="00F259A2">
        <w:rPr>
          <w:b/>
          <w:bCs/>
        </w:rPr>
        <w:t>5</w:t>
      </w:r>
      <w:r w:rsidRPr="00F259A2">
        <w:t>.</w:t>
      </w:r>
      <w:r w:rsidRPr="00F259A2">
        <w:tab/>
        <w:t>Tanke H.J., Wiegant J., van Gijlswijk R.P.</w:t>
      </w:r>
      <w:r w:rsidR="00A70731" w:rsidRPr="00F259A2">
        <w:t xml:space="preserve"> </w:t>
      </w:r>
      <w:r w:rsidR="008B5C98" w:rsidRPr="008B5C98">
        <w:rPr>
          <w:i/>
        </w:rPr>
        <w:t>et al</w:t>
      </w:r>
      <w:r w:rsidRPr="00F259A2">
        <w:t>. (1999) New strategy for multi</w:t>
      </w:r>
      <w:r w:rsidR="00AD5B6B">
        <w:t>--</w:t>
      </w:r>
      <w:r w:rsidRPr="00F259A2">
        <w:t xml:space="preserve">colour fluorescence in situ hybridisation: COBRA: COmbined Binary RAtio labelling. </w:t>
      </w:r>
      <w:r w:rsidRPr="00F259A2">
        <w:rPr>
          <w:i/>
          <w:iCs/>
        </w:rPr>
        <w:t>Eur J Hum Genet</w:t>
      </w:r>
      <w:r w:rsidRPr="00F259A2">
        <w:rPr>
          <w:b/>
          <w:bCs/>
        </w:rPr>
        <w:t>7</w:t>
      </w:r>
      <w:r w:rsidRPr="00F259A2">
        <w:t>, 2–11</w:t>
      </w:r>
    </w:p>
    <w:p w14:paraId="625720DB" w14:textId="77777777" w:rsidR="001C1B16" w:rsidRPr="00F259A2" w:rsidRDefault="00AB347E" w:rsidP="008A5EE5">
      <w:pPr>
        <w:pStyle w:val="Bibliography"/>
        <w:spacing w:line="480" w:lineRule="auto"/>
      </w:pPr>
      <w:r w:rsidRPr="00F259A2">
        <w:rPr>
          <w:b/>
          <w:bCs/>
        </w:rPr>
        <w:t>6</w:t>
      </w:r>
      <w:r w:rsidRPr="00F259A2">
        <w:t>.</w:t>
      </w:r>
      <w:r w:rsidRPr="00F259A2">
        <w:tab/>
        <w:t xml:space="preserve">Cremer T., Cremer C. (2001) Chromosome territories, nuclear architecture and gene regulation in mammalian cells. </w:t>
      </w:r>
      <w:r w:rsidRPr="00F259A2">
        <w:rPr>
          <w:i/>
          <w:iCs/>
        </w:rPr>
        <w:t>Nat Rev Genet</w:t>
      </w:r>
      <w:r w:rsidR="00F55DC8" w:rsidRPr="00F259A2">
        <w:rPr>
          <w:i/>
          <w:iCs/>
        </w:rPr>
        <w:t xml:space="preserve"> </w:t>
      </w:r>
      <w:r w:rsidRPr="00F259A2">
        <w:rPr>
          <w:b/>
          <w:bCs/>
        </w:rPr>
        <w:t>2</w:t>
      </w:r>
      <w:r w:rsidRPr="00F259A2">
        <w:t>, 292–301</w:t>
      </w:r>
    </w:p>
    <w:p w14:paraId="439466F9" w14:textId="77777777" w:rsidR="001C1B16" w:rsidRPr="00F259A2" w:rsidRDefault="00AB347E" w:rsidP="008A5EE5">
      <w:pPr>
        <w:pStyle w:val="Bibliography"/>
        <w:spacing w:line="480" w:lineRule="auto"/>
      </w:pPr>
      <w:r w:rsidRPr="00F259A2">
        <w:rPr>
          <w:b/>
          <w:bCs/>
        </w:rPr>
        <w:t>7</w:t>
      </w:r>
      <w:r w:rsidRPr="00F259A2">
        <w:t>.</w:t>
      </w:r>
      <w:r w:rsidRPr="00F259A2">
        <w:tab/>
        <w:t xml:space="preserve">Bolzer A., Kreth G., Solovei I., </w:t>
      </w:r>
      <w:r w:rsidR="008B5C98" w:rsidRPr="008B5C98">
        <w:rPr>
          <w:i/>
        </w:rPr>
        <w:t>et al</w:t>
      </w:r>
      <w:r w:rsidRPr="00F259A2">
        <w:t>. (2005) Three</w:t>
      </w:r>
      <w:r w:rsidR="00AD5B6B">
        <w:t>--</w:t>
      </w:r>
      <w:r w:rsidRPr="00F259A2">
        <w:t xml:space="preserve">dimensional maps of all chromosomes in human male fibroblast nuclei and prometaphase rosettes. </w:t>
      </w:r>
      <w:r w:rsidRPr="00F259A2">
        <w:rPr>
          <w:i/>
          <w:iCs/>
        </w:rPr>
        <w:t>PLoS Biol</w:t>
      </w:r>
      <w:r w:rsidR="00F55DC8" w:rsidRPr="00F259A2">
        <w:rPr>
          <w:i/>
          <w:iCs/>
        </w:rPr>
        <w:t xml:space="preserve"> </w:t>
      </w:r>
      <w:r w:rsidRPr="00F259A2">
        <w:rPr>
          <w:b/>
          <w:bCs/>
        </w:rPr>
        <w:t>3</w:t>
      </w:r>
      <w:r w:rsidRPr="00F259A2">
        <w:t>, e157</w:t>
      </w:r>
    </w:p>
    <w:p w14:paraId="2F3F2A23" w14:textId="77777777" w:rsidR="001C1B16" w:rsidRPr="00F259A2" w:rsidRDefault="00AB347E" w:rsidP="008A5EE5">
      <w:pPr>
        <w:pStyle w:val="Bibliography"/>
        <w:spacing w:line="480" w:lineRule="auto"/>
      </w:pPr>
      <w:r w:rsidRPr="00F259A2">
        <w:rPr>
          <w:b/>
          <w:bCs/>
        </w:rPr>
        <w:t>8</w:t>
      </w:r>
      <w:r w:rsidRPr="00F259A2">
        <w:t>.</w:t>
      </w:r>
      <w:r w:rsidRPr="00F259A2">
        <w:tab/>
        <w:t xml:space="preserve">Speicher M.R., Carter N.P. (2005) The new cytogenetics: blurring the boundaries with molecular biology. </w:t>
      </w:r>
      <w:r w:rsidR="00F55DC8" w:rsidRPr="00F259A2">
        <w:t xml:space="preserve"> </w:t>
      </w:r>
      <w:r w:rsidRPr="00F259A2">
        <w:rPr>
          <w:i/>
          <w:iCs/>
        </w:rPr>
        <w:t>Nat Rev Genet</w:t>
      </w:r>
      <w:r w:rsidR="00F55DC8" w:rsidRPr="00F259A2">
        <w:rPr>
          <w:i/>
          <w:iCs/>
        </w:rPr>
        <w:t xml:space="preserve"> </w:t>
      </w:r>
      <w:r w:rsidRPr="00F259A2">
        <w:rPr>
          <w:b/>
          <w:bCs/>
        </w:rPr>
        <w:t>6</w:t>
      </w:r>
      <w:r w:rsidRPr="00F259A2">
        <w:t>, 782–792</w:t>
      </w:r>
    </w:p>
    <w:p w14:paraId="254045BA" w14:textId="77777777" w:rsidR="001C1B16" w:rsidRPr="00F259A2" w:rsidRDefault="00AB347E" w:rsidP="008A5EE5">
      <w:pPr>
        <w:pStyle w:val="Bibliography"/>
        <w:spacing w:line="480" w:lineRule="auto"/>
      </w:pPr>
      <w:r w:rsidRPr="00F259A2">
        <w:rPr>
          <w:b/>
          <w:bCs/>
        </w:rPr>
        <w:t>9</w:t>
      </w:r>
      <w:r w:rsidRPr="00F259A2">
        <w:t>.</w:t>
      </w:r>
      <w:r w:rsidRPr="00F259A2">
        <w:tab/>
        <w:t xml:space="preserve">Kallioniemi A., Kallioniemi O.P., Sudar D. </w:t>
      </w:r>
      <w:r w:rsidR="008B5C98" w:rsidRPr="008B5C98">
        <w:rPr>
          <w:i/>
        </w:rPr>
        <w:t>et al</w:t>
      </w:r>
      <w:r w:rsidRPr="00F259A2">
        <w:t xml:space="preserve">. (1992) Comparative genomic hybridization for molecular cytogenetic analysis of solid tumors. </w:t>
      </w:r>
      <w:r w:rsidRPr="00F259A2">
        <w:rPr>
          <w:i/>
          <w:iCs/>
        </w:rPr>
        <w:t>Science</w:t>
      </w:r>
      <w:r w:rsidR="00F55DC8" w:rsidRPr="00F259A2">
        <w:rPr>
          <w:i/>
          <w:iCs/>
        </w:rPr>
        <w:t xml:space="preserve"> </w:t>
      </w:r>
      <w:r w:rsidRPr="00F259A2">
        <w:rPr>
          <w:b/>
          <w:bCs/>
        </w:rPr>
        <w:t>258</w:t>
      </w:r>
      <w:r w:rsidRPr="00F259A2">
        <w:t>, 818–821</w:t>
      </w:r>
    </w:p>
    <w:p w14:paraId="2DBFAF36" w14:textId="77777777" w:rsidR="001C1B16" w:rsidRPr="00F259A2" w:rsidRDefault="00AB347E" w:rsidP="008A5EE5">
      <w:pPr>
        <w:pStyle w:val="Bibliography"/>
        <w:spacing w:line="480" w:lineRule="auto"/>
      </w:pPr>
      <w:r w:rsidRPr="00F259A2">
        <w:rPr>
          <w:b/>
          <w:bCs/>
        </w:rPr>
        <w:lastRenderedPageBreak/>
        <w:t>10</w:t>
      </w:r>
      <w:r w:rsidRPr="00F259A2">
        <w:t>.</w:t>
      </w:r>
      <w:r w:rsidRPr="00F259A2">
        <w:tab/>
        <w:t xml:space="preserve">du Manoir S., Speicher M.R., Joos S. </w:t>
      </w:r>
      <w:r w:rsidR="008B5C98" w:rsidRPr="008B5C98">
        <w:rPr>
          <w:i/>
        </w:rPr>
        <w:t>et al</w:t>
      </w:r>
      <w:r w:rsidRPr="00F259A2">
        <w:t xml:space="preserve">. (1993) Detection of complete and partial chromosome gains and losses by comparative genomic in situ hybridization. </w:t>
      </w:r>
      <w:r w:rsidRPr="00F259A2">
        <w:rPr>
          <w:i/>
          <w:iCs/>
        </w:rPr>
        <w:t>Hum Genet</w:t>
      </w:r>
      <w:r w:rsidR="00F55DC8" w:rsidRPr="00F259A2">
        <w:rPr>
          <w:i/>
          <w:iCs/>
        </w:rPr>
        <w:t xml:space="preserve"> </w:t>
      </w:r>
      <w:r w:rsidRPr="00F259A2">
        <w:rPr>
          <w:b/>
          <w:bCs/>
        </w:rPr>
        <w:t>90</w:t>
      </w:r>
      <w:r w:rsidRPr="00F259A2">
        <w:t>, 590–610</w:t>
      </w:r>
    </w:p>
    <w:p w14:paraId="2DB17EC3" w14:textId="77777777" w:rsidR="001C1B16" w:rsidRPr="00F259A2" w:rsidRDefault="00AB347E" w:rsidP="008A5EE5">
      <w:pPr>
        <w:pStyle w:val="Bibliography"/>
        <w:spacing w:line="480" w:lineRule="auto"/>
      </w:pPr>
      <w:r w:rsidRPr="00F259A2">
        <w:rPr>
          <w:b/>
          <w:bCs/>
        </w:rPr>
        <w:t>11</w:t>
      </w:r>
      <w:r w:rsidRPr="00F259A2">
        <w:t>.</w:t>
      </w:r>
      <w:r w:rsidRPr="00F259A2">
        <w:tab/>
        <w:t xml:space="preserve">Kallioniemi O.P., Kallioniemi A., Sudar D., </w:t>
      </w:r>
      <w:r w:rsidR="008B5C98" w:rsidRPr="008B5C98">
        <w:rPr>
          <w:i/>
        </w:rPr>
        <w:t>et al</w:t>
      </w:r>
      <w:r w:rsidRPr="00F259A2">
        <w:t xml:space="preserve">. (1993) Comparative genomic hybridization: a rapid new method for detecting and mapping DNA amplification in tumors. </w:t>
      </w:r>
      <w:r w:rsidRPr="00F259A2">
        <w:rPr>
          <w:i/>
          <w:iCs/>
        </w:rPr>
        <w:t>Semin Cancer Biol</w:t>
      </w:r>
      <w:r w:rsidR="00F55DC8" w:rsidRPr="00F259A2">
        <w:rPr>
          <w:i/>
          <w:iCs/>
        </w:rPr>
        <w:t xml:space="preserve"> </w:t>
      </w:r>
      <w:r w:rsidRPr="00F259A2">
        <w:rPr>
          <w:b/>
          <w:bCs/>
        </w:rPr>
        <w:t>4</w:t>
      </w:r>
      <w:r w:rsidRPr="00F259A2">
        <w:t>, 41–46</w:t>
      </w:r>
    </w:p>
    <w:p w14:paraId="0D58D802" w14:textId="77777777" w:rsidR="001C1B16" w:rsidRPr="00F259A2" w:rsidRDefault="00AB347E" w:rsidP="008A5EE5">
      <w:pPr>
        <w:pStyle w:val="Bibliography"/>
        <w:spacing w:line="480" w:lineRule="auto"/>
      </w:pPr>
      <w:r w:rsidRPr="00F259A2">
        <w:rPr>
          <w:b/>
          <w:bCs/>
        </w:rPr>
        <w:t>12</w:t>
      </w:r>
      <w:r w:rsidRPr="00F259A2">
        <w:t>.</w:t>
      </w:r>
      <w:r w:rsidRPr="00F259A2">
        <w:tab/>
        <w:t xml:space="preserve">Zitzelsberger H., Lehmann L., Werner M. </w:t>
      </w:r>
      <w:r w:rsidR="008B5C98" w:rsidRPr="008B5C98">
        <w:rPr>
          <w:i/>
        </w:rPr>
        <w:t>et al</w:t>
      </w:r>
      <w:r w:rsidRPr="00F259A2">
        <w:t xml:space="preserve">. (1997) Comparative genomic hybridisation for the analysis of chromosomal imbalances in solid tumours and haematological malignancies. </w:t>
      </w:r>
      <w:r w:rsidRPr="00F259A2">
        <w:rPr>
          <w:i/>
          <w:iCs/>
        </w:rPr>
        <w:t>Histochem Cell Biol</w:t>
      </w:r>
      <w:r w:rsidR="00F55DC8" w:rsidRPr="00F259A2">
        <w:rPr>
          <w:i/>
          <w:iCs/>
        </w:rPr>
        <w:t xml:space="preserve"> </w:t>
      </w:r>
      <w:r w:rsidRPr="00F259A2">
        <w:rPr>
          <w:b/>
          <w:bCs/>
        </w:rPr>
        <w:t>108</w:t>
      </w:r>
      <w:r w:rsidRPr="00F259A2">
        <w:t>, 403–417</w:t>
      </w:r>
    </w:p>
    <w:p w14:paraId="24637E0C" w14:textId="77777777" w:rsidR="001C1B16" w:rsidRPr="00F259A2" w:rsidRDefault="00AB347E" w:rsidP="008A5EE5">
      <w:pPr>
        <w:pStyle w:val="Bibliography"/>
        <w:spacing w:line="480" w:lineRule="auto"/>
      </w:pPr>
      <w:r w:rsidRPr="00F259A2">
        <w:rPr>
          <w:b/>
          <w:bCs/>
        </w:rPr>
        <w:t>13</w:t>
      </w:r>
      <w:r w:rsidRPr="00F259A2">
        <w:t>.</w:t>
      </w:r>
      <w:r w:rsidRPr="00F259A2">
        <w:tab/>
        <w:t>Corso C., Parry E.M. (1999) The application of comparative genomic hybridization and fluorescence in situ hybridization to the characterization of genotoxicity screening tester strains AHH</w:t>
      </w:r>
      <w:r w:rsidR="00AD5B6B">
        <w:t>--</w:t>
      </w:r>
      <w:r w:rsidRPr="00F259A2">
        <w:t>1 and MCL</w:t>
      </w:r>
      <w:r w:rsidR="00AD5B6B">
        <w:t>--</w:t>
      </w:r>
      <w:r w:rsidRPr="00F259A2">
        <w:t xml:space="preserve">5. </w:t>
      </w:r>
      <w:r w:rsidRPr="00F259A2">
        <w:rPr>
          <w:i/>
          <w:iCs/>
        </w:rPr>
        <w:t>Mutagenesis</w:t>
      </w:r>
      <w:r w:rsidR="00F55DC8" w:rsidRPr="00F259A2">
        <w:rPr>
          <w:i/>
          <w:iCs/>
        </w:rPr>
        <w:t xml:space="preserve"> </w:t>
      </w:r>
      <w:r w:rsidRPr="00F259A2">
        <w:rPr>
          <w:b/>
          <w:bCs/>
        </w:rPr>
        <w:t>14</w:t>
      </w:r>
      <w:r w:rsidRPr="00F259A2">
        <w:t>, 417–426</w:t>
      </w:r>
    </w:p>
    <w:p w14:paraId="17E76A7A" w14:textId="77777777" w:rsidR="001C1B16" w:rsidRPr="00F259A2" w:rsidRDefault="00AB347E" w:rsidP="008A5EE5">
      <w:pPr>
        <w:pStyle w:val="Bibliography"/>
        <w:spacing w:line="480" w:lineRule="auto"/>
      </w:pPr>
      <w:r w:rsidRPr="00F259A2">
        <w:rPr>
          <w:b/>
          <w:bCs/>
        </w:rPr>
        <w:t>14</w:t>
      </w:r>
      <w:r w:rsidRPr="00F259A2">
        <w:t>.</w:t>
      </w:r>
      <w:r w:rsidRPr="00F259A2">
        <w:tab/>
        <w:t xml:space="preserve">Carlson K.M., Gruber A., Liliemark E. </w:t>
      </w:r>
      <w:r w:rsidR="008B5C98" w:rsidRPr="008B5C98">
        <w:rPr>
          <w:i/>
        </w:rPr>
        <w:t>et al</w:t>
      </w:r>
      <w:r w:rsidRPr="00F259A2">
        <w:t>. (1999) Characterization of drug</w:t>
      </w:r>
      <w:r w:rsidR="00AD5B6B">
        <w:t>--</w:t>
      </w:r>
      <w:r w:rsidRPr="00F259A2">
        <w:t xml:space="preserve">resistant cell lines by comparative genomic hybridization. </w:t>
      </w:r>
      <w:r w:rsidRPr="00F259A2">
        <w:rPr>
          <w:i/>
          <w:iCs/>
        </w:rPr>
        <w:t>Cancer GenetCytogenet</w:t>
      </w:r>
      <w:r w:rsidR="00F55DC8" w:rsidRPr="00F259A2">
        <w:rPr>
          <w:i/>
          <w:iCs/>
        </w:rPr>
        <w:t xml:space="preserve"> </w:t>
      </w:r>
      <w:r w:rsidRPr="00F259A2">
        <w:rPr>
          <w:b/>
          <w:bCs/>
        </w:rPr>
        <w:t>111</w:t>
      </w:r>
      <w:r w:rsidRPr="00F259A2">
        <w:t>, 32–36</w:t>
      </w:r>
    </w:p>
    <w:p w14:paraId="23EC952D" w14:textId="77777777" w:rsidR="001C1B16" w:rsidRPr="00F259A2" w:rsidRDefault="00AB347E" w:rsidP="008A5EE5">
      <w:pPr>
        <w:pStyle w:val="Bibliography"/>
        <w:spacing w:line="480" w:lineRule="auto"/>
      </w:pPr>
      <w:r w:rsidRPr="00F259A2">
        <w:rPr>
          <w:b/>
          <w:bCs/>
        </w:rPr>
        <w:t>15</w:t>
      </w:r>
      <w:r w:rsidRPr="00F259A2">
        <w:t>.</w:t>
      </w:r>
      <w:r w:rsidRPr="00F259A2">
        <w:tab/>
        <w:t>Corso C., Parry J.M. (2004) Comparative genomic hybridization analysis of N</w:t>
      </w:r>
      <w:r w:rsidR="00AD5B6B">
        <w:t>--</w:t>
      </w:r>
      <w:r w:rsidRPr="00F259A2">
        <w:t>methyl</w:t>
      </w:r>
      <w:r w:rsidR="00AD5B6B">
        <w:t>--</w:t>
      </w:r>
      <w:r w:rsidRPr="00F259A2">
        <w:t>N’</w:t>
      </w:r>
      <w:r w:rsidR="00AD5B6B">
        <w:t>--</w:t>
      </w:r>
      <w:r w:rsidRPr="00F259A2">
        <w:t>nitrosoguanidine</w:t>
      </w:r>
      <w:r w:rsidR="00AD5B6B">
        <w:t>--</w:t>
      </w:r>
      <w:r w:rsidRPr="00F259A2">
        <w:t xml:space="preserve">induced rat gastrointestinal tumors discloses a cytogenetic fingerprint. </w:t>
      </w:r>
      <w:r w:rsidRPr="00F259A2">
        <w:rPr>
          <w:i/>
          <w:iCs/>
        </w:rPr>
        <w:t>Environ Mol Mutagen</w:t>
      </w:r>
      <w:r w:rsidR="00F55DC8" w:rsidRPr="00F259A2">
        <w:rPr>
          <w:i/>
          <w:iCs/>
        </w:rPr>
        <w:t xml:space="preserve"> </w:t>
      </w:r>
      <w:r w:rsidRPr="00F259A2">
        <w:rPr>
          <w:b/>
          <w:bCs/>
        </w:rPr>
        <w:t>43</w:t>
      </w:r>
      <w:r w:rsidRPr="00F259A2">
        <w:t>, 20–27</w:t>
      </w:r>
    </w:p>
    <w:p w14:paraId="4623A46E" w14:textId="77777777" w:rsidR="001C1B16" w:rsidRPr="00F259A2" w:rsidRDefault="00AB347E" w:rsidP="008A5EE5">
      <w:pPr>
        <w:pStyle w:val="Bibliography"/>
        <w:spacing w:line="480" w:lineRule="auto"/>
      </w:pPr>
      <w:r w:rsidRPr="00F259A2">
        <w:rPr>
          <w:b/>
          <w:bCs/>
        </w:rPr>
        <w:t>16</w:t>
      </w:r>
      <w:r w:rsidRPr="00F259A2">
        <w:t>.</w:t>
      </w:r>
      <w:r w:rsidRPr="00F259A2">
        <w:tab/>
        <w:t xml:space="preserve">Payne J., Jones C., Lakhani S. </w:t>
      </w:r>
      <w:r w:rsidR="008B5C98" w:rsidRPr="008B5C98">
        <w:rPr>
          <w:i/>
        </w:rPr>
        <w:t>et al</w:t>
      </w:r>
      <w:r w:rsidRPr="00F259A2">
        <w:t>. (2000) Improving the reproducibility of the MCF</w:t>
      </w:r>
      <w:r w:rsidR="00AD5B6B">
        <w:t>--</w:t>
      </w:r>
      <w:r w:rsidRPr="00F259A2">
        <w:t xml:space="preserve">7 cell proliferation assay for the detection of xenoestrogens. </w:t>
      </w:r>
      <w:r w:rsidRPr="00F259A2">
        <w:rPr>
          <w:i/>
          <w:iCs/>
        </w:rPr>
        <w:t>Sci Total Environ</w:t>
      </w:r>
      <w:r w:rsidR="00F55DC8" w:rsidRPr="00F259A2">
        <w:rPr>
          <w:i/>
          <w:iCs/>
        </w:rPr>
        <w:t xml:space="preserve"> </w:t>
      </w:r>
      <w:r w:rsidRPr="00F259A2">
        <w:rPr>
          <w:b/>
          <w:bCs/>
        </w:rPr>
        <w:t>248</w:t>
      </w:r>
      <w:r w:rsidRPr="00F259A2">
        <w:t>, 51–62</w:t>
      </w:r>
    </w:p>
    <w:p w14:paraId="6067FBEE" w14:textId="77777777" w:rsidR="001C1B16" w:rsidRPr="00F259A2" w:rsidRDefault="00AB347E" w:rsidP="008A5EE5">
      <w:pPr>
        <w:pStyle w:val="Bibliography"/>
        <w:spacing w:line="480" w:lineRule="auto"/>
      </w:pPr>
      <w:r w:rsidRPr="00F259A2">
        <w:rPr>
          <w:b/>
          <w:bCs/>
        </w:rPr>
        <w:t>17</w:t>
      </w:r>
      <w:r w:rsidRPr="00F259A2">
        <w:t>.</w:t>
      </w:r>
      <w:r w:rsidRPr="00F259A2">
        <w:tab/>
        <w:t xml:space="preserve">Kim Y.M., Yang S., Xu W. </w:t>
      </w:r>
      <w:r w:rsidR="008B5C98" w:rsidRPr="008B5C98">
        <w:rPr>
          <w:i/>
        </w:rPr>
        <w:t>et al</w:t>
      </w:r>
      <w:r w:rsidRPr="00BB02BD">
        <w:rPr>
          <w:i/>
        </w:rPr>
        <w:t xml:space="preserve">. </w:t>
      </w:r>
      <w:r w:rsidRPr="00F259A2">
        <w:t>(2008) Continuous in vitro exposure to low</w:t>
      </w:r>
      <w:r w:rsidR="00AD5B6B">
        <w:t>--</w:t>
      </w:r>
      <w:r w:rsidRPr="00F259A2">
        <w:t xml:space="preserve">dose genistein induces genomic instability in breast epithelial cells. </w:t>
      </w:r>
      <w:r w:rsidRPr="00F259A2">
        <w:rPr>
          <w:i/>
          <w:iCs/>
        </w:rPr>
        <w:t>Cancer Genet Cytogenet</w:t>
      </w:r>
      <w:r w:rsidRPr="00F259A2">
        <w:rPr>
          <w:b/>
          <w:bCs/>
        </w:rPr>
        <w:t>186</w:t>
      </w:r>
      <w:r w:rsidRPr="00F259A2">
        <w:t>, 78–84</w:t>
      </w:r>
    </w:p>
    <w:p w14:paraId="1038CFDA" w14:textId="77777777" w:rsidR="001C1B16" w:rsidRPr="00F259A2" w:rsidRDefault="00AB347E" w:rsidP="008A5EE5">
      <w:pPr>
        <w:pStyle w:val="Bibliography"/>
        <w:spacing w:line="480" w:lineRule="auto"/>
      </w:pPr>
      <w:r w:rsidRPr="00F259A2">
        <w:rPr>
          <w:b/>
          <w:bCs/>
        </w:rPr>
        <w:lastRenderedPageBreak/>
        <w:t>18</w:t>
      </w:r>
      <w:r w:rsidRPr="00F259A2">
        <w:t>.</w:t>
      </w:r>
      <w:r w:rsidRPr="00F259A2">
        <w:tab/>
        <w:t xml:space="preserve">Wong N., Lai P., Pang E. </w:t>
      </w:r>
      <w:r w:rsidR="008B5C98" w:rsidRPr="008B5C98">
        <w:rPr>
          <w:i/>
        </w:rPr>
        <w:t>et al</w:t>
      </w:r>
      <w:r w:rsidRPr="00F259A2">
        <w:t xml:space="preserve">. (2000) Genomic aberrations in human hepatocellular carcinomas of differing etiologies. </w:t>
      </w:r>
      <w:r w:rsidRPr="00F259A2">
        <w:rPr>
          <w:i/>
          <w:iCs/>
        </w:rPr>
        <w:t>Clin Cancer Res</w:t>
      </w:r>
      <w:r w:rsidR="00F55DC8" w:rsidRPr="00F259A2">
        <w:rPr>
          <w:i/>
          <w:iCs/>
        </w:rPr>
        <w:t xml:space="preserve"> </w:t>
      </w:r>
      <w:r w:rsidRPr="00F259A2">
        <w:rPr>
          <w:b/>
          <w:bCs/>
        </w:rPr>
        <w:t>6</w:t>
      </w:r>
      <w:r w:rsidRPr="00F259A2">
        <w:t>, 4000–4009</w:t>
      </w:r>
    </w:p>
    <w:p w14:paraId="6E8A915E" w14:textId="77777777" w:rsidR="001C1B16" w:rsidRPr="00F259A2" w:rsidRDefault="00AB347E" w:rsidP="008A5EE5">
      <w:pPr>
        <w:pStyle w:val="Bibliography"/>
        <w:spacing w:line="480" w:lineRule="auto"/>
      </w:pPr>
      <w:r w:rsidRPr="00F259A2">
        <w:rPr>
          <w:b/>
          <w:bCs/>
        </w:rPr>
        <w:t>19</w:t>
      </w:r>
      <w:r w:rsidRPr="00F259A2">
        <w:t>.</w:t>
      </w:r>
      <w:r w:rsidRPr="00F259A2">
        <w:tab/>
        <w:t xml:space="preserve">Clarke P.A., te Poele R., Wooster R. </w:t>
      </w:r>
      <w:r w:rsidR="008B5C98" w:rsidRPr="008B5C98">
        <w:rPr>
          <w:i/>
        </w:rPr>
        <w:t>et al</w:t>
      </w:r>
      <w:r w:rsidRPr="00F259A2">
        <w:t xml:space="preserve">. (2001) Gene expression microarray analysis in cancer biology, pharmacology, and drug development: progress and potential. </w:t>
      </w:r>
      <w:r w:rsidRPr="00F259A2">
        <w:rPr>
          <w:i/>
          <w:iCs/>
        </w:rPr>
        <w:t>Biochem Pharmacol</w:t>
      </w:r>
      <w:r w:rsidR="00F55DC8" w:rsidRPr="00F259A2">
        <w:rPr>
          <w:i/>
          <w:iCs/>
        </w:rPr>
        <w:t xml:space="preserve"> </w:t>
      </w:r>
      <w:r w:rsidRPr="00F259A2">
        <w:rPr>
          <w:b/>
          <w:bCs/>
        </w:rPr>
        <w:t>62</w:t>
      </w:r>
      <w:r w:rsidRPr="00F259A2">
        <w:t>, 1311–1336</w:t>
      </w:r>
    </w:p>
    <w:p w14:paraId="54F7C5AC" w14:textId="77777777" w:rsidR="001C1B16" w:rsidRPr="00F259A2" w:rsidRDefault="00AB347E" w:rsidP="008A5EE5">
      <w:pPr>
        <w:pStyle w:val="Bibliography"/>
        <w:spacing w:line="480" w:lineRule="auto"/>
      </w:pPr>
      <w:r w:rsidRPr="00F259A2">
        <w:rPr>
          <w:b/>
          <w:bCs/>
        </w:rPr>
        <w:t>20</w:t>
      </w:r>
      <w:r w:rsidRPr="00F259A2">
        <w:t>.</w:t>
      </w:r>
      <w:r w:rsidRPr="00F259A2">
        <w:tab/>
        <w:t>Solinas</w:t>
      </w:r>
      <w:r w:rsidR="00AD5B6B">
        <w:t>--</w:t>
      </w:r>
      <w:r w:rsidRPr="00F259A2">
        <w:t xml:space="preserve">Toldo S., Lampel S., Stilgenbauer S. </w:t>
      </w:r>
      <w:r w:rsidR="008B5C98" w:rsidRPr="008B5C98">
        <w:rPr>
          <w:i/>
        </w:rPr>
        <w:t>et al</w:t>
      </w:r>
      <w:r w:rsidRPr="00104B43">
        <w:rPr>
          <w:i/>
        </w:rPr>
        <w:t>.</w:t>
      </w:r>
      <w:r w:rsidRPr="00F259A2">
        <w:t xml:space="preserve"> (1997) Matrix</w:t>
      </w:r>
      <w:r w:rsidR="00AD5B6B">
        <w:t>--</w:t>
      </w:r>
      <w:r w:rsidRPr="00F259A2">
        <w:t xml:space="preserve">based comparative genomic hybridization: biochips to screen for genomic imbalances. </w:t>
      </w:r>
      <w:r w:rsidRPr="00F259A2">
        <w:rPr>
          <w:i/>
          <w:iCs/>
        </w:rPr>
        <w:t>Genes Chromosomes Cancer</w:t>
      </w:r>
      <w:r w:rsidR="00F55DC8" w:rsidRPr="00F259A2">
        <w:rPr>
          <w:i/>
          <w:iCs/>
        </w:rPr>
        <w:t xml:space="preserve"> </w:t>
      </w:r>
      <w:r w:rsidRPr="00F259A2">
        <w:rPr>
          <w:b/>
          <w:bCs/>
        </w:rPr>
        <w:t>20</w:t>
      </w:r>
      <w:r w:rsidRPr="00F259A2">
        <w:t>, 399–407</w:t>
      </w:r>
    </w:p>
    <w:p w14:paraId="40674182" w14:textId="77777777" w:rsidR="001C1B16" w:rsidRPr="00F259A2" w:rsidRDefault="00AB347E" w:rsidP="008A5EE5">
      <w:pPr>
        <w:pStyle w:val="Bibliography"/>
        <w:spacing w:line="480" w:lineRule="auto"/>
      </w:pPr>
      <w:r w:rsidRPr="00F259A2">
        <w:rPr>
          <w:b/>
          <w:bCs/>
        </w:rPr>
        <w:t>21</w:t>
      </w:r>
      <w:r w:rsidRPr="00F259A2">
        <w:t>.</w:t>
      </w:r>
      <w:r w:rsidRPr="00F259A2">
        <w:tab/>
        <w:t xml:space="preserve">Ylstra B., van den Ijssel P., Carvalho B. </w:t>
      </w:r>
      <w:r w:rsidR="008B5C98" w:rsidRPr="008B5C98">
        <w:rPr>
          <w:i/>
        </w:rPr>
        <w:t>et al</w:t>
      </w:r>
      <w:r w:rsidRPr="00F259A2">
        <w:t xml:space="preserve">. (2006) BAC to the future! or oligonucleotides: a perspective for micro array comparative genomic hybridization (array CGH). </w:t>
      </w:r>
      <w:r w:rsidRPr="00F259A2">
        <w:rPr>
          <w:i/>
          <w:iCs/>
        </w:rPr>
        <w:t>Nucleic Acids Res</w:t>
      </w:r>
      <w:r w:rsidR="00F55DC8" w:rsidRPr="00F259A2">
        <w:rPr>
          <w:i/>
          <w:iCs/>
        </w:rPr>
        <w:t xml:space="preserve"> </w:t>
      </w:r>
      <w:r w:rsidRPr="00F259A2">
        <w:rPr>
          <w:b/>
          <w:bCs/>
        </w:rPr>
        <w:t>34</w:t>
      </w:r>
      <w:r w:rsidRPr="00F259A2">
        <w:t>, 445–450</w:t>
      </w:r>
    </w:p>
    <w:p w14:paraId="5448F2E4" w14:textId="77777777" w:rsidR="001C1B16" w:rsidRPr="00F259A2" w:rsidRDefault="00AB347E" w:rsidP="008A5EE5">
      <w:pPr>
        <w:pStyle w:val="Bibliography"/>
        <w:spacing w:line="480" w:lineRule="auto"/>
      </w:pPr>
      <w:r w:rsidRPr="00F259A2">
        <w:rPr>
          <w:b/>
          <w:bCs/>
        </w:rPr>
        <w:t>22</w:t>
      </w:r>
      <w:r w:rsidRPr="00F259A2">
        <w:t>.</w:t>
      </w:r>
      <w:r w:rsidRPr="00F259A2">
        <w:tab/>
        <w:t>Brennan C., Zhang Y., Leo C.</w:t>
      </w:r>
      <w:r w:rsidRPr="00686521">
        <w:rPr>
          <w:i/>
        </w:rPr>
        <w:t xml:space="preserve"> </w:t>
      </w:r>
      <w:r w:rsidR="008B5C98" w:rsidRPr="008B5C98">
        <w:rPr>
          <w:i/>
        </w:rPr>
        <w:t>et al</w:t>
      </w:r>
      <w:r w:rsidRPr="00686521">
        <w:rPr>
          <w:i/>
        </w:rPr>
        <w:t>.</w:t>
      </w:r>
      <w:r w:rsidRPr="00F259A2">
        <w:t xml:space="preserve"> (2004) High</w:t>
      </w:r>
      <w:r w:rsidR="00AD5B6B">
        <w:t>--</w:t>
      </w:r>
      <w:r w:rsidRPr="00F259A2">
        <w:t xml:space="preserve">resolution global profiling of genomic alterations with long oligonucleotide microarray. </w:t>
      </w:r>
      <w:r w:rsidRPr="00F259A2">
        <w:rPr>
          <w:i/>
          <w:iCs/>
        </w:rPr>
        <w:t>Cancer Res</w:t>
      </w:r>
      <w:r w:rsidR="00D7698E" w:rsidRPr="00F259A2">
        <w:rPr>
          <w:i/>
          <w:iCs/>
        </w:rPr>
        <w:t xml:space="preserve"> </w:t>
      </w:r>
      <w:r w:rsidRPr="00F259A2">
        <w:rPr>
          <w:b/>
          <w:bCs/>
        </w:rPr>
        <w:t>64</w:t>
      </w:r>
      <w:r w:rsidRPr="00F259A2">
        <w:t>, 4744–4748</w:t>
      </w:r>
    </w:p>
    <w:p w14:paraId="0D9AE66E" w14:textId="77777777" w:rsidR="001C1B16" w:rsidRPr="00F259A2" w:rsidRDefault="00AB347E" w:rsidP="008A5EE5">
      <w:pPr>
        <w:pStyle w:val="Bibliography"/>
        <w:spacing w:line="480" w:lineRule="auto"/>
      </w:pPr>
      <w:r w:rsidRPr="00F259A2">
        <w:rPr>
          <w:b/>
          <w:bCs/>
        </w:rPr>
        <w:t>23</w:t>
      </w:r>
      <w:r w:rsidRPr="00F259A2">
        <w:t>.</w:t>
      </w:r>
      <w:r w:rsidRPr="00F259A2">
        <w:tab/>
        <w:t xml:space="preserve">Chan V.S.W., Theilade M.D. (2005) The use of toxicogenomic data in risk assessment: a regulatory perspective. </w:t>
      </w:r>
      <w:r w:rsidRPr="00F259A2">
        <w:rPr>
          <w:i/>
          <w:iCs/>
        </w:rPr>
        <w:t>Clin Toxicol (Phila)</w:t>
      </w:r>
      <w:r w:rsidR="00D7698E" w:rsidRPr="00F259A2">
        <w:rPr>
          <w:i/>
          <w:iCs/>
        </w:rPr>
        <w:t xml:space="preserve"> </w:t>
      </w:r>
      <w:r w:rsidRPr="00F259A2">
        <w:rPr>
          <w:b/>
          <w:bCs/>
        </w:rPr>
        <w:t>43</w:t>
      </w:r>
      <w:r w:rsidRPr="00F259A2">
        <w:t>, 121–126</w:t>
      </w:r>
    </w:p>
    <w:p w14:paraId="0A86B606" w14:textId="77777777" w:rsidR="001C1B16" w:rsidRPr="00F259A2" w:rsidRDefault="00AB347E" w:rsidP="008A5EE5">
      <w:pPr>
        <w:pStyle w:val="Bibliography"/>
        <w:spacing w:line="480" w:lineRule="auto"/>
      </w:pPr>
      <w:r w:rsidRPr="00F259A2">
        <w:rPr>
          <w:b/>
          <w:bCs/>
        </w:rPr>
        <w:t>24</w:t>
      </w:r>
      <w:r w:rsidRPr="00F259A2">
        <w:t>.</w:t>
      </w:r>
      <w:r w:rsidRPr="00F259A2">
        <w:tab/>
        <w:t xml:space="preserve">Amin R.P., Hamadeh H.K., Bushel P.R. </w:t>
      </w:r>
      <w:r w:rsidR="008B5C98" w:rsidRPr="008B5C98">
        <w:rPr>
          <w:i/>
        </w:rPr>
        <w:t>et al</w:t>
      </w:r>
      <w:r w:rsidRPr="00F259A2">
        <w:t xml:space="preserve">. (2002) Genomic interrogation of mechanism(s) underlying cellular responses to toxicants. </w:t>
      </w:r>
      <w:r w:rsidRPr="00F259A2">
        <w:rPr>
          <w:i/>
          <w:iCs/>
        </w:rPr>
        <w:t>Toxicology</w:t>
      </w:r>
      <w:r w:rsidR="00D7698E" w:rsidRPr="00F259A2">
        <w:rPr>
          <w:i/>
          <w:iCs/>
        </w:rPr>
        <w:t xml:space="preserve"> </w:t>
      </w:r>
      <w:r w:rsidRPr="00F259A2">
        <w:rPr>
          <w:b/>
          <w:bCs/>
        </w:rPr>
        <w:t>181</w:t>
      </w:r>
      <w:r w:rsidR="00AD5B6B">
        <w:rPr>
          <w:b/>
          <w:bCs/>
        </w:rPr>
        <w:t>--</w:t>
      </w:r>
      <w:r w:rsidRPr="00F259A2">
        <w:rPr>
          <w:b/>
          <w:bCs/>
        </w:rPr>
        <w:t>182</w:t>
      </w:r>
      <w:r w:rsidRPr="00F259A2">
        <w:t>, 555–563</w:t>
      </w:r>
    </w:p>
    <w:p w14:paraId="6D01B029" w14:textId="77777777" w:rsidR="001C1B16" w:rsidRPr="00F259A2" w:rsidRDefault="00AB347E" w:rsidP="008A5EE5">
      <w:pPr>
        <w:pStyle w:val="Bibliography"/>
        <w:spacing w:line="480" w:lineRule="auto"/>
      </w:pPr>
      <w:r w:rsidRPr="00F259A2">
        <w:rPr>
          <w:b/>
          <w:bCs/>
        </w:rPr>
        <w:t>25</w:t>
      </w:r>
      <w:r w:rsidRPr="00F259A2">
        <w:t>.</w:t>
      </w:r>
      <w:r w:rsidRPr="00F259A2">
        <w:tab/>
        <w:t xml:space="preserve">Gerhold D., Lu M., Xu J. </w:t>
      </w:r>
      <w:r w:rsidR="008B5C98" w:rsidRPr="008B5C98">
        <w:rPr>
          <w:i/>
        </w:rPr>
        <w:t>et al</w:t>
      </w:r>
      <w:r w:rsidRPr="00F259A2">
        <w:t xml:space="preserve">. (2001) Monitoring expression of genes involved in drug metabolism and toxicology using DNA microarrays. </w:t>
      </w:r>
      <w:r w:rsidRPr="00F259A2">
        <w:rPr>
          <w:i/>
          <w:iCs/>
        </w:rPr>
        <w:t>Physiol Genomics</w:t>
      </w:r>
      <w:r w:rsidR="00D7698E" w:rsidRPr="00F259A2">
        <w:rPr>
          <w:i/>
          <w:iCs/>
        </w:rPr>
        <w:t xml:space="preserve"> </w:t>
      </w:r>
      <w:r w:rsidRPr="00F259A2">
        <w:rPr>
          <w:b/>
          <w:bCs/>
        </w:rPr>
        <w:t>5</w:t>
      </w:r>
      <w:r w:rsidRPr="00F259A2">
        <w:t>, 161–170</w:t>
      </w:r>
    </w:p>
    <w:p w14:paraId="74D006A2" w14:textId="77777777" w:rsidR="001C1B16" w:rsidRPr="00F259A2" w:rsidRDefault="00AB347E" w:rsidP="008A5EE5">
      <w:pPr>
        <w:pStyle w:val="Bibliography"/>
        <w:spacing w:line="480" w:lineRule="auto"/>
      </w:pPr>
      <w:r w:rsidRPr="00F259A2">
        <w:rPr>
          <w:b/>
          <w:bCs/>
        </w:rPr>
        <w:t>26</w:t>
      </w:r>
      <w:r w:rsidRPr="00F259A2">
        <w:t>.</w:t>
      </w:r>
      <w:r w:rsidRPr="00F259A2">
        <w:tab/>
        <w:t>Aradhya S., Lewis R., Bonaga T.</w:t>
      </w:r>
      <w:r w:rsidRPr="00E75A6D">
        <w:rPr>
          <w:i/>
        </w:rPr>
        <w:t xml:space="preserve"> </w:t>
      </w:r>
      <w:r w:rsidR="008B5C98" w:rsidRPr="008B5C98">
        <w:rPr>
          <w:i/>
        </w:rPr>
        <w:t>et al</w:t>
      </w:r>
      <w:r w:rsidRPr="00F259A2">
        <w:t>. (2012) Exon</w:t>
      </w:r>
      <w:r w:rsidR="00AD5B6B">
        <w:t>--</w:t>
      </w:r>
      <w:r w:rsidRPr="00F259A2">
        <w:t xml:space="preserve">level array CGH in a large clinical cohort demonstrates increased sensitivity of diagnostic testing for Mendelian disorders. </w:t>
      </w:r>
      <w:r w:rsidRPr="00F259A2">
        <w:rPr>
          <w:i/>
          <w:iCs/>
        </w:rPr>
        <w:t>Genet Med</w:t>
      </w:r>
      <w:r w:rsidR="00D7698E" w:rsidRPr="00F259A2">
        <w:rPr>
          <w:i/>
          <w:iCs/>
        </w:rPr>
        <w:t xml:space="preserve"> </w:t>
      </w:r>
      <w:r w:rsidRPr="00F259A2">
        <w:rPr>
          <w:b/>
          <w:bCs/>
        </w:rPr>
        <w:t>14</w:t>
      </w:r>
      <w:r w:rsidRPr="00F259A2">
        <w:t>, 594–603</w:t>
      </w:r>
    </w:p>
    <w:p w14:paraId="6B9B6ADC" w14:textId="77777777" w:rsidR="001C1B16" w:rsidRPr="00F259A2" w:rsidRDefault="00AB347E" w:rsidP="008A5EE5">
      <w:pPr>
        <w:pStyle w:val="Bibliography"/>
        <w:spacing w:line="480" w:lineRule="auto"/>
      </w:pPr>
      <w:r w:rsidRPr="00F259A2">
        <w:rPr>
          <w:b/>
          <w:bCs/>
        </w:rPr>
        <w:lastRenderedPageBreak/>
        <w:t>27</w:t>
      </w:r>
      <w:r w:rsidRPr="00F259A2">
        <w:t>.</w:t>
      </w:r>
      <w:r w:rsidRPr="00F259A2">
        <w:tab/>
        <w:t>Wang J., Zhan H., Li F.</w:t>
      </w:r>
      <w:r w:rsidR="00AD5B6B">
        <w:t>--</w:t>
      </w:r>
      <w:r w:rsidRPr="00F259A2">
        <w:t xml:space="preserve">Y. </w:t>
      </w:r>
      <w:r w:rsidR="008B5C98" w:rsidRPr="008B5C98">
        <w:rPr>
          <w:i/>
        </w:rPr>
        <w:t>et al</w:t>
      </w:r>
      <w:r w:rsidRPr="00F259A2">
        <w:t xml:space="preserve">. (2012) Targeted array CGH as a valuable molecular diagnostic approach: Experience in the diagnosis of mitochondrial and metabolic disorders. </w:t>
      </w:r>
      <w:r w:rsidRPr="00F259A2">
        <w:rPr>
          <w:i/>
          <w:iCs/>
        </w:rPr>
        <w:t>Mol Genet Metab</w:t>
      </w:r>
      <w:r w:rsidR="00D7698E" w:rsidRPr="00F259A2">
        <w:rPr>
          <w:i/>
          <w:iCs/>
        </w:rPr>
        <w:t xml:space="preserve"> </w:t>
      </w:r>
      <w:r w:rsidRPr="00F259A2">
        <w:rPr>
          <w:b/>
          <w:bCs/>
        </w:rPr>
        <w:t>106</w:t>
      </w:r>
      <w:r w:rsidRPr="00F259A2">
        <w:t>, 221–230</w:t>
      </w:r>
    </w:p>
    <w:p w14:paraId="445F7D6C" w14:textId="77777777" w:rsidR="001C1B16" w:rsidRPr="00F259A2" w:rsidRDefault="00AB347E" w:rsidP="008A5EE5">
      <w:pPr>
        <w:pStyle w:val="Bibliography"/>
        <w:spacing w:line="480" w:lineRule="auto"/>
      </w:pPr>
      <w:r w:rsidRPr="00F259A2">
        <w:rPr>
          <w:b/>
          <w:bCs/>
        </w:rPr>
        <w:t>28</w:t>
      </w:r>
      <w:r w:rsidRPr="00F259A2">
        <w:t>.</w:t>
      </w:r>
      <w:r w:rsidRPr="00F259A2">
        <w:tab/>
        <w:t>Hu D.G., Webb G., Hussey N. (2004) Aneuploidy detection in single cells using DNA array</w:t>
      </w:r>
      <w:r w:rsidR="00AD5B6B">
        <w:t>--</w:t>
      </w:r>
      <w:r w:rsidRPr="00F259A2">
        <w:t xml:space="preserve">based comparative genomic hybridization. </w:t>
      </w:r>
      <w:r w:rsidRPr="00F259A2">
        <w:rPr>
          <w:i/>
          <w:iCs/>
        </w:rPr>
        <w:t>Mol Hum Reprod</w:t>
      </w:r>
      <w:r w:rsidRPr="00F259A2">
        <w:rPr>
          <w:b/>
          <w:bCs/>
        </w:rPr>
        <w:t>10</w:t>
      </w:r>
      <w:r w:rsidRPr="00F259A2">
        <w:t>, 283–289</w:t>
      </w:r>
    </w:p>
    <w:p w14:paraId="1E5B69AF" w14:textId="77777777" w:rsidR="001C1B16" w:rsidRPr="00F259A2" w:rsidRDefault="00AB347E" w:rsidP="008A5EE5">
      <w:pPr>
        <w:pStyle w:val="Bibliography"/>
        <w:spacing w:line="480" w:lineRule="auto"/>
      </w:pPr>
      <w:r w:rsidRPr="00F259A2">
        <w:rPr>
          <w:b/>
          <w:bCs/>
        </w:rPr>
        <w:t>29</w:t>
      </w:r>
      <w:r w:rsidRPr="00F259A2">
        <w:t>.</w:t>
      </w:r>
      <w:r w:rsidRPr="00F259A2">
        <w:tab/>
        <w:t>Fiegler H., Geigl J.B., Langer S.</w:t>
      </w:r>
      <w:r w:rsidRPr="00DD5531">
        <w:rPr>
          <w:i/>
        </w:rPr>
        <w:t xml:space="preserve"> </w:t>
      </w:r>
      <w:r w:rsidR="008B5C98" w:rsidRPr="008B5C98">
        <w:rPr>
          <w:i/>
        </w:rPr>
        <w:t>et al</w:t>
      </w:r>
      <w:r w:rsidRPr="00DD5531">
        <w:rPr>
          <w:i/>
        </w:rPr>
        <w:t>.</w:t>
      </w:r>
      <w:r w:rsidRPr="00F259A2">
        <w:t xml:space="preserve"> (2007) High resolution array</w:t>
      </w:r>
      <w:r w:rsidR="00AD5B6B">
        <w:t>--</w:t>
      </w:r>
      <w:r w:rsidRPr="00F259A2">
        <w:t xml:space="preserve">CGH analysis of single cells. </w:t>
      </w:r>
      <w:r w:rsidRPr="00F259A2">
        <w:rPr>
          <w:i/>
          <w:iCs/>
        </w:rPr>
        <w:t>Nucleic Acids Res</w:t>
      </w:r>
      <w:r w:rsidR="00D7698E" w:rsidRPr="00F259A2">
        <w:rPr>
          <w:i/>
          <w:iCs/>
        </w:rPr>
        <w:t xml:space="preserve"> </w:t>
      </w:r>
      <w:r w:rsidRPr="00F259A2">
        <w:rPr>
          <w:b/>
          <w:bCs/>
        </w:rPr>
        <w:t>35</w:t>
      </w:r>
      <w:r w:rsidRPr="00F259A2">
        <w:t>, e15</w:t>
      </w:r>
    </w:p>
    <w:p w14:paraId="33F2230F" w14:textId="77777777" w:rsidR="001C1B16" w:rsidRPr="00F259A2" w:rsidRDefault="00AB347E" w:rsidP="008A5EE5">
      <w:pPr>
        <w:pStyle w:val="Bibliography"/>
        <w:spacing w:line="480" w:lineRule="auto"/>
      </w:pPr>
      <w:r w:rsidRPr="00F259A2">
        <w:rPr>
          <w:b/>
          <w:bCs/>
        </w:rPr>
        <w:t>30</w:t>
      </w:r>
      <w:r w:rsidRPr="00F259A2">
        <w:t>.</w:t>
      </w:r>
      <w:r w:rsidRPr="00F259A2">
        <w:tab/>
        <w:t xml:space="preserve">Cheng J., Vanneste E., Konings P. </w:t>
      </w:r>
      <w:r w:rsidR="008B5C98" w:rsidRPr="008B5C98">
        <w:rPr>
          <w:i/>
        </w:rPr>
        <w:t>et al</w:t>
      </w:r>
      <w:r w:rsidRPr="00F259A2">
        <w:t>. (2011) Single</w:t>
      </w:r>
      <w:r w:rsidR="00AD5B6B">
        <w:t>--</w:t>
      </w:r>
      <w:r w:rsidRPr="00F259A2">
        <w:t xml:space="preserve">cell copy number variation detection. </w:t>
      </w:r>
      <w:r w:rsidRPr="00F259A2">
        <w:rPr>
          <w:i/>
          <w:iCs/>
        </w:rPr>
        <w:t>Genome Biol</w:t>
      </w:r>
      <w:r w:rsidR="00D7698E" w:rsidRPr="00F259A2">
        <w:rPr>
          <w:i/>
          <w:iCs/>
        </w:rPr>
        <w:t xml:space="preserve"> </w:t>
      </w:r>
      <w:r w:rsidRPr="00F259A2">
        <w:rPr>
          <w:b/>
          <w:bCs/>
        </w:rPr>
        <w:t>12</w:t>
      </w:r>
      <w:r w:rsidRPr="00F259A2">
        <w:t>, R80</w:t>
      </w:r>
    </w:p>
    <w:p w14:paraId="6B37D109" w14:textId="77777777" w:rsidR="001C1B16" w:rsidRPr="00F259A2" w:rsidRDefault="00AB347E" w:rsidP="008A5EE5">
      <w:pPr>
        <w:pStyle w:val="Bibliography"/>
        <w:spacing w:line="480" w:lineRule="auto"/>
      </w:pPr>
      <w:r w:rsidRPr="00F259A2">
        <w:rPr>
          <w:b/>
          <w:bCs/>
        </w:rPr>
        <w:t>31</w:t>
      </w:r>
      <w:r w:rsidRPr="00F259A2">
        <w:t>.</w:t>
      </w:r>
      <w:r w:rsidRPr="00F259A2">
        <w:tab/>
        <w:t>Crotwell P.L., Hoyme H.E. (2012) Advances in whole</w:t>
      </w:r>
      <w:r w:rsidR="00AD5B6B">
        <w:t>--</w:t>
      </w:r>
      <w:r w:rsidRPr="00F259A2">
        <w:t xml:space="preserve">genome genetic testing: from chromosomes to microarrays. </w:t>
      </w:r>
      <w:r w:rsidRPr="00F259A2">
        <w:rPr>
          <w:i/>
          <w:iCs/>
        </w:rPr>
        <w:t>Curr Probl Pediatr Adolesc Health Care</w:t>
      </w:r>
      <w:r w:rsidR="00D7698E" w:rsidRPr="00F259A2">
        <w:rPr>
          <w:i/>
          <w:iCs/>
        </w:rPr>
        <w:t xml:space="preserve"> </w:t>
      </w:r>
      <w:r w:rsidRPr="00F259A2">
        <w:rPr>
          <w:b/>
          <w:bCs/>
        </w:rPr>
        <w:t>42</w:t>
      </w:r>
      <w:r w:rsidRPr="00F259A2">
        <w:t>, 47–73</w:t>
      </w:r>
    </w:p>
    <w:p w14:paraId="575B3743" w14:textId="77777777" w:rsidR="001C1B16" w:rsidRPr="00F259A2" w:rsidRDefault="00AB347E" w:rsidP="008A5EE5">
      <w:pPr>
        <w:pStyle w:val="Bibliography"/>
        <w:spacing w:line="480" w:lineRule="auto"/>
      </w:pPr>
      <w:r w:rsidRPr="00F259A2">
        <w:rPr>
          <w:b/>
          <w:bCs/>
        </w:rPr>
        <w:t>32</w:t>
      </w:r>
      <w:r w:rsidRPr="00F259A2">
        <w:t>.</w:t>
      </w:r>
      <w:r w:rsidRPr="00F259A2">
        <w:tab/>
        <w:t xml:space="preserve">Zhao X., Li C., Paez J.G. </w:t>
      </w:r>
      <w:r w:rsidR="008B5C98" w:rsidRPr="008B5C98">
        <w:rPr>
          <w:i/>
        </w:rPr>
        <w:t>et al</w:t>
      </w:r>
      <w:r w:rsidRPr="00F259A2">
        <w:t xml:space="preserve">. (2004) An integrated view of copy number and allelic alterations in the cancer genome using single nucleotide polymorphism arrays. </w:t>
      </w:r>
      <w:r w:rsidRPr="00F259A2">
        <w:rPr>
          <w:i/>
          <w:iCs/>
        </w:rPr>
        <w:t>Cancer Res</w:t>
      </w:r>
      <w:r w:rsidR="00D7698E" w:rsidRPr="00F259A2">
        <w:rPr>
          <w:i/>
          <w:iCs/>
        </w:rPr>
        <w:t xml:space="preserve"> </w:t>
      </w:r>
      <w:r w:rsidRPr="00F259A2">
        <w:rPr>
          <w:b/>
          <w:bCs/>
        </w:rPr>
        <w:t>64</w:t>
      </w:r>
      <w:r w:rsidRPr="00F259A2">
        <w:t>, 3060–3071</w:t>
      </w:r>
    </w:p>
    <w:p w14:paraId="6163DBE1" w14:textId="77777777" w:rsidR="001C1B16" w:rsidRPr="00F259A2" w:rsidRDefault="00AB347E" w:rsidP="008A5EE5">
      <w:pPr>
        <w:pStyle w:val="Bibliography"/>
        <w:spacing w:line="480" w:lineRule="auto"/>
      </w:pPr>
      <w:r w:rsidRPr="00F259A2">
        <w:rPr>
          <w:b/>
          <w:bCs/>
        </w:rPr>
        <w:t>33</w:t>
      </w:r>
      <w:r w:rsidRPr="00F259A2">
        <w:t>.</w:t>
      </w:r>
      <w:r w:rsidRPr="00F259A2">
        <w:tab/>
        <w:t xml:space="preserve">Auer H., Newsom D.L., Nowak N.J. </w:t>
      </w:r>
      <w:r w:rsidR="008B5C98" w:rsidRPr="008B5C98">
        <w:rPr>
          <w:i/>
        </w:rPr>
        <w:t>et al</w:t>
      </w:r>
      <w:r w:rsidRPr="00F259A2">
        <w:t>. (2007) Gene</w:t>
      </w:r>
      <w:r w:rsidR="00AD5B6B">
        <w:t>--</w:t>
      </w:r>
      <w:r w:rsidRPr="00F259A2">
        <w:t xml:space="preserve">resolution analysis of DNA copy number variation using oligonucleotide expression microarrays. </w:t>
      </w:r>
      <w:r w:rsidRPr="00F259A2">
        <w:rPr>
          <w:i/>
          <w:iCs/>
        </w:rPr>
        <w:t>BMC Genomics</w:t>
      </w:r>
      <w:r w:rsidR="00D7698E" w:rsidRPr="00F259A2">
        <w:rPr>
          <w:i/>
          <w:iCs/>
        </w:rPr>
        <w:t xml:space="preserve"> </w:t>
      </w:r>
      <w:r w:rsidRPr="00F259A2">
        <w:rPr>
          <w:b/>
          <w:bCs/>
        </w:rPr>
        <w:t>8</w:t>
      </w:r>
      <w:r w:rsidRPr="00F259A2">
        <w:t>, 111</w:t>
      </w:r>
    </w:p>
    <w:p w14:paraId="4EF73F13" w14:textId="77777777" w:rsidR="001C1B16" w:rsidRPr="00F259A2" w:rsidRDefault="00AB347E" w:rsidP="008A5EE5">
      <w:pPr>
        <w:pStyle w:val="Bibliography"/>
        <w:spacing w:line="480" w:lineRule="auto"/>
      </w:pPr>
      <w:r w:rsidRPr="00F259A2">
        <w:rPr>
          <w:b/>
          <w:bCs/>
        </w:rPr>
        <w:t>34</w:t>
      </w:r>
      <w:r w:rsidRPr="00F259A2">
        <w:t>.</w:t>
      </w:r>
      <w:r w:rsidRPr="00F259A2">
        <w:tab/>
        <w:t xml:space="preserve">Le Scouarnec S., Gribble S.M. (2012) Characterising chromosome rearrangements: recent technical advances in molecular cytogenetics. </w:t>
      </w:r>
      <w:r w:rsidRPr="00F259A2">
        <w:rPr>
          <w:i/>
          <w:iCs/>
        </w:rPr>
        <w:t>Heredity (Edinb)</w:t>
      </w:r>
      <w:r w:rsidRPr="00F259A2">
        <w:rPr>
          <w:b/>
          <w:bCs/>
        </w:rPr>
        <w:t>108</w:t>
      </w:r>
      <w:r w:rsidRPr="00F259A2">
        <w:t>, 75–85</w:t>
      </w:r>
    </w:p>
    <w:p w14:paraId="7E3B8ACC" w14:textId="77777777" w:rsidR="001C1B16" w:rsidRPr="00F259A2" w:rsidRDefault="00AB347E" w:rsidP="008A5EE5">
      <w:pPr>
        <w:pStyle w:val="Bibliography"/>
        <w:spacing w:line="480" w:lineRule="auto"/>
      </w:pPr>
      <w:r w:rsidRPr="00F259A2">
        <w:rPr>
          <w:b/>
          <w:bCs/>
        </w:rPr>
        <w:t>35</w:t>
      </w:r>
      <w:r w:rsidRPr="00F259A2">
        <w:t>.</w:t>
      </w:r>
      <w:r w:rsidRPr="00F259A2">
        <w:tab/>
        <w:t xml:space="preserve">Schillert A., Ziegler A. (2012) Genotype calling for the Affymetrix platform. </w:t>
      </w:r>
      <w:r w:rsidRPr="00F259A2">
        <w:rPr>
          <w:i/>
          <w:iCs/>
        </w:rPr>
        <w:t>Methods Mol Biol</w:t>
      </w:r>
      <w:r w:rsidR="00A749D5" w:rsidRPr="00F259A2">
        <w:rPr>
          <w:i/>
          <w:iCs/>
        </w:rPr>
        <w:t xml:space="preserve"> </w:t>
      </w:r>
      <w:r w:rsidRPr="00F259A2">
        <w:rPr>
          <w:b/>
          <w:bCs/>
        </w:rPr>
        <w:t>850</w:t>
      </w:r>
      <w:r w:rsidRPr="00F259A2">
        <w:t>, 513–523</w:t>
      </w:r>
    </w:p>
    <w:p w14:paraId="4D48BE94" w14:textId="77777777" w:rsidR="001C1B16" w:rsidRPr="00F259A2" w:rsidRDefault="00AB347E" w:rsidP="008A5EE5">
      <w:pPr>
        <w:pStyle w:val="Bibliography"/>
        <w:spacing w:line="480" w:lineRule="auto"/>
      </w:pPr>
      <w:r w:rsidRPr="00F259A2">
        <w:rPr>
          <w:b/>
          <w:bCs/>
        </w:rPr>
        <w:lastRenderedPageBreak/>
        <w:t>36</w:t>
      </w:r>
      <w:r w:rsidRPr="00F259A2">
        <w:t>.</w:t>
      </w:r>
      <w:r w:rsidRPr="00F259A2">
        <w:tab/>
        <w:t xml:space="preserve">Hester S.D., Reid L., Nowak N. </w:t>
      </w:r>
      <w:r w:rsidR="008B5C98" w:rsidRPr="008B5C98">
        <w:rPr>
          <w:i/>
        </w:rPr>
        <w:t>et al</w:t>
      </w:r>
      <w:r w:rsidRPr="00F259A2">
        <w:t xml:space="preserve">. (2009) Comparison of comparative genomic hybridization technologies across microarray platforms. </w:t>
      </w:r>
      <w:r w:rsidRPr="00F259A2">
        <w:rPr>
          <w:i/>
          <w:iCs/>
        </w:rPr>
        <w:t>J Biomol Tech</w:t>
      </w:r>
      <w:r w:rsidR="00A749D5" w:rsidRPr="00F259A2">
        <w:rPr>
          <w:i/>
          <w:iCs/>
        </w:rPr>
        <w:t xml:space="preserve"> </w:t>
      </w:r>
      <w:r w:rsidRPr="00F259A2">
        <w:rPr>
          <w:b/>
          <w:bCs/>
        </w:rPr>
        <w:t>20</w:t>
      </w:r>
      <w:r w:rsidRPr="00F259A2">
        <w:t>, 135–151</w:t>
      </w:r>
    </w:p>
    <w:p w14:paraId="7AC40103" w14:textId="77777777" w:rsidR="001C1B16" w:rsidRPr="00F259A2" w:rsidRDefault="00AB347E" w:rsidP="008A5EE5">
      <w:pPr>
        <w:pStyle w:val="Bibliography"/>
        <w:spacing w:line="480" w:lineRule="auto"/>
      </w:pPr>
      <w:r w:rsidRPr="00F259A2">
        <w:rPr>
          <w:b/>
          <w:bCs/>
        </w:rPr>
        <w:t>37</w:t>
      </w:r>
      <w:r w:rsidRPr="00F259A2">
        <w:t>.</w:t>
      </w:r>
      <w:r w:rsidRPr="00F259A2">
        <w:tab/>
        <w:t>Herzog C.R., Desai D., Amin S. (2006) Array CGH analysis reveals chromosomal aberrations in mouse lung adenocarcinomas induced by the human lung carcinogen 4</w:t>
      </w:r>
      <w:r w:rsidR="00AD5B6B">
        <w:t>--</w:t>
      </w:r>
      <w:r w:rsidRPr="00F259A2">
        <w:t>(methylnitrosamino)</w:t>
      </w:r>
      <w:r w:rsidR="00AD5B6B">
        <w:t>--</w:t>
      </w:r>
      <w:r w:rsidRPr="00F259A2">
        <w:t>1</w:t>
      </w:r>
      <w:r w:rsidR="00AD5B6B">
        <w:t>--</w:t>
      </w:r>
      <w:r w:rsidRPr="00F259A2">
        <w:t>(3</w:t>
      </w:r>
      <w:r w:rsidR="00AD5B6B">
        <w:t>--</w:t>
      </w:r>
      <w:r w:rsidRPr="00F259A2">
        <w:t>pyridyl)</w:t>
      </w:r>
      <w:r w:rsidR="00AD5B6B">
        <w:t>--</w:t>
      </w:r>
      <w:r w:rsidRPr="00F259A2">
        <w:t>1</w:t>
      </w:r>
      <w:r w:rsidR="00AD5B6B">
        <w:t>--</w:t>
      </w:r>
      <w:r w:rsidRPr="00F259A2">
        <w:t xml:space="preserve">butanone. </w:t>
      </w:r>
      <w:r w:rsidRPr="00F259A2">
        <w:rPr>
          <w:i/>
          <w:iCs/>
        </w:rPr>
        <w:t>Biochem. Biophys Res Commun</w:t>
      </w:r>
      <w:r w:rsidR="005F085A" w:rsidRPr="00F259A2">
        <w:rPr>
          <w:i/>
          <w:iCs/>
        </w:rPr>
        <w:t xml:space="preserve"> </w:t>
      </w:r>
      <w:r w:rsidRPr="00F259A2">
        <w:rPr>
          <w:b/>
          <w:bCs/>
        </w:rPr>
        <w:t>341</w:t>
      </w:r>
      <w:r w:rsidRPr="00F259A2">
        <w:t>, 856–863</w:t>
      </w:r>
    </w:p>
    <w:p w14:paraId="4C67DAB5" w14:textId="77777777" w:rsidR="001C1B16" w:rsidRPr="00F259A2" w:rsidRDefault="00AB347E" w:rsidP="008A5EE5">
      <w:pPr>
        <w:pStyle w:val="Bibliography"/>
        <w:spacing w:line="480" w:lineRule="auto"/>
      </w:pPr>
      <w:r w:rsidRPr="00F259A2">
        <w:rPr>
          <w:b/>
          <w:bCs/>
        </w:rPr>
        <w:t>38</w:t>
      </w:r>
      <w:r w:rsidRPr="00F259A2">
        <w:t>.</w:t>
      </w:r>
      <w:r w:rsidRPr="00F259A2">
        <w:tab/>
        <w:t xml:space="preserve">Wilkerson P.M., Dedes K.J., Wetterskog D. </w:t>
      </w:r>
      <w:r w:rsidR="008B5C98" w:rsidRPr="008B5C98">
        <w:rPr>
          <w:i/>
        </w:rPr>
        <w:t>et al</w:t>
      </w:r>
      <w:r w:rsidRPr="00F259A2">
        <w:t xml:space="preserve">. (2011) Functional characterization of EMSY gene amplification in human cancers. </w:t>
      </w:r>
      <w:r w:rsidRPr="00F259A2">
        <w:rPr>
          <w:i/>
          <w:iCs/>
        </w:rPr>
        <w:t>J Pathol</w:t>
      </w:r>
      <w:r w:rsidR="005F085A" w:rsidRPr="00F259A2">
        <w:rPr>
          <w:i/>
          <w:iCs/>
        </w:rPr>
        <w:t xml:space="preserve"> </w:t>
      </w:r>
      <w:r w:rsidRPr="00F259A2">
        <w:rPr>
          <w:b/>
          <w:bCs/>
        </w:rPr>
        <w:t>225</w:t>
      </w:r>
      <w:r w:rsidRPr="00F259A2">
        <w:t>, 29–42</w:t>
      </w:r>
    </w:p>
    <w:p w14:paraId="473E2D17" w14:textId="77777777" w:rsidR="001C1B16" w:rsidRPr="00F259A2" w:rsidRDefault="00AB347E" w:rsidP="008A5EE5">
      <w:pPr>
        <w:pStyle w:val="Bibliography"/>
        <w:spacing w:line="480" w:lineRule="auto"/>
      </w:pPr>
      <w:r w:rsidRPr="00F259A2">
        <w:rPr>
          <w:b/>
          <w:bCs/>
        </w:rPr>
        <w:t>39</w:t>
      </w:r>
      <w:r w:rsidRPr="00F259A2">
        <w:t>.</w:t>
      </w:r>
      <w:r w:rsidRPr="00F259A2">
        <w:tab/>
        <w:t xml:space="preserve">Soucek K., Gajdusková P., Brázdová M. </w:t>
      </w:r>
      <w:r w:rsidR="008B5C98" w:rsidRPr="008B5C98">
        <w:rPr>
          <w:i/>
        </w:rPr>
        <w:t>et al</w:t>
      </w:r>
      <w:r w:rsidRPr="00F259A2">
        <w:t xml:space="preserve">. (2010) Fetal colon cell line FHC exhibits tumorigenic phenotype, complex karyotype, and TP53 gene mutation. </w:t>
      </w:r>
      <w:r w:rsidRPr="00F259A2">
        <w:rPr>
          <w:i/>
          <w:iCs/>
        </w:rPr>
        <w:t>Cancer Genet Cytogenet</w:t>
      </w:r>
      <w:r w:rsidR="00A70731" w:rsidRPr="00F259A2">
        <w:rPr>
          <w:i/>
          <w:iCs/>
        </w:rPr>
        <w:t xml:space="preserve"> </w:t>
      </w:r>
      <w:r w:rsidRPr="00F259A2">
        <w:rPr>
          <w:b/>
          <w:bCs/>
        </w:rPr>
        <w:t>197</w:t>
      </w:r>
      <w:r w:rsidRPr="00F259A2">
        <w:t>, 107–116</w:t>
      </w:r>
    </w:p>
    <w:p w14:paraId="3754B54E" w14:textId="77777777" w:rsidR="001C1B16" w:rsidRPr="00F259A2" w:rsidRDefault="00AB347E" w:rsidP="008A5EE5">
      <w:pPr>
        <w:pStyle w:val="Bibliography"/>
        <w:spacing w:line="480" w:lineRule="auto"/>
      </w:pPr>
      <w:r w:rsidRPr="00F259A2">
        <w:rPr>
          <w:b/>
          <w:bCs/>
        </w:rPr>
        <w:t>40</w:t>
      </w:r>
      <w:r w:rsidRPr="00F259A2">
        <w:t>.</w:t>
      </w:r>
      <w:r w:rsidRPr="00F259A2">
        <w:tab/>
        <w:t>Medlin J.F. (1999) Timely toxicology.</w:t>
      </w:r>
      <w:r w:rsidR="005F085A" w:rsidRPr="00F259A2">
        <w:t xml:space="preserve"> </w:t>
      </w:r>
      <w:r w:rsidRPr="00F259A2">
        <w:t xml:space="preserve"> </w:t>
      </w:r>
      <w:r w:rsidRPr="00F259A2">
        <w:rPr>
          <w:i/>
          <w:iCs/>
        </w:rPr>
        <w:t>Environ Health Perspect</w:t>
      </w:r>
      <w:r w:rsidR="005F085A" w:rsidRPr="00F259A2">
        <w:rPr>
          <w:i/>
          <w:iCs/>
        </w:rPr>
        <w:t xml:space="preserve"> </w:t>
      </w:r>
      <w:r w:rsidRPr="00F259A2">
        <w:rPr>
          <w:b/>
          <w:bCs/>
        </w:rPr>
        <w:t>107</w:t>
      </w:r>
      <w:r w:rsidRPr="00F259A2">
        <w:t>, A256–258</w:t>
      </w:r>
    </w:p>
    <w:p w14:paraId="47BC4508" w14:textId="77777777" w:rsidR="001C1B16" w:rsidRPr="00F259A2" w:rsidRDefault="00AB347E" w:rsidP="008A5EE5">
      <w:pPr>
        <w:pStyle w:val="Bibliography"/>
        <w:spacing w:line="480" w:lineRule="auto"/>
      </w:pPr>
      <w:r w:rsidRPr="00F259A2">
        <w:rPr>
          <w:b/>
          <w:bCs/>
        </w:rPr>
        <w:t>41</w:t>
      </w:r>
      <w:r w:rsidRPr="00F259A2">
        <w:t>.</w:t>
      </w:r>
      <w:r w:rsidRPr="00F259A2">
        <w:tab/>
        <w:t xml:space="preserve">Heinloth A.N., Shackelford R.E., Innes C.L. </w:t>
      </w:r>
      <w:r w:rsidR="008B5C98" w:rsidRPr="008B5C98">
        <w:rPr>
          <w:i/>
        </w:rPr>
        <w:t>et al</w:t>
      </w:r>
      <w:r w:rsidRPr="00F259A2">
        <w:t>. (2003) ATM</w:t>
      </w:r>
      <w:r w:rsidR="00AD5B6B">
        <w:t>--</w:t>
      </w:r>
      <w:r w:rsidRPr="00F259A2">
        <w:t xml:space="preserve">dependent and </w:t>
      </w:r>
      <w:r w:rsidR="00AD5B6B">
        <w:t>--</w:t>
      </w:r>
      <w:r w:rsidRPr="00F259A2">
        <w:t xml:space="preserve">independent gene expression changes in response to oxidative stress, gamma irradiation, and UV irradiation. </w:t>
      </w:r>
      <w:r w:rsidRPr="00F259A2">
        <w:rPr>
          <w:i/>
          <w:iCs/>
        </w:rPr>
        <w:t>Radiat Res</w:t>
      </w:r>
      <w:r w:rsidR="005F085A" w:rsidRPr="00F259A2">
        <w:rPr>
          <w:i/>
          <w:iCs/>
        </w:rPr>
        <w:t xml:space="preserve"> </w:t>
      </w:r>
      <w:r w:rsidRPr="00F259A2">
        <w:rPr>
          <w:b/>
          <w:bCs/>
        </w:rPr>
        <w:t>160</w:t>
      </w:r>
      <w:r w:rsidRPr="00F259A2">
        <w:t>, 273–290</w:t>
      </w:r>
    </w:p>
    <w:p w14:paraId="1CB119A0" w14:textId="77777777" w:rsidR="001C1B16" w:rsidRPr="00F259A2" w:rsidRDefault="00AB347E" w:rsidP="008A5EE5">
      <w:pPr>
        <w:pStyle w:val="Bibliography"/>
        <w:spacing w:line="480" w:lineRule="auto"/>
      </w:pPr>
      <w:r w:rsidRPr="00F259A2">
        <w:rPr>
          <w:b/>
          <w:bCs/>
        </w:rPr>
        <w:t>42</w:t>
      </w:r>
      <w:r w:rsidRPr="00F259A2">
        <w:t>.</w:t>
      </w:r>
      <w:r w:rsidRPr="00F259A2">
        <w:tab/>
        <w:t xml:space="preserve">Heinloth A.N., Shackelford R.E., Innes C.L. </w:t>
      </w:r>
      <w:r w:rsidR="008B5C98" w:rsidRPr="008B5C98">
        <w:rPr>
          <w:i/>
        </w:rPr>
        <w:t>et al</w:t>
      </w:r>
      <w:r w:rsidRPr="00F259A2">
        <w:t xml:space="preserve">. (2003) Identification of distinct and common gene expression changes after oxidative stress and gamma and ultraviolet radiation. </w:t>
      </w:r>
      <w:r w:rsidRPr="00F259A2">
        <w:rPr>
          <w:i/>
          <w:iCs/>
        </w:rPr>
        <w:t>Mol Carcinog</w:t>
      </w:r>
      <w:r w:rsidR="00204940" w:rsidRPr="00F259A2">
        <w:rPr>
          <w:i/>
          <w:iCs/>
        </w:rPr>
        <w:t xml:space="preserve"> </w:t>
      </w:r>
      <w:r w:rsidRPr="00F259A2">
        <w:rPr>
          <w:b/>
          <w:bCs/>
        </w:rPr>
        <w:t>37</w:t>
      </w:r>
      <w:r w:rsidRPr="00F259A2">
        <w:t>, 65–82</w:t>
      </w:r>
    </w:p>
    <w:p w14:paraId="5130E12C" w14:textId="77777777" w:rsidR="001C1B16" w:rsidRPr="00F259A2" w:rsidRDefault="00AB347E" w:rsidP="008A5EE5">
      <w:pPr>
        <w:pStyle w:val="Bibliography"/>
        <w:spacing w:line="480" w:lineRule="auto"/>
      </w:pPr>
      <w:r w:rsidRPr="00F259A2">
        <w:rPr>
          <w:b/>
          <w:bCs/>
        </w:rPr>
        <w:t>43</w:t>
      </w:r>
      <w:r w:rsidRPr="00F259A2">
        <w:t>.</w:t>
      </w:r>
      <w:r w:rsidRPr="00F259A2">
        <w:tab/>
        <w:t xml:space="preserve">Annereau J.P., Szakács G., Tucker C.J. </w:t>
      </w:r>
      <w:r w:rsidR="008B5C98" w:rsidRPr="008B5C98">
        <w:rPr>
          <w:i/>
        </w:rPr>
        <w:t>et al</w:t>
      </w:r>
      <w:r w:rsidRPr="00F259A2">
        <w:t>. (2004) Analysis of ATP</w:t>
      </w:r>
      <w:r w:rsidR="00AD5B6B">
        <w:t>--</w:t>
      </w:r>
      <w:r w:rsidRPr="00F259A2">
        <w:t>binding cassette transporter expression in drug</w:t>
      </w:r>
      <w:r w:rsidR="00AD5B6B">
        <w:t>--</w:t>
      </w:r>
      <w:r w:rsidRPr="00F259A2">
        <w:t xml:space="preserve">selected cell lines by a microarray dedicated to multidrug resistance. </w:t>
      </w:r>
      <w:r w:rsidRPr="00F259A2">
        <w:rPr>
          <w:i/>
          <w:iCs/>
        </w:rPr>
        <w:t>Mol Pharmacol</w:t>
      </w:r>
      <w:r w:rsidR="00204940" w:rsidRPr="00F259A2">
        <w:rPr>
          <w:i/>
          <w:iCs/>
        </w:rPr>
        <w:t xml:space="preserve"> </w:t>
      </w:r>
      <w:r w:rsidRPr="00F259A2">
        <w:rPr>
          <w:b/>
          <w:bCs/>
        </w:rPr>
        <w:t>66</w:t>
      </w:r>
      <w:r w:rsidRPr="00F259A2">
        <w:t>, 1397–1405</w:t>
      </w:r>
    </w:p>
    <w:p w14:paraId="5B3B2ADA" w14:textId="77777777" w:rsidR="001C1B16" w:rsidRPr="00F259A2" w:rsidRDefault="00AB347E" w:rsidP="008A5EE5">
      <w:pPr>
        <w:pStyle w:val="Bibliography"/>
        <w:spacing w:line="480" w:lineRule="auto"/>
      </w:pPr>
      <w:r w:rsidRPr="00F259A2">
        <w:rPr>
          <w:b/>
          <w:bCs/>
        </w:rPr>
        <w:lastRenderedPageBreak/>
        <w:t>44</w:t>
      </w:r>
      <w:r w:rsidRPr="00F259A2">
        <w:t>.</w:t>
      </w:r>
      <w:r w:rsidRPr="00F259A2">
        <w:tab/>
        <w:t xml:space="preserve">Castagnola P., Malacarne D., Scaruffi P. </w:t>
      </w:r>
      <w:r w:rsidR="008B5C98" w:rsidRPr="008B5C98">
        <w:rPr>
          <w:i/>
        </w:rPr>
        <w:t>et al</w:t>
      </w:r>
      <w:r w:rsidRPr="00F259A2">
        <w:t xml:space="preserve">. (2011) Chromosomal aberrations and aneuploidy in oral potentially malignant lesions: distinctive features for tongue. </w:t>
      </w:r>
      <w:r w:rsidRPr="00F259A2">
        <w:rPr>
          <w:i/>
          <w:iCs/>
        </w:rPr>
        <w:t>BMC Cancer</w:t>
      </w:r>
      <w:r w:rsidR="003032A7" w:rsidRPr="00F259A2">
        <w:rPr>
          <w:i/>
          <w:iCs/>
        </w:rPr>
        <w:t xml:space="preserve"> </w:t>
      </w:r>
      <w:r w:rsidRPr="00F259A2">
        <w:rPr>
          <w:b/>
          <w:bCs/>
        </w:rPr>
        <w:t>11</w:t>
      </w:r>
      <w:r w:rsidRPr="00F259A2">
        <w:t>, 445</w:t>
      </w:r>
    </w:p>
    <w:p w14:paraId="07E7CD2F" w14:textId="77777777" w:rsidR="001C1B16" w:rsidRPr="00F259A2" w:rsidRDefault="00AB347E" w:rsidP="008A5EE5">
      <w:pPr>
        <w:pStyle w:val="Bibliography"/>
        <w:spacing w:line="480" w:lineRule="auto"/>
      </w:pPr>
      <w:r w:rsidRPr="00F259A2">
        <w:rPr>
          <w:b/>
          <w:bCs/>
        </w:rPr>
        <w:t>45</w:t>
      </w:r>
      <w:r w:rsidRPr="00F259A2">
        <w:t>.</w:t>
      </w:r>
      <w:r w:rsidRPr="00F259A2">
        <w:tab/>
        <w:t xml:space="preserve">Fujimoto J., Kadara H., Men T. </w:t>
      </w:r>
      <w:r w:rsidR="008B5C98" w:rsidRPr="008B5C98">
        <w:rPr>
          <w:i/>
        </w:rPr>
        <w:t>et al</w:t>
      </w:r>
      <w:r w:rsidRPr="00F259A2">
        <w:t>. (2010) Comparative functional genomics analysis of NNK tobacco</w:t>
      </w:r>
      <w:r w:rsidR="00AD5B6B">
        <w:t>--</w:t>
      </w:r>
      <w:r w:rsidRPr="00F259A2">
        <w:t>carcinogen induced lung adenocarcinoma development in Gprc5a</w:t>
      </w:r>
      <w:r w:rsidR="00AD5B6B">
        <w:t>--</w:t>
      </w:r>
      <w:r w:rsidRPr="00F259A2">
        <w:t xml:space="preserve">knockout mice. </w:t>
      </w:r>
      <w:r w:rsidRPr="00F259A2">
        <w:rPr>
          <w:i/>
          <w:iCs/>
        </w:rPr>
        <w:t>PLoS ONE</w:t>
      </w:r>
      <w:r w:rsidR="003032A7" w:rsidRPr="00F259A2">
        <w:rPr>
          <w:i/>
          <w:iCs/>
        </w:rPr>
        <w:t xml:space="preserve"> </w:t>
      </w:r>
      <w:r w:rsidRPr="00F259A2">
        <w:rPr>
          <w:b/>
          <w:bCs/>
        </w:rPr>
        <w:t>5</w:t>
      </w:r>
      <w:r w:rsidRPr="00F259A2">
        <w:t>, e11847</w:t>
      </w:r>
    </w:p>
    <w:p w14:paraId="62B72B56" w14:textId="77777777" w:rsidR="001C1B16" w:rsidRPr="00F259A2" w:rsidRDefault="00AB347E" w:rsidP="008A5EE5">
      <w:pPr>
        <w:pStyle w:val="Bibliography"/>
        <w:spacing w:line="480" w:lineRule="auto"/>
      </w:pPr>
      <w:r w:rsidRPr="00F259A2">
        <w:rPr>
          <w:b/>
          <w:bCs/>
        </w:rPr>
        <w:t>46</w:t>
      </w:r>
      <w:r w:rsidRPr="00F259A2">
        <w:t>.</w:t>
      </w:r>
      <w:r w:rsidRPr="00F259A2">
        <w:tab/>
        <w:t xml:space="preserve">Auerbach S.S., Shah R.R., Mav D. </w:t>
      </w:r>
      <w:r w:rsidR="008B5C98" w:rsidRPr="008B5C98">
        <w:rPr>
          <w:i/>
        </w:rPr>
        <w:t>et al</w:t>
      </w:r>
      <w:r w:rsidRPr="00F259A2">
        <w:t xml:space="preserve">. (2010) Predicting the hepatocarcinogenic potential of alkenylbenzene flavoring agents using toxicogenomics and machine learning. </w:t>
      </w:r>
      <w:r w:rsidRPr="00F259A2">
        <w:rPr>
          <w:i/>
          <w:iCs/>
        </w:rPr>
        <w:t>Toxicol Appl Pharmacol</w:t>
      </w:r>
      <w:r w:rsidR="003032A7" w:rsidRPr="00F259A2">
        <w:rPr>
          <w:i/>
          <w:iCs/>
        </w:rPr>
        <w:t xml:space="preserve"> </w:t>
      </w:r>
      <w:r w:rsidRPr="00F259A2">
        <w:rPr>
          <w:b/>
          <w:bCs/>
        </w:rPr>
        <w:t>243</w:t>
      </w:r>
      <w:r w:rsidRPr="00F259A2">
        <w:t>, 300–314</w:t>
      </w:r>
    </w:p>
    <w:p w14:paraId="280662FA" w14:textId="77777777" w:rsidR="001C1B16" w:rsidRPr="00F259A2" w:rsidRDefault="00AB347E" w:rsidP="008A5EE5">
      <w:pPr>
        <w:pStyle w:val="Bibliography"/>
        <w:spacing w:line="480" w:lineRule="auto"/>
      </w:pPr>
      <w:r w:rsidRPr="00F259A2">
        <w:rPr>
          <w:b/>
          <w:bCs/>
        </w:rPr>
        <w:t>47</w:t>
      </w:r>
      <w:r w:rsidRPr="00F259A2">
        <w:t>.</w:t>
      </w:r>
      <w:r w:rsidRPr="00F259A2">
        <w:tab/>
        <w:t xml:space="preserve">Iwahashi H., Kitagawa E., Suzuki Y. </w:t>
      </w:r>
      <w:r w:rsidR="008B5C98" w:rsidRPr="008B5C98">
        <w:rPr>
          <w:i/>
        </w:rPr>
        <w:t>et al</w:t>
      </w:r>
      <w:r w:rsidRPr="00F259A2">
        <w:t xml:space="preserve">. (2007) Evaluation of toxicity of the mycotoxin citrinin using yeast ORF DNA microarray and Oligo DNA microarray. </w:t>
      </w:r>
      <w:r w:rsidRPr="00F259A2">
        <w:rPr>
          <w:i/>
          <w:iCs/>
        </w:rPr>
        <w:t>BMC Genomics</w:t>
      </w:r>
      <w:r w:rsidR="00EE10AA" w:rsidRPr="00F259A2">
        <w:rPr>
          <w:i/>
          <w:iCs/>
        </w:rPr>
        <w:t xml:space="preserve"> </w:t>
      </w:r>
      <w:r w:rsidRPr="00F259A2">
        <w:rPr>
          <w:b/>
          <w:bCs/>
        </w:rPr>
        <w:t>8</w:t>
      </w:r>
      <w:r w:rsidRPr="00F259A2">
        <w:t>, 95</w:t>
      </w:r>
    </w:p>
    <w:p w14:paraId="180FD768" w14:textId="77777777" w:rsidR="001C1B16" w:rsidRPr="00F259A2" w:rsidRDefault="00AB347E" w:rsidP="008A5EE5">
      <w:pPr>
        <w:pStyle w:val="Bibliography"/>
        <w:spacing w:line="480" w:lineRule="auto"/>
      </w:pPr>
      <w:r w:rsidRPr="00F259A2">
        <w:rPr>
          <w:b/>
          <w:bCs/>
        </w:rPr>
        <w:t>48</w:t>
      </w:r>
      <w:r w:rsidRPr="00F259A2">
        <w:t>.</w:t>
      </w:r>
      <w:r w:rsidRPr="00F259A2">
        <w:tab/>
        <w:t xml:space="preserve">Huang Y., Fernandez S.V., Goodwin S. </w:t>
      </w:r>
      <w:r w:rsidR="008B5C98" w:rsidRPr="008B5C98">
        <w:rPr>
          <w:i/>
        </w:rPr>
        <w:t>et al</w:t>
      </w:r>
      <w:r w:rsidRPr="00F259A2">
        <w:t>. (2007) Epithelial to mesenchymal transition in human breast epithelial cells transformed by 17beta</w:t>
      </w:r>
      <w:r w:rsidR="00AD5B6B">
        <w:t>--</w:t>
      </w:r>
      <w:r w:rsidRPr="00F259A2">
        <w:t xml:space="preserve">estradiol. </w:t>
      </w:r>
      <w:r w:rsidRPr="00F259A2">
        <w:rPr>
          <w:i/>
          <w:iCs/>
        </w:rPr>
        <w:t>Cancer Res</w:t>
      </w:r>
      <w:r w:rsidR="00EE10AA" w:rsidRPr="00F259A2">
        <w:rPr>
          <w:i/>
          <w:iCs/>
        </w:rPr>
        <w:t xml:space="preserve"> </w:t>
      </w:r>
      <w:r w:rsidRPr="00F259A2">
        <w:rPr>
          <w:b/>
          <w:bCs/>
        </w:rPr>
        <w:t>67</w:t>
      </w:r>
      <w:r w:rsidRPr="00F259A2">
        <w:t>, 11147–11157</w:t>
      </w:r>
    </w:p>
    <w:p w14:paraId="32C7684E" w14:textId="77777777" w:rsidR="001C1B16" w:rsidRPr="00F259A2" w:rsidRDefault="00AB347E" w:rsidP="008A5EE5">
      <w:pPr>
        <w:pStyle w:val="Bibliography"/>
        <w:spacing w:line="480" w:lineRule="auto"/>
      </w:pPr>
      <w:r w:rsidRPr="00F259A2">
        <w:rPr>
          <w:b/>
          <w:bCs/>
        </w:rPr>
        <w:t>49</w:t>
      </w:r>
      <w:r w:rsidRPr="00F259A2">
        <w:t>.</w:t>
      </w:r>
      <w:r w:rsidRPr="00F259A2">
        <w:tab/>
        <w:t xml:space="preserve">Milan M., Coppe A., Reinhardt R. </w:t>
      </w:r>
      <w:r w:rsidR="008B5C98" w:rsidRPr="008B5C98">
        <w:rPr>
          <w:i/>
        </w:rPr>
        <w:t>et al</w:t>
      </w:r>
      <w:r w:rsidRPr="00F259A2">
        <w:t xml:space="preserve">. (2011) Transcriptome sequencing and microarray development for the Manila clam, Ruditapes philippinarum: genomic tools for environmental monitoring. </w:t>
      </w:r>
      <w:r w:rsidRPr="00F259A2">
        <w:rPr>
          <w:i/>
          <w:iCs/>
        </w:rPr>
        <w:t>BMC Genomics</w:t>
      </w:r>
      <w:r w:rsidR="00EE10AA" w:rsidRPr="00F259A2">
        <w:rPr>
          <w:i/>
          <w:iCs/>
        </w:rPr>
        <w:t xml:space="preserve"> </w:t>
      </w:r>
      <w:r w:rsidRPr="00F259A2">
        <w:rPr>
          <w:b/>
          <w:bCs/>
        </w:rPr>
        <w:t>12</w:t>
      </w:r>
      <w:r w:rsidRPr="00F259A2">
        <w:t>, 234</w:t>
      </w:r>
    </w:p>
    <w:p w14:paraId="26F942AB" w14:textId="77777777" w:rsidR="001C1B16" w:rsidRPr="00F259A2" w:rsidRDefault="00AB347E" w:rsidP="008A5EE5">
      <w:pPr>
        <w:pStyle w:val="Bibliography"/>
        <w:spacing w:line="480" w:lineRule="auto"/>
      </w:pPr>
      <w:r w:rsidRPr="00F259A2">
        <w:rPr>
          <w:b/>
          <w:bCs/>
        </w:rPr>
        <w:t>50</w:t>
      </w:r>
      <w:r w:rsidRPr="00F259A2">
        <w:t>.</w:t>
      </w:r>
      <w:r w:rsidRPr="00F259A2">
        <w:tab/>
        <w:t xml:space="preserve">Guha S., Li Y., Neuberg D. (2008) Bayesian Hidden Markov Modeling of Array CGH Data. </w:t>
      </w:r>
      <w:r w:rsidRPr="00F259A2">
        <w:rPr>
          <w:i/>
          <w:iCs/>
        </w:rPr>
        <w:t>J Am Stat Assoc</w:t>
      </w:r>
      <w:r w:rsidR="00EE10AA" w:rsidRPr="00F259A2">
        <w:rPr>
          <w:i/>
          <w:iCs/>
        </w:rPr>
        <w:t xml:space="preserve"> </w:t>
      </w:r>
      <w:r w:rsidRPr="00F259A2">
        <w:rPr>
          <w:b/>
          <w:bCs/>
        </w:rPr>
        <w:t>103</w:t>
      </w:r>
      <w:r w:rsidRPr="00F259A2">
        <w:t>, 485–497</w:t>
      </w:r>
    </w:p>
    <w:p w14:paraId="437F54CA" w14:textId="77777777" w:rsidR="001C1B16" w:rsidRPr="00F259A2" w:rsidRDefault="00AB347E" w:rsidP="008A5EE5">
      <w:pPr>
        <w:pStyle w:val="Bibliography"/>
        <w:spacing w:line="480" w:lineRule="auto"/>
      </w:pPr>
      <w:r w:rsidRPr="00F259A2">
        <w:rPr>
          <w:b/>
          <w:bCs/>
        </w:rPr>
        <w:t>51</w:t>
      </w:r>
      <w:r w:rsidRPr="00F259A2">
        <w:t>.</w:t>
      </w:r>
      <w:r w:rsidRPr="00F259A2">
        <w:tab/>
        <w:t xml:space="preserve">Shah S.P., </w:t>
      </w:r>
      <w:r w:rsidR="00EE10AA" w:rsidRPr="00F259A2">
        <w:t xml:space="preserve"> </w:t>
      </w:r>
      <w:r w:rsidRPr="00F259A2">
        <w:t xml:space="preserve">Xuan X., DeLeeuw R.J. </w:t>
      </w:r>
      <w:r w:rsidR="008B5C98" w:rsidRPr="008B5C98">
        <w:rPr>
          <w:i/>
        </w:rPr>
        <w:t>et al</w:t>
      </w:r>
      <w:r w:rsidRPr="00F259A2">
        <w:t xml:space="preserve">. (2006) Integrating copy number polymorphisms into array CGH analysis using a robust HMM. </w:t>
      </w:r>
      <w:r w:rsidRPr="00F259A2">
        <w:rPr>
          <w:i/>
          <w:iCs/>
        </w:rPr>
        <w:t>Bioinformatics</w:t>
      </w:r>
      <w:r w:rsidR="00EE10AA" w:rsidRPr="00F259A2">
        <w:rPr>
          <w:i/>
          <w:iCs/>
        </w:rPr>
        <w:t xml:space="preserve"> </w:t>
      </w:r>
      <w:r w:rsidRPr="00F259A2">
        <w:rPr>
          <w:b/>
          <w:bCs/>
        </w:rPr>
        <w:t>22</w:t>
      </w:r>
      <w:r w:rsidRPr="00F259A2">
        <w:t>, e431–439</w:t>
      </w:r>
    </w:p>
    <w:p w14:paraId="06E4ABD8" w14:textId="77777777" w:rsidR="001C1B16" w:rsidRPr="00F259A2" w:rsidRDefault="00AB347E" w:rsidP="008A5EE5">
      <w:pPr>
        <w:pStyle w:val="Bibliography"/>
        <w:spacing w:line="480" w:lineRule="auto"/>
      </w:pPr>
      <w:r w:rsidRPr="00F259A2">
        <w:rPr>
          <w:b/>
          <w:bCs/>
        </w:rPr>
        <w:t>52</w:t>
      </w:r>
      <w:r w:rsidRPr="00F259A2">
        <w:t>.</w:t>
      </w:r>
      <w:r w:rsidRPr="00F259A2">
        <w:tab/>
        <w:t xml:space="preserve">OECD (2009) Series on Testing and Assessment No. 100 </w:t>
      </w:r>
      <w:r w:rsidR="00AD5B6B">
        <w:t>--</w:t>
      </w:r>
      <w:r w:rsidRPr="00F259A2">
        <w:t xml:space="preserve"> Report of the Second Survey on Available Omics Tools (ENV/JM/MONO(2008)35). at </w:t>
      </w:r>
      <w:r w:rsidRPr="00F259A2">
        <w:lastRenderedPageBreak/>
        <w:t>&lt;http://www.oecd.org/officialdocuments/displaydocument/?cote=env/jm/mono(2008)35&amp;doclanguage=en&gt;</w:t>
      </w:r>
    </w:p>
    <w:p w14:paraId="0DA12483" w14:textId="77777777" w:rsidR="001C1B16" w:rsidRPr="00F259A2" w:rsidRDefault="00AB347E" w:rsidP="008A5EE5">
      <w:pPr>
        <w:pStyle w:val="Bibliography"/>
        <w:spacing w:line="480" w:lineRule="auto"/>
      </w:pPr>
      <w:r w:rsidRPr="00F259A2">
        <w:rPr>
          <w:b/>
          <w:bCs/>
        </w:rPr>
        <w:t>53</w:t>
      </w:r>
      <w:r w:rsidRPr="00F259A2">
        <w:t>.</w:t>
      </w:r>
      <w:r w:rsidRPr="00F259A2">
        <w:tab/>
        <w:t xml:space="preserve">Mahadevan B., Snyder R.D., Waters M.D. </w:t>
      </w:r>
      <w:r w:rsidR="008B5C98" w:rsidRPr="008B5C98">
        <w:rPr>
          <w:i/>
        </w:rPr>
        <w:t>et al</w:t>
      </w:r>
      <w:r w:rsidRPr="00F259A2">
        <w:t xml:space="preserve">. (2011) Genetic toxicology in the 21st century: reflections and future directions. </w:t>
      </w:r>
      <w:r w:rsidRPr="00F259A2">
        <w:rPr>
          <w:i/>
          <w:iCs/>
        </w:rPr>
        <w:t>Environ Mol Mutagen</w:t>
      </w:r>
      <w:r w:rsidR="00EE10AA" w:rsidRPr="00F259A2">
        <w:rPr>
          <w:i/>
          <w:iCs/>
        </w:rPr>
        <w:t xml:space="preserve"> </w:t>
      </w:r>
      <w:r w:rsidRPr="00F259A2">
        <w:rPr>
          <w:b/>
          <w:bCs/>
        </w:rPr>
        <w:t>52</w:t>
      </w:r>
      <w:r w:rsidRPr="00F259A2">
        <w:t>, 339–354</w:t>
      </w:r>
    </w:p>
    <w:p w14:paraId="7A025B0D" w14:textId="77777777" w:rsidR="001C1B16" w:rsidRPr="00F259A2" w:rsidRDefault="00AB347E" w:rsidP="008A5EE5">
      <w:pPr>
        <w:pStyle w:val="Bibliography"/>
        <w:spacing w:line="480" w:lineRule="auto"/>
      </w:pPr>
      <w:r w:rsidRPr="00F259A2">
        <w:rPr>
          <w:b/>
          <w:bCs/>
        </w:rPr>
        <w:t>54</w:t>
      </w:r>
      <w:r w:rsidRPr="00F259A2">
        <w:t>.</w:t>
      </w:r>
      <w:r w:rsidRPr="00F259A2">
        <w:tab/>
        <w:t>Aardema M.J., MacGregor J.T. (2002) Toxicology and genetic toxicology in the new era of ‘toxicogenomics’: impact of ‘</w:t>
      </w:r>
      <w:r w:rsidR="00AD5B6B">
        <w:t>--</w:t>
      </w:r>
      <w:r w:rsidRPr="00F259A2">
        <w:t xml:space="preserve">omics’ technologies. </w:t>
      </w:r>
      <w:r w:rsidRPr="00F259A2">
        <w:rPr>
          <w:i/>
          <w:iCs/>
        </w:rPr>
        <w:t>Mutat Res</w:t>
      </w:r>
      <w:r w:rsidR="00EE10AA" w:rsidRPr="00F259A2">
        <w:rPr>
          <w:i/>
          <w:iCs/>
        </w:rPr>
        <w:t xml:space="preserve"> </w:t>
      </w:r>
      <w:r w:rsidRPr="00F259A2">
        <w:rPr>
          <w:b/>
          <w:bCs/>
        </w:rPr>
        <w:t>499</w:t>
      </w:r>
      <w:r w:rsidRPr="00F259A2">
        <w:t>, 13–25</w:t>
      </w:r>
    </w:p>
    <w:p w14:paraId="476BFB08" w14:textId="77777777" w:rsidR="001C1B16" w:rsidRPr="00F259A2" w:rsidRDefault="00AB347E" w:rsidP="008A5EE5">
      <w:pPr>
        <w:pStyle w:val="Bibliography"/>
        <w:spacing w:line="480" w:lineRule="auto"/>
      </w:pPr>
      <w:r w:rsidRPr="00F259A2">
        <w:rPr>
          <w:b/>
          <w:bCs/>
        </w:rPr>
        <w:t>55</w:t>
      </w:r>
      <w:r w:rsidRPr="00F259A2">
        <w:t>.</w:t>
      </w:r>
      <w:r w:rsidRPr="00F259A2">
        <w:tab/>
        <w:t xml:space="preserve">Vrana K.E., Freeman W.M., Aschner M. (2003) Use of microarray technologies in toxicology research. </w:t>
      </w:r>
      <w:r w:rsidRPr="00F259A2">
        <w:rPr>
          <w:i/>
          <w:iCs/>
        </w:rPr>
        <w:t>Neurotoxicology</w:t>
      </w:r>
      <w:r w:rsidR="00EE10AA" w:rsidRPr="00F259A2">
        <w:rPr>
          <w:i/>
          <w:iCs/>
        </w:rPr>
        <w:t xml:space="preserve"> </w:t>
      </w:r>
      <w:r w:rsidRPr="00F259A2">
        <w:rPr>
          <w:b/>
          <w:bCs/>
        </w:rPr>
        <w:t>24</w:t>
      </w:r>
      <w:r w:rsidRPr="00F259A2">
        <w:t>, 321–332</w:t>
      </w:r>
    </w:p>
    <w:p w14:paraId="148A3EBF" w14:textId="77777777" w:rsidR="001C1B16" w:rsidRPr="00F259A2" w:rsidRDefault="00AB347E" w:rsidP="008A5EE5">
      <w:pPr>
        <w:pStyle w:val="Bibliography"/>
        <w:spacing w:line="480" w:lineRule="auto"/>
      </w:pPr>
      <w:r w:rsidRPr="00F259A2">
        <w:rPr>
          <w:b/>
          <w:bCs/>
        </w:rPr>
        <w:t>56</w:t>
      </w:r>
      <w:r w:rsidRPr="00F259A2">
        <w:t>.</w:t>
      </w:r>
      <w:r w:rsidRPr="00F259A2">
        <w:tab/>
        <w:t xml:space="preserve">Ge F., He Q.Y. (2009) Genomic and proteomic approaches for predicting toxicity and adverse drug reactions. </w:t>
      </w:r>
      <w:r w:rsidRPr="00F259A2">
        <w:rPr>
          <w:i/>
          <w:iCs/>
        </w:rPr>
        <w:t>Expert Opin Drug Metab Toxicol</w:t>
      </w:r>
      <w:r w:rsidR="00EE10AA" w:rsidRPr="00F259A2">
        <w:rPr>
          <w:i/>
          <w:iCs/>
        </w:rPr>
        <w:t xml:space="preserve"> </w:t>
      </w:r>
      <w:r w:rsidRPr="00F259A2">
        <w:rPr>
          <w:b/>
          <w:bCs/>
        </w:rPr>
        <w:t>5</w:t>
      </w:r>
      <w:r w:rsidRPr="00F259A2">
        <w:t>, 29–37</w:t>
      </w:r>
    </w:p>
    <w:p w14:paraId="1695DAE3" w14:textId="77777777" w:rsidR="001C1B16" w:rsidRPr="00F259A2" w:rsidRDefault="00AB347E" w:rsidP="008A5EE5">
      <w:pPr>
        <w:pStyle w:val="Bibliography"/>
        <w:spacing w:line="480" w:lineRule="auto"/>
      </w:pPr>
      <w:r w:rsidRPr="00F259A2">
        <w:rPr>
          <w:b/>
          <w:bCs/>
        </w:rPr>
        <w:t>57</w:t>
      </w:r>
      <w:r w:rsidRPr="00F259A2">
        <w:t>.</w:t>
      </w:r>
      <w:r w:rsidRPr="00F259A2">
        <w:tab/>
        <w:t xml:space="preserve">Mattingly C.J., Rosenstein M.C., Davis A.P. </w:t>
      </w:r>
      <w:r w:rsidR="008B5C98" w:rsidRPr="008B5C98">
        <w:rPr>
          <w:i/>
        </w:rPr>
        <w:t>et al</w:t>
      </w:r>
      <w:r w:rsidRPr="00F259A2">
        <w:t>. (2006) The comparative toxicogenomics database: a cross</w:t>
      </w:r>
      <w:r w:rsidR="00AD5B6B">
        <w:t>--</w:t>
      </w:r>
      <w:r w:rsidRPr="00F259A2">
        <w:t>species resource for building chemical</w:t>
      </w:r>
      <w:r w:rsidR="00AD5B6B">
        <w:t>--</w:t>
      </w:r>
      <w:r w:rsidRPr="00F259A2">
        <w:t xml:space="preserve">gene interaction networks. </w:t>
      </w:r>
      <w:r w:rsidRPr="00F259A2">
        <w:rPr>
          <w:i/>
          <w:iCs/>
        </w:rPr>
        <w:t>Toxicol Sci</w:t>
      </w:r>
      <w:r w:rsidR="00EE10AA" w:rsidRPr="00F259A2">
        <w:rPr>
          <w:i/>
          <w:iCs/>
        </w:rPr>
        <w:t xml:space="preserve"> </w:t>
      </w:r>
      <w:r w:rsidRPr="00F259A2">
        <w:rPr>
          <w:b/>
          <w:bCs/>
        </w:rPr>
        <w:t>92</w:t>
      </w:r>
      <w:r w:rsidRPr="00F259A2">
        <w:t>, 587–595</w:t>
      </w:r>
    </w:p>
    <w:p w14:paraId="0DFB0478" w14:textId="77777777" w:rsidR="001C1B16" w:rsidRPr="00F259A2" w:rsidRDefault="00AB347E" w:rsidP="008A5EE5">
      <w:pPr>
        <w:pStyle w:val="Bibliography"/>
        <w:spacing w:line="480" w:lineRule="auto"/>
      </w:pPr>
      <w:r w:rsidRPr="00F259A2">
        <w:rPr>
          <w:b/>
          <w:bCs/>
        </w:rPr>
        <w:t>58</w:t>
      </w:r>
      <w:r w:rsidRPr="00F259A2">
        <w:t>.</w:t>
      </w:r>
      <w:r w:rsidRPr="00F259A2">
        <w:tab/>
        <w:t>Davis A.P., King</w:t>
      </w:r>
      <w:r w:rsidR="00EE10AA" w:rsidRPr="00F259A2">
        <w:t xml:space="preserve"> </w:t>
      </w:r>
      <w:r w:rsidRPr="00F259A2">
        <w:t xml:space="preserve">B.L., Mockus S. </w:t>
      </w:r>
      <w:r w:rsidR="008B5C98" w:rsidRPr="008B5C98">
        <w:rPr>
          <w:i/>
        </w:rPr>
        <w:t>et al</w:t>
      </w:r>
      <w:r w:rsidRPr="00F259A2">
        <w:t xml:space="preserve">. (2011) The Comparative Toxicogenomics Database: update 2011. </w:t>
      </w:r>
      <w:r w:rsidRPr="00F259A2">
        <w:rPr>
          <w:i/>
          <w:iCs/>
        </w:rPr>
        <w:t>Nucleic Acids Res</w:t>
      </w:r>
      <w:r w:rsidR="00EE10AA" w:rsidRPr="00F259A2">
        <w:rPr>
          <w:i/>
          <w:iCs/>
        </w:rPr>
        <w:t xml:space="preserve"> </w:t>
      </w:r>
      <w:r w:rsidRPr="00F259A2">
        <w:rPr>
          <w:b/>
          <w:bCs/>
        </w:rPr>
        <w:t>39</w:t>
      </w:r>
      <w:r w:rsidRPr="00F259A2">
        <w:t>, D1067–1072</w:t>
      </w:r>
    </w:p>
    <w:p w14:paraId="71E72670" w14:textId="77777777" w:rsidR="001C1B16" w:rsidRPr="00F259A2" w:rsidRDefault="00AB347E" w:rsidP="008A5EE5">
      <w:pPr>
        <w:pStyle w:val="Bibliography"/>
        <w:spacing w:line="480" w:lineRule="auto"/>
      </w:pPr>
      <w:r w:rsidRPr="00F259A2">
        <w:rPr>
          <w:b/>
          <w:bCs/>
        </w:rPr>
        <w:t>59</w:t>
      </w:r>
      <w:r w:rsidRPr="00F259A2">
        <w:t>.</w:t>
      </w:r>
      <w:r w:rsidRPr="00F259A2">
        <w:tab/>
        <w:t xml:space="preserve">Young R.R. (2002) Genetic toxicology: web resources. </w:t>
      </w:r>
      <w:r w:rsidRPr="00F259A2">
        <w:rPr>
          <w:i/>
          <w:iCs/>
        </w:rPr>
        <w:t>Toxicology</w:t>
      </w:r>
      <w:r w:rsidR="00AE1728" w:rsidRPr="00F259A2">
        <w:rPr>
          <w:i/>
          <w:iCs/>
        </w:rPr>
        <w:t xml:space="preserve"> </w:t>
      </w:r>
      <w:r w:rsidRPr="00F259A2">
        <w:rPr>
          <w:b/>
          <w:bCs/>
        </w:rPr>
        <w:t>173</w:t>
      </w:r>
      <w:r w:rsidRPr="00F259A2">
        <w:t>, 103–121</w:t>
      </w:r>
    </w:p>
    <w:p w14:paraId="4BBA9564" w14:textId="77777777" w:rsidR="001C1B16" w:rsidRPr="00F259A2" w:rsidRDefault="00AB347E" w:rsidP="008A5EE5">
      <w:pPr>
        <w:pStyle w:val="Bibliography"/>
        <w:spacing w:line="480" w:lineRule="auto"/>
      </w:pPr>
      <w:r w:rsidRPr="00F259A2">
        <w:rPr>
          <w:b/>
          <w:bCs/>
        </w:rPr>
        <w:t>60</w:t>
      </w:r>
      <w:r w:rsidRPr="00F259A2">
        <w:t>.</w:t>
      </w:r>
      <w:r w:rsidRPr="00F259A2">
        <w:tab/>
        <w:t>Jacobs A. (2009) An FDA perspective on the nonclinical use of the X</w:t>
      </w:r>
      <w:r w:rsidR="00AD5B6B">
        <w:t>--</w:t>
      </w:r>
      <w:r w:rsidRPr="00F259A2">
        <w:t xml:space="preserve">Omics technologies and the safety of new drugs. </w:t>
      </w:r>
      <w:r w:rsidRPr="00F259A2">
        <w:rPr>
          <w:i/>
          <w:iCs/>
        </w:rPr>
        <w:t>Toxicol Lett</w:t>
      </w:r>
      <w:r w:rsidR="00AE1728" w:rsidRPr="00F259A2">
        <w:rPr>
          <w:i/>
          <w:iCs/>
        </w:rPr>
        <w:t xml:space="preserve"> </w:t>
      </w:r>
      <w:r w:rsidRPr="00F259A2">
        <w:rPr>
          <w:b/>
          <w:bCs/>
        </w:rPr>
        <w:t>186</w:t>
      </w:r>
      <w:r w:rsidRPr="00F259A2">
        <w:t>, 32–35</w:t>
      </w:r>
    </w:p>
    <w:p w14:paraId="5001FD29" w14:textId="77777777" w:rsidR="001C1B16" w:rsidRPr="00F259A2" w:rsidRDefault="00AB347E" w:rsidP="008A5EE5">
      <w:pPr>
        <w:pStyle w:val="Bibliography"/>
        <w:spacing w:line="480" w:lineRule="auto"/>
      </w:pPr>
      <w:r w:rsidRPr="00F259A2">
        <w:rPr>
          <w:b/>
          <w:bCs/>
        </w:rPr>
        <w:t>61</w:t>
      </w:r>
      <w:r w:rsidRPr="00F259A2">
        <w:t>.</w:t>
      </w:r>
      <w:r w:rsidRPr="00F259A2">
        <w:tab/>
        <w:t xml:space="preserve">Nuwaysir E.F., Bittner M., Trent J. </w:t>
      </w:r>
      <w:r w:rsidR="008B5C98" w:rsidRPr="008B5C98">
        <w:rPr>
          <w:i/>
        </w:rPr>
        <w:t>et al</w:t>
      </w:r>
      <w:r w:rsidRPr="00F259A2">
        <w:t xml:space="preserve">. (1999) Microarrays and toxicology: the advent of toxicogenomics. </w:t>
      </w:r>
      <w:r w:rsidRPr="00F259A2">
        <w:rPr>
          <w:i/>
          <w:iCs/>
        </w:rPr>
        <w:t>Mol Carcinog</w:t>
      </w:r>
      <w:r w:rsidR="004E2FF2" w:rsidRPr="00F259A2">
        <w:rPr>
          <w:i/>
          <w:iCs/>
        </w:rPr>
        <w:t xml:space="preserve"> </w:t>
      </w:r>
      <w:r w:rsidRPr="00F259A2">
        <w:rPr>
          <w:b/>
          <w:bCs/>
        </w:rPr>
        <w:t>24</w:t>
      </w:r>
      <w:r w:rsidRPr="00F259A2">
        <w:t>, 153–159</w:t>
      </w:r>
    </w:p>
    <w:p w14:paraId="7759F3F2" w14:textId="77777777" w:rsidR="001C1B16" w:rsidRPr="00F259A2" w:rsidRDefault="00AB347E" w:rsidP="008A5EE5">
      <w:pPr>
        <w:pStyle w:val="Bibliography"/>
        <w:spacing w:line="480" w:lineRule="auto"/>
      </w:pPr>
      <w:r w:rsidRPr="00F259A2">
        <w:rPr>
          <w:b/>
          <w:bCs/>
        </w:rPr>
        <w:t>62</w:t>
      </w:r>
      <w:r w:rsidRPr="00F259A2">
        <w:t>.</w:t>
      </w:r>
      <w:r w:rsidRPr="00F259A2">
        <w:tab/>
        <w:t xml:space="preserve">Committee on Toxicity Testing and Assessment of Environmental Agents, National Research Council (The National Academies Press: Washington, D.C., 2007) </w:t>
      </w:r>
      <w:r w:rsidRPr="00F259A2">
        <w:rPr>
          <w:i/>
          <w:iCs/>
        </w:rPr>
        <w:t>Toxicity Testing in the 21st Century: A Vision and a Strategy</w:t>
      </w:r>
      <w:r w:rsidRPr="00F259A2">
        <w:t xml:space="preserve">. </w:t>
      </w:r>
    </w:p>
    <w:p w14:paraId="50F073E3" w14:textId="77777777" w:rsidR="001C1B16" w:rsidRPr="00F259A2" w:rsidRDefault="00AB347E" w:rsidP="008A5EE5">
      <w:pPr>
        <w:pStyle w:val="Bibliography"/>
        <w:spacing w:line="480" w:lineRule="auto"/>
      </w:pPr>
      <w:r w:rsidRPr="00F259A2">
        <w:rPr>
          <w:b/>
          <w:bCs/>
        </w:rPr>
        <w:lastRenderedPageBreak/>
        <w:t>63</w:t>
      </w:r>
      <w:r w:rsidRPr="00F259A2">
        <w:t>.</w:t>
      </w:r>
      <w:r w:rsidRPr="00F259A2">
        <w:tab/>
        <w:t>Andersen M.E., Al</w:t>
      </w:r>
      <w:r w:rsidR="00AD5B6B">
        <w:t>--</w:t>
      </w:r>
      <w:r w:rsidRPr="00F259A2">
        <w:t xml:space="preserve">Zoughool M., Croteau M. </w:t>
      </w:r>
      <w:r w:rsidR="008B5C98" w:rsidRPr="008B5C98">
        <w:rPr>
          <w:i/>
        </w:rPr>
        <w:t>et al</w:t>
      </w:r>
      <w:r w:rsidRPr="00F259A2">
        <w:t xml:space="preserve">. (2010) The future of toxicity testing. </w:t>
      </w:r>
      <w:r w:rsidRPr="00F259A2">
        <w:rPr>
          <w:i/>
          <w:iCs/>
        </w:rPr>
        <w:t>J Toxicol Environ Health B Crit Rev</w:t>
      </w:r>
      <w:r w:rsidR="00FF25B2" w:rsidRPr="00F259A2">
        <w:rPr>
          <w:i/>
          <w:iCs/>
        </w:rPr>
        <w:t xml:space="preserve"> </w:t>
      </w:r>
      <w:r w:rsidRPr="00F259A2">
        <w:rPr>
          <w:b/>
          <w:bCs/>
        </w:rPr>
        <w:t>13</w:t>
      </w:r>
      <w:r w:rsidRPr="00F259A2">
        <w:t>, 163–196</w:t>
      </w:r>
    </w:p>
    <w:p w14:paraId="339AB7BD" w14:textId="77777777" w:rsidR="001C1B16" w:rsidRPr="00F259A2" w:rsidRDefault="00AB347E" w:rsidP="008A5EE5">
      <w:pPr>
        <w:pStyle w:val="Bibliography"/>
        <w:spacing w:line="480" w:lineRule="auto"/>
      </w:pPr>
      <w:r w:rsidRPr="00F259A2">
        <w:rPr>
          <w:b/>
          <w:bCs/>
        </w:rPr>
        <w:t>64</w:t>
      </w:r>
      <w:r w:rsidRPr="00F259A2">
        <w:t>.</w:t>
      </w:r>
      <w:r w:rsidRPr="00F259A2">
        <w:tab/>
        <w:t>Krewski D., Westphal M., Al</w:t>
      </w:r>
      <w:r w:rsidR="00AD5B6B">
        <w:t>--</w:t>
      </w:r>
      <w:r w:rsidRPr="00F259A2">
        <w:t xml:space="preserve">Zoughool M. </w:t>
      </w:r>
      <w:r w:rsidR="008B5C98" w:rsidRPr="008B5C98">
        <w:rPr>
          <w:i/>
        </w:rPr>
        <w:t>et al</w:t>
      </w:r>
      <w:r w:rsidRPr="00F259A2">
        <w:t xml:space="preserve">. (2011) New directions in toxicity testing. </w:t>
      </w:r>
      <w:r w:rsidRPr="00F259A2">
        <w:rPr>
          <w:i/>
          <w:iCs/>
        </w:rPr>
        <w:t>Annu Rev Public Health</w:t>
      </w:r>
      <w:r w:rsidR="00FF25B2" w:rsidRPr="00F259A2">
        <w:rPr>
          <w:i/>
          <w:iCs/>
        </w:rPr>
        <w:t xml:space="preserve"> </w:t>
      </w:r>
      <w:r w:rsidRPr="00F259A2">
        <w:rPr>
          <w:b/>
          <w:bCs/>
        </w:rPr>
        <w:t>32</w:t>
      </w:r>
      <w:r w:rsidRPr="00F259A2">
        <w:t>, 161–178</w:t>
      </w:r>
    </w:p>
    <w:p w14:paraId="51879331" w14:textId="77777777" w:rsidR="001C1B16" w:rsidRPr="00F259A2" w:rsidRDefault="00AB347E" w:rsidP="008A5EE5">
      <w:pPr>
        <w:pStyle w:val="Bibliography"/>
        <w:spacing w:line="480" w:lineRule="auto"/>
      </w:pPr>
      <w:r w:rsidRPr="00F259A2">
        <w:rPr>
          <w:b/>
          <w:bCs/>
        </w:rPr>
        <w:t>65</w:t>
      </w:r>
      <w:r w:rsidRPr="00F259A2">
        <w:t>.</w:t>
      </w:r>
      <w:r w:rsidRPr="00F259A2">
        <w:tab/>
        <w:t xml:space="preserve">Bhattacharya S., Zhang Q., Carmichael P.L. </w:t>
      </w:r>
      <w:r w:rsidR="008B5C98" w:rsidRPr="008B5C98">
        <w:rPr>
          <w:i/>
        </w:rPr>
        <w:t>et al</w:t>
      </w:r>
      <w:r w:rsidRPr="00F259A2">
        <w:t xml:space="preserve">. (2011) Toxicity testing in the 21 century: defining new risk assessment approaches based on perturbation of intracellular toxicity pathways. </w:t>
      </w:r>
      <w:r w:rsidRPr="00F259A2">
        <w:rPr>
          <w:i/>
          <w:iCs/>
        </w:rPr>
        <w:t>PLoS ONE</w:t>
      </w:r>
      <w:r w:rsidR="00FF25B2" w:rsidRPr="00F259A2">
        <w:rPr>
          <w:i/>
          <w:iCs/>
        </w:rPr>
        <w:t xml:space="preserve"> </w:t>
      </w:r>
      <w:r w:rsidRPr="00F259A2">
        <w:rPr>
          <w:b/>
          <w:bCs/>
        </w:rPr>
        <w:t>6</w:t>
      </w:r>
      <w:r w:rsidRPr="00F259A2">
        <w:t>, e20887</w:t>
      </w:r>
    </w:p>
    <w:p w14:paraId="5926AE38" w14:textId="77777777" w:rsidR="001C1B16" w:rsidRPr="00F259A2" w:rsidRDefault="00AB347E" w:rsidP="008A5EE5">
      <w:pPr>
        <w:pStyle w:val="Bibliography"/>
        <w:spacing w:line="480" w:lineRule="auto"/>
      </w:pPr>
      <w:r w:rsidRPr="00F259A2">
        <w:rPr>
          <w:b/>
          <w:bCs/>
        </w:rPr>
        <w:t>66</w:t>
      </w:r>
      <w:r w:rsidRPr="00F259A2">
        <w:t>.</w:t>
      </w:r>
      <w:r w:rsidRPr="00F259A2">
        <w:tab/>
        <w:t xml:space="preserve">Gatzidou E.T., Zira A.N., Theocharis S.E. (2007) Toxicogenomics: a pivotal piece in the puzzle of toxicological research. </w:t>
      </w:r>
      <w:r w:rsidRPr="00F259A2">
        <w:rPr>
          <w:i/>
          <w:iCs/>
        </w:rPr>
        <w:t>J Appl Toxicol</w:t>
      </w:r>
      <w:r w:rsidR="00C73B58" w:rsidRPr="00F259A2">
        <w:rPr>
          <w:i/>
          <w:iCs/>
        </w:rPr>
        <w:t xml:space="preserve"> </w:t>
      </w:r>
      <w:r w:rsidRPr="00F259A2">
        <w:rPr>
          <w:b/>
          <w:bCs/>
        </w:rPr>
        <w:t>27</w:t>
      </w:r>
      <w:r w:rsidRPr="00F259A2">
        <w:t>, 302–309</w:t>
      </w:r>
    </w:p>
    <w:p w14:paraId="3BF67801" w14:textId="77777777" w:rsidR="001C1B16" w:rsidRPr="00F259A2" w:rsidRDefault="00AB347E" w:rsidP="008A5EE5">
      <w:pPr>
        <w:pStyle w:val="Bibliography"/>
        <w:spacing w:line="480" w:lineRule="auto"/>
      </w:pPr>
      <w:r w:rsidRPr="00F259A2">
        <w:rPr>
          <w:b/>
          <w:bCs/>
        </w:rPr>
        <w:t>67</w:t>
      </w:r>
      <w:r w:rsidRPr="00F259A2">
        <w:t>.</w:t>
      </w:r>
      <w:r w:rsidRPr="00F259A2">
        <w:tab/>
        <w:t xml:space="preserve">Harrill A.H., Rusyn I. (2008) Systems biology and functional genomics approaches for the identification of cellular responses to drug toxicity. </w:t>
      </w:r>
      <w:r w:rsidRPr="00F259A2">
        <w:rPr>
          <w:i/>
          <w:iCs/>
        </w:rPr>
        <w:t>Expert Opin Drug Metab Toxicol</w:t>
      </w:r>
      <w:r w:rsidR="00C73B58" w:rsidRPr="00F259A2">
        <w:rPr>
          <w:i/>
          <w:iCs/>
        </w:rPr>
        <w:t xml:space="preserve"> </w:t>
      </w:r>
      <w:r w:rsidRPr="00F259A2">
        <w:rPr>
          <w:b/>
          <w:bCs/>
        </w:rPr>
        <w:t>4</w:t>
      </w:r>
      <w:r w:rsidRPr="00F259A2">
        <w:t>, 1379–1389</w:t>
      </w:r>
    </w:p>
    <w:p w14:paraId="79669A26" w14:textId="77777777" w:rsidR="001C1B16" w:rsidRPr="00F259A2" w:rsidRDefault="00AB347E" w:rsidP="008A5EE5">
      <w:pPr>
        <w:pStyle w:val="Bibliography"/>
        <w:spacing w:line="480" w:lineRule="auto"/>
      </w:pPr>
      <w:r w:rsidRPr="00F259A2">
        <w:rPr>
          <w:b/>
          <w:bCs/>
        </w:rPr>
        <w:t>68</w:t>
      </w:r>
      <w:r w:rsidRPr="00F259A2">
        <w:t>.</w:t>
      </w:r>
      <w:r w:rsidRPr="00F259A2">
        <w:tab/>
        <w:t xml:space="preserve">Zhang Q., Bhattacharya S., Andersen M.E. </w:t>
      </w:r>
      <w:r w:rsidR="008B5C98" w:rsidRPr="008B5C98">
        <w:rPr>
          <w:i/>
        </w:rPr>
        <w:t>et al</w:t>
      </w:r>
      <w:r w:rsidRPr="00F259A2">
        <w:t>. (2010) Computational systems biology and dose</w:t>
      </w:r>
      <w:r w:rsidR="00AD5B6B">
        <w:t>--</w:t>
      </w:r>
      <w:r w:rsidRPr="00F259A2">
        <w:t xml:space="preserve">response modeling in relation to new directions in toxicity testing. </w:t>
      </w:r>
      <w:r w:rsidRPr="00F259A2">
        <w:rPr>
          <w:i/>
          <w:iCs/>
        </w:rPr>
        <w:t>J Toxicol Environ Health B Crit Rev</w:t>
      </w:r>
      <w:r w:rsidR="00C73B58" w:rsidRPr="00F259A2">
        <w:rPr>
          <w:i/>
          <w:iCs/>
        </w:rPr>
        <w:t xml:space="preserve"> </w:t>
      </w:r>
      <w:r w:rsidRPr="00F259A2">
        <w:rPr>
          <w:b/>
          <w:bCs/>
        </w:rPr>
        <w:t>13</w:t>
      </w:r>
      <w:r w:rsidRPr="00F259A2">
        <w:t>, 253–276</w:t>
      </w:r>
    </w:p>
    <w:p w14:paraId="70349133" w14:textId="77777777" w:rsidR="001C1B16" w:rsidRPr="00F259A2" w:rsidRDefault="00AB347E" w:rsidP="008A5EE5">
      <w:pPr>
        <w:pStyle w:val="Bibliography"/>
        <w:spacing w:line="480" w:lineRule="auto"/>
      </w:pPr>
      <w:r w:rsidRPr="00F259A2">
        <w:rPr>
          <w:b/>
          <w:bCs/>
        </w:rPr>
        <w:t>69</w:t>
      </w:r>
      <w:r w:rsidRPr="00F259A2">
        <w:t>.</w:t>
      </w:r>
      <w:r w:rsidRPr="00F259A2">
        <w:tab/>
        <w:t xml:space="preserve">Grant G.R., Manduchi E., Stoeckert C.J., Jr (2007) Analysis and management of microarray gene expression data. </w:t>
      </w:r>
      <w:r w:rsidRPr="00F259A2">
        <w:rPr>
          <w:i/>
          <w:iCs/>
        </w:rPr>
        <w:t>Curr Protoc Mol Biol</w:t>
      </w:r>
      <w:r w:rsidR="00BD1193" w:rsidRPr="00F259A2">
        <w:rPr>
          <w:i/>
          <w:iCs/>
        </w:rPr>
        <w:t xml:space="preserve"> </w:t>
      </w:r>
      <w:r w:rsidRPr="00F259A2">
        <w:rPr>
          <w:b/>
          <w:bCs/>
        </w:rPr>
        <w:t>19</w:t>
      </w:r>
      <w:r w:rsidRPr="00F259A2">
        <w:t>, Unit 19.6</w:t>
      </w:r>
    </w:p>
    <w:p w14:paraId="2BB332DC" w14:textId="77777777" w:rsidR="001C1B16" w:rsidRPr="00F259A2" w:rsidRDefault="00AB347E" w:rsidP="008A5EE5">
      <w:pPr>
        <w:pStyle w:val="Bibliography"/>
        <w:spacing w:line="480" w:lineRule="auto"/>
      </w:pPr>
      <w:r w:rsidRPr="00F259A2">
        <w:rPr>
          <w:b/>
          <w:bCs/>
        </w:rPr>
        <w:t>70</w:t>
      </w:r>
      <w:r w:rsidRPr="00F259A2">
        <w:t>.</w:t>
      </w:r>
      <w:r w:rsidRPr="00F259A2">
        <w:tab/>
        <w:t xml:space="preserve">Vermeesch J.R., Melotte C., Froyen G., </w:t>
      </w:r>
      <w:r w:rsidR="008B5C98" w:rsidRPr="008B5C98">
        <w:rPr>
          <w:i/>
        </w:rPr>
        <w:t>et al</w:t>
      </w:r>
      <w:r w:rsidRPr="00F259A2">
        <w:t xml:space="preserve">. (2005) Molecular karyotyping: array CGH quality criteria for constitutional genetic diagnosis. </w:t>
      </w:r>
      <w:r w:rsidRPr="00F259A2">
        <w:rPr>
          <w:i/>
          <w:iCs/>
        </w:rPr>
        <w:t>J Histochem Cytochem</w:t>
      </w:r>
      <w:r w:rsidR="00710256" w:rsidRPr="00F259A2">
        <w:rPr>
          <w:i/>
          <w:iCs/>
        </w:rPr>
        <w:t xml:space="preserve"> </w:t>
      </w:r>
      <w:r w:rsidRPr="00F259A2">
        <w:rPr>
          <w:b/>
          <w:bCs/>
        </w:rPr>
        <w:t>53</w:t>
      </w:r>
      <w:r w:rsidRPr="00F259A2">
        <w:t>, 413–422</w:t>
      </w:r>
    </w:p>
    <w:p w14:paraId="14B2F9F7" w14:textId="77777777" w:rsidR="001C1B16" w:rsidRPr="00F259A2" w:rsidRDefault="00AB347E" w:rsidP="008A5EE5">
      <w:pPr>
        <w:pStyle w:val="Bibliography"/>
        <w:spacing w:line="480" w:lineRule="auto"/>
      </w:pPr>
      <w:r w:rsidRPr="00F259A2">
        <w:rPr>
          <w:b/>
          <w:bCs/>
        </w:rPr>
        <w:t>71</w:t>
      </w:r>
      <w:r w:rsidRPr="00F259A2">
        <w:t>.</w:t>
      </w:r>
      <w:r w:rsidRPr="00F259A2">
        <w:tab/>
        <w:t>Shaw</w:t>
      </w:r>
      <w:r w:rsidR="00AD5B6B">
        <w:t>--</w:t>
      </w:r>
      <w:r w:rsidRPr="00F259A2">
        <w:t xml:space="preserve">Smith C., Redon R., Rickman L. </w:t>
      </w:r>
      <w:r w:rsidR="008B5C98" w:rsidRPr="008B5C98">
        <w:rPr>
          <w:i/>
        </w:rPr>
        <w:t>et al</w:t>
      </w:r>
      <w:r w:rsidRPr="00F259A2">
        <w:t>. (2004) Microarray based comparative genomic hybridisation (array</w:t>
      </w:r>
      <w:r w:rsidR="00AD5B6B">
        <w:t>--</w:t>
      </w:r>
      <w:r w:rsidRPr="00F259A2">
        <w:t xml:space="preserve">CGH) detects submicroscopic chromosomal deletions and duplications in patients with learning disability/mental retardation and dysmorphic features. </w:t>
      </w:r>
      <w:r w:rsidRPr="00F259A2">
        <w:rPr>
          <w:i/>
          <w:iCs/>
        </w:rPr>
        <w:t>J Med Genet</w:t>
      </w:r>
      <w:r w:rsidR="00710256" w:rsidRPr="00F259A2">
        <w:rPr>
          <w:i/>
          <w:iCs/>
        </w:rPr>
        <w:t xml:space="preserve"> </w:t>
      </w:r>
      <w:r w:rsidRPr="00F259A2">
        <w:rPr>
          <w:b/>
          <w:bCs/>
        </w:rPr>
        <w:t>41</w:t>
      </w:r>
      <w:r w:rsidRPr="00F259A2">
        <w:t>, 241–248</w:t>
      </w:r>
    </w:p>
    <w:p w14:paraId="312C3C9E" w14:textId="77777777" w:rsidR="001C1B16" w:rsidRPr="00F259A2" w:rsidRDefault="00AB347E" w:rsidP="008A5EE5">
      <w:pPr>
        <w:pStyle w:val="Bibliography"/>
        <w:spacing w:line="480" w:lineRule="auto"/>
      </w:pPr>
      <w:r w:rsidRPr="00F259A2">
        <w:rPr>
          <w:b/>
          <w:bCs/>
        </w:rPr>
        <w:lastRenderedPageBreak/>
        <w:t>72</w:t>
      </w:r>
      <w:r w:rsidRPr="00F259A2">
        <w:t>.</w:t>
      </w:r>
      <w:r w:rsidRPr="00F259A2">
        <w:tab/>
        <w:t>Brazma A. (2009) Minimum Information About a Microarray Experiment (MIAME)</w:t>
      </w:r>
      <w:r w:rsidR="0071309A" w:rsidRPr="0071309A">
        <w:t>--</w:t>
      </w:r>
      <w:r w:rsidRPr="00F259A2">
        <w:t xml:space="preserve">successes, failures, challenges. </w:t>
      </w:r>
      <w:r w:rsidRPr="00F259A2">
        <w:rPr>
          <w:i/>
          <w:iCs/>
        </w:rPr>
        <w:t>Scientific</w:t>
      </w:r>
      <w:r w:rsidR="00710256" w:rsidRPr="00F259A2">
        <w:rPr>
          <w:i/>
          <w:iCs/>
        </w:rPr>
        <w:t xml:space="preserve"> </w:t>
      </w:r>
      <w:r w:rsidRPr="00F259A2">
        <w:rPr>
          <w:i/>
          <w:iCs/>
        </w:rPr>
        <w:t>World</w:t>
      </w:r>
      <w:r w:rsidR="00710256" w:rsidRPr="00F259A2">
        <w:rPr>
          <w:i/>
          <w:iCs/>
        </w:rPr>
        <w:t xml:space="preserve"> </w:t>
      </w:r>
      <w:r w:rsidRPr="00F259A2">
        <w:rPr>
          <w:i/>
          <w:iCs/>
        </w:rPr>
        <w:t>Journal</w:t>
      </w:r>
      <w:r w:rsidR="00710256" w:rsidRPr="00F259A2">
        <w:rPr>
          <w:i/>
          <w:iCs/>
        </w:rPr>
        <w:t xml:space="preserve"> </w:t>
      </w:r>
      <w:r w:rsidRPr="00F259A2">
        <w:rPr>
          <w:b/>
          <w:bCs/>
        </w:rPr>
        <w:t>9</w:t>
      </w:r>
      <w:r w:rsidRPr="00F259A2">
        <w:t>, 420–423</w:t>
      </w:r>
    </w:p>
    <w:p w14:paraId="091E429B" w14:textId="77777777" w:rsidR="001C1B16" w:rsidRPr="00F259A2" w:rsidRDefault="00AB347E" w:rsidP="008A5EE5">
      <w:pPr>
        <w:pStyle w:val="Bibliography"/>
        <w:spacing w:line="480" w:lineRule="auto"/>
      </w:pPr>
      <w:r w:rsidRPr="00F259A2">
        <w:rPr>
          <w:b/>
          <w:bCs/>
        </w:rPr>
        <w:t>73</w:t>
      </w:r>
      <w:r w:rsidRPr="00F259A2">
        <w:t>.</w:t>
      </w:r>
      <w:r w:rsidRPr="00F259A2">
        <w:tab/>
        <w:t>Taylor R.C., Acquaah</w:t>
      </w:r>
      <w:r w:rsidR="00AD5B6B">
        <w:t>--</w:t>
      </w:r>
      <w:r w:rsidRPr="00F259A2">
        <w:t xml:space="preserve">Mensah G., Singhal M., </w:t>
      </w:r>
      <w:r w:rsidR="008B5C98" w:rsidRPr="008B5C98">
        <w:rPr>
          <w:i/>
        </w:rPr>
        <w:t>et al</w:t>
      </w:r>
      <w:r w:rsidRPr="00F259A2">
        <w:t>. (2008) Network inference algorithms elucidate Nrf2 regulation of mouse lung oxidative stress.</w:t>
      </w:r>
      <w:r w:rsidR="00710256" w:rsidRPr="00F259A2">
        <w:t xml:space="preserve"> </w:t>
      </w:r>
      <w:r w:rsidRPr="00F259A2">
        <w:t xml:space="preserve"> </w:t>
      </w:r>
      <w:r w:rsidRPr="00F259A2">
        <w:rPr>
          <w:i/>
          <w:iCs/>
        </w:rPr>
        <w:t>PLoS Comput Biol</w:t>
      </w:r>
      <w:r w:rsidR="00710256" w:rsidRPr="00F259A2">
        <w:rPr>
          <w:i/>
          <w:iCs/>
        </w:rPr>
        <w:t xml:space="preserve"> </w:t>
      </w:r>
      <w:r w:rsidRPr="00F259A2">
        <w:rPr>
          <w:b/>
          <w:bCs/>
        </w:rPr>
        <w:t>4</w:t>
      </w:r>
      <w:r w:rsidRPr="00F259A2">
        <w:t>, e1000166</w:t>
      </w:r>
    </w:p>
    <w:p w14:paraId="68EDF98A" w14:textId="77777777" w:rsidR="001C1B16" w:rsidRPr="00F259A2" w:rsidRDefault="00AB347E" w:rsidP="008A5EE5">
      <w:pPr>
        <w:pStyle w:val="Bibliography"/>
        <w:spacing w:line="480" w:lineRule="auto"/>
      </w:pPr>
      <w:r w:rsidRPr="00F259A2">
        <w:rPr>
          <w:b/>
          <w:bCs/>
        </w:rPr>
        <w:t>74</w:t>
      </w:r>
      <w:r w:rsidRPr="00F259A2">
        <w:t>.</w:t>
      </w:r>
      <w:r w:rsidRPr="00F259A2">
        <w:tab/>
        <w:t xml:space="preserve">Telenius H., Carter N.P., Bebb C.E. </w:t>
      </w:r>
      <w:r w:rsidR="008B5C98" w:rsidRPr="008B5C98">
        <w:rPr>
          <w:i/>
        </w:rPr>
        <w:t>et al</w:t>
      </w:r>
      <w:r w:rsidRPr="00F259A2">
        <w:t>. (1992) Degenerate oligonucleotide</w:t>
      </w:r>
      <w:r w:rsidR="00AD5B6B">
        <w:t>--</w:t>
      </w:r>
      <w:r w:rsidRPr="00F259A2">
        <w:t xml:space="preserve">primed PCR: general amplification of target DNA by a single degenerate primer. </w:t>
      </w:r>
      <w:r w:rsidRPr="00F259A2">
        <w:rPr>
          <w:i/>
          <w:iCs/>
        </w:rPr>
        <w:t>Genomics</w:t>
      </w:r>
      <w:r w:rsidR="00710256" w:rsidRPr="00F259A2">
        <w:rPr>
          <w:i/>
          <w:iCs/>
        </w:rPr>
        <w:t xml:space="preserve"> </w:t>
      </w:r>
      <w:r w:rsidRPr="00F259A2">
        <w:rPr>
          <w:b/>
          <w:bCs/>
        </w:rPr>
        <w:t>13</w:t>
      </w:r>
      <w:r w:rsidRPr="00F259A2">
        <w:t>, 718–725</w:t>
      </w:r>
    </w:p>
    <w:p w14:paraId="0C8B1D0B" w14:textId="77777777" w:rsidR="001C1B16" w:rsidRPr="00F259A2" w:rsidRDefault="00AB347E" w:rsidP="008A5EE5">
      <w:pPr>
        <w:pStyle w:val="Bibliography"/>
        <w:spacing w:line="480" w:lineRule="auto"/>
      </w:pPr>
      <w:r w:rsidRPr="00F259A2">
        <w:rPr>
          <w:b/>
          <w:bCs/>
        </w:rPr>
        <w:t>75</w:t>
      </w:r>
      <w:r w:rsidRPr="00F259A2">
        <w:t>.</w:t>
      </w:r>
      <w:r w:rsidRPr="00F259A2">
        <w:tab/>
        <w:t xml:space="preserve">Zhang L., Cui X., Schmitt K., </w:t>
      </w:r>
      <w:r w:rsidR="008B5C98" w:rsidRPr="008B5C98">
        <w:rPr>
          <w:i/>
        </w:rPr>
        <w:t>et al</w:t>
      </w:r>
      <w:r w:rsidRPr="00F259A2">
        <w:t xml:space="preserve">. (1992) Whole genome amplification from a single cell: implications for genetic analysis. </w:t>
      </w:r>
      <w:r w:rsidRPr="00F259A2">
        <w:rPr>
          <w:i/>
          <w:iCs/>
        </w:rPr>
        <w:t>Proc Natl Acad Sci USA</w:t>
      </w:r>
      <w:r w:rsidR="00710256" w:rsidRPr="00F259A2">
        <w:rPr>
          <w:i/>
          <w:iCs/>
        </w:rPr>
        <w:t xml:space="preserve"> </w:t>
      </w:r>
      <w:r w:rsidRPr="00F259A2">
        <w:rPr>
          <w:b/>
          <w:bCs/>
        </w:rPr>
        <w:t>89</w:t>
      </w:r>
      <w:r w:rsidRPr="00F259A2">
        <w:t>, 5847–5851</w:t>
      </w:r>
    </w:p>
    <w:p w14:paraId="4FE5F6C7" w14:textId="77777777" w:rsidR="001C1B16" w:rsidRPr="00F259A2" w:rsidRDefault="00AB347E" w:rsidP="008A5EE5">
      <w:pPr>
        <w:pStyle w:val="Bibliography"/>
        <w:spacing w:line="480" w:lineRule="auto"/>
      </w:pPr>
      <w:r w:rsidRPr="00F259A2">
        <w:rPr>
          <w:b/>
          <w:bCs/>
        </w:rPr>
        <w:t>76</w:t>
      </w:r>
      <w:r w:rsidRPr="00F259A2">
        <w:t>.</w:t>
      </w:r>
      <w:r w:rsidRPr="00F259A2">
        <w:tab/>
        <w:t xml:space="preserve">du Manoir S., Kallioniemi O.P., Lichter P. </w:t>
      </w:r>
      <w:r w:rsidR="008B5C98" w:rsidRPr="008B5C98">
        <w:rPr>
          <w:i/>
        </w:rPr>
        <w:t>et al</w:t>
      </w:r>
      <w:r w:rsidRPr="00F259A2">
        <w:t xml:space="preserve">. (1995) Hardware and software requirements for quantitative analysis of comparative genomic hybridization. </w:t>
      </w:r>
      <w:r w:rsidRPr="00F259A2">
        <w:rPr>
          <w:i/>
          <w:iCs/>
        </w:rPr>
        <w:t>Cytometry</w:t>
      </w:r>
      <w:r w:rsidR="00710256" w:rsidRPr="00F259A2">
        <w:rPr>
          <w:i/>
          <w:iCs/>
        </w:rPr>
        <w:t xml:space="preserve"> </w:t>
      </w:r>
      <w:r w:rsidRPr="00F259A2">
        <w:rPr>
          <w:b/>
          <w:bCs/>
        </w:rPr>
        <w:t>19</w:t>
      </w:r>
      <w:r w:rsidRPr="00F259A2">
        <w:t>, 4–9</w:t>
      </w:r>
    </w:p>
    <w:p w14:paraId="44390A95" w14:textId="77777777" w:rsidR="001C1B16" w:rsidRPr="00F259A2" w:rsidRDefault="00AB347E" w:rsidP="008A5EE5">
      <w:pPr>
        <w:pStyle w:val="Bibliography"/>
        <w:spacing w:line="480" w:lineRule="auto"/>
      </w:pPr>
      <w:r w:rsidRPr="00F259A2">
        <w:rPr>
          <w:b/>
          <w:bCs/>
        </w:rPr>
        <w:t>77</w:t>
      </w:r>
      <w:r w:rsidRPr="00F259A2">
        <w:t>.</w:t>
      </w:r>
      <w:r w:rsidRPr="00F259A2">
        <w:tab/>
        <w:t xml:space="preserve">du Manoir S., Schröck E., Bentz M. </w:t>
      </w:r>
      <w:r w:rsidR="008B5C98" w:rsidRPr="008B5C98">
        <w:rPr>
          <w:i/>
        </w:rPr>
        <w:t>et al</w:t>
      </w:r>
      <w:r w:rsidRPr="00F259A2">
        <w:t xml:space="preserve">. (1995) Quantitative analysis of comparative genomic hybridization. </w:t>
      </w:r>
      <w:r w:rsidRPr="00F259A2">
        <w:rPr>
          <w:i/>
          <w:iCs/>
        </w:rPr>
        <w:t>Cytometry</w:t>
      </w:r>
      <w:r w:rsidR="00265DDC" w:rsidRPr="00F259A2">
        <w:rPr>
          <w:i/>
          <w:iCs/>
        </w:rPr>
        <w:t xml:space="preserve"> </w:t>
      </w:r>
      <w:r w:rsidRPr="00F259A2">
        <w:rPr>
          <w:b/>
          <w:bCs/>
        </w:rPr>
        <w:t>19</w:t>
      </w:r>
      <w:r w:rsidRPr="00F259A2">
        <w:t>, 27–41</w:t>
      </w:r>
    </w:p>
    <w:p w14:paraId="5B57CB3F" w14:textId="77777777" w:rsidR="001C1B16" w:rsidRPr="00F259A2" w:rsidRDefault="00AB347E" w:rsidP="008A5EE5">
      <w:pPr>
        <w:pStyle w:val="Bibliography"/>
        <w:spacing w:line="480" w:lineRule="auto"/>
      </w:pPr>
      <w:r w:rsidRPr="00F259A2">
        <w:rPr>
          <w:b/>
          <w:bCs/>
        </w:rPr>
        <w:t>78</w:t>
      </w:r>
      <w:r w:rsidRPr="00F259A2">
        <w:t>.</w:t>
      </w:r>
      <w:r w:rsidRPr="00F259A2">
        <w:tab/>
        <w:t xml:space="preserve">Piper J., Rutovitz D., Sudar D. </w:t>
      </w:r>
      <w:r w:rsidR="008B5C98" w:rsidRPr="008B5C98">
        <w:rPr>
          <w:i/>
        </w:rPr>
        <w:t>et al</w:t>
      </w:r>
      <w:r w:rsidRPr="00F259A2">
        <w:t xml:space="preserve">. (1995) Computer image analysis of comparative genomic hybridization. </w:t>
      </w:r>
      <w:r w:rsidRPr="00F259A2">
        <w:rPr>
          <w:i/>
          <w:iCs/>
        </w:rPr>
        <w:t>Cytometry</w:t>
      </w:r>
      <w:r w:rsidR="00265DDC" w:rsidRPr="00F259A2">
        <w:rPr>
          <w:i/>
          <w:iCs/>
        </w:rPr>
        <w:t xml:space="preserve"> </w:t>
      </w:r>
      <w:r w:rsidRPr="00F259A2">
        <w:rPr>
          <w:b/>
          <w:bCs/>
        </w:rPr>
        <w:t>19</w:t>
      </w:r>
      <w:r w:rsidRPr="00F259A2">
        <w:t>, 10–26</w:t>
      </w:r>
    </w:p>
    <w:p w14:paraId="521D16EA" w14:textId="77777777" w:rsidR="001C1B16" w:rsidRPr="00F259A2" w:rsidRDefault="00AB347E" w:rsidP="008A5EE5">
      <w:pPr>
        <w:pStyle w:val="Bibliography"/>
        <w:spacing w:line="480" w:lineRule="auto"/>
      </w:pPr>
      <w:r w:rsidRPr="00F259A2">
        <w:rPr>
          <w:b/>
          <w:bCs/>
        </w:rPr>
        <w:t>79</w:t>
      </w:r>
      <w:r w:rsidRPr="00F259A2">
        <w:t>.</w:t>
      </w:r>
      <w:r w:rsidRPr="00F259A2">
        <w:tab/>
        <w:t xml:space="preserve">Lundsteen C., Maahr J., Christensen, B. </w:t>
      </w:r>
      <w:r w:rsidR="008B5C98" w:rsidRPr="008B5C98">
        <w:rPr>
          <w:i/>
        </w:rPr>
        <w:t>et al</w:t>
      </w:r>
      <w:r w:rsidRPr="00F259A2">
        <w:t xml:space="preserve">. (1995) Image analysis in comparative genomic hybridization. </w:t>
      </w:r>
      <w:r w:rsidRPr="00F259A2">
        <w:rPr>
          <w:i/>
          <w:iCs/>
        </w:rPr>
        <w:t>Cytometry</w:t>
      </w:r>
      <w:r w:rsidR="00265DDC" w:rsidRPr="00F259A2">
        <w:rPr>
          <w:i/>
          <w:iCs/>
        </w:rPr>
        <w:t xml:space="preserve"> </w:t>
      </w:r>
      <w:r w:rsidRPr="00F259A2">
        <w:rPr>
          <w:b/>
          <w:bCs/>
        </w:rPr>
        <w:t>19</w:t>
      </w:r>
      <w:r w:rsidRPr="00F259A2">
        <w:t>, 42–50</w:t>
      </w:r>
    </w:p>
    <w:p w14:paraId="4104DF7B" w14:textId="77777777" w:rsidR="001C1B16" w:rsidRPr="00F259A2" w:rsidRDefault="009A377C" w:rsidP="008A5EE5">
      <w:pPr>
        <w:tabs>
          <w:tab w:val="left" w:pos="-1440"/>
          <w:tab w:val="left" w:pos="-720"/>
        </w:tabs>
        <w:suppressAutoHyphens/>
        <w:spacing w:line="480" w:lineRule="auto"/>
        <w:ind w:left="284" w:hanging="284"/>
        <w:rPr>
          <w:color w:val="000000"/>
        </w:rPr>
      </w:pPr>
      <w:r w:rsidRPr="00F259A2">
        <w:rPr>
          <w:color w:val="000000"/>
        </w:rPr>
        <w:fldChar w:fldCharType="end"/>
      </w:r>
    </w:p>
    <w:p w14:paraId="72FE4EAB" w14:textId="77777777" w:rsidR="001C1B16" w:rsidRPr="00F259A2" w:rsidRDefault="005E6C1B" w:rsidP="008A5EE5">
      <w:pPr>
        <w:spacing w:line="480" w:lineRule="auto"/>
        <w:rPr>
          <w:color w:val="000000"/>
        </w:rPr>
      </w:pPr>
      <w:r w:rsidRPr="00F259A2">
        <w:rPr>
          <w:color w:val="000000"/>
        </w:rPr>
        <w:br w:type="page"/>
      </w:r>
    </w:p>
    <w:p w14:paraId="211CDFEC" w14:textId="77777777" w:rsidR="001C1B16" w:rsidRPr="00F259A2" w:rsidRDefault="005E6C1B" w:rsidP="008A5EE5">
      <w:pPr>
        <w:tabs>
          <w:tab w:val="left" w:pos="-1440"/>
          <w:tab w:val="left" w:pos="-720"/>
        </w:tabs>
        <w:suppressAutoHyphens/>
        <w:spacing w:line="480" w:lineRule="auto"/>
        <w:ind w:left="284" w:hanging="284"/>
        <w:rPr>
          <w:b/>
          <w:color w:val="000000"/>
        </w:rPr>
      </w:pPr>
      <w:r w:rsidRPr="00F259A2">
        <w:rPr>
          <w:b/>
          <w:color w:val="000000"/>
        </w:rPr>
        <w:lastRenderedPageBreak/>
        <w:t>Figure Captions</w:t>
      </w:r>
    </w:p>
    <w:p w14:paraId="6BC7267E" w14:textId="77777777" w:rsidR="001C1B16" w:rsidRPr="00F259A2" w:rsidRDefault="001C1B16" w:rsidP="008A5EE5">
      <w:pPr>
        <w:tabs>
          <w:tab w:val="left" w:pos="-1440"/>
          <w:tab w:val="left" w:pos="-720"/>
        </w:tabs>
        <w:suppressAutoHyphens/>
        <w:spacing w:line="480" w:lineRule="auto"/>
        <w:ind w:left="284" w:hanging="284"/>
        <w:rPr>
          <w:color w:val="000000"/>
        </w:rPr>
      </w:pPr>
    </w:p>
    <w:p w14:paraId="521C8DBC" w14:textId="77777777" w:rsidR="001C1B16" w:rsidRPr="00F259A2" w:rsidRDefault="00B47F7E" w:rsidP="008A5EE5">
      <w:pPr>
        <w:tabs>
          <w:tab w:val="left" w:pos="-1440"/>
          <w:tab w:val="left" w:pos="-720"/>
        </w:tabs>
        <w:suppressAutoHyphens/>
        <w:spacing w:line="480" w:lineRule="auto"/>
        <w:rPr>
          <w:color w:val="000000"/>
        </w:rPr>
      </w:pPr>
      <w:r w:rsidRPr="00F259A2">
        <w:rPr>
          <w:b/>
          <w:color w:val="000000"/>
        </w:rPr>
        <w:t>Figure 1</w:t>
      </w:r>
      <w:r w:rsidRPr="00F259A2">
        <w:rPr>
          <w:color w:val="000000"/>
        </w:rPr>
        <w:t xml:space="preserve">: </w:t>
      </w:r>
    </w:p>
    <w:p w14:paraId="2C7636BF" w14:textId="77777777" w:rsidR="001C1B16" w:rsidRPr="00F259A2" w:rsidRDefault="00B47F7E" w:rsidP="008A5EE5">
      <w:pPr>
        <w:tabs>
          <w:tab w:val="left" w:pos="-1440"/>
          <w:tab w:val="left" w:pos="-720"/>
        </w:tabs>
        <w:suppressAutoHyphens/>
        <w:spacing w:line="480" w:lineRule="auto"/>
        <w:rPr>
          <w:color w:val="000000"/>
        </w:rPr>
      </w:pPr>
      <w:r w:rsidRPr="00F259A2">
        <w:rPr>
          <w:color w:val="000000"/>
        </w:rPr>
        <w:t>Chromosomal CGH – Representation of gain (on p</w:t>
      </w:r>
      <w:r w:rsidR="00AD5B6B">
        <w:rPr>
          <w:color w:val="000000"/>
        </w:rPr>
        <w:t>--</w:t>
      </w:r>
      <w:r w:rsidRPr="00F259A2">
        <w:rPr>
          <w:color w:val="000000"/>
        </w:rPr>
        <w:t>arm) and loss (terminal on q</w:t>
      </w:r>
      <w:r w:rsidR="00AD5B6B">
        <w:rPr>
          <w:color w:val="000000"/>
        </w:rPr>
        <w:t>--</w:t>
      </w:r>
      <w:r w:rsidRPr="00F259A2">
        <w:rPr>
          <w:color w:val="000000"/>
        </w:rPr>
        <w:t xml:space="preserve">arm) of chromosomal material in the test genome </w:t>
      </w:r>
      <w:r w:rsidR="00E44CCC" w:rsidRPr="00F259A2">
        <w:rPr>
          <w:color w:val="000000"/>
        </w:rPr>
        <w:t>in relation to the reference / control genome</w:t>
      </w:r>
      <w:r w:rsidRPr="00F259A2">
        <w:rPr>
          <w:color w:val="000000"/>
        </w:rPr>
        <w:t xml:space="preserve">. </w:t>
      </w:r>
      <w:r w:rsidR="00E44CCC" w:rsidRPr="00F259A2">
        <w:rPr>
          <w:color w:val="000000"/>
        </w:rPr>
        <w:t>After hybridization DNA probes</w:t>
      </w:r>
      <w:r w:rsidR="00AD6BF9" w:rsidRPr="00F259A2">
        <w:rPr>
          <w:color w:val="000000"/>
        </w:rPr>
        <w:t xml:space="preserve"> made from genomic DNA of the test and the control cells</w:t>
      </w:r>
      <w:r w:rsidR="00E44CCC" w:rsidRPr="00F259A2">
        <w:rPr>
          <w:color w:val="000000"/>
        </w:rPr>
        <w:t>, t</w:t>
      </w:r>
      <w:r w:rsidRPr="00F259A2">
        <w:rPr>
          <w:color w:val="000000"/>
        </w:rPr>
        <w:t xml:space="preserve">he </w:t>
      </w:r>
      <w:r w:rsidR="00E44CCC" w:rsidRPr="00F259A2">
        <w:rPr>
          <w:color w:val="000000"/>
        </w:rPr>
        <w:t xml:space="preserve">fluorescence </w:t>
      </w:r>
      <w:r w:rsidRPr="00F259A2">
        <w:rPr>
          <w:color w:val="000000"/>
        </w:rPr>
        <w:t xml:space="preserve">ratio of 1.0 = </w:t>
      </w:r>
      <m:oMath>
        <m:box>
          <m:boxPr>
            <m:ctrlPr>
              <w:rPr>
                <w:rFonts w:ascii="Cambria Math" w:hAnsi="Cambria Math"/>
                <w:i/>
                <w:color w:val="000000"/>
              </w:rPr>
            </m:ctrlPr>
          </m:boxPr>
          <m:e>
            <m:argPr>
              <m:argSz m:val="-1"/>
            </m:argPr>
            <m:f>
              <m:fPr>
                <m:ctrlPr>
                  <w:rPr>
                    <w:rFonts w:ascii="Cambria Math" w:hAnsi="Cambria Math"/>
                    <w:i/>
                    <w:color w:val="000000"/>
                  </w:rPr>
                </m:ctrlPr>
              </m:fPr>
              <m:num>
                <m:r>
                  <w:rPr>
                    <w:rFonts w:ascii="Cambria Math" w:hAnsi="Cambria Math"/>
                    <w:color w:val="000000"/>
                  </w:rPr>
                  <m:t>2</m:t>
                </m:r>
              </m:num>
              <m:den>
                <m:r>
                  <w:rPr>
                    <w:rFonts w:ascii="Cambria Math" w:hAnsi="Cambria Math"/>
                    <w:color w:val="000000"/>
                  </w:rPr>
                  <m:t>2</m:t>
                </m:r>
              </m:den>
            </m:f>
          </m:e>
        </m:box>
      </m:oMath>
      <w:r w:rsidRPr="00F259A2">
        <w:rPr>
          <w:color w:val="000000"/>
        </w:rPr>
        <w:t xml:space="preserve"> indicates two copies of homologue sequence throughout the chromosome / genome </w:t>
      </w:r>
      <w:r w:rsidR="0071309A" w:rsidRPr="0071309A">
        <w:rPr>
          <w:color w:val="000000"/>
        </w:rPr>
        <w:t>--</w:t>
      </w:r>
      <w:r w:rsidRPr="00F259A2">
        <w:rPr>
          <w:color w:val="000000"/>
        </w:rPr>
        <w:t xml:space="preserve"> for both the control and test genomic DNA. The loss of one or even two homologues </w:t>
      </w:r>
      <w:proofErr w:type="gramStart"/>
      <w:r w:rsidRPr="00F259A2">
        <w:rPr>
          <w:color w:val="000000"/>
        </w:rPr>
        <w:t>leads</w:t>
      </w:r>
      <w:proofErr w:type="gramEnd"/>
      <w:r w:rsidRPr="00F259A2">
        <w:rPr>
          <w:color w:val="000000"/>
        </w:rPr>
        <w:t xml:space="preserve"> to ratios of 0.5 = </w:t>
      </w:r>
      <m:oMath>
        <m:box>
          <m:boxPr>
            <m:ctrlPr>
              <w:rPr>
                <w:rFonts w:ascii="Cambria Math" w:hAnsi="Cambria Math"/>
                <w:i/>
                <w:color w:val="000000"/>
              </w:rPr>
            </m:ctrlPr>
          </m:boxPr>
          <m:e>
            <m:argPr>
              <m:argSz m:val="-1"/>
            </m:argP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2</m:t>
                </m:r>
              </m:den>
            </m:f>
          </m:e>
        </m:box>
      </m:oMath>
      <w:r w:rsidRPr="00F259A2">
        <w:rPr>
          <w:color w:val="000000"/>
        </w:rPr>
        <w:t xml:space="preserve"> or 0 = </w:t>
      </w:r>
      <m:oMath>
        <m:box>
          <m:boxPr>
            <m:ctrlPr>
              <w:rPr>
                <w:rFonts w:ascii="Cambria Math" w:hAnsi="Cambria Math"/>
                <w:i/>
                <w:color w:val="000000"/>
              </w:rPr>
            </m:ctrlPr>
          </m:boxPr>
          <m:e>
            <m:argPr>
              <m:argSz m:val="-1"/>
            </m:argPr>
            <m:f>
              <m:fPr>
                <m:ctrlPr>
                  <w:rPr>
                    <w:rFonts w:ascii="Cambria Math" w:hAnsi="Cambria Math"/>
                    <w:i/>
                    <w:color w:val="000000"/>
                  </w:rPr>
                </m:ctrlPr>
              </m:fPr>
              <m:num>
                <m:r>
                  <w:rPr>
                    <w:rFonts w:ascii="Cambria Math" w:hAnsi="Cambria Math"/>
                    <w:color w:val="000000"/>
                  </w:rPr>
                  <m:t>0</m:t>
                </m:r>
              </m:num>
              <m:den>
                <m:r>
                  <w:rPr>
                    <w:rFonts w:ascii="Cambria Math" w:hAnsi="Cambria Math"/>
                    <w:color w:val="000000"/>
                  </w:rPr>
                  <m:t>2</m:t>
                </m:r>
              </m:den>
            </m:f>
          </m:e>
        </m:box>
      </m:oMath>
      <w:r w:rsidRPr="00F259A2">
        <w:rPr>
          <w:color w:val="000000"/>
        </w:rPr>
        <w:t>, respectively. The latter then only shows the fluorescence of the fluor</w:t>
      </w:r>
      <w:r w:rsidR="00E44CCC" w:rsidRPr="00F259A2">
        <w:rPr>
          <w:color w:val="000000"/>
        </w:rPr>
        <w:t>escently labelled control DNA</w:t>
      </w:r>
      <w:r w:rsidRPr="00F259A2">
        <w:rPr>
          <w:color w:val="000000"/>
        </w:rPr>
        <w:t xml:space="preserve">. </w:t>
      </w:r>
    </w:p>
    <w:p w14:paraId="4E1F01DF" w14:textId="77777777" w:rsidR="001C1B16" w:rsidRPr="00F259A2" w:rsidRDefault="001C1B16" w:rsidP="008A5EE5">
      <w:pPr>
        <w:tabs>
          <w:tab w:val="left" w:pos="-1440"/>
          <w:tab w:val="left" w:pos="-720"/>
        </w:tabs>
        <w:suppressAutoHyphens/>
        <w:spacing w:line="480" w:lineRule="auto"/>
        <w:ind w:left="284" w:hanging="284"/>
        <w:rPr>
          <w:color w:val="000000"/>
        </w:rPr>
      </w:pPr>
    </w:p>
    <w:p w14:paraId="1697A29A" w14:textId="77777777" w:rsidR="001C1B16" w:rsidRPr="00F259A2" w:rsidRDefault="001C1B16" w:rsidP="008A5EE5">
      <w:pPr>
        <w:tabs>
          <w:tab w:val="left" w:pos="-1440"/>
          <w:tab w:val="left" w:pos="-720"/>
        </w:tabs>
        <w:suppressAutoHyphens/>
        <w:spacing w:line="480" w:lineRule="auto"/>
        <w:ind w:left="284" w:hanging="284"/>
        <w:rPr>
          <w:color w:val="000000"/>
        </w:rPr>
      </w:pPr>
    </w:p>
    <w:p w14:paraId="5245B893" w14:textId="77777777" w:rsidR="001C1B16" w:rsidRPr="00F259A2" w:rsidRDefault="001C1B16" w:rsidP="008A5EE5">
      <w:pPr>
        <w:tabs>
          <w:tab w:val="left" w:pos="-1440"/>
          <w:tab w:val="left" w:pos="-720"/>
        </w:tabs>
        <w:suppressAutoHyphens/>
        <w:spacing w:line="480" w:lineRule="auto"/>
        <w:ind w:left="284" w:hanging="284"/>
        <w:rPr>
          <w:color w:val="000000"/>
        </w:rPr>
      </w:pPr>
    </w:p>
    <w:p w14:paraId="57C6B5F2" w14:textId="77777777" w:rsidR="001C1B16" w:rsidRPr="00F259A2" w:rsidRDefault="005E6C1B" w:rsidP="008A5EE5">
      <w:pPr>
        <w:tabs>
          <w:tab w:val="left" w:pos="-1440"/>
          <w:tab w:val="left" w:pos="-720"/>
        </w:tabs>
        <w:suppressAutoHyphens/>
        <w:spacing w:line="480" w:lineRule="auto"/>
        <w:rPr>
          <w:color w:val="000000"/>
        </w:rPr>
      </w:pPr>
      <w:r w:rsidRPr="00F259A2">
        <w:rPr>
          <w:b/>
          <w:color w:val="000000"/>
        </w:rPr>
        <w:t>Figure 2</w:t>
      </w:r>
      <w:r w:rsidRPr="00F259A2">
        <w:rPr>
          <w:color w:val="000000"/>
        </w:rPr>
        <w:t xml:space="preserve">: </w:t>
      </w:r>
    </w:p>
    <w:p w14:paraId="7D3ED6E2" w14:textId="77777777" w:rsidR="001C1B16" w:rsidRPr="00F259A2" w:rsidRDefault="005E6C1B" w:rsidP="008A5EE5">
      <w:pPr>
        <w:tabs>
          <w:tab w:val="left" w:pos="-1440"/>
          <w:tab w:val="left" w:pos="-720"/>
        </w:tabs>
        <w:suppressAutoHyphens/>
        <w:spacing w:line="480" w:lineRule="auto"/>
        <w:rPr>
          <w:color w:val="000000"/>
        </w:rPr>
      </w:pPr>
      <w:r w:rsidRPr="00F259A2">
        <w:rPr>
          <w:color w:val="000000"/>
        </w:rPr>
        <w:t>Array CGH. Fluorescently labelled cDNAs generated from RNA of both control and test cells are hybridized onto a DNA chip (e.g. oligonucleotide microarray). Subsequent evaluation of the resulting dot matrix on the chip produces the gene expressio</w:t>
      </w:r>
      <w:r w:rsidR="00933064" w:rsidRPr="00F259A2">
        <w:rPr>
          <w:color w:val="000000"/>
        </w:rPr>
        <w:t>n profile of the studied cells.</w:t>
      </w:r>
    </w:p>
    <w:p w14:paraId="6EC6915D" w14:textId="77777777" w:rsidR="001C1B16" w:rsidRPr="00F259A2" w:rsidRDefault="005E6C1B" w:rsidP="008A5EE5">
      <w:pPr>
        <w:spacing w:line="480" w:lineRule="auto"/>
        <w:rPr>
          <w:color w:val="000000"/>
        </w:rPr>
      </w:pPr>
      <w:r w:rsidRPr="00F259A2">
        <w:rPr>
          <w:color w:val="000000"/>
        </w:rPr>
        <w:br w:type="page"/>
      </w:r>
    </w:p>
    <w:p w14:paraId="52C380F7" w14:textId="77777777" w:rsidR="001C1B16" w:rsidRPr="00F259A2" w:rsidRDefault="005E6C1B" w:rsidP="008A5EE5">
      <w:pPr>
        <w:tabs>
          <w:tab w:val="left" w:pos="-1440"/>
          <w:tab w:val="left" w:pos="-720"/>
        </w:tabs>
        <w:suppressAutoHyphens/>
        <w:spacing w:line="480" w:lineRule="auto"/>
        <w:ind w:left="284" w:hanging="284"/>
        <w:rPr>
          <w:b/>
          <w:color w:val="000000"/>
        </w:rPr>
      </w:pPr>
      <w:r w:rsidRPr="00F259A2">
        <w:rPr>
          <w:b/>
          <w:color w:val="000000"/>
        </w:rPr>
        <w:lastRenderedPageBreak/>
        <w:t>Table Captions</w:t>
      </w:r>
    </w:p>
    <w:p w14:paraId="31375807" w14:textId="77777777" w:rsidR="001C1B16" w:rsidRPr="00F259A2" w:rsidRDefault="005E6C1B" w:rsidP="008A5EE5">
      <w:pPr>
        <w:pStyle w:val="Footer"/>
        <w:tabs>
          <w:tab w:val="clear" w:pos="4536"/>
          <w:tab w:val="clear" w:pos="9072"/>
        </w:tabs>
        <w:spacing w:line="480" w:lineRule="auto"/>
        <w:rPr>
          <w:b/>
          <w:color w:val="000000"/>
        </w:rPr>
      </w:pPr>
      <w:r w:rsidRPr="00F259A2">
        <w:rPr>
          <w:b/>
          <w:color w:val="000000"/>
        </w:rPr>
        <w:t xml:space="preserve">Table 1: </w:t>
      </w:r>
    </w:p>
    <w:p w14:paraId="3338C548" w14:textId="77777777" w:rsidR="001C1B16" w:rsidRPr="00F259A2" w:rsidRDefault="005E6C1B" w:rsidP="008A5EE5">
      <w:pPr>
        <w:pStyle w:val="Footer"/>
        <w:tabs>
          <w:tab w:val="clear" w:pos="4536"/>
          <w:tab w:val="clear" w:pos="9072"/>
        </w:tabs>
        <w:spacing w:line="480" w:lineRule="auto"/>
        <w:rPr>
          <w:color w:val="000000"/>
        </w:rPr>
      </w:pPr>
      <w:r w:rsidRPr="00F259A2">
        <w:rPr>
          <w:color w:val="000000"/>
        </w:rPr>
        <w:t>Exemplary mixtures for labelling normal and test genomic DNA by using Nick translation. The test DNA can be for instance from a tumour.</w:t>
      </w:r>
    </w:p>
    <w:p w14:paraId="23F53299" w14:textId="77777777" w:rsidR="001C1B16" w:rsidRPr="00F259A2" w:rsidRDefault="001C1B16" w:rsidP="008A5EE5">
      <w:pPr>
        <w:pStyle w:val="Footer"/>
        <w:tabs>
          <w:tab w:val="clear" w:pos="4536"/>
          <w:tab w:val="clear" w:pos="9072"/>
        </w:tabs>
        <w:spacing w:line="480" w:lineRule="auto"/>
        <w:rPr>
          <w:color w:val="000000"/>
        </w:rPr>
      </w:pPr>
    </w:p>
    <w:p w14:paraId="10A2F073" w14:textId="77777777" w:rsidR="001C1B16" w:rsidRPr="00F259A2" w:rsidRDefault="005E6C1B" w:rsidP="008A5EE5">
      <w:pPr>
        <w:pStyle w:val="Footer"/>
        <w:tabs>
          <w:tab w:val="clear" w:pos="4536"/>
          <w:tab w:val="clear" w:pos="9072"/>
        </w:tabs>
        <w:spacing w:line="480" w:lineRule="auto"/>
        <w:rPr>
          <w:color w:val="000000"/>
        </w:rPr>
      </w:pPr>
      <w:r w:rsidRPr="00F259A2">
        <w:rPr>
          <w:b/>
          <w:color w:val="000000"/>
        </w:rPr>
        <w:t>Table 2:</w:t>
      </w:r>
    </w:p>
    <w:p w14:paraId="55EF2F96" w14:textId="77777777" w:rsidR="001C1B16" w:rsidRPr="00F259A2" w:rsidRDefault="005E6C1B" w:rsidP="008A5EE5">
      <w:pPr>
        <w:pStyle w:val="Footer"/>
        <w:tabs>
          <w:tab w:val="clear" w:pos="4536"/>
          <w:tab w:val="clear" w:pos="9072"/>
        </w:tabs>
        <w:spacing w:line="480" w:lineRule="auto"/>
        <w:rPr>
          <w:color w:val="000000"/>
        </w:rPr>
      </w:pPr>
      <w:r w:rsidRPr="00F259A2">
        <w:rPr>
          <w:color w:val="000000"/>
        </w:rPr>
        <w:t xml:space="preserve">Exemplary mixture of various </w:t>
      </w:r>
      <w:r w:rsidR="00591F12" w:rsidRPr="00F259A2">
        <w:rPr>
          <w:color w:val="000000"/>
        </w:rPr>
        <w:t xml:space="preserve">probe DNA </w:t>
      </w:r>
      <w:r w:rsidRPr="00F259A2">
        <w:rPr>
          <w:color w:val="000000"/>
        </w:rPr>
        <w:t>for CGH</w:t>
      </w:r>
    </w:p>
    <w:p w14:paraId="54017617" w14:textId="77777777" w:rsidR="001C1B16" w:rsidRPr="00F259A2" w:rsidRDefault="001C1B16" w:rsidP="008A5EE5">
      <w:pPr>
        <w:pStyle w:val="Footer"/>
        <w:tabs>
          <w:tab w:val="clear" w:pos="4536"/>
          <w:tab w:val="clear" w:pos="9072"/>
        </w:tabs>
        <w:spacing w:line="480" w:lineRule="auto"/>
        <w:rPr>
          <w:color w:val="000000"/>
        </w:rPr>
      </w:pPr>
    </w:p>
    <w:p w14:paraId="571C4013" w14:textId="77777777" w:rsidR="001C1B16" w:rsidRPr="00F259A2" w:rsidRDefault="001C1B16" w:rsidP="008A5EE5">
      <w:pPr>
        <w:pStyle w:val="Footer"/>
        <w:tabs>
          <w:tab w:val="clear" w:pos="4536"/>
          <w:tab w:val="clear" w:pos="9072"/>
        </w:tabs>
        <w:spacing w:line="480" w:lineRule="auto"/>
        <w:rPr>
          <w:color w:val="000000"/>
        </w:rPr>
      </w:pPr>
    </w:p>
    <w:p w14:paraId="71D2EC12" w14:textId="77777777" w:rsidR="001C1B16" w:rsidRPr="00F259A2" w:rsidRDefault="005E6C1B" w:rsidP="008A5EE5">
      <w:pPr>
        <w:pStyle w:val="Footer"/>
        <w:tabs>
          <w:tab w:val="clear" w:pos="4536"/>
          <w:tab w:val="clear" w:pos="9072"/>
        </w:tabs>
        <w:spacing w:line="480" w:lineRule="auto"/>
        <w:rPr>
          <w:color w:val="000000"/>
        </w:rPr>
      </w:pPr>
      <w:r w:rsidRPr="00F259A2">
        <w:rPr>
          <w:color w:val="000000"/>
        </w:rPr>
        <w:br w:type="page"/>
      </w:r>
    </w:p>
    <w:p w14:paraId="43B76035" w14:textId="77777777" w:rsidR="001C1B16" w:rsidRPr="00F259A2" w:rsidRDefault="005E6C1B" w:rsidP="008A5EE5">
      <w:pPr>
        <w:tabs>
          <w:tab w:val="left" w:pos="-1440"/>
          <w:tab w:val="left" w:pos="-720"/>
        </w:tabs>
        <w:suppressAutoHyphens/>
        <w:spacing w:line="480" w:lineRule="auto"/>
        <w:ind w:left="284" w:hanging="284"/>
        <w:rPr>
          <w:b/>
          <w:color w:val="000000"/>
        </w:rPr>
      </w:pPr>
      <w:r w:rsidRPr="00F259A2">
        <w:rPr>
          <w:b/>
          <w:color w:val="000000"/>
        </w:rPr>
        <w:lastRenderedPageBreak/>
        <w:t>Table 1:</w:t>
      </w:r>
    </w:p>
    <w:p w14:paraId="6CF299DB" w14:textId="77777777" w:rsidR="001C1B16" w:rsidRPr="00F259A2" w:rsidRDefault="001C1B16" w:rsidP="008A5EE5">
      <w:pPr>
        <w:tabs>
          <w:tab w:val="left" w:pos="-1440"/>
          <w:tab w:val="left" w:pos="-720"/>
        </w:tabs>
        <w:suppressAutoHyphens/>
        <w:spacing w:line="480" w:lineRule="auto"/>
        <w:ind w:left="284" w:hanging="284"/>
        <w:rPr>
          <w:b/>
          <w:color w:val="000000"/>
        </w:rPr>
      </w:pPr>
    </w:p>
    <w:tbl>
      <w:tblPr>
        <w:tblW w:w="8222" w:type="dxa"/>
        <w:tblInd w:w="250" w:type="dxa"/>
        <w:tblLook w:val="04A0" w:firstRow="1" w:lastRow="0" w:firstColumn="1" w:lastColumn="0" w:noHBand="0" w:noVBand="1"/>
      </w:tblPr>
      <w:tblGrid>
        <w:gridCol w:w="5103"/>
        <w:gridCol w:w="1418"/>
        <w:gridCol w:w="1701"/>
      </w:tblGrid>
      <w:tr w:rsidR="005E6C1B" w:rsidRPr="00F259A2" w14:paraId="6FC7266C" w14:textId="77777777" w:rsidTr="005E6C1B">
        <w:tc>
          <w:tcPr>
            <w:tcW w:w="5103" w:type="dxa"/>
            <w:tcBorders>
              <w:top w:val="single" w:sz="4" w:space="0" w:color="auto"/>
              <w:bottom w:val="single" w:sz="4" w:space="0" w:color="auto"/>
            </w:tcBorders>
            <w:shd w:val="clear" w:color="auto" w:fill="auto"/>
            <w:vAlign w:val="center"/>
          </w:tcPr>
          <w:p w14:paraId="32056723" w14:textId="77777777" w:rsidR="001C1B16" w:rsidRPr="00F259A2" w:rsidRDefault="005E6C1B" w:rsidP="008A5EE5">
            <w:pPr>
              <w:pStyle w:val="Footer"/>
              <w:tabs>
                <w:tab w:val="clear" w:pos="4536"/>
                <w:tab w:val="clear" w:pos="9072"/>
              </w:tabs>
              <w:spacing w:line="480" w:lineRule="auto"/>
              <w:rPr>
                <w:color w:val="000000"/>
              </w:rPr>
            </w:pPr>
            <w:r w:rsidRPr="00F259A2">
              <w:rPr>
                <w:color w:val="000000"/>
              </w:rPr>
              <w:t>Reagents</w:t>
            </w:r>
          </w:p>
        </w:tc>
        <w:tc>
          <w:tcPr>
            <w:tcW w:w="1418" w:type="dxa"/>
            <w:tcBorders>
              <w:top w:val="single" w:sz="4" w:space="0" w:color="auto"/>
              <w:bottom w:val="single" w:sz="4" w:space="0" w:color="auto"/>
            </w:tcBorders>
            <w:shd w:val="clear" w:color="auto" w:fill="auto"/>
          </w:tcPr>
          <w:p w14:paraId="145277DE" w14:textId="77777777" w:rsidR="001C1B16" w:rsidRPr="00F259A2" w:rsidRDefault="005E6C1B" w:rsidP="008A5EE5">
            <w:pPr>
              <w:pStyle w:val="Footer"/>
              <w:tabs>
                <w:tab w:val="clear" w:pos="4536"/>
                <w:tab w:val="clear" w:pos="9072"/>
              </w:tabs>
              <w:spacing w:line="480" w:lineRule="auto"/>
              <w:rPr>
                <w:color w:val="000000"/>
              </w:rPr>
            </w:pPr>
            <w:r w:rsidRPr="00F259A2">
              <w:rPr>
                <w:color w:val="000000"/>
              </w:rPr>
              <w:t>Reference DNA [</w:t>
            </w:r>
            <w:r w:rsidR="00F97688" w:rsidRPr="00F97688">
              <w:rPr>
                <w:color w:val="000000"/>
              </w:rPr>
              <w:t>µL</w:t>
            </w:r>
            <w:r w:rsidRPr="00F259A2">
              <w:rPr>
                <w:color w:val="000000"/>
              </w:rPr>
              <w:t>]</w:t>
            </w:r>
          </w:p>
        </w:tc>
        <w:tc>
          <w:tcPr>
            <w:tcW w:w="1701" w:type="dxa"/>
            <w:tcBorders>
              <w:top w:val="single" w:sz="4" w:space="0" w:color="auto"/>
              <w:bottom w:val="single" w:sz="4" w:space="0" w:color="auto"/>
            </w:tcBorders>
            <w:shd w:val="clear" w:color="auto" w:fill="auto"/>
          </w:tcPr>
          <w:p w14:paraId="3ACD446F" w14:textId="77777777" w:rsidR="001C1B16" w:rsidRPr="00F259A2" w:rsidRDefault="005E6C1B" w:rsidP="008A5EE5">
            <w:pPr>
              <w:pStyle w:val="Footer"/>
              <w:tabs>
                <w:tab w:val="clear" w:pos="4536"/>
                <w:tab w:val="clear" w:pos="9072"/>
              </w:tabs>
              <w:spacing w:line="480" w:lineRule="auto"/>
              <w:rPr>
                <w:color w:val="000000"/>
              </w:rPr>
            </w:pPr>
            <w:r w:rsidRPr="00F259A2">
              <w:rPr>
                <w:color w:val="000000"/>
              </w:rPr>
              <w:t xml:space="preserve">Test </w:t>
            </w:r>
            <w:r w:rsidRPr="00F259A2">
              <w:rPr>
                <w:color w:val="000000"/>
              </w:rPr>
              <w:br/>
              <w:t>DNA [</w:t>
            </w:r>
            <w:r w:rsidR="00F97688" w:rsidRPr="00F97688">
              <w:rPr>
                <w:color w:val="000000"/>
              </w:rPr>
              <w:t>µL</w:t>
            </w:r>
            <w:r w:rsidRPr="00F259A2">
              <w:rPr>
                <w:color w:val="000000"/>
              </w:rPr>
              <w:t>]</w:t>
            </w:r>
          </w:p>
        </w:tc>
      </w:tr>
      <w:tr w:rsidR="005E6C1B" w:rsidRPr="00F259A2" w14:paraId="32E62905" w14:textId="77777777" w:rsidTr="005E6C1B">
        <w:tc>
          <w:tcPr>
            <w:tcW w:w="5103" w:type="dxa"/>
            <w:tcBorders>
              <w:top w:val="single" w:sz="4" w:space="0" w:color="auto"/>
            </w:tcBorders>
            <w:shd w:val="clear" w:color="auto" w:fill="auto"/>
          </w:tcPr>
          <w:p w14:paraId="4619DDBE" w14:textId="77777777" w:rsidR="001C1B16" w:rsidRPr="00F259A2" w:rsidRDefault="005E6C1B" w:rsidP="008A5EE5">
            <w:pPr>
              <w:pStyle w:val="Footer"/>
              <w:tabs>
                <w:tab w:val="clear" w:pos="4536"/>
                <w:tab w:val="clear" w:pos="9072"/>
              </w:tabs>
              <w:spacing w:line="480" w:lineRule="auto"/>
              <w:rPr>
                <w:color w:val="000000"/>
              </w:rPr>
            </w:pPr>
            <w:r w:rsidRPr="00F259A2">
              <w:rPr>
                <w:color w:val="000000"/>
              </w:rPr>
              <w:t>Water (pure, autoclaved)</w:t>
            </w:r>
          </w:p>
        </w:tc>
        <w:tc>
          <w:tcPr>
            <w:tcW w:w="1418" w:type="dxa"/>
            <w:tcBorders>
              <w:top w:val="single" w:sz="4" w:space="0" w:color="auto"/>
            </w:tcBorders>
            <w:shd w:val="clear" w:color="auto" w:fill="auto"/>
          </w:tcPr>
          <w:p w14:paraId="695C9A10" w14:textId="77777777" w:rsidR="001C1B16" w:rsidRPr="00F259A2" w:rsidRDefault="005E6C1B" w:rsidP="008A5EE5">
            <w:pPr>
              <w:pStyle w:val="Footer"/>
              <w:tabs>
                <w:tab w:val="clear" w:pos="4536"/>
                <w:tab w:val="clear" w:pos="9072"/>
              </w:tabs>
              <w:spacing w:line="480" w:lineRule="auto"/>
              <w:rPr>
                <w:color w:val="000000"/>
              </w:rPr>
            </w:pPr>
            <w:r w:rsidRPr="00F259A2">
              <w:rPr>
                <w:color w:val="000000"/>
              </w:rPr>
              <w:t>53.4</w:t>
            </w:r>
          </w:p>
        </w:tc>
        <w:tc>
          <w:tcPr>
            <w:tcW w:w="1701" w:type="dxa"/>
            <w:tcBorders>
              <w:top w:val="single" w:sz="4" w:space="0" w:color="auto"/>
            </w:tcBorders>
            <w:shd w:val="clear" w:color="auto" w:fill="auto"/>
          </w:tcPr>
          <w:p w14:paraId="208F4210" w14:textId="77777777" w:rsidR="001C1B16" w:rsidRPr="00F259A2" w:rsidRDefault="005E6C1B" w:rsidP="008A5EE5">
            <w:pPr>
              <w:pStyle w:val="Footer"/>
              <w:tabs>
                <w:tab w:val="clear" w:pos="4536"/>
                <w:tab w:val="clear" w:pos="9072"/>
              </w:tabs>
              <w:spacing w:line="480" w:lineRule="auto"/>
              <w:rPr>
                <w:color w:val="000000"/>
              </w:rPr>
            </w:pPr>
            <w:r w:rsidRPr="00F259A2">
              <w:rPr>
                <w:color w:val="000000"/>
              </w:rPr>
              <w:t>53.4</w:t>
            </w:r>
          </w:p>
        </w:tc>
      </w:tr>
      <w:tr w:rsidR="005E6C1B" w:rsidRPr="00F259A2" w14:paraId="4060CD1F" w14:textId="77777777" w:rsidTr="005E6C1B">
        <w:tc>
          <w:tcPr>
            <w:tcW w:w="5103" w:type="dxa"/>
            <w:shd w:val="clear" w:color="auto" w:fill="auto"/>
          </w:tcPr>
          <w:p w14:paraId="42C06A0D" w14:textId="77777777" w:rsidR="001C1B16" w:rsidRPr="00F259A2" w:rsidRDefault="005E6C1B" w:rsidP="008A5EE5">
            <w:pPr>
              <w:pStyle w:val="Footer"/>
              <w:tabs>
                <w:tab w:val="clear" w:pos="4536"/>
                <w:tab w:val="clear" w:pos="9072"/>
              </w:tabs>
              <w:spacing w:line="480" w:lineRule="auto"/>
              <w:rPr>
                <w:color w:val="000000"/>
              </w:rPr>
            </w:pPr>
            <w:r w:rsidRPr="00F259A2">
              <w:rPr>
                <w:color w:val="000000"/>
              </w:rPr>
              <w:t>Genomic DNA (0.5 µg/</w:t>
            </w:r>
            <w:r w:rsidR="00F97688" w:rsidRPr="00F97688">
              <w:rPr>
                <w:color w:val="000000"/>
              </w:rPr>
              <w:t>µL</w:t>
            </w:r>
            <w:r w:rsidRPr="00F259A2">
              <w:rPr>
                <w:color w:val="000000"/>
              </w:rPr>
              <w:t xml:space="preserve">) </w:t>
            </w:r>
          </w:p>
        </w:tc>
        <w:tc>
          <w:tcPr>
            <w:tcW w:w="1418" w:type="dxa"/>
            <w:shd w:val="clear" w:color="auto" w:fill="auto"/>
          </w:tcPr>
          <w:p w14:paraId="6AB14844" w14:textId="77777777" w:rsidR="001C1B16" w:rsidRPr="00F259A2" w:rsidRDefault="005E6C1B" w:rsidP="008A5EE5">
            <w:pPr>
              <w:pStyle w:val="Footer"/>
              <w:tabs>
                <w:tab w:val="clear" w:pos="4536"/>
                <w:tab w:val="clear" w:pos="9072"/>
              </w:tabs>
              <w:spacing w:line="480" w:lineRule="auto"/>
              <w:rPr>
                <w:color w:val="000000"/>
              </w:rPr>
            </w:pPr>
            <w:r w:rsidRPr="00F259A2">
              <w:rPr>
                <w:color w:val="000000"/>
              </w:rPr>
              <w:t>12</w:t>
            </w:r>
          </w:p>
        </w:tc>
        <w:tc>
          <w:tcPr>
            <w:tcW w:w="1701" w:type="dxa"/>
            <w:shd w:val="clear" w:color="auto" w:fill="auto"/>
          </w:tcPr>
          <w:p w14:paraId="2E2E46D9" w14:textId="77777777" w:rsidR="001C1B16" w:rsidRPr="00F259A2" w:rsidRDefault="005E6C1B" w:rsidP="008A5EE5">
            <w:pPr>
              <w:pStyle w:val="Footer"/>
              <w:tabs>
                <w:tab w:val="clear" w:pos="4536"/>
                <w:tab w:val="clear" w:pos="9072"/>
              </w:tabs>
              <w:spacing w:line="480" w:lineRule="auto"/>
              <w:rPr>
                <w:color w:val="000000"/>
              </w:rPr>
            </w:pPr>
            <w:r w:rsidRPr="00F259A2">
              <w:rPr>
                <w:color w:val="000000"/>
              </w:rPr>
              <w:t>12</w:t>
            </w:r>
          </w:p>
        </w:tc>
      </w:tr>
      <w:tr w:rsidR="005E6C1B" w:rsidRPr="00F259A2" w14:paraId="54F9A77C" w14:textId="77777777" w:rsidTr="005E6C1B">
        <w:tc>
          <w:tcPr>
            <w:tcW w:w="5103" w:type="dxa"/>
            <w:shd w:val="clear" w:color="auto" w:fill="auto"/>
          </w:tcPr>
          <w:p w14:paraId="5CA9F361" w14:textId="77777777" w:rsidR="001C1B16" w:rsidRPr="00F259A2" w:rsidRDefault="005E6C1B" w:rsidP="008A5EE5">
            <w:pPr>
              <w:pStyle w:val="Footer"/>
              <w:tabs>
                <w:tab w:val="clear" w:pos="4536"/>
                <w:tab w:val="clear" w:pos="9072"/>
              </w:tabs>
              <w:spacing w:line="480" w:lineRule="auto"/>
              <w:rPr>
                <w:color w:val="000000"/>
              </w:rPr>
            </w:pPr>
            <w:r w:rsidRPr="00F259A2">
              <w:rPr>
                <w:color w:val="000000"/>
              </w:rPr>
              <w:t>Nick</w:t>
            </w:r>
            <w:r w:rsidR="00AD5B6B">
              <w:rPr>
                <w:color w:val="000000"/>
              </w:rPr>
              <w:t>--</w:t>
            </w:r>
            <w:r w:rsidRPr="00F259A2">
              <w:rPr>
                <w:color w:val="000000"/>
              </w:rPr>
              <w:t>Translation Buffer (10x)</w:t>
            </w:r>
          </w:p>
        </w:tc>
        <w:tc>
          <w:tcPr>
            <w:tcW w:w="1418" w:type="dxa"/>
            <w:shd w:val="clear" w:color="auto" w:fill="auto"/>
          </w:tcPr>
          <w:p w14:paraId="7EEAB743" w14:textId="77777777" w:rsidR="001C1B16" w:rsidRPr="00F259A2" w:rsidRDefault="005E6C1B" w:rsidP="008A5EE5">
            <w:pPr>
              <w:pStyle w:val="Footer"/>
              <w:tabs>
                <w:tab w:val="clear" w:pos="4536"/>
                <w:tab w:val="clear" w:pos="9072"/>
              </w:tabs>
              <w:spacing w:line="480" w:lineRule="auto"/>
              <w:rPr>
                <w:color w:val="000000"/>
              </w:rPr>
            </w:pPr>
            <w:r w:rsidRPr="00F259A2">
              <w:rPr>
                <w:color w:val="000000"/>
              </w:rPr>
              <w:t>10</w:t>
            </w:r>
          </w:p>
        </w:tc>
        <w:tc>
          <w:tcPr>
            <w:tcW w:w="1701" w:type="dxa"/>
            <w:shd w:val="clear" w:color="auto" w:fill="auto"/>
          </w:tcPr>
          <w:p w14:paraId="0D857C2E" w14:textId="77777777" w:rsidR="001C1B16" w:rsidRPr="00F259A2" w:rsidRDefault="005E6C1B" w:rsidP="008A5EE5">
            <w:pPr>
              <w:pStyle w:val="Footer"/>
              <w:tabs>
                <w:tab w:val="clear" w:pos="4536"/>
                <w:tab w:val="clear" w:pos="9072"/>
              </w:tabs>
              <w:spacing w:line="480" w:lineRule="auto"/>
              <w:rPr>
                <w:color w:val="000000"/>
              </w:rPr>
            </w:pPr>
            <w:r w:rsidRPr="00F259A2">
              <w:rPr>
                <w:color w:val="000000"/>
              </w:rPr>
              <w:t>10</w:t>
            </w:r>
          </w:p>
        </w:tc>
      </w:tr>
      <w:tr w:rsidR="005E6C1B" w:rsidRPr="00F259A2" w14:paraId="32D7AE1F" w14:textId="77777777" w:rsidTr="005E6C1B">
        <w:tc>
          <w:tcPr>
            <w:tcW w:w="5103" w:type="dxa"/>
            <w:shd w:val="clear" w:color="auto" w:fill="auto"/>
          </w:tcPr>
          <w:p w14:paraId="089B116C" w14:textId="77777777" w:rsidR="001C1B16" w:rsidRPr="00F259A2" w:rsidRDefault="005E6C1B" w:rsidP="008A5EE5">
            <w:pPr>
              <w:pStyle w:val="Footer"/>
              <w:tabs>
                <w:tab w:val="clear" w:pos="4536"/>
                <w:tab w:val="clear" w:pos="9072"/>
              </w:tabs>
              <w:spacing w:line="480" w:lineRule="auto"/>
              <w:rPr>
                <w:color w:val="000000"/>
              </w:rPr>
            </w:pPr>
            <w:proofErr w:type="spellStart"/>
            <w:r w:rsidRPr="00F259A2">
              <w:rPr>
                <w:color w:val="000000"/>
              </w:rPr>
              <w:t>dATP</w:t>
            </w:r>
            <w:proofErr w:type="spellEnd"/>
            <w:r w:rsidRPr="00F259A2">
              <w:rPr>
                <w:color w:val="000000"/>
              </w:rPr>
              <w:t xml:space="preserve"> (40 mM)</w:t>
            </w:r>
          </w:p>
        </w:tc>
        <w:tc>
          <w:tcPr>
            <w:tcW w:w="1418" w:type="dxa"/>
            <w:shd w:val="clear" w:color="auto" w:fill="auto"/>
          </w:tcPr>
          <w:p w14:paraId="3FF819C0" w14:textId="77777777" w:rsidR="001C1B16" w:rsidRPr="00F259A2" w:rsidRDefault="00AD5B6B" w:rsidP="008A5EE5">
            <w:pPr>
              <w:pStyle w:val="Footer"/>
              <w:tabs>
                <w:tab w:val="clear" w:pos="4536"/>
                <w:tab w:val="clear" w:pos="9072"/>
              </w:tabs>
              <w:spacing w:line="480" w:lineRule="auto"/>
              <w:rPr>
                <w:color w:val="000000"/>
              </w:rPr>
            </w:pPr>
            <w:r>
              <w:rPr>
                <w:color w:val="000000"/>
              </w:rPr>
              <w:t>--</w:t>
            </w:r>
          </w:p>
        </w:tc>
        <w:tc>
          <w:tcPr>
            <w:tcW w:w="1701" w:type="dxa"/>
            <w:shd w:val="clear" w:color="auto" w:fill="auto"/>
          </w:tcPr>
          <w:p w14:paraId="2C00B976" w14:textId="77777777" w:rsidR="001C1B16" w:rsidRPr="00F259A2" w:rsidRDefault="005E6C1B" w:rsidP="008A5EE5">
            <w:pPr>
              <w:pStyle w:val="Footer"/>
              <w:tabs>
                <w:tab w:val="clear" w:pos="4536"/>
                <w:tab w:val="clear" w:pos="9072"/>
              </w:tabs>
              <w:spacing w:line="480" w:lineRule="auto"/>
              <w:rPr>
                <w:color w:val="000000"/>
              </w:rPr>
            </w:pPr>
            <w:r w:rsidRPr="00F259A2">
              <w:rPr>
                <w:color w:val="000000"/>
              </w:rPr>
              <w:t>2</w:t>
            </w:r>
          </w:p>
        </w:tc>
      </w:tr>
      <w:tr w:rsidR="005E6C1B" w:rsidRPr="00F259A2" w14:paraId="163B05B9" w14:textId="77777777" w:rsidTr="005E6C1B">
        <w:tc>
          <w:tcPr>
            <w:tcW w:w="5103" w:type="dxa"/>
            <w:shd w:val="clear" w:color="auto" w:fill="auto"/>
          </w:tcPr>
          <w:p w14:paraId="173FB554" w14:textId="77777777" w:rsidR="001C1B16" w:rsidRPr="00F259A2" w:rsidRDefault="005E6C1B" w:rsidP="008A5EE5">
            <w:pPr>
              <w:pStyle w:val="Footer"/>
              <w:tabs>
                <w:tab w:val="clear" w:pos="4536"/>
                <w:tab w:val="clear" w:pos="9072"/>
              </w:tabs>
              <w:spacing w:line="480" w:lineRule="auto"/>
              <w:rPr>
                <w:color w:val="000000"/>
              </w:rPr>
            </w:pPr>
            <w:proofErr w:type="spellStart"/>
            <w:r w:rsidRPr="00F259A2">
              <w:rPr>
                <w:color w:val="000000"/>
              </w:rPr>
              <w:t>dCTP</w:t>
            </w:r>
            <w:proofErr w:type="spellEnd"/>
            <w:r w:rsidRPr="00F259A2">
              <w:rPr>
                <w:color w:val="000000"/>
              </w:rPr>
              <w:t xml:space="preserve"> (40 mM)</w:t>
            </w:r>
          </w:p>
        </w:tc>
        <w:tc>
          <w:tcPr>
            <w:tcW w:w="1418" w:type="dxa"/>
            <w:shd w:val="clear" w:color="auto" w:fill="auto"/>
          </w:tcPr>
          <w:p w14:paraId="021C17BC" w14:textId="77777777" w:rsidR="001C1B16" w:rsidRPr="00F259A2" w:rsidRDefault="00AD5B6B" w:rsidP="008A5EE5">
            <w:pPr>
              <w:pStyle w:val="Footer"/>
              <w:tabs>
                <w:tab w:val="clear" w:pos="4536"/>
                <w:tab w:val="clear" w:pos="9072"/>
              </w:tabs>
              <w:spacing w:line="480" w:lineRule="auto"/>
              <w:rPr>
                <w:color w:val="000000"/>
              </w:rPr>
            </w:pPr>
            <w:r>
              <w:rPr>
                <w:color w:val="000000"/>
              </w:rPr>
              <w:t>--</w:t>
            </w:r>
          </w:p>
        </w:tc>
        <w:tc>
          <w:tcPr>
            <w:tcW w:w="1701" w:type="dxa"/>
            <w:shd w:val="clear" w:color="auto" w:fill="auto"/>
          </w:tcPr>
          <w:p w14:paraId="0AC72DF7" w14:textId="77777777" w:rsidR="001C1B16" w:rsidRPr="00F259A2" w:rsidRDefault="00AD5B6B" w:rsidP="008A5EE5">
            <w:pPr>
              <w:pStyle w:val="Footer"/>
              <w:tabs>
                <w:tab w:val="clear" w:pos="4536"/>
                <w:tab w:val="clear" w:pos="9072"/>
              </w:tabs>
              <w:spacing w:line="480" w:lineRule="auto"/>
              <w:rPr>
                <w:color w:val="000000"/>
              </w:rPr>
            </w:pPr>
            <w:r>
              <w:rPr>
                <w:color w:val="000000"/>
              </w:rPr>
              <w:t>--</w:t>
            </w:r>
          </w:p>
        </w:tc>
      </w:tr>
      <w:tr w:rsidR="005E6C1B" w:rsidRPr="00F259A2" w14:paraId="3523D693" w14:textId="77777777" w:rsidTr="005E6C1B">
        <w:tc>
          <w:tcPr>
            <w:tcW w:w="5103" w:type="dxa"/>
            <w:shd w:val="clear" w:color="auto" w:fill="auto"/>
          </w:tcPr>
          <w:p w14:paraId="71573C06" w14:textId="77777777" w:rsidR="001C1B16" w:rsidRPr="00F259A2" w:rsidRDefault="005E6C1B" w:rsidP="008A5EE5">
            <w:pPr>
              <w:pStyle w:val="Footer"/>
              <w:tabs>
                <w:tab w:val="clear" w:pos="4536"/>
                <w:tab w:val="clear" w:pos="9072"/>
              </w:tabs>
              <w:spacing w:line="480" w:lineRule="auto"/>
              <w:rPr>
                <w:color w:val="000000"/>
              </w:rPr>
            </w:pPr>
            <w:proofErr w:type="spellStart"/>
            <w:r w:rsidRPr="00F259A2">
              <w:rPr>
                <w:color w:val="000000"/>
              </w:rPr>
              <w:t>dGTP</w:t>
            </w:r>
            <w:proofErr w:type="spellEnd"/>
            <w:r w:rsidRPr="00F259A2">
              <w:rPr>
                <w:color w:val="000000"/>
              </w:rPr>
              <w:t xml:space="preserve"> (40 mM)</w:t>
            </w:r>
          </w:p>
        </w:tc>
        <w:tc>
          <w:tcPr>
            <w:tcW w:w="1418" w:type="dxa"/>
            <w:shd w:val="clear" w:color="auto" w:fill="auto"/>
          </w:tcPr>
          <w:p w14:paraId="3AA69B1E" w14:textId="77777777" w:rsidR="001C1B16" w:rsidRPr="00F259A2" w:rsidRDefault="005E6C1B" w:rsidP="008A5EE5">
            <w:pPr>
              <w:pStyle w:val="Footer"/>
              <w:tabs>
                <w:tab w:val="clear" w:pos="4536"/>
                <w:tab w:val="clear" w:pos="9072"/>
              </w:tabs>
              <w:spacing w:line="480" w:lineRule="auto"/>
              <w:rPr>
                <w:color w:val="000000"/>
              </w:rPr>
            </w:pPr>
            <w:r w:rsidRPr="00F259A2">
              <w:rPr>
                <w:color w:val="000000"/>
              </w:rPr>
              <w:t>2</w:t>
            </w:r>
          </w:p>
        </w:tc>
        <w:tc>
          <w:tcPr>
            <w:tcW w:w="1701" w:type="dxa"/>
            <w:shd w:val="clear" w:color="auto" w:fill="auto"/>
          </w:tcPr>
          <w:p w14:paraId="2499A38B" w14:textId="77777777" w:rsidR="001C1B16" w:rsidRPr="00F259A2" w:rsidRDefault="005E6C1B" w:rsidP="008A5EE5">
            <w:pPr>
              <w:pStyle w:val="Footer"/>
              <w:tabs>
                <w:tab w:val="clear" w:pos="4536"/>
                <w:tab w:val="clear" w:pos="9072"/>
              </w:tabs>
              <w:spacing w:line="480" w:lineRule="auto"/>
              <w:rPr>
                <w:color w:val="000000"/>
              </w:rPr>
            </w:pPr>
            <w:r w:rsidRPr="00F259A2">
              <w:rPr>
                <w:color w:val="000000"/>
              </w:rPr>
              <w:t>2</w:t>
            </w:r>
          </w:p>
        </w:tc>
      </w:tr>
      <w:tr w:rsidR="005E6C1B" w:rsidRPr="00F259A2" w14:paraId="3FE2684B" w14:textId="77777777" w:rsidTr="005E6C1B">
        <w:tc>
          <w:tcPr>
            <w:tcW w:w="5103" w:type="dxa"/>
            <w:shd w:val="clear" w:color="auto" w:fill="auto"/>
          </w:tcPr>
          <w:p w14:paraId="3AEB9F64" w14:textId="77777777" w:rsidR="001C1B16" w:rsidRPr="00F259A2" w:rsidRDefault="005E6C1B" w:rsidP="008A5EE5">
            <w:pPr>
              <w:pStyle w:val="Footer"/>
              <w:tabs>
                <w:tab w:val="clear" w:pos="4536"/>
                <w:tab w:val="clear" w:pos="9072"/>
              </w:tabs>
              <w:spacing w:line="480" w:lineRule="auto"/>
              <w:rPr>
                <w:color w:val="000000"/>
              </w:rPr>
            </w:pPr>
            <w:r w:rsidRPr="00F259A2">
              <w:rPr>
                <w:color w:val="000000"/>
              </w:rPr>
              <w:t>dTTP (40 mM)</w:t>
            </w:r>
          </w:p>
        </w:tc>
        <w:tc>
          <w:tcPr>
            <w:tcW w:w="1418" w:type="dxa"/>
            <w:shd w:val="clear" w:color="auto" w:fill="auto"/>
          </w:tcPr>
          <w:p w14:paraId="7C4E9EEF" w14:textId="77777777" w:rsidR="001C1B16" w:rsidRPr="00F259A2" w:rsidRDefault="005E6C1B" w:rsidP="008A5EE5">
            <w:pPr>
              <w:pStyle w:val="Footer"/>
              <w:tabs>
                <w:tab w:val="clear" w:pos="4536"/>
                <w:tab w:val="clear" w:pos="9072"/>
              </w:tabs>
              <w:spacing w:line="480" w:lineRule="auto"/>
              <w:rPr>
                <w:color w:val="000000"/>
              </w:rPr>
            </w:pPr>
            <w:r w:rsidRPr="00F259A2">
              <w:rPr>
                <w:color w:val="000000"/>
              </w:rPr>
              <w:t>2</w:t>
            </w:r>
          </w:p>
        </w:tc>
        <w:tc>
          <w:tcPr>
            <w:tcW w:w="1701" w:type="dxa"/>
            <w:shd w:val="clear" w:color="auto" w:fill="auto"/>
          </w:tcPr>
          <w:p w14:paraId="6F342E55" w14:textId="77777777" w:rsidR="001C1B16" w:rsidRPr="00F259A2" w:rsidRDefault="00AD5B6B" w:rsidP="008A5EE5">
            <w:pPr>
              <w:pStyle w:val="Footer"/>
              <w:tabs>
                <w:tab w:val="clear" w:pos="4536"/>
                <w:tab w:val="clear" w:pos="9072"/>
              </w:tabs>
              <w:spacing w:line="480" w:lineRule="auto"/>
              <w:rPr>
                <w:color w:val="000000"/>
              </w:rPr>
            </w:pPr>
            <w:r>
              <w:rPr>
                <w:color w:val="000000"/>
              </w:rPr>
              <w:t>--</w:t>
            </w:r>
          </w:p>
        </w:tc>
      </w:tr>
      <w:tr w:rsidR="005E6C1B" w:rsidRPr="00F259A2" w14:paraId="127AA0BB" w14:textId="77777777" w:rsidTr="005E6C1B">
        <w:tc>
          <w:tcPr>
            <w:tcW w:w="5103" w:type="dxa"/>
            <w:shd w:val="clear" w:color="auto" w:fill="auto"/>
          </w:tcPr>
          <w:p w14:paraId="6BC7D0FF" w14:textId="77777777" w:rsidR="001C1B16" w:rsidRPr="00F259A2" w:rsidRDefault="005E6C1B" w:rsidP="008A5EE5">
            <w:pPr>
              <w:pStyle w:val="Footer"/>
              <w:tabs>
                <w:tab w:val="clear" w:pos="4536"/>
                <w:tab w:val="clear" w:pos="9072"/>
              </w:tabs>
              <w:spacing w:line="480" w:lineRule="auto"/>
              <w:rPr>
                <w:color w:val="000000"/>
              </w:rPr>
            </w:pPr>
            <w:proofErr w:type="spellStart"/>
            <w:r w:rsidRPr="00F259A2">
              <w:rPr>
                <w:color w:val="000000"/>
              </w:rPr>
              <w:t>dATP</w:t>
            </w:r>
            <w:proofErr w:type="spellEnd"/>
            <w:r w:rsidRPr="00F259A2">
              <w:rPr>
                <w:color w:val="000000"/>
              </w:rPr>
              <w:t xml:space="preserve"> (1 mM)</w:t>
            </w:r>
          </w:p>
        </w:tc>
        <w:tc>
          <w:tcPr>
            <w:tcW w:w="1418" w:type="dxa"/>
            <w:shd w:val="clear" w:color="auto" w:fill="auto"/>
          </w:tcPr>
          <w:p w14:paraId="6BA9B8FA" w14:textId="77777777" w:rsidR="001C1B16" w:rsidRPr="00F259A2" w:rsidRDefault="005E6C1B" w:rsidP="008A5EE5">
            <w:pPr>
              <w:pStyle w:val="Footer"/>
              <w:tabs>
                <w:tab w:val="clear" w:pos="4536"/>
                <w:tab w:val="clear" w:pos="9072"/>
              </w:tabs>
              <w:spacing w:line="480" w:lineRule="auto"/>
              <w:rPr>
                <w:color w:val="000000"/>
              </w:rPr>
            </w:pPr>
            <w:r w:rsidRPr="00F259A2">
              <w:rPr>
                <w:color w:val="000000"/>
              </w:rPr>
              <w:t>0.8</w:t>
            </w:r>
          </w:p>
        </w:tc>
        <w:tc>
          <w:tcPr>
            <w:tcW w:w="1701" w:type="dxa"/>
            <w:shd w:val="clear" w:color="auto" w:fill="auto"/>
          </w:tcPr>
          <w:p w14:paraId="692A2FDA" w14:textId="77777777" w:rsidR="001C1B16" w:rsidRPr="00F259A2" w:rsidRDefault="00AD5B6B" w:rsidP="008A5EE5">
            <w:pPr>
              <w:pStyle w:val="Footer"/>
              <w:tabs>
                <w:tab w:val="clear" w:pos="4536"/>
                <w:tab w:val="clear" w:pos="9072"/>
              </w:tabs>
              <w:spacing w:line="480" w:lineRule="auto"/>
              <w:rPr>
                <w:color w:val="000000"/>
              </w:rPr>
            </w:pPr>
            <w:r>
              <w:rPr>
                <w:color w:val="000000"/>
              </w:rPr>
              <w:t>--</w:t>
            </w:r>
          </w:p>
        </w:tc>
      </w:tr>
      <w:tr w:rsidR="005E6C1B" w:rsidRPr="00F259A2" w14:paraId="6817A3D9" w14:textId="77777777" w:rsidTr="005E6C1B">
        <w:tc>
          <w:tcPr>
            <w:tcW w:w="5103" w:type="dxa"/>
            <w:shd w:val="clear" w:color="auto" w:fill="auto"/>
          </w:tcPr>
          <w:p w14:paraId="0574D3F2" w14:textId="77777777" w:rsidR="001C1B16" w:rsidRPr="00F259A2" w:rsidRDefault="005E6C1B" w:rsidP="008A5EE5">
            <w:pPr>
              <w:pStyle w:val="Footer"/>
              <w:tabs>
                <w:tab w:val="clear" w:pos="4536"/>
                <w:tab w:val="clear" w:pos="9072"/>
              </w:tabs>
              <w:spacing w:line="480" w:lineRule="auto"/>
              <w:rPr>
                <w:color w:val="000000"/>
              </w:rPr>
            </w:pPr>
            <w:proofErr w:type="spellStart"/>
            <w:r w:rsidRPr="00F259A2">
              <w:rPr>
                <w:color w:val="000000"/>
              </w:rPr>
              <w:t>dCTP</w:t>
            </w:r>
            <w:proofErr w:type="spellEnd"/>
            <w:r w:rsidRPr="00F259A2">
              <w:rPr>
                <w:color w:val="000000"/>
              </w:rPr>
              <w:t xml:space="preserve"> (1 mM)</w:t>
            </w:r>
          </w:p>
        </w:tc>
        <w:tc>
          <w:tcPr>
            <w:tcW w:w="1418" w:type="dxa"/>
            <w:shd w:val="clear" w:color="auto" w:fill="auto"/>
          </w:tcPr>
          <w:p w14:paraId="6DF38C41" w14:textId="77777777" w:rsidR="001C1B16" w:rsidRPr="00F259A2" w:rsidRDefault="005E6C1B" w:rsidP="008A5EE5">
            <w:pPr>
              <w:pStyle w:val="Footer"/>
              <w:tabs>
                <w:tab w:val="clear" w:pos="4536"/>
                <w:tab w:val="clear" w:pos="9072"/>
              </w:tabs>
              <w:spacing w:line="480" w:lineRule="auto"/>
              <w:rPr>
                <w:color w:val="000000"/>
              </w:rPr>
            </w:pPr>
            <w:r w:rsidRPr="00F259A2">
              <w:rPr>
                <w:color w:val="000000"/>
              </w:rPr>
              <w:t>0.8</w:t>
            </w:r>
          </w:p>
        </w:tc>
        <w:tc>
          <w:tcPr>
            <w:tcW w:w="1701" w:type="dxa"/>
            <w:shd w:val="clear" w:color="auto" w:fill="auto"/>
          </w:tcPr>
          <w:p w14:paraId="3358934C" w14:textId="77777777" w:rsidR="001C1B16" w:rsidRPr="00F259A2" w:rsidRDefault="005E6C1B" w:rsidP="008A5EE5">
            <w:pPr>
              <w:pStyle w:val="Footer"/>
              <w:tabs>
                <w:tab w:val="clear" w:pos="4536"/>
                <w:tab w:val="clear" w:pos="9072"/>
              </w:tabs>
              <w:spacing w:line="480" w:lineRule="auto"/>
              <w:rPr>
                <w:color w:val="000000"/>
              </w:rPr>
            </w:pPr>
            <w:r w:rsidRPr="00F259A2">
              <w:rPr>
                <w:color w:val="000000"/>
              </w:rPr>
              <w:t>0.8</w:t>
            </w:r>
          </w:p>
        </w:tc>
      </w:tr>
      <w:tr w:rsidR="005E6C1B" w:rsidRPr="00F259A2" w14:paraId="79A7FA80" w14:textId="77777777" w:rsidTr="005E6C1B">
        <w:tc>
          <w:tcPr>
            <w:tcW w:w="5103" w:type="dxa"/>
            <w:shd w:val="clear" w:color="auto" w:fill="auto"/>
          </w:tcPr>
          <w:p w14:paraId="6DF5A27B" w14:textId="77777777" w:rsidR="001C1B16" w:rsidRPr="00F259A2" w:rsidRDefault="005E6C1B" w:rsidP="008A5EE5">
            <w:pPr>
              <w:pStyle w:val="Footer"/>
              <w:tabs>
                <w:tab w:val="clear" w:pos="4536"/>
                <w:tab w:val="clear" w:pos="9072"/>
              </w:tabs>
              <w:spacing w:line="480" w:lineRule="auto"/>
              <w:rPr>
                <w:color w:val="000000"/>
              </w:rPr>
            </w:pPr>
            <w:r w:rsidRPr="00F259A2">
              <w:rPr>
                <w:color w:val="000000"/>
              </w:rPr>
              <w:t>dTTP (1 mM)</w:t>
            </w:r>
          </w:p>
        </w:tc>
        <w:tc>
          <w:tcPr>
            <w:tcW w:w="1418" w:type="dxa"/>
            <w:shd w:val="clear" w:color="auto" w:fill="auto"/>
          </w:tcPr>
          <w:p w14:paraId="0367430C" w14:textId="77777777" w:rsidR="001C1B16" w:rsidRPr="00F259A2" w:rsidRDefault="00AD5B6B" w:rsidP="008A5EE5">
            <w:pPr>
              <w:pStyle w:val="Footer"/>
              <w:tabs>
                <w:tab w:val="clear" w:pos="4536"/>
                <w:tab w:val="clear" w:pos="9072"/>
              </w:tabs>
              <w:spacing w:line="480" w:lineRule="auto"/>
              <w:rPr>
                <w:color w:val="000000"/>
              </w:rPr>
            </w:pPr>
            <w:r>
              <w:rPr>
                <w:color w:val="000000"/>
              </w:rPr>
              <w:t>--</w:t>
            </w:r>
          </w:p>
        </w:tc>
        <w:tc>
          <w:tcPr>
            <w:tcW w:w="1701" w:type="dxa"/>
            <w:shd w:val="clear" w:color="auto" w:fill="auto"/>
          </w:tcPr>
          <w:p w14:paraId="2B83C84D" w14:textId="77777777" w:rsidR="001C1B16" w:rsidRPr="00F259A2" w:rsidRDefault="005E6C1B" w:rsidP="008A5EE5">
            <w:pPr>
              <w:pStyle w:val="Footer"/>
              <w:tabs>
                <w:tab w:val="clear" w:pos="4536"/>
                <w:tab w:val="clear" w:pos="9072"/>
              </w:tabs>
              <w:spacing w:line="480" w:lineRule="auto"/>
              <w:rPr>
                <w:color w:val="000000"/>
              </w:rPr>
            </w:pPr>
            <w:r w:rsidRPr="00F259A2">
              <w:rPr>
                <w:color w:val="000000"/>
              </w:rPr>
              <w:t>0.8</w:t>
            </w:r>
          </w:p>
        </w:tc>
      </w:tr>
      <w:tr w:rsidR="005E6C1B" w:rsidRPr="00F259A2" w14:paraId="646AB729" w14:textId="77777777" w:rsidTr="005E6C1B">
        <w:tc>
          <w:tcPr>
            <w:tcW w:w="5103" w:type="dxa"/>
            <w:shd w:val="clear" w:color="auto" w:fill="auto"/>
          </w:tcPr>
          <w:p w14:paraId="3C41FA1C" w14:textId="77777777" w:rsidR="001C1B16" w:rsidRPr="00F259A2" w:rsidRDefault="005E6C1B" w:rsidP="008A5EE5">
            <w:pPr>
              <w:pStyle w:val="Footer"/>
              <w:tabs>
                <w:tab w:val="clear" w:pos="4536"/>
                <w:tab w:val="clear" w:pos="9072"/>
              </w:tabs>
              <w:spacing w:line="480" w:lineRule="auto"/>
              <w:rPr>
                <w:color w:val="000000"/>
              </w:rPr>
            </w:pPr>
            <w:r w:rsidRPr="00F259A2">
              <w:rPr>
                <w:color w:val="000000"/>
              </w:rPr>
              <w:t>Cy3</w:t>
            </w:r>
            <w:r w:rsidR="00AD5B6B">
              <w:rPr>
                <w:color w:val="000000"/>
              </w:rPr>
              <w:t>--</w:t>
            </w:r>
            <w:proofErr w:type="spellStart"/>
            <w:r w:rsidRPr="00F259A2">
              <w:rPr>
                <w:color w:val="000000"/>
              </w:rPr>
              <w:t>dCTP</w:t>
            </w:r>
            <w:proofErr w:type="spellEnd"/>
            <w:r w:rsidRPr="00F259A2">
              <w:rPr>
                <w:color w:val="000000"/>
              </w:rPr>
              <w:t xml:space="preserve"> (1 mM) [PerkinElmer]</w:t>
            </w:r>
          </w:p>
        </w:tc>
        <w:tc>
          <w:tcPr>
            <w:tcW w:w="1418" w:type="dxa"/>
            <w:shd w:val="clear" w:color="auto" w:fill="auto"/>
          </w:tcPr>
          <w:p w14:paraId="4A24D685" w14:textId="77777777" w:rsidR="001C1B16" w:rsidRPr="00F259A2" w:rsidRDefault="00AD5B6B" w:rsidP="008A5EE5">
            <w:pPr>
              <w:pStyle w:val="Footer"/>
              <w:tabs>
                <w:tab w:val="clear" w:pos="4536"/>
                <w:tab w:val="clear" w:pos="9072"/>
              </w:tabs>
              <w:spacing w:line="480" w:lineRule="auto"/>
              <w:rPr>
                <w:color w:val="000000"/>
              </w:rPr>
            </w:pPr>
            <w:r>
              <w:rPr>
                <w:color w:val="000000"/>
              </w:rPr>
              <w:t>--</w:t>
            </w:r>
          </w:p>
        </w:tc>
        <w:tc>
          <w:tcPr>
            <w:tcW w:w="1701" w:type="dxa"/>
            <w:shd w:val="clear" w:color="auto" w:fill="auto"/>
          </w:tcPr>
          <w:p w14:paraId="024677B3" w14:textId="77777777" w:rsidR="001C1B16" w:rsidRPr="00F259A2" w:rsidRDefault="005E6C1B" w:rsidP="008A5EE5">
            <w:pPr>
              <w:pStyle w:val="Footer"/>
              <w:tabs>
                <w:tab w:val="clear" w:pos="4536"/>
                <w:tab w:val="clear" w:pos="9072"/>
              </w:tabs>
              <w:spacing w:line="480" w:lineRule="auto"/>
              <w:rPr>
                <w:color w:val="000000"/>
              </w:rPr>
            </w:pPr>
            <w:r w:rsidRPr="00F259A2">
              <w:rPr>
                <w:color w:val="000000"/>
              </w:rPr>
              <w:t>4</w:t>
            </w:r>
          </w:p>
        </w:tc>
      </w:tr>
      <w:tr w:rsidR="005E6C1B" w:rsidRPr="00F259A2" w14:paraId="43B9D358" w14:textId="77777777" w:rsidTr="005E6C1B">
        <w:tc>
          <w:tcPr>
            <w:tcW w:w="5103" w:type="dxa"/>
            <w:shd w:val="clear" w:color="auto" w:fill="auto"/>
          </w:tcPr>
          <w:p w14:paraId="6D019562" w14:textId="77777777" w:rsidR="001C1B16" w:rsidRPr="00F259A2" w:rsidRDefault="005E6C1B" w:rsidP="008A5EE5">
            <w:pPr>
              <w:pStyle w:val="Footer"/>
              <w:tabs>
                <w:tab w:val="clear" w:pos="4536"/>
                <w:tab w:val="clear" w:pos="9072"/>
              </w:tabs>
              <w:spacing w:line="480" w:lineRule="auto"/>
              <w:rPr>
                <w:color w:val="000000"/>
              </w:rPr>
            </w:pPr>
            <w:r w:rsidRPr="00F259A2">
              <w:rPr>
                <w:color w:val="000000"/>
              </w:rPr>
              <w:t>Cy3</w:t>
            </w:r>
            <w:r w:rsidR="00AD5B6B">
              <w:rPr>
                <w:color w:val="000000"/>
              </w:rPr>
              <w:t>--</w:t>
            </w:r>
            <w:proofErr w:type="spellStart"/>
            <w:r w:rsidRPr="00F259A2">
              <w:rPr>
                <w:color w:val="000000"/>
              </w:rPr>
              <w:t>dUTP</w:t>
            </w:r>
            <w:proofErr w:type="spellEnd"/>
            <w:r w:rsidRPr="00F259A2">
              <w:rPr>
                <w:color w:val="000000"/>
              </w:rPr>
              <w:t xml:space="preserve"> (1 mM) [PerkinElmer]</w:t>
            </w:r>
          </w:p>
        </w:tc>
        <w:tc>
          <w:tcPr>
            <w:tcW w:w="1418" w:type="dxa"/>
            <w:shd w:val="clear" w:color="auto" w:fill="auto"/>
          </w:tcPr>
          <w:p w14:paraId="70CCBA3F" w14:textId="77777777" w:rsidR="001C1B16" w:rsidRPr="00F259A2" w:rsidRDefault="00AD5B6B" w:rsidP="008A5EE5">
            <w:pPr>
              <w:pStyle w:val="Footer"/>
              <w:tabs>
                <w:tab w:val="clear" w:pos="4536"/>
                <w:tab w:val="clear" w:pos="9072"/>
              </w:tabs>
              <w:spacing w:line="480" w:lineRule="auto"/>
              <w:rPr>
                <w:color w:val="000000"/>
              </w:rPr>
            </w:pPr>
            <w:r>
              <w:rPr>
                <w:color w:val="000000"/>
              </w:rPr>
              <w:t>--</w:t>
            </w:r>
          </w:p>
        </w:tc>
        <w:tc>
          <w:tcPr>
            <w:tcW w:w="1701" w:type="dxa"/>
            <w:shd w:val="clear" w:color="auto" w:fill="auto"/>
          </w:tcPr>
          <w:p w14:paraId="79120795" w14:textId="77777777" w:rsidR="001C1B16" w:rsidRPr="00F259A2" w:rsidRDefault="005E6C1B" w:rsidP="008A5EE5">
            <w:pPr>
              <w:pStyle w:val="Footer"/>
              <w:tabs>
                <w:tab w:val="clear" w:pos="4536"/>
                <w:tab w:val="clear" w:pos="9072"/>
              </w:tabs>
              <w:spacing w:line="480" w:lineRule="auto"/>
              <w:rPr>
                <w:color w:val="000000"/>
              </w:rPr>
            </w:pPr>
            <w:r w:rsidRPr="00F259A2">
              <w:rPr>
                <w:color w:val="000000"/>
              </w:rPr>
              <w:t>4</w:t>
            </w:r>
          </w:p>
        </w:tc>
      </w:tr>
      <w:tr w:rsidR="005E6C1B" w:rsidRPr="00F259A2" w14:paraId="1FD48B42" w14:textId="77777777" w:rsidTr="005E6C1B">
        <w:tc>
          <w:tcPr>
            <w:tcW w:w="5103" w:type="dxa"/>
            <w:shd w:val="clear" w:color="auto" w:fill="auto"/>
          </w:tcPr>
          <w:p w14:paraId="4AEDA651" w14:textId="77777777" w:rsidR="001C1B16" w:rsidRPr="00F259A2" w:rsidRDefault="005E6C1B" w:rsidP="008A5EE5">
            <w:pPr>
              <w:pStyle w:val="Footer"/>
              <w:tabs>
                <w:tab w:val="clear" w:pos="4536"/>
                <w:tab w:val="clear" w:pos="9072"/>
              </w:tabs>
              <w:spacing w:line="480" w:lineRule="auto"/>
              <w:rPr>
                <w:color w:val="000000"/>
              </w:rPr>
            </w:pPr>
            <w:r w:rsidRPr="00F259A2">
              <w:rPr>
                <w:color w:val="000000"/>
              </w:rPr>
              <w:t>Fluorescein</w:t>
            </w:r>
            <w:r w:rsidR="00AD5B6B">
              <w:rPr>
                <w:color w:val="000000"/>
              </w:rPr>
              <w:t>--</w:t>
            </w:r>
            <w:r w:rsidRPr="00F259A2">
              <w:rPr>
                <w:color w:val="000000"/>
              </w:rPr>
              <w:t>12</w:t>
            </w:r>
            <w:r w:rsidR="00AD5B6B">
              <w:rPr>
                <w:color w:val="000000"/>
              </w:rPr>
              <w:t>--</w:t>
            </w:r>
            <w:proofErr w:type="spellStart"/>
            <w:r w:rsidRPr="00F259A2">
              <w:rPr>
                <w:color w:val="000000"/>
              </w:rPr>
              <w:t>dATP</w:t>
            </w:r>
            <w:proofErr w:type="spellEnd"/>
            <w:r w:rsidRPr="00F259A2">
              <w:rPr>
                <w:color w:val="000000"/>
              </w:rPr>
              <w:t xml:space="preserve"> (1 mM) [PerkinElmer]</w:t>
            </w:r>
          </w:p>
        </w:tc>
        <w:tc>
          <w:tcPr>
            <w:tcW w:w="1418" w:type="dxa"/>
            <w:shd w:val="clear" w:color="auto" w:fill="auto"/>
          </w:tcPr>
          <w:p w14:paraId="1A1258FB" w14:textId="77777777" w:rsidR="001C1B16" w:rsidRPr="00F259A2" w:rsidRDefault="005E6C1B" w:rsidP="008A5EE5">
            <w:pPr>
              <w:pStyle w:val="Footer"/>
              <w:tabs>
                <w:tab w:val="clear" w:pos="4536"/>
                <w:tab w:val="clear" w:pos="9072"/>
              </w:tabs>
              <w:spacing w:line="480" w:lineRule="auto"/>
              <w:rPr>
                <w:color w:val="000000"/>
              </w:rPr>
            </w:pPr>
            <w:r w:rsidRPr="00F259A2">
              <w:rPr>
                <w:color w:val="000000"/>
              </w:rPr>
              <w:t>4</w:t>
            </w:r>
          </w:p>
        </w:tc>
        <w:tc>
          <w:tcPr>
            <w:tcW w:w="1701" w:type="dxa"/>
            <w:shd w:val="clear" w:color="auto" w:fill="auto"/>
          </w:tcPr>
          <w:p w14:paraId="4CEC49B5" w14:textId="77777777" w:rsidR="001C1B16" w:rsidRPr="00F259A2" w:rsidRDefault="00AD5B6B" w:rsidP="008A5EE5">
            <w:pPr>
              <w:pStyle w:val="Footer"/>
              <w:tabs>
                <w:tab w:val="clear" w:pos="4536"/>
                <w:tab w:val="clear" w:pos="9072"/>
              </w:tabs>
              <w:spacing w:line="480" w:lineRule="auto"/>
              <w:rPr>
                <w:color w:val="000000"/>
              </w:rPr>
            </w:pPr>
            <w:r>
              <w:rPr>
                <w:color w:val="000000"/>
              </w:rPr>
              <w:t>--</w:t>
            </w:r>
          </w:p>
        </w:tc>
      </w:tr>
      <w:tr w:rsidR="005E6C1B" w:rsidRPr="00F259A2" w14:paraId="5AECFE3A" w14:textId="77777777" w:rsidTr="005E6C1B">
        <w:tc>
          <w:tcPr>
            <w:tcW w:w="5103" w:type="dxa"/>
            <w:shd w:val="clear" w:color="auto" w:fill="auto"/>
          </w:tcPr>
          <w:p w14:paraId="37EF2909" w14:textId="77777777" w:rsidR="001C1B16" w:rsidRPr="00F259A2" w:rsidRDefault="005E6C1B" w:rsidP="008A5EE5">
            <w:pPr>
              <w:pStyle w:val="Footer"/>
              <w:tabs>
                <w:tab w:val="clear" w:pos="4536"/>
                <w:tab w:val="clear" w:pos="9072"/>
              </w:tabs>
              <w:spacing w:line="480" w:lineRule="auto"/>
              <w:rPr>
                <w:color w:val="000000"/>
              </w:rPr>
            </w:pPr>
            <w:r w:rsidRPr="00F259A2">
              <w:rPr>
                <w:color w:val="000000"/>
              </w:rPr>
              <w:t>Fluorescein</w:t>
            </w:r>
            <w:r w:rsidR="00AD5B6B">
              <w:rPr>
                <w:color w:val="000000"/>
              </w:rPr>
              <w:t>--</w:t>
            </w:r>
            <w:r w:rsidRPr="00F259A2">
              <w:rPr>
                <w:color w:val="000000"/>
              </w:rPr>
              <w:t>12</w:t>
            </w:r>
            <w:r w:rsidR="00AD5B6B">
              <w:rPr>
                <w:color w:val="000000"/>
              </w:rPr>
              <w:t>--</w:t>
            </w:r>
            <w:proofErr w:type="spellStart"/>
            <w:r w:rsidRPr="00F259A2">
              <w:rPr>
                <w:color w:val="000000"/>
              </w:rPr>
              <w:t>dCTP</w:t>
            </w:r>
            <w:proofErr w:type="spellEnd"/>
            <w:r w:rsidRPr="00F259A2">
              <w:rPr>
                <w:color w:val="000000"/>
              </w:rPr>
              <w:t xml:space="preserve"> (1 mM) [PerkinElmer]</w:t>
            </w:r>
          </w:p>
        </w:tc>
        <w:tc>
          <w:tcPr>
            <w:tcW w:w="1418" w:type="dxa"/>
            <w:shd w:val="clear" w:color="auto" w:fill="auto"/>
          </w:tcPr>
          <w:p w14:paraId="6D0611BD" w14:textId="77777777" w:rsidR="001C1B16" w:rsidRPr="00F259A2" w:rsidRDefault="005E6C1B" w:rsidP="008A5EE5">
            <w:pPr>
              <w:pStyle w:val="Footer"/>
              <w:tabs>
                <w:tab w:val="clear" w:pos="4536"/>
                <w:tab w:val="clear" w:pos="9072"/>
              </w:tabs>
              <w:spacing w:line="480" w:lineRule="auto"/>
              <w:rPr>
                <w:color w:val="000000"/>
              </w:rPr>
            </w:pPr>
            <w:r w:rsidRPr="00F259A2">
              <w:rPr>
                <w:color w:val="000000"/>
              </w:rPr>
              <w:t>4</w:t>
            </w:r>
          </w:p>
        </w:tc>
        <w:tc>
          <w:tcPr>
            <w:tcW w:w="1701" w:type="dxa"/>
            <w:shd w:val="clear" w:color="auto" w:fill="auto"/>
          </w:tcPr>
          <w:p w14:paraId="1CE366D7" w14:textId="77777777" w:rsidR="001C1B16" w:rsidRPr="00F259A2" w:rsidRDefault="00AD5B6B" w:rsidP="008A5EE5">
            <w:pPr>
              <w:pStyle w:val="Footer"/>
              <w:tabs>
                <w:tab w:val="clear" w:pos="4536"/>
                <w:tab w:val="clear" w:pos="9072"/>
              </w:tabs>
              <w:spacing w:line="480" w:lineRule="auto"/>
              <w:rPr>
                <w:color w:val="000000"/>
              </w:rPr>
            </w:pPr>
            <w:r>
              <w:rPr>
                <w:color w:val="000000"/>
              </w:rPr>
              <w:t>--</w:t>
            </w:r>
          </w:p>
        </w:tc>
      </w:tr>
      <w:tr w:rsidR="005E6C1B" w:rsidRPr="00F259A2" w14:paraId="444B2D39" w14:textId="77777777" w:rsidTr="005E6C1B">
        <w:tc>
          <w:tcPr>
            <w:tcW w:w="5103" w:type="dxa"/>
            <w:shd w:val="clear" w:color="auto" w:fill="auto"/>
          </w:tcPr>
          <w:p w14:paraId="50E1D2C8" w14:textId="77777777" w:rsidR="001C1B16" w:rsidRPr="00F259A2" w:rsidRDefault="005E6C1B" w:rsidP="008A5EE5">
            <w:pPr>
              <w:pStyle w:val="Footer"/>
              <w:tabs>
                <w:tab w:val="clear" w:pos="4536"/>
                <w:tab w:val="clear" w:pos="9072"/>
              </w:tabs>
              <w:spacing w:line="480" w:lineRule="auto"/>
              <w:rPr>
                <w:color w:val="000000"/>
              </w:rPr>
            </w:pPr>
            <w:r w:rsidRPr="00F259A2">
              <w:rPr>
                <w:color w:val="000000"/>
              </w:rPr>
              <w:t>DNase I Solution (5</w:t>
            </w:r>
            <w:r w:rsidR="00AD5B6B">
              <w:rPr>
                <w:color w:val="000000"/>
              </w:rPr>
              <w:t>--</w:t>
            </w:r>
            <w:r w:rsidRPr="00F259A2">
              <w:rPr>
                <w:color w:val="000000"/>
              </w:rPr>
              <w:t xml:space="preserve">10 </w:t>
            </w:r>
            <w:r w:rsidR="00F97688" w:rsidRPr="00F97688">
              <w:rPr>
                <w:color w:val="000000"/>
              </w:rPr>
              <w:t>µL</w:t>
            </w:r>
            <w:r w:rsidRPr="00F259A2">
              <w:rPr>
                <w:color w:val="000000"/>
              </w:rPr>
              <w:t xml:space="preserve"> depending on DNA)</w:t>
            </w:r>
          </w:p>
        </w:tc>
        <w:tc>
          <w:tcPr>
            <w:tcW w:w="1418" w:type="dxa"/>
            <w:shd w:val="clear" w:color="auto" w:fill="auto"/>
          </w:tcPr>
          <w:p w14:paraId="02602916" w14:textId="77777777" w:rsidR="001C1B16" w:rsidRPr="00F259A2" w:rsidRDefault="005E6C1B" w:rsidP="008A5EE5">
            <w:pPr>
              <w:pStyle w:val="Footer"/>
              <w:tabs>
                <w:tab w:val="clear" w:pos="4536"/>
                <w:tab w:val="clear" w:pos="9072"/>
              </w:tabs>
              <w:spacing w:line="480" w:lineRule="auto"/>
              <w:rPr>
                <w:color w:val="000000"/>
              </w:rPr>
            </w:pPr>
            <w:r w:rsidRPr="00F259A2">
              <w:rPr>
                <w:color w:val="000000"/>
              </w:rPr>
              <w:t>5</w:t>
            </w:r>
          </w:p>
        </w:tc>
        <w:tc>
          <w:tcPr>
            <w:tcW w:w="1701" w:type="dxa"/>
            <w:shd w:val="clear" w:color="auto" w:fill="auto"/>
          </w:tcPr>
          <w:p w14:paraId="3E14F015" w14:textId="77777777" w:rsidR="001C1B16" w:rsidRPr="00F259A2" w:rsidRDefault="005E6C1B" w:rsidP="008A5EE5">
            <w:pPr>
              <w:pStyle w:val="Footer"/>
              <w:tabs>
                <w:tab w:val="clear" w:pos="4536"/>
                <w:tab w:val="clear" w:pos="9072"/>
              </w:tabs>
              <w:spacing w:line="480" w:lineRule="auto"/>
              <w:rPr>
                <w:color w:val="000000"/>
              </w:rPr>
            </w:pPr>
            <w:r w:rsidRPr="00F259A2">
              <w:rPr>
                <w:color w:val="000000"/>
              </w:rPr>
              <w:t>5</w:t>
            </w:r>
          </w:p>
        </w:tc>
      </w:tr>
      <w:tr w:rsidR="005E6C1B" w:rsidRPr="00F259A2" w14:paraId="3A7A48D9" w14:textId="77777777" w:rsidTr="005E6C1B">
        <w:tc>
          <w:tcPr>
            <w:tcW w:w="5103" w:type="dxa"/>
            <w:tcBorders>
              <w:bottom w:val="single" w:sz="4" w:space="0" w:color="auto"/>
            </w:tcBorders>
            <w:shd w:val="clear" w:color="auto" w:fill="auto"/>
          </w:tcPr>
          <w:p w14:paraId="1312BB27" w14:textId="77777777" w:rsidR="001C1B16" w:rsidRPr="00F259A2" w:rsidRDefault="005E6C1B" w:rsidP="008A5EE5">
            <w:pPr>
              <w:pStyle w:val="Footer"/>
              <w:tabs>
                <w:tab w:val="clear" w:pos="4536"/>
                <w:tab w:val="clear" w:pos="9072"/>
              </w:tabs>
              <w:spacing w:line="480" w:lineRule="auto"/>
              <w:rPr>
                <w:color w:val="000000"/>
              </w:rPr>
            </w:pPr>
            <w:r w:rsidRPr="00F259A2">
              <w:rPr>
                <w:color w:val="000000"/>
              </w:rPr>
              <w:t>DNA Polymerase I (0.5 U/</w:t>
            </w:r>
            <w:r w:rsidR="00F97688" w:rsidRPr="00F97688">
              <w:rPr>
                <w:color w:val="000000"/>
              </w:rPr>
              <w:t>µL</w:t>
            </w:r>
            <w:r w:rsidRPr="00F259A2">
              <w:rPr>
                <w:color w:val="000000"/>
              </w:rPr>
              <w:t>) [</w:t>
            </w:r>
            <w:proofErr w:type="spellStart"/>
            <w:r w:rsidRPr="00F259A2">
              <w:rPr>
                <w:color w:val="000000"/>
              </w:rPr>
              <w:t>LifeTechnologies</w:t>
            </w:r>
            <w:proofErr w:type="spellEnd"/>
            <w:r w:rsidRPr="00F259A2">
              <w:rPr>
                <w:color w:val="000000"/>
              </w:rPr>
              <w:t>]</w:t>
            </w:r>
          </w:p>
        </w:tc>
        <w:tc>
          <w:tcPr>
            <w:tcW w:w="1418" w:type="dxa"/>
            <w:tcBorders>
              <w:bottom w:val="single" w:sz="4" w:space="0" w:color="auto"/>
            </w:tcBorders>
            <w:shd w:val="clear" w:color="auto" w:fill="auto"/>
          </w:tcPr>
          <w:p w14:paraId="50A279AB" w14:textId="77777777" w:rsidR="001C1B16" w:rsidRPr="00F259A2" w:rsidRDefault="005E6C1B" w:rsidP="008A5EE5">
            <w:pPr>
              <w:pStyle w:val="Footer"/>
              <w:tabs>
                <w:tab w:val="clear" w:pos="4536"/>
                <w:tab w:val="clear" w:pos="9072"/>
              </w:tabs>
              <w:spacing w:line="480" w:lineRule="auto"/>
              <w:rPr>
                <w:color w:val="000000"/>
              </w:rPr>
            </w:pPr>
            <w:r w:rsidRPr="00F259A2">
              <w:rPr>
                <w:color w:val="000000"/>
              </w:rPr>
              <w:t>6</w:t>
            </w:r>
          </w:p>
        </w:tc>
        <w:tc>
          <w:tcPr>
            <w:tcW w:w="1701" w:type="dxa"/>
            <w:tcBorders>
              <w:bottom w:val="single" w:sz="4" w:space="0" w:color="auto"/>
            </w:tcBorders>
            <w:shd w:val="clear" w:color="auto" w:fill="auto"/>
          </w:tcPr>
          <w:p w14:paraId="04227F4C" w14:textId="77777777" w:rsidR="001C1B16" w:rsidRPr="00F259A2" w:rsidRDefault="005E6C1B" w:rsidP="008A5EE5">
            <w:pPr>
              <w:pStyle w:val="Footer"/>
              <w:tabs>
                <w:tab w:val="clear" w:pos="4536"/>
                <w:tab w:val="clear" w:pos="9072"/>
              </w:tabs>
              <w:spacing w:line="480" w:lineRule="auto"/>
              <w:rPr>
                <w:color w:val="000000"/>
              </w:rPr>
            </w:pPr>
            <w:r w:rsidRPr="00F259A2">
              <w:rPr>
                <w:color w:val="000000"/>
              </w:rPr>
              <w:t>6</w:t>
            </w:r>
          </w:p>
        </w:tc>
      </w:tr>
      <w:tr w:rsidR="005E6C1B" w:rsidRPr="00F259A2" w14:paraId="03025EBE" w14:textId="77777777" w:rsidTr="005E6C1B">
        <w:tc>
          <w:tcPr>
            <w:tcW w:w="5103" w:type="dxa"/>
            <w:tcBorders>
              <w:top w:val="single" w:sz="4" w:space="0" w:color="auto"/>
              <w:bottom w:val="single" w:sz="4" w:space="0" w:color="auto"/>
            </w:tcBorders>
            <w:shd w:val="clear" w:color="auto" w:fill="auto"/>
          </w:tcPr>
          <w:p w14:paraId="00497631" w14:textId="77777777" w:rsidR="001C1B16" w:rsidRPr="00F259A2" w:rsidRDefault="005E6C1B" w:rsidP="008A5EE5">
            <w:pPr>
              <w:pStyle w:val="Footer"/>
              <w:tabs>
                <w:tab w:val="clear" w:pos="4536"/>
                <w:tab w:val="clear" w:pos="9072"/>
              </w:tabs>
              <w:spacing w:line="480" w:lineRule="auto"/>
              <w:rPr>
                <w:color w:val="000000"/>
              </w:rPr>
            </w:pPr>
            <w:r w:rsidRPr="00F259A2">
              <w:rPr>
                <w:color w:val="000000"/>
              </w:rPr>
              <w:t>Total Volume</w:t>
            </w:r>
          </w:p>
        </w:tc>
        <w:tc>
          <w:tcPr>
            <w:tcW w:w="1418" w:type="dxa"/>
            <w:tcBorders>
              <w:top w:val="single" w:sz="4" w:space="0" w:color="auto"/>
              <w:bottom w:val="single" w:sz="4" w:space="0" w:color="auto"/>
            </w:tcBorders>
            <w:shd w:val="clear" w:color="auto" w:fill="auto"/>
          </w:tcPr>
          <w:p w14:paraId="1D47E29C" w14:textId="77777777" w:rsidR="001C1B16" w:rsidRPr="00F259A2" w:rsidRDefault="005E6C1B" w:rsidP="008A5EE5">
            <w:pPr>
              <w:pStyle w:val="Footer"/>
              <w:tabs>
                <w:tab w:val="clear" w:pos="4536"/>
                <w:tab w:val="clear" w:pos="9072"/>
              </w:tabs>
              <w:spacing w:line="480" w:lineRule="auto"/>
              <w:rPr>
                <w:color w:val="000000"/>
              </w:rPr>
            </w:pPr>
            <w:r w:rsidRPr="00F259A2">
              <w:rPr>
                <w:color w:val="000000"/>
              </w:rPr>
              <w:t>100</w:t>
            </w:r>
          </w:p>
        </w:tc>
        <w:tc>
          <w:tcPr>
            <w:tcW w:w="1701" w:type="dxa"/>
            <w:tcBorders>
              <w:top w:val="single" w:sz="4" w:space="0" w:color="auto"/>
              <w:bottom w:val="single" w:sz="4" w:space="0" w:color="auto"/>
            </w:tcBorders>
            <w:shd w:val="clear" w:color="auto" w:fill="auto"/>
          </w:tcPr>
          <w:p w14:paraId="69CD45F9" w14:textId="77777777" w:rsidR="001C1B16" w:rsidRPr="00F259A2" w:rsidRDefault="005E6C1B" w:rsidP="008A5EE5">
            <w:pPr>
              <w:pStyle w:val="Footer"/>
              <w:tabs>
                <w:tab w:val="clear" w:pos="4536"/>
                <w:tab w:val="clear" w:pos="9072"/>
              </w:tabs>
              <w:spacing w:line="480" w:lineRule="auto"/>
              <w:rPr>
                <w:color w:val="000000"/>
              </w:rPr>
            </w:pPr>
            <w:r w:rsidRPr="00F259A2">
              <w:rPr>
                <w:color w:val="000000"/>
              </w:rPr>
              <w:t>100</w:t>
            </w:r>
          </w:p>
        </w:tc>
      </w:tr>
    </w:tbl>
    <w:p w14:paraId="0CF9471D" w14:textId="77777777" w:rsidR="001C1B16" w:rsidRPr="00F259A2" w:rsidRDefault="001C1B16" w:rsidP="008A5EE5">
      <w:pPr>
        <w:pStyle w:val="Footer"/>
        <w:tabs>
          <w:tab w:val="clear" w:pos="4536"/>
          <w:tab w:val="clear" w:pos="9072"/>
        </w:tabs>
        <w:spacing w:line="480" w:lineRule="auto"/>
        <w:rPr>
          <w:color w:val="000000"/>
        </w:rPr>
      </w:pPr>
    </w:p>
    <w:p w14:paraId="5229DDD5" w14:textId="77777777" w:rsidR="001C1B16" w:rsidRPr="00F259A2" w:rsidRDefault="001C1B16" w:rsidP="008A5EE5">
      <w:pPr>
        <w:tabs>
          <w:tab w:val="left" w:pos="-1440"/>
          <w:tab w:val="left" w:pos="-720"/>
        </w:tabs>
        <w:suppressAutoHyphens/>
        <w:spacing w:line="480" w:lineRule="auto"/>
        <w:ind w:left="284" w:hanging="284"/>
        <w:rPr>
          <w:b/>
          <w:color w:val="000000"/>
        </w:rPr>
      </w:pPr>
    </w:p>
    <w:p w14:paraId="2B300AFD" w14:textId="77777777" w:rsidR="001C1B16" w:rsidRPr="00F259A2" w:rsidRDefault="001C1B16" w:rsidP="008A5EE5">
      <w:pPr>
        <w:tabs>
          <w:tab w:val="left" w:pos="-1440"/>
          <w:tab w:val="left" w:pos="-720"/>
        </w:tabs>
        <w:suppressAutoHyphens/>
        <w:spacing w:line="480" w:lineRule="auto"/>
        <w:ind w:left="284" w:hanging="284"/>
        <w:rPr>
          <w:color w:val="000000"/>
        </w:rPr>
      </w:pPr>
    </w:p>
    <w:p w14:paraId="6D225590" w14:textId="77777777" w:rsidR="001C1B16" w:rsidRPr="00F259A2" w:rsidRDefault="001C1B16" w:rsidP="008A5EE5">
      <w:pPr>
        <w:tabs>
          <w:tab w:val="left" w:pos="-1440"/>
          <w:tab w:val="left" w:pos="-720"/>
        </w:tabs>
        <w:suppressAutoHyphens/>
        <w:spacing w:line="480" w:lineRule="auto"/>
        <w:ind w:left="284" w:hanging="284"/>
        <w:rPr>
          <w:color w:val="000000"/>
        </w:rPr>
      </w:pPr>
    </w:p>
    <w:p w14:paraId="5939645B" w14:textId="77777777" w:rsidR="001C1B16" w:rsidRPr="00F259A2" w:rsidRDefault="001C1B16" w:rsidP="008A5EE5">
      <w:pPr>
        <w:tabs>
          <w:tab w:val="left" w:pos="-1440"/>
          <w:tab w:val="left" w:pos="-720"/>
        </w:tabs>
        <w:suppressAutoHyphens/>
        <w:spacing w:line="480" w:lineRule="auto"/>
        <w:ind w:left="284" w:hanging="284"/>
        <w:rPr>
          <w:color w:val="000000"/>
        </w:rPr>
      </w:pPr>
    </w:p>
    <w:p w14:paraId="09CBD865" w14:textId="77777777" w:rsidR="001C1B16" w:rsidRPr="00F259A2" w:rsidRDefault="001C1B16" w:rsidP="008A5EE5">
      <w:pPr>
        <w:pStyle w:val="Footer"/>
        <w:tabs>
          <w:tab w:val="clear" w:pos="4536"/>
          <w:tab w:val="clear" w:pos="9072"/>
        </w:tabs>
        <w:spacing w:line="480" w:lineRule="auto"/>
        <w:rPr>
          <w:color w:val="000000"/>
        </w:rPr>
      </w:pPr>
    </w:p>
    <w:p w14:paraId="6C394C4B" w14:textId="77777777" w:rsidR="001C1B16" w:rsidRPr="00F259A2" w:rsidRDefault="005E6C1B" w:rsidP="008A5EE5">
      <w:pPr>
        <w:tabs>
          <w:tab w:val="left" w:pos="-1440"/>
          <w:tab w:val="left" w:pos="-720"/>
        </w:tabs>
        <w:suppressAutoHyphens/>
        <w:spacing w:line="480" w:lineRule="auto"/>
        <w:ind w:left="284" w:hanging="284"/>
        <w:rPr>
          <w:b/>
          <w:color w:val="000000"/>
        </w:rPr>
      </w:pPr>
      <w:r w:rsidRPr="00F259A2">
        <w:rPr>
          <w:b/>
          <w:color w:val="000000"/>
        </w:rPr>
        <w:t>Table 2:</w:t>
      </w:r>
    </w:p>
    <w:p w14:paraId="6D30BC86" w14:textId="77777777" w:rsidR="001C1B16" w:rsidRPr="00F259A2" w:rsidRDefault="001C1B16" w:rsidP="008A5EE5">
      <w:pPr>
        <w:tabs>
          <w:tab w:val="left" w:pos="-1440"/>
          <w:tab w:val="left" w:pos="-720"/>
        </w:tabs>
        <w:suppressAutoHyphens/>
        <w:spacing w:line="480" w:lineRule="auto"/>
        <w:ind w:left="284" w:hanging="284"/>
        <w:rPr>
          <w:b/>
          <w:color w:val="000000"/>
        </w:rPr>
      </w:pPr>
    </w:p>
    <w:tbl>
      <w:tblPr>
        <w:tblW w:w="8222" w:type="dxa"/>
        <w:tblInd w:w="250" w:type="dxa"/>
        <w:tblLook w:val="04A0" w:firstRow="1" w:lastRow="0" w:firstColumn="1" w:lastColumn="0" w:noHBand="0" w:noVBand="1"/>
      </w:tblPr>
      <w:tblGrid>
        <w:gridCol w:w="5103"/>
        <w:gridCol w:w="3119"/>
      </w:tblGrid>
      <w:tr w:rsidR="005E6C1B" w:rsidRPr="00F259A2" w14:paraId="3504AE58" w14:textId="77777777" w:rsidTr="005E6C1B">
        <w:tc>
          <w:tcPr>
            <w:tcW w:w="5103" w:type="dxa"/>
            <w:tcBorders>
              <w:top w:val="single" w:sz="4" w:space="0" w:color="auto"/>
              <w:bottom w:val="single" w:sz="4" w:space="0" w:color="auto"/>
            </w:tcBorders>
            <w:shd w:val="clear" w:color="auto" w:fill="auto"/>
            <w:vAlign w:val="center"/>
          </w:tcPr>
          <w:p w14:paraId="01BD5473" w14:textId="77777777" w:rsidR="001C1B16" w:rsidRPr="00F259A2" w:rsidRDefault="005E6C1B" w:rsidP="008A5EE5">
            <w:pPr>
              <w:spacing w:line="480" w:lineRule="auto"/>
              <w:rPr>
                <w:color w:val="000000"/>
              </w:rPr>
            </w:pPr>
            <w:r w:rsidRPr="00F259A2">
              <w:rPr>
                <w:color w:val="000000"/>
              </w:rPr>
              <w:t>Reagents</w:t>
            </w:r>
          </w:p>
        </w:tc>
        <w:tc>
          <w:tcPr>
            <w:tcW w:w="3119" w:type="dxa"/>
            <w:tcBorders>
              <w:top w:val="single" w:sz="4" w:space="0" w:color="auto"/>
              <w:bottom w:val="single" w:sz="4" w:space="0" w:color="auto"/>
            </w:tcBorders>
            <w:shd w:val="clear" w:color="auto" w:fill="auto"/>
          </w:tcPr>
          <w:p w14:paraId="575D6551" w14:textId="77777777" w:rsidR="001C1B16" w:rsidRPr="00F259A2" w:rsidRDefault="005E6C1B" w:rsidP="008A5EE5">
            <w:pPr>
              <w:spacing w:line="480" w:lineRule="auto"/>
              <w:rPr>
                <w:color w:val="000000"/>
              </w:rPr>
            </w:pPr>
            <w:r w:rsidRPr="00F259A2">
              <w:rPr>
                <w:color w:val="000000"/>
              </w:rPr>
              <w:t>[</w:t>
            </w:r>
            <w:r w:rsidR="00F97688" w:rsidRPr="00F97688">
              <w:rPr>
                <w:color w:val="000000"/>
              </w:rPr>
              <w:t>µL</w:t>
            </w:r>
            <w:r w:rsidRPr="00F259A2">
              <w:rPr>
                <w:color w:val="000000"/>
              </w:rPr>
              <w:t>]</w:t>
            </w:r>
          </w:p>
        </w:tc>
      </w:tr>
      <w:tr w:rsidR="005E6C1B" w:rsidRPr="00F259A2" w14:paraId="1B330F91" w14:textId="77777777" w:rsidTr="005E6C1B">
        <w:tc>
          <w:tcPr>
            <w:tcW w:w="5103" w:type="dxa"/>
            <w:tcBorders>
              <w:top w:val="single" w:sz="4" w:space="0" w:color="auto"/>
            </w:tcBorders>
            <w:shd w:val="clear" w:color="auto" w:fill="auto"/>
          </w:tcPr>
          <w:p w14:paraId="0FA12F40" w14:textId="77777777" w:rsidR="001C1B16" w:rsidRPr="00F259A2" w:rsidRDefault="005E6C1B" w:rsidP="008A5EE5">
            <w:pPr>
              <w:spacing w:line="480" w:lineRule="auto"/>
              <w:rPr>
                <w:color w:val="000000"/>
              </w:rPr>
            </w:pPr>
            <w:r w:rsidRPr="00F259A2">
              <w:rPr>
                <w:color w:val="000000"/>
              </w:rPr>
              <w:t>Reference DNA, fluorescein</w:t>
            </w:r>
            <w:r w:rsidR="00591F12">
              <w:rPr>
                <w:color w:val="000000"/>
              </w:rPr>
              <w:t>—</w:t>
            </w:r>
            <w:r w:rsidRPr="00F259A2">
              <w:rPr>
                <w:color w:val="000000"/>
              </w:rPr>
              <w:t>labelled</w:t>
            </w:r>
          </w:p>
        </w:tc>
        <w:tc>
          <w:tcPr>
            <w:tcW w:w="3119" w:type="dxa"/>
            <w:tcBorders>
              <w:top w:val="single" w:sz="4" w:space="0" w:color="auto"/>
            </w:tcBorders>
            <w:shd w:val="clear" w:color="auto" w:fill="auto"/>
          </w:tcPr>
          <w:p w14:paraId="359E7674" w14:textId="77777777" w:rsidR="001C1B16" w:rsidRPr="00F259A2" w:rsidRDefault="005E6C1B" w:rsidP="008A5EE5">
            <w:pPr>
              <w:spacing w:line="480" w:lineRule="auto"/>
              <w:rPr>
                <w:color w:val="000000"/>
              </w:rPr>
            </w:pPr>
            <w:r w:rsidRPr="00F259A2">
              <w:rPr>
                <w:color w:val="000000"/>
              </w:rPr>
              <w:t>20</w:t>
            </w:r>
          </w:p>
        </w:tc>
      </w:tr>
      <w:tr w:rsidR="005E6C1B" w:rsidRPr="00F259A2" w14:paraId="2DEA4952" w14:textId="77777777" w:rsidTr="005E6C1B">
        <w:tc>
          <w:tcPr>
            <w:tcW w:w="5103" w:type="dxa"/>
            <w:shd w:val="clear" w:color="auto" w:fill="auto"/>
          </w:tcPr>
          <w:p w14:paraId="10E8F5D6" w14:textId="77777777" w:rsidR="001C1B16" w:rsidRPr="00F259A2" w:rsidRDefault="005E6C1B" w:rsidP="008A5EE5">
            <w:pPr>
              <w:spacing w:line="480" w:lineRule="auto"/>
              <w:rPr>
                <w:color w:val="000000"/>
              </w:rPr>
            </w:pPr>
            <w:r w:rsidRPr="00F259A2">
              <w:rPr>
                <w:color w:val="000000"/>
              </w:rPr>
              <w:t>Test DNA, rhodamine</w:t>
            </w:r>
            <w:r w:rsidR="00591F12">
              <w:rPr>
                <w:color w:val="000000"/>
              </w:rPr>
              <w:t>—</w:t>
            </w:r>
            <w:r w:rsidRPr="00F259A2">
              <w:rPr>
                <w:color w:val="000000"/>
              </w:rPr>
              <w:t>labelled</w:t>
            </w:r>
          </w:p>
        </w:tc>
        <w:tc>
          <w:tcPr>
            <w:tcW w:w="3119" w:type="dxa"/>
            <w:shd w:val="clear" w:color="auto" w:fill="auto"/>
          </w:tcPr>
          <w:p w14:paraId="542BC325" w14:textId="77777777" w:rsidR="001C1B16" w:rsidRPr="00F259A2" w:rsidRDefault="005E6C1B" w:rsidP="008A5EE5">
            <w:pPr>
              <w:spacing w:line="480" w:lineRule="auto"/>
              <w:rPr>
                <w:color w:val="000000"/>
              </w:rPr>
            </w:pPr>
            <w:r w:rsidRPr="00F259A2">
              <w:rPr>
                <w:color w:val="000000"/>
              </w:rPr>
              <w:t>20</w:t>
            </w:r>
          </w:p>
        </w:tc>
      </w:tr>
      <w:tr w:rsidR="005E6C1B" w:rsidRPr="00F259A2" w14:paraId="080F2C4B" w14:textId="77777777" w:rsidTr="005E6C1B">
        <w:tc>
          <w:tcPr>
            <w:tcW w:w="5103" w:type="dxa"/>
            <w:shd w:val="clear" w:color="auto" w:fill="auto"/>
          </w:tcPr>
          <w:p w14:paraId="100B9154" w14:textId="77777777" w:rsidR="001C1B16" w:rsidRPr="00F259A2" w:rsidRDefault="005E6C1B" w:rsidP="000775A3">
            <w:pPr>
              <w:spacing w:line="480" w:lineRule="auto"/>
              <w:rPr>
                <w:color w:val="000000"/>
              </w:rPr>
            </w:pPr>
            <w:r w:rsidRPr="00F259A2">
              <w:rPr>
                <w:color w:val="000000"/>
              </w:rPr>
              <w:t>Human cot</w:t>
            </w:r>
            <w:r w:rsidR="00AD5B6B">
              <w:rPr>
                <w:color w:val="000000"/>
              </w:rPr>
              <w:t>--</w:t>
            </w:r>
            <w:r w:rsidRPr="00F259A2">
              <w:rPr>
                <w:color w:val="000000"/>
              </w:rPr>
              <w:t>1 DNA (1 mg/</w:t>
            </w:r>
            <w:r w:rsidR="00F97688" w:rsidRPr="00F97688">
              <w:rPr>
                <w:color w:val="000000"/>
              </w:rPr>
              <w:t>mL</w:t>
            </w:r>
            <w:r w:rsidRPr="00F259A2">
              <w:rPr>
                <w:color w:val="000000"/>
              </w:rPr>
              <w:t xml:space="preserve">) </w:t>
            </w:r>
          </w:p>
        </w:tc>
        <w:tc>
          <w:tcPr>
            <w:tcW w:w="3119" w:type="dxa"/>
            <w:shd w:val="clear" w:color="auto" w:fill="auto"/>
          </w:tcPr>
          <w:p w14:paraId="26D30262" w14:textId="77777777" w:rsidR="001C1B16" w:rsidRPr="00F259A2" w:rsidRDefault="005E6C1B" w:rsidP="008A5EE5">
            <w:pPr>
              <w:spacing w:line="480" w:lineRule="auto"/>
              <w:rPr>
                <w:color w:val="000000"/>
              </w:rPr>
            </w:pPr>
            <w:r w:rsidRPr="00F259A2">
              <w:rPr>
                <w:color w:val="000000"/>
              </w:rPr>
              <w:t>40</w:t>
            </w:r>
          </w:p>
        </w:tc>
      </w:tr>
      <w:tr w:rsidR="005E6C1B" w:rsidRPr="00F259A2" w14:paraId="52300627" w14:textId="77777777" w:rsidTr="005E6C1B">
        <w:tc>
          <w:tcPr>
            <w:tcW w:w="5103" w:type="dxa"/>
            <w:shd w:val="clear" w:color="auto" w:fill="auto"/>
          </w:tcPr>
          <w:p w14:paraId="4922DFAF" w14:textId="77777777" w:rsidR="001C1B16" w:rsidRPr="00F259A2" w:rsidRDefault="005E6C1B" w:rsidP="008A5EE5">
            <w:pPr>
              <w:spacing w:line="480" w:lineRule="auto"/>
              <w:rPr>
                <w:color w:val="000000"/>
              </w:rPr>
            </w:pPr>
            <w:r w:rsidRPr="00F259A2">
              <w:rPr>
                <w:color w:val="000000"/>
              </w:rPr>
              <w:t>Salmon sperm DNA (10 mg/</w:t>
            </w:r>
            <w:r w:rsidR="00F97688" w:rsidRPr="00F97688">
              <w:rPr>
                <w:color w:val="000000"/>
              </w:rPr>
              <w:t>mL</w:t>
            </w:r>
            <w:r w:rsidRPr="00F259A2">
              <w:rPr>
                <w:color w:val="000000"/>
              </w:rPr>
              <w:t>) [Sigma]</w:t>
            </w:r>
          </w:p>
        </w:tc>
        <w:tc>
          <w:tcPr>
            <w:tcW w:w="3119" w:type="dxa"/>
            <w:shd w:val="clear" w:color="auto" w:fill="auto"/>
          </w:tcPr>
          <w:p w14:paraId="59EC1D61" w14:textId="77777777" w:rsidR="001C1B16" w:rsidRPr="00F259A2" w:rsidRDefault="005E6C1B" w:rsidP="008A5EE5">
            <w:pPr>
              <w:spacing w:line="480" w:lineRule="auto"/>
              <w:rPr>
                <w:color w:val="000000"/>
              </w:rPr>
            </w:pPr>
            <w:r w:rsidRPr="00F259A2">
              <w:rPr>
                <w:color w:val="000000"/>
              </w:rPr>
              <w:t>1</w:t>
            </w:r>
          </w:p>
        </w:tc>
      </w:tr>
      <w:tr w:rsidR="005E6C1B" w:rsidRPr="00F259A2" w14:paraId="61C57E8D" w14:textId="77777777" w:rsidTr="005E6C1B">
        <w:tc>
          <w:tcPr>
            <w:tcW w:w="5103" w:type="dxa"/>
            <w:shd w:val="clear" w:color="auto" w:fill="auto"/>
          </w:tcPr>
          <w:p w14:paraId="1768DFEF" w14:textId="77777777" w:rsidR="001C1B16" w:rsidRPr="00F259A2" w:rsidRDefault="005E6C1B" w:rsidP="008A5EE5">
            <w:pPr>
              <w:spacing w:line="480" w:lineRule="auto"/>
              <w:rPr>
                <w:color w:val="000000"/>
              </w:rPr>
            </w:pPr>
            <w:r w:rsidRPr="00F259A2">
              <w:rPr>
                <w:color w:val="000000"/>
              </w:rPr>
              <w:t>Sodium acetate (3 M, pH 5.0); 1/10 volume</w:t>
            </w:r>
          </w:p>
        </w:tc>
        <w:tc>
          <w:tcPr>
            <w:tcW w:w="3119" w:type="dxa"/>
            <w:shd w:val="clear" w:color="auto" w:fill="auto"/>
          </w:tcPr>
          <w:p w14:paraId="2D639E87" w14:textId="77777777" w:rsidR="001C1B16" w:rsidRPr="00F259A2" w:rsidRDefault="005E6C1B" w:rsidP="008A5EE5">
            <w:pPr>
              <w:spacing w:line="480" w:lineRule="auto"/>
              <w:rPr>
                <w:color w:val="000000"/>
              </w:rPr>
            </w:pPr>
            <w:r w:rsidRPr="00F259A2">
              <w:rPr>
                <w:color w:val="000000"/>
              </w:rPr>
              <w:t>8.1</w:t>
            </w:r>
          </w:p>
        </w:tc>
      </w:tr>
      <w:tr w:rsidR="005E6C1B" w:rsidRPr="00F259A2" w14:paraId="08EA8C1A" w14:textId="77777777" w:rsidTr="005E6C1B">
        <w:tc>
          <w:tcPr>
            <w:tcW w:w="5103" w:type="dxa"/>
            <w:shd w:val="clear" w:color="auto" w:fill="auto"/>
          </w:tcPr>
          <w:p w14:paraId="7094DB6F" w14:textId="77777777" w:rsidR="001C1B16" w:rsidRPr="00F259A2" w:rsidRDefault="005E6C1B" w:rsidP="008A5EE5">
            <w:pPr>
              <w:spacing w:line="480" w:lineRule="auto"/>
              <w:rPr>
                <w:color w:val="000000"/>
              </w:rPr>
            </w:pPr>
            <w:r w:rsidRPr="00F259A2">
              <w:rPr>
                <w:color w:val="000000"/>
              </w:rPr>
              <w:t xml:space="preserve">Ethanol, absolute, </w:t>
            </w:r>
            <w:r w:rsidR="00AD5B6B">
              <w:rPr>
                <w:color w:val="000000"/>
              </w:rPr>
              <w:t>--</w:t>
            </w:r>
            <w:r w:rsidRPr="00F259A2">
              <w:rPr>
                <w:color w:val="000000"/>
              </w:rPr>
              <w:t>20 °C; 2.5x volume</w:t>
            </w:r>
          </w:p>
        </w:tc>
        <w:tc>
          <w:tcPr>
            <w:tcW w:w="3119" w:type="dxa"/>
            <w:shd w:val="clear" w:color="auto" w:fill="auto"/>
          </w:tcPr>
          <w:p w14:paraId="19B326F7" w14:textId="77777777" w:rsidR="001C1B16" w:rsidRPr="00F259A2" w:rsidRDefault="005E6C1B" w:rsidP="008A5EE5">
            <w:pPr>
              <w:spacing w:line="480" w:lineRule="auto"/>
              <w:rPr>
                <w:color w:val="000000"/>
              </w:rPr>
            </w:pPr>
            <w:r w:rsidRPr="00F259A2">
              <w:rPr>
                <w:color w:val="000000"/>
              </w:rPr>
              <w:t>202.5</w:t>
            </w:r>
          </w:p>
        </w:tc>
      </w:tr>
      <w:tr w:rsidR="005E6C1B" w:rsidRPr="00F259A2" w14:paraId="30EF104B" w14:textId="77777777" w:rsidTr="005E6C1B">
        <w:tc>
          <w:tcPr>
            <w:tcW w:w="5103" w:type="dxa"/>
            <w:tcBorders>
              <w:top w:val="single" w:sz="4" w:space="0" w:color="auto"/>
              <w:bottom w:val="single" w:sz="4" w:space="0" w:color="auto"/>
            </w:tcBorders>
            <w:shd w:val="clear" w:color="auto" w:fill="auto"/>
          </w:tcPr>
          <w:p w14:paraId="290D8808" w14:textId="77777777" w:rsidR="001C1B16" w:rsidRPr="00F259A2" w:rsidRDefault="005E6C1B" w:rsidP="008A5EE5">
            <w:pPr>
              <w:spacing w:line="480" w:lineRule="auto"/>
              <w:rPr>
                <w:color w:val="000000"/>
              </w:rPr>
            </w:pPr>
            <w:r w:rsidRPr="00F259A2">
              <w:rPr>
                <w:color w:val="000000"/>
              </w:rPr>
              <w:t>Total Volume</w:t>
            </w:r>
          </w:p>
        </w:tc>
        <w:tc>
          <w:tcPr>
            <w:tcW w:w="3119" w:type="dxa"/>
            <w:tcBorders>
              <w:top w:val="single" w:sz="4" w:space="0" w:color="auto"/>
              <w:bottom w:val="single" w:sz="4" w:space="0" w:color="auto"/>
            </w:tcBorders>
            <w:shd w:val="clear" w:color="auto" w:fill="auto"/>
          </w:tcPr>
          <w:p w14:paraId="0728526F" w14:textId="77777777" w:rsidR="001C1B16" w:rsidRPr="00F259A2" w:rsidRDefault="005E6C1B" w:rsidP="008A5EE5">
            <w:pPr>
              <w:spacing w:line="480" w:lineRule="auto"/>
              <w:rPr>
                <w:color w:val="000000"/>
              </w:rPr>
            </w:pPr>
            <w:r w:rsidRPr="00F259A2">
              <w:rPr>
                <w:color w:val="000000"/>
              </w:rPr>
              <w:t>291.6</w:t>
            </w:r>
          </w:p>
        </w:tc>
      </w:tr>
    </w:tbl>
    <w:p w14:paraId="5E50C7EA" w14:textId="77777777" w:rsidR="001C1B16" w:rsidRPr="00F259A2" w:rsidRDefault="001C1B16" w:rsidP="008A5EE5">
      <w:pPr>
        <w:pStyle w:val="Footer"/>
        <w:tabs>
          <w:tab w:val="clear" w:pos="4536"/>
          <w:tab w:val="clear" w:pos="9072"/>
        </w:tabs>
        <w:spacing w:line="480" w:lineRule="auto"/>
        <w:rPr>
          <w:color w:val="000000"/>
        </w:rPr>
      </w:pPr>
    </w:p>
    <w:p w14:paraId="5C123E76" w14:textId="77777777" w:rsidR="001C1B16" w:rsidRPr="00F259A2" w:rsidRDefault="001C1B16" w:rsidP="008A5EE5">
      <w:pPr>
        <w:tabs>
          <w:tab w:val="left" w:pos="-1440"/>
          <w:tab w:val="left" w:pos="-720"/>
        </w:tabs>
        <w:suppressAutoHyphens/>
        <w:spacing w:line="480" w:lineRule="auto"/>
        <w:ind w:left="284" w:hanging="284"/>
        <w:rPr>
          <w:color w:val="000000"/>
        </w:rPr>
      </w:pPr>
    </w:p>
    <w:p w14:paraId="42F328A2" w14:textId="77777777" w:rsidR="001C1B16" w:rsidRPr="00F259A2" w:rsidRDefault="001C1B16" w:rsidP="008A5EE5">
      <w:pPr>
        <w:tabs>
          <w:tab w:val="left" w:pos="-1440"/>
          <w:tab w:val="left" w:pos="-720"/>
        </w:tabs>
        <w:suppressAutoHyphens/>
        <w:spacing w:line="480" w:lineRule="auto"/>
        <w:ind w:left="284" w:hanging="284"/>
        <w:rPr>
          <w:color w:val="000000"/>
        </w:rPr>
      </w:pPr>
    </w:p>
    <w:p w14:paraId="056A9AAF" w14:textId="77777777" w:rsidR="001C1B16" w:rsidRPr="00F259A2" w:rsidRDefault="001C1B16" w:rsidP="008A5EE5">
      <w:pPr>
        <w:tabs>
          <w:tab w:val="left" w:pos="-1440"/>
          <w:tab w:val="left" w:pos="-720"/>
        </w:tabs>
        <w:suppressAutoHyphens/>
        <w:spacing w:line="480" w:lineRule="auto"/>
        <w:ind w:left="284" w:hanging="284"/>
        <w:rPr>
          <w:color w:val="000000"/>
        </w:rPr>
      </w:pPr>
    </w:p>
    <w:p w14:paraId="65BCD828" w14:textId="77777777" w:rsidR="001C1B16" w:rsidRPr="00F259A2" w:rsidRDefault="001C1B16" w:rsidP="008A5EE5">
      <w:pPr>
        <w:tabs>
          <w:tab w:val="left" w:pos="-1440"/>
          <w:tab w:val="left" w:pos="-720"/>
        </w:tabs>
        <w:suppressAutoHyphens/>
        <w:spacing w:line="480" w:lineRule="auto"/>
        <w:ind w:left="284" w:hanging="284"/>
        <w:rPr>
          <w:color w:val="000000"/>
        </w:rPr>
      </w:pPr>
    </w:p>
    <w:p w14:paraId="18BD534C" w14:textId="77777777" w:rsidR="001C1B16" w:rsidRPr="00F259A2" w:rsidRDefault="001C1B16" w:rsidP="008A5EE5">
      <w:pPr>
        <w:tabs>
          <w:tab w:val="left" w:pos="-1440"/>
          <w:tab w:val="left" w:pos="-720"/>
        </w:tabs>
        <w:suppressAutoHyphens/>
        <w:spacing w:line="480" w:lineRule="auto"/>
        <w:ind w:left="284" w:hanging="284"/>
        <w:rPr>
          <w:color w:val="000000"/>
        </w:rPr>
      </w:pPr>
    </w:p>
    <w:sectPr w:rsidR="001C1B16" w:rsidRPr="00F259A2" w:rsidSect="003A1C61">
      <w:footerReference w:type="default" r:id="rId13"/>
      <w:pgSz w:w="11906" w:h="16838"/>
      <w:pgMar w:top="1440" w:right="1800" w:bottom="1440" w:left="180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hima Bajpayee" w:date="2012-12-09T19:10:00Z" w:initials="MB">
    <w:p w14:paraId="10B33BD2" w14:textId="77777777" w:rsidR="00445E7A" w:rsidRPr="00E86667" w:rsidRDefault="00445E7A">
      <w:pPr>
        <w:pStyle w:val="CommentText"/>
        <w:rPr>
          <w:rFonts w:ascii="Arial" w:hAnsi="Arial" w:cs="Arial"/>
          <w:sz w:val="24"/>
          <w:szCs w:val="24"/>
        </w:rPr>
      </w:pPr>
      <w:r>
        <w:rPr>
          <w:rStyle w:val="CommentReference"/>
        </w:rPr>
        <w:annotationRef/>
      </w:r>
      <w:r w:rsidRPr="00E86667">
        <w:rPr>
          <w:rFonts w:ascii="Arial" w:hAnsi="Arial" w:cs="Arial"/>
          <w:sz w:val="24"/>
          <w:szCs w:val="24"/>
        </w:rPr>
        <w:t xml:space="preserve">We add 1 microL of glycogen </w:t>
      </w:r>
    </w:p>
    <w:p w14:paraId="470AA99A" w14:textId="77777777" w:rsidR="00445E7A" w:rsidRDefault="00445E7A">
      <w:pPr>
        <w:pStyle w:val="CommentText"/>
      </w:pPr>
      <w:r w:rsidRPr="00E86667">
        <w:rPr>
          <w:rFonts w:ascii="Arial" w:hAnsi="Arial" w:cs="Arial"/>
          <w:sz w:val="24"/>
          <w:szCs w:val="24"/>
        </w:rPr>
        <w:t>What is the concentration of the solution</w:t>
      </w:r>
      <w:r>
        <w:t>?</w:t>
      </w:r>
    </w:p>
  </w:comment>
  <w:comment w:id="1" w:author="Mahima Bajpayee" w:date="2012-12-09T19:06:00Z" w:initials="MB">
    <w:p w14:paraId="7F194944" w14:textId="77777777" w:rsidR="00445E7A" w:rsidRDefault="00445E7A">
      <w:pPr>
        <w:pStyle w:val="CommentText"/>
        <w:rPr>
          <w:rFonts w:ascii="Arial" w:hAnsi="Arial" w:cs="Arial"/>
        </w:rPr>
      </w:pPr>
      <w:r>
        <w:rPr>
          <w:rStyle w:val="CommentReference"/>
        </w:rPr>
        <w:annotationRef/>
      </w:r>
    </w:p>
    <w:p w14:paraId="081CAB1F" w14:textId="77777777" w:rsidR="00445E7A" w:rsidRDefault="00445E7A">
      <w:pPr>
        <w:pStyle w:val="CommentText"/>
        <w:rPr>
          <w:rFonts w:ascii="Arial" w:hAnsi="Arial" w:cs="Arial"/>
        </w:rPr>
      </w:pPr>
      <w:r w:rsidRPr="007236D9">
        <w:rPr>
          <w:rFonts w:ascii="Arial" w:hAnsi="Arial" w:cs="Arial"/>
        </w:rPr>
        <w:t xml:space="preserve">Full form of PN? </w:t>
      </w:r>
    </w:p>
    <w:p w14:paraId="4EDD69A6" w14:textId="77777777" w:rsidR="00445E7A" w:rsidRDefault="00445E7A">
      <w:pPr>
        <w:pStyle w:val="CommentText"/>
        <w:rPr>
          <w:rFonts w:ascii="Arial" w:hAnsi="Arial" w:cs="Arial"/>
        </w:rPr>
      </w:pPr>
      <w:r w:rsidRPr="007236D9">
        <w:rPr>
          <w:rFonts w:ascii="Arial" w:hAnsi="Arial" w:cs="Arial"/>
        </w:rPr>
        <w:t xml:space="preserve">Once pH of 8 is reached then </w:t>
      </w:r>
      <w:r w:rsidRPr="007236D9">
        <w:rPr>
          <w:rFonts w:ascii="Arial" w:hAnsi="Arial" w:cs="Arial"/>
        </w:rPr>
        <w:t>igepal is added?</w:t>
      </w:r>
      <w:r>
        <w:rPr>
          <w:rFonts w:ascii="Arial" w:hAnsi="Arial" w:cs="Arial"/>
        </w:rPr>
        <w:t xml:space="preserve"> </w:t>
      </w:r>
    </w:p>
    <w:p w14:paraId="1F2AF7A6" w14:textId="77777777" w:rsidR="00445E7A" w:rsidRPr="007236D9" w:rsidRDefault="00445E7A">
      <w:pPr>
        <w:pStyle w:val="CommentText"/>
        <w:rPr>
          <w:rFonts w:ascii="Arial" w:hAnsi="Arial" w:cs="Arial"/>
        </w:rPr>
      </w:pPr>
      <w:r>
        <w:rPr>
          <w:rFonts w:ascii="Arial" w:hAnsi="Arial" w:cs="Arial"/>
        </w:rPr>
        <w:t>Please give the method of preparation</w:t>
      </w:r>
    </w:p>
  </w:comment>
  <w:comment w:id="2" w:author="A Baumgartner" w:date="2012-12-12T16:12:00Z" w:initials="AB">
    <w:p w14:paraId="4E6B55D3" w14:textId="77777777" w:rsidR="006B71CB" w:rsidRDefault="006B71CB">
      <w:pPr>
        <w:pStyle w:val="CommentText"/>
      </w:pPr>
      <w:r>
        <w:t xml:space="preserve">The abbreviation </w:t>
      </w:r>
      <w:r>
        <w:rPr>
          <w:rStyle w:val="CommentReference"/>
        </w:rPr>
        <w:annotationRef/>
      </w:r>
      <w:r>
        <w:t xml:space="preserve">PN most likely stands for Phosphate buffer containing </w:t>
      </w:r>
      <w:r>
        <w:t xml:space="preserve">Nonidet P40; however, the detergent Nonidet P40 </w:t>
      </w:r>
      <w:r w:rsidR="00BB488B">
        <w:t>has been</w:t>
      </w:r>
      <w:r>
        <w:t xml:space="preserve"> discontinued</w:t>
      </w:r>
      <w:r w:rsidR="00BB488B">
        <w:t xml:space="preserve"> for</w:t>
      </w:r>
      <w:r>
        <w:t xml:space="preserve"> </w:t>
      </w:r>
      <w:r w:rsidR="007E0DD8">
        <w:t>quite a while</w:t>
      </w:r>
      <w:r w:rsidR="00BB488B">
        <w:t>. It was</w:t>
      </w:r>
      <w:r>
        <w:t xml:space="preserve"> exchanged by IGEPAL CA-630, thus</w:t>
      </w:r>
      <w:r w:rsidR="00BB488B">
        <w:t>,</w:t>
      </w:r>
      <w:r>
        <w:t xml:space="preserve"> only the abbreviation </w:t>
      </w:r>
      <w:r w:rsidR="00BB488B">
        <w:t xml:space="preserve">of the buffer PN </w:t>
      </w:r>
      <w:r>
        <w:t>prevailed.</w:t>
      </w:r>
      <w:r w:rsidR="007E0DD8">
        <w:t xml:space="preserve"> It would </w:t>
      </w:r>
      <w:r w:rsidR="00E1115F">
        <w:t>more confusing</w:t>
      </w:r>
      <w:r w:rsidR="00BB488B">
        <w:t xml:space="preserve"> than helpful </w:t>
      </w:r>
      <w:r w:rsidR="007E0DD8">
        <w:t>to give the full name.</w:t>
      </w:r>
    </w:p>
  </w:comment>
  <w:comment w:id="3" w:author="A Baumgartner" w:date="2012-12-12T14:16:00Z" w:initials="AB">
    <w:p w14:paraId="06C8542D" w14:textId="77777777" w:rsidR="006B71CB" w:rsidRDefault="006B71CB">
      <w:pPr>
        <w:pStyle w:val="CommentText"/>
      </w:pPr>
      <w:r>
        <w:rPr>
          <w:rStyle w:val="CommentReference"/>
        </w:rPr>
        <w:annotationRef/>
      </w:r>
      <w:r>
        <w:t>See comment above, M in PNM stands for Milk.</w:t>
      </w:r>
    </w:p>
  </w:comment>
  <w:comment w:id="4" w:author="Mahima Bajpayee" w:date="2012-12-09T19:06:00Z" w:initials="MB">
    <w:p w14:paraId="4E51F1A0" w14:textId="77777777" w:rsidR="00445E7A" w:rsidRDefault="00445E7A">
      <w:pPr>
        <w:pStyle w:val="CommentText"/>
      </w:pPr>
      <w:r>
        <w:rPr>
          <w:rStyle w:val="CommentReference"/>
        </w:rPr>
        <w:annotationRef/>
      </w:r>
      <w:r>
        <w:t xml:space="preserve">Full form of </w:t>
      </w:r>
      <w:r w:rsidRPr="00A8159D">
        <w:rPr>
          <w:color w:val="000000"/>
        </w:rPr>
        <w:t>PNM</w:t>
      </w:r>
      <w:r>
        <w:rPr>
          <w:color w:val="000000"/>
        </w:rPr>
        <w:t>?</w:t>
      </w:r>
    </w:p>
  </w:comment>
  <w:comment w:id="5" w:author="Mahima Bajpayee" w:date="2012-12-09T19:14:00Z" w:initials="MB">
    <w:p w14:paraId="38AF7891" w14:textId="77777777" w:rsidR="00445E7A" w:rsidRDefault="00445E7A">
      <w:pPr>
        <w:pStyle w:val="CommentText"/>
      </w:pPr>
      <w:r>
        <w:rPr>
          <w:rStyle w:val="CommentReference"/>
        </w:rPr>
        <w:annotationRef/>
      </w:r>
      <w:r>
        <w:t xml:space="preserve">What is </w:t>
      </w:r>
      <w:r w:rsidRPr="00434E11">
        <w:rPr>
          <w:rFonts w:ascii="Arial" w:hAnsi="Arial" w:cs="Arial"/>
        </w:rPr>
        <w:t>used</w:t>
      </w:r>
      <w:r>
        <w:t xml:space="preserve"> as loading </w:t>
      </w:r>
      <w:r>
        <w:t>buffer ?</w:t>
      </w:r>
    </w:p>
  </w:comment>
  <w:comment w:id="6" w:author="Mahima Bajpayee" w:date="2012-12-09T19:35:00Z" w:initials="MB">
    <w:p w14:paraId="3EB12CAA" w14:textId="77777777" w:rsidR="00445E7A" w:rsidRDefault="00445E7A">
      <w:pPr>
        <w:pStyle w:val="CommentText"/>
      </w:pPr>
      <w:r>
        <w:rPr>
          <w:rStyle w:val="CommentReference"/>
        </w:rPr>
        <w:annotationRef/>
      </w:r>
      <w:r>
        <w:t>Role? And concentration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0AA99A" w15:done="0"/>
  <w15:commentEx w15:paraId="1F2AF7A6" w15:done="0"/>
  <w15:commentEx w15:paraId="4E6B55D3" w15:done="0"/>
  <w15:commentEx w15:paraId="06C8542D" w15:done="0"/>
  <w15:commentEx w15:paraId="4E51F1A0" w15:done="0"/>
  <w15:commentEx w15:paraId="38AF7891" w15:done="0"/>
  <w15:commentEx w15:paraId="3EB12C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5A4A5" w16cex:dateUtc="2012-12-09T19:10:00Z"/>
  <w16cex:commentExtensible w16cex:durableId="25D5A4A6" w16cex:dateUtc="2012-12-09T19:06:00Z"/>
  <w16cex:commentExtensible w16cex:durableId="25D5A4A7" w16cex:dateUtc="2012-12-12T16:12:00Z"/>
  <w16cex:commentExtensible w16cex:durableId="25D5A4A8" w16cex:dateUtc="2012-12-12T14:16:00Z"/>
  <w16cex:commentExtensible w16cex:durableId="25D5A4A9" w16cex:dateUtc="2012-12-09T19:06:00Z"/>
  <w16cex:commentExtensible w16cex:durableId="25D5A4AA" w16cex:dateUtc="2012-12-09T19:14:00Z"/>
  <w16cex:commentExtensible w16cex:durableId="25D5A4AB" w16cex:dateUtc="2012-12-09T19: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0AA99A" w16cid:durableId="25D5A4A5"/>
  <w16cid:commentId w16cid:paraId="1F2AF7A6" w16cid:durableId="25D5A4A6"/>
  <w16cid:commentId w16cid:paraId="4E6B55D3" w16cid:durableId="25D5A4A7"/>
  <w16cid:commentId w16cid:paraId="06C8542D" w16cid:durableId="25D5A4A8"/>
  <w16cid:commentId w16cid:paraId="4E51F1A0" w16cid:durableId="25D5A4A9"/>
  <w16cid:commentId w16cid:paraId="38AF7891" w16cid:durableId="25D5A4AA"/>
  <w16cid:commentId w16cid:paraId="3EB12CAA" w16cid:durableId="25D5A4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B9A2D" w14:textId="77777777" w:rsidR="00C56B8C" w:rsidRDefault="00C56B8C">
      <w:r>
        <w:separator/>
      </w:r>
    </w:p>
  </w:endnote>
  <w:endnote w:type="continuationSeparator" w:id="0">
    <w:p w14:paraId="3693C710" w14:textId="77777777" w:rsidR="00C56B8C" w:rsidRDefault="00C5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3183822"/>
      <w:docPartObj>
        <w:docPartGallery w:val="Page Numbers (Bottom of Page)"/>
        <w:docPartUnique/>
      </w:docPartObj>
    </w:sdtPr>
    <w:sdtEndPr>
      <w:rPr>
        <w:noProof/>
      </w:rPr>
    </w:sdtEndPr>
    <w:sdtContent>
      <w:p w14:paraId="59568AFD" w14:textId="77777777" w:rsidR="00445E7A" w:rsidRDefault="00445E7A">
        <w:pPr>
          <w:pStyle w:val="Footer"/>
          <w:jc w:val="center"/>
        </w:pPr>
        <w:r>
          <w:fldChar w:fldCharType="begin"/>
        </w:r>
        <w:r>
          <w:instrText xml:space="preserve"> PAGE   \* MERGEFORMAT </w:instrText>
        </w:r>
        <w:r>
          <w:fldChar w:fldCharType="separate"/>
        </w:r>
        <w:r w:rsidR="00FB5C7B">
          <w:rPr>
            <w:noProof/>
          </w:rPr>
          <w:t>2</w:t>
        </w:r>
        <w:r>
          <w:rPr>
            <w:noProof/>
          </w:rPr>
          <w:fldChar w:fldCharType="end"/>
        </w:r>
      </w:p>
    </w:sdtContent>
  </w:sdt>
  <w:p w14:paraId="681EF123" w14:textId="77777777" w:rsidR="00445E7A" w:rsidRDefault="00445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4CE09" w14:textId="77777777" w:rsidR="00C56B8C" w:rsidRDefault="00C56B8C">
      <w:r>
        <w:separator/>
      </w:r>
    </w:p>
  </w:footnote>
  <w:footnote w:type="continuationSeparator" w:id="0">
    <w:p w14:paraId="741C66D8" w14:textId="77777777" w:rsidR="00C56B8C" w:rsidRDefault="00C56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204C"/>
    <w:multiLevelType w:val="hybridMultilevel"/>
    <w:tmpl w:val="6358B748"/>
    <w:lvl w:ilvl="0" w:tplc="9C12078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1E13320"/>
    <w:multiLevelType w:val="hybridMultilevel"/>
    <w:tmpl w:val="8C66D0D0"/>
    <w:lvl w:ilvl="0" w:tplc="04090017">
      <w:start w:val="1"/>
      <w:numFmt w:val="lowerLetter"/>
      <w:lvlText w:val="%1)"/>
      <w:lvlJc w:val="left"/>
      <w:pPr>
        <w:tabs>
          <w:tab w:val="num" w:pos="720"/>
        </w:tabs>
        <w:ind w:left="720" w:hanging="360"/>
      </w:pPr>
      <w:rPr>
        <w:rFonts w:hint="default"/>
      </w:rPr>
    </w:lvl>
    <w:lvl w:ilvl="1" w:tplc="4482C5F6">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122434"/>
    <w:multiLevelType w:val="hybridMultilevel"/>
    <w:tmpl w:val="5014A09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6E95A2D"/>
    <w:multiLevelType w:val="hybridMultilevel"/>
    <w:tmpl w:val="6E46FC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pStyle w:val="Heading7"/>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834668"/>
    <w:multiLevelType w:val="hybridMultilevel"/>
    <w:tmpl w:val="A9E09C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FFA2199"/>
    <w:multiLevelType w:val="hybridMultilevel"/>
    <w:tmpl w:val="AE5C876A"/>
    <w:lvl w:ilvl="0" w:tplc="A84E4C3A">
      <w:start w:val="2"/>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A47FF2"/>
    <w:multiLevelType w:val="hybridMultilevel"/>
    <w:tmpl w:val="66380DF6"/>
    <w:lvl w:ilvl="0" w:tplc="9D6A551A">
      <w:start w:val="1"/>
      <w:numFmt w:val="decimal"/>
      <w:lvlText w:val="%1."/>
      <w:lvlJc w:val="left"/>
      <w:pPr>
        <w:ind w:left="1212" w:hanging="360"/>
      </w:pPr>
      <w:rPr>
        <w:rFonts w:hint="default"/>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179559C7"/>
    <w:multiLevelType w:val="hybridMultilevel"/>
    <w:tmpl w:val="732C0410"/>
    <w:lvl w:ilvl="0" w:tplc="15DCFB46">
      <w:start w:val="1"/>
      <w:numFmt w:val="decimal"/>
      <w:lvlText w:val="%1"/>
      <w:lvlJc w:val="left"/>
      <w:pPr>
        <w:tabs>
          <w:tab w:val="num" w:pos="10080"/>
        </w:tabs>
        <w:ind w:left="10080" w:hanging="360"/>
      </w:pPr>
      <w:rPr>
        <w:rFonts w:hint="default"/>
      </w:rPr>
    </w:lvl>
    <w:lvl w:ilvl="1" w:tplc="04090019" w:tentative="1">
      <w:start w:val="1"/>
      <w:numFmt w:val="lowerLetter"/>
      <w:lvlText w:val="%2."/>
      <w:lvlJc w:val="left"/>
      <w:pPr>
        <w:tabs>
          <w:tab w:val="num" w:pos="10800"/>
        </w:tabs>
        <w:ind w:left="10800" w:hanging="360"/>
      </w:pPr>
    </w:lvl>
    <w:lvl w:ilvl="2" w:tplc="0409001B" w:tentative="1">
      <w:start w:val="1"/>
      <w:numFmt w:val="lowerRoman"/>
      <w:lvlText w:val="%3."/>
      <w:lvlJc w:val="right"/>
      <w:pPr>
        <w:tabs>
          <w:tab w:val="num" w:pos="11520"/>
        </w:tabs>
        <w:ind w:left="11520" w:hanging="180"/>
      </w:pPr>
    </w:lvl>
    <w:lvl w:ilvl="3" w:tplc="0409000F" w:tentative="1">
      <w:start w:val="1"/>
      <w:numFmt w:val="decimal"/>
      <w:lvlText w:val="%4."/>
      <w:lvlJc w:val="left"/>
      <w:pPr>
        <w:tabs>
          <w:tab w:val="num" w:pos="12240"/>
        </w:tabs>
        <w:ind w:left="12240" w:hanging="360"/>
      </w:pPr>
    </w:lvl>
    <w:lvl w:ilvl="4" w:tplc="04090019" w:tentative="1">
      <w:start w:val="1"/>
      <w:numFmt w:val="lowerLetter"/>
      <w:lvlText w:val="%5."/>
      <w:lvlJc w:val="left"/>
      <w:pPr>
        <w:tabs>
          <w:tab w:val="num" w:pos="12960"/>
        </w:tabs>
        <w:ind w:left="12960" w:hanging="360"/>
      </w:pPr>
    </w:lvl>
    <w:lvl w:ilvl="5" w:tplc="0409001B" w:tentative="1">
      <w:start w:val="1"/>
      <w:numFmt w:val="lowerRoman"/>
      <w:lvlText w:val="%6."/>
      <w:lvlJc w:val="right"/>
      <w:pPr>
        <w:tabs>
          <w:tab w:val="num" w:pos="13680"/>
        </w:tabs>
        <w:ind w:left="13680" w:hanging="180"/>
      </w:pPr>
    </w:lvl>
    <w:lvl w:ilvl="6" w:tplc="0409000F" w:tentative="1">
      <w:start w:val="1"/>
      <w:numFmt w:val="decimal"/>
      <w:lvlText w:val="%7."/>
      <w:lvlJc w:val="left"/>
      <w:pPr>
        <w:tabs>
          <w:tab w:val="num" w:pos="14400"/>
        </w:tabs>
        <w:ind w:left="14400" w:hanging="360"/>
      </w:pPr>
    </w:lvl>
    <w:lvl w:ilvl="7" w:tplc="04090019" w:tentative="1">
      <w:start w:val="1"/>
      <w:numFmt w:val="lowerLetter"/>
      <w:lvlText w:val="%8."/>
      <w:lvlJc w:val="left"/>
      <w:pPr>
        <w:tabs>
          <w:tab w:val="num" w:pos="15120"/>
        </w:tabs>
        <w:ind w:left="15120" w:hanging="360"/>
      </w:pPr>
    </w:lvl>
    <w:lvl w:ilvl="8" w:tplc="0409001B" w:tentative="1">
      <w:start w:val="1"/>
      <w:numFmt w:val="lowerRoman"/>
      <w:lvlText w:val="%9."/>
      <w:lvlJc w:val="right"/>
      <w:pPr>
        <w:tabs>
          <w:tab w:val="num" w:pos="15840"/>
        </w:tabs>
        <w:ind w:left="15840" w:hanging="180"/>
      </w:pPr>
    </w:lvl>
  </w:abstractNum>
  <w:abstractNum w:abstractNumId="8" w15:restartNumberingAfterBreak="0">
    <w:nsid w:val="1B721B7C"/>
    <w:multiLevelType w:val="hybridMultilevel"/>
    <w:tmpl w:val="5058BEFA"/>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9" w15:restartNumberingAfterBreak="0">
    <w:nsid w:val="287974BB"/>
    <w:multiLevelType w:val="hybridMultilevel"/>
    <w:tmpl w:val="1BC258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pStyle w:val="Heading5"/>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93115E"/>
    <w:multiLevelType w:val="hybridMultilevel"/>
    <w:tmpl w:val="D6447B12"/>
    <w:lvl w:ilvl="0" w:tplc="4508D33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6B656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2" w15:restartNumberingAfterBreak="0">
    <w:nsid w:val="36284A77"/>
    <w:multiLevelType w:val="hybridMultilevel"/>
    <w:tmpl w:val="ECDA1BE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2307550"/>
    <w:multiLevelType w:val="hybridMultilevel"/>
    <w:tmpl w:val="7CB8FF9C"/>
    <w:lvl w:ilvl="0" w:tplc="41408736">
      <w:start w:val="1"/>
      <w:numFmt w:val="decimal"/>
      <w:lvlText w:val="%1."/>
      <w:lvlJc w:val="left"/>
      <w:pPr>
        <w:tabs>
          <w:tab w:val="num" w:pos="1134"/>
        </w:tabs>
        <w:ind w:left="1134" w:hanging="77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3D21810"/>
    <w:multiLevelType w:val="hybridMultilevel"/>
    <w:tmpl w:val="CAFA5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2A50E9"/>
    <w:multiLevelType w:val="hybridMultilevel"/>
    <w:tmpl w:val="68B6A5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pStyle w:val="Heading8"/>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F412C2"/>
    <w:multiLevelType w:val="hybridMultilevel"/>
    <w:tmpl w:val="B7AE2584"/>
    <w:lvl w:ilvl="0" w:tplc="635AD25C">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4BAE0DF8"/>
    <w:multiLevelType w:val="hybridMultilevel"/>
    <w:tmpl w:val="2A02D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E01FAD"/>
    <w:multiLevelType w:val="hybridMultilevel"/>
    <w:tmpl w:val="9E908D96"/>
    <w:lvl w:ilvl="0" w:tplc="45288FEA">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C78514D"/>
    <w:multiLevelType w:val="hybridMultilevel"/>
    <w:tmpl w:val="4DD4210A"/>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55E91696"/>
    <w:multiLevelType w:val="hybridMultilevel"/>
    <w:tmpl w:val="E0EC4EAE"/>
    <w:lvl w:ilvl="0" w:tplc="99F83CAC">
      <w:start w:val="1"/>
      <w:numFmt w:val="lowerRoman"/>
      <w:lvlText w:val="%1."/>
      <w:lvlJc w:val="left"/>
      <w:pPr>
        <w:ind w:left="810" w:hanging="72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pStyle w:val="Heading9"/>
      <w:lvlText w:val="%9."/>
      <w:lvlJc w:val="right"/>
      <w:pPr>
        <w:ind w:left="6210" w:hanging="180"/>
      </w:pPr>
    </w:lvl>
  </w:abstractNum>
  <w:abstractNum w:abstractNumId="21" w15:restartNumberingAfterBreak="0">
    <w:nsid w:val="5601308A"/>
    <w:multiLevelType w:val="hybridMultilevel"/>
    <w:tmpl w:val="8BEC8082"/>
    <w:lvl w:ilvl="0" w:tplc="3D7E59DA">
      <w:start w:val="4"/>
      <w:numFmt w:val="lowerLetter"/>
      <w:lvlText w:val="%1)"/>
      <w:lvlJc w:val="left"/>
      <w:pPr>
        <w:tabs>
          <w:tab w:val="num" w:pos="362"/>
        </w:tabs>
        <w:ind w:left="362" w:hanging="360"/>
      </w:pPr>
      <w:rPr>
        <w:rFonts w:hint="default"/>
      </w:rPr>
    </w:lvl>
    <w:lvl w:ilvl="1" w:tplc="04090019" w:tentative="1">
      <w:start w:val="1"/>
      <w:numFmt w:val="lowerLetter"/>
      <w:lvlText w:val="%2."/>
      <w:lvlJc w:val="left"/>
      <w:pPr>
        <w:tabs>
          <w:tab w:val="num" w:pos="1082"/>
        </w:tabs>
        <w:ind w:left="1082" w:hanging="360"/>
      </w:pPr>
    </w:lvl>
    <w:lvl w:ilvl="2" w:tplc="0409001B" w:tentative="1">
      <w:start w:val="1"/>
      <w:numFmt w:val="lowerRoman"/>
      <w:lvlText w:val="%3."/>
      <w:lvlJc w:val="right"/>
      <w:pPr>
        <w:tabs>
          <w:tab w:val="num" w:pos="1802"/>
        </w:tabs>
        <w:ind w:left="1802" w:hanging="180"/>
      </w:pPr>
    </w:lvl>
    <w:lvl w:ilvl="3" w:tplc="0409000F" w:tentative="1">
      <w:start w:val="1"/>
      <w:numFmt w:val="decimal"/>
      <w:lvlText w:val="%4."/>
      <w:lvlJc w:val="left"/>
      <w:pPr>
        <w:tabs>
          <w:tab w:val="num" w:pos="2522"/>
        </w:tabs>
        <w:ind w:left="2522" w:hanging="360"/>
      </w:pPr>
    </w:lvl>
    <w:lvl w:ilvl="4" w:tplc="04090019" w:tentative="1">
      <w:start w:val="1"/>
      <w:numFmt w:val="lowerLetter"/>
      <w:lvlText w:val="%5."/>
      <w:lvlJc w:val="left"/>
      <w:pPr>
        <w:tabs>
          <w:tab w:val="num" w:pos="3242"/>
        </w:tabs>
        <w:ind w:left="3242" w:hanging="360"/>
      </w:pPr>
    </w:lvl>
    <w:lvl w:ilvl="5" w:tplc="0409001B" w:tentative="1">
      <w:start w:val="1"/>
      <w:numFmt w:val="lowerRoman"/>
      <w:lvlText w:val="%6."/>
      <w:lvlJc w:val="right"/>
      <w:pPr>
        <w:tabs>
          <w:tab w:val="num" w:pos="3962"/>
        </w:tabs>
        <w:ind w:left="3962" w:hanging="180"/>
      </w:pPr>
    </w:lvl>
    <w:lvl w:ilvl="6" w:tplc="0409000F" w:tentative="1">
      <w:start w:val="1"/>
      <w:numFmt w:val="decimal"/>
      <w:lvlText w:val="%7."/>
      <w:lvlJc w:val="left"/>
      <w:pPr>
        <w:tabs>
          <w:tab w:val="num" w:pos="4682"/>
        </w:tabs>
        <w:ind w:left="4682" w:hanging="360"/>
      </w:pPr>
    </w:lvl>
    <w:lvl w:ilvl="7" w:tplc="04090019" w:tentative="1">
      <w:start w:val="1"/>
      <w:numFmt w:val="lowerLetter"/>
      <w:lvlText w:val="%8."/>
      <w:lvlJc w:val="left"/>
      <w:pPr>
        <w:tabs>
          <w:tab w:val="num" w:pos="5402"/>
        </w:tabs>
        <w:ind w:left="5402" w:hanging="360"/>
      </w:pPr>
    </w:lvl>
    <w:lvl w:ilvl="8" w:tplc="0409001B" w:tentative="1">
      <w:start w:val="1"/>
      <w:numFmt w:val="lowerRoman"/>
      <w:lvlText w:val="%9."/>
      <w:lvlJc w:val="right"/>
      <w:pPr>
        <w:tabs>
          <w:tab w:val="num" w:pos="6122"/>
        </w:tabs>
        <w:ind w:left="6122" w:hanging="180"/>
      </w:pPr>
    </w:lvl>
  </w:abstractNum>
  <w:abstractNum w:abstractNumId="22" w15:restartNumberingAfterBreak="0">
    <w:nsid w:val="5C14305B"/>
    <w:multiLevelType w:val="hybridMultilevel"/>
    <w:tmpl w:val="B25297DA"/>
    <w:lvl w:ilvl="0" w:tplc="E0DE4E2E">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5D57917"/>
    <w:multiLevelType w:val="hybridMultilevel"/>
    <w:tmpl w:val="8D66F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6EF215C"/>
    <w:multiLevelType w:val="hybridMultilevel"/>
    <w:tmpl w:val="573273A6"/>
    <w:lvl w:ilvl="0" w:tplc="CCBE0D3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6AD30152"/>
    <w:multiLevelType w:val="hybridMultilevel"/>
    <w:tmpl w:val="B07ADB1C"/>
    <w:lvl w:ilvl="0" w:tplc="A6B4ECBE">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D6D3B08"/>
    <w:multiLevelType w:val="hybridMultilevel"/>
    <w:tmpl w:val="CE8C613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15:restartNumberingAfterBreak="0">
    <w:nsid w:val="6F957AFE"/>
    <w:multiLevelType w:val="multilevel"/>
    <w:tmpl w:val="A0BA77A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1080"/>
        </w:tabs>
        <w:ind w:left="737" w:hanging="737"/>
      </w:pPr>
      <w:rPr>
        <w:rFonts w:hint="default"/>
      </w:rPr>
    </w:lvl>
    <w:lvl w:ilvl="4">
      <w:start w:val="1"/>
      <w:numFmt w:val="decimal"/>
      <w:lvlText w:val="%1.%2.%3.%4.%5"/>
      <w:lvlJc w:val="left"/>
      <w:pPr>
        <w:tabs>
          <w:tab w:val="num" w:pos="1440"/>
        </w:tabs>
        <w:ind w:left="737" w:hanging="737"/>
      </w:pPr>
      <w:rPr>
        <w:rFonts w:hint="default"/>
      </w:rPr>
    </w:lvl>
    <w:lvl w:ilvl="5">
      <w:start w:val="1"/>
      <w:numFmt w:val="decimal"/>
      <w:lvlText w:val="%1.%2.%3.%4.%5.%6"/>
      <w:lvlJc w:val="left"/>
      <w:pPr>
        <w:tabs>
          <w:tab w:val="num" w:pos="1719"/>
        </w:tabs>
        <w:ind w:left="1719" w:hanging="1719"/>
      </w:pPr>
      <w:rPr>
        <w:rFonts w:hint="default"/>
      </w:rPr>
    </w:lvl>
    <w:lvl w:ilvl="6">
      <w:start w:val="1"/>
      <w:numFmt w:val="decimal"/>
      <w:lvlText w:val="%1.%2.%3.%4.%5.%6.%7"/>
      <w:lvlJc w:val="left"/>
      <w:pPr>
        <w:tabs>
          <w:tab w:val="num" w:pos="1863"/>
        </w:tabs>
        <w:ind w:left="1863" w:hanging="1863"/>
      </w:pPr>
      <w:rPr>
        <w:rFonts w:hint="default"/>
      </w:rPr>
    </w:lvl>
    <w:lvl w:ilvl="7">
      <w:start w:val="1"/>
      <w:numFmt w:val="decimal"/>
      <w:lvlText w:val="%1.%2.%3.%4.%5.%6.%7.%8"/>
      <w:lvlJc w:val="left"/>
      <w:pPr>
        <w:tabs>
          <w:tab w:val="num" w:pos="2160"/>
        </w:tabs>
        <w:ind w:left="2007" w:hanging="2007"/>
      </w:pPr>
      <w:rPr>
        <w:rFonts w:hint="default"/>
      </w:rPr>
    </w:lvl>
    <w:lvl w:ilvl="8">
      <w:start w:val="1"/>
      <w:numFmt w:val="decimal"/>
      <w:lvlText w:val="%1.%2.%3.%4.%5.%6.%7.%8.%9"/>
      <w:lvlJc w:val="left"/>
      <w:pPr>
        <w:tabs>
          <w:tab w:val="num" w:pos="2520"/>
        </w:tabs>
        <w:ind w:left="2151" w:hanging="2151"/>
      </w:pPr>
      <w:rPr>
        <w:rFonts w:hint="default"/>
      </w:rPr>
    </w:lvl>
  </w:abstractNum>
  <w:abstractNum w:abstractNumId="28" w15:restartNumberingAfterBreak="0">
    <w:nsid w:val="70F12B33"/>
    <w:multiLevelType w:val="hybridMultilevel"/>
    <w:tmpl w:val="0F046B06"/>
    <w:lvl w:ilvl="0" w:tplc="9C120782">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15:restartNumberingAfterBreak="0">
    <w:nsid w:val="748032FC"/>
    <w:multiLevelType w:val="hybridMultilevel"/>
    <w:tmpl w:val="37F4F6E6"/>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7D20227"/>
    <w:multiLevelType w:val="hybridMultilevel"/>
    <w:tmpl w:val="7A2E96CA"/>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31" w15:restartNumberingAfterBreak="0">
    <w:nsid w:val="79033295"/>
    <w:multiLevelType w:val="hybridMultilevel"/>
    <w:tmpl w:val="80BA014C"/>
    <w:lvl w:ilvl="0" w:tplc="0409000F">
      <w:start w:val="1"/>
      <w:numFmt w:val="decimal"/>
      <w:lvlText w:val="%1."/>
      <w:lvlJc w:val="left"/>
      <w:pPr>
        <w:ind w:left="928" w:hanging="360"/>
      </w:pPr>
      <w:rPr>
        <w:rFonts w:hint="default"/>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15:restartNumberingAfterBreak="0">
    <w:nsid w:val="795A3953"/>
    <w:multiLevelType w:val="hybridMultilevel"/>
    <w:tmpl w:val="B5E00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pStyle w:val="Heading6"/>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831238"/>
    <w:multiLevelType w:val="hybridMultilevel"/>
    <w:tmpl w:val="4DF8973C"/>
    <w:lvl w:ilvl="0" w:tplc="A6B4ECBE">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CF47A3B"/>
    <w:multiLevelType w:val="hybridMultilevel"/>
    <w:tmpl w:val="FDD47458"/>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abstractNumId w:val="27"/>
  </w:num>
  <w:num w:numId="2">
    <w:abstractNumId w:val="7"/>
  </w:num>
  <w:num w:numId="3">
    <w:abstractNumId w:val="12"/>
  </w:num>
  <w:num w:numId="4">
    <w:abstractNumId w:val="1"/>
  </w:num>
  <w:num w:numId="5">
    <w:abstractNumId w:val="5"/>
  </w:num>
  <w:num w:numId="6">
    <w:abstractNumId w:val="21"/>
  </w:num>
  <w:num w:numId="7">
    <w:abstractNumId w:val="10"/>
  </w:num>
  <w:num w:numId="8">
    <w:abstractNumId w:val="29"/>
  </w:num>
  <w:num w:numId="9">
    <w:abstractNumId w:val="13"/>
  </w:num>
  <w:num w:numId="10">
    <w:abstractNumId w:val="11"/>
  </w:num>
  <w:num w:numId="11">
    <w:abstractNumId w:val="18"/>
  </w:num>
  <w:num w:numId="12">
    <w:abstractNumId w:val="2"/>
  </w:num>
  <w:num w:numId="13">
    <w:abstractNumId w:val="25"/>
  </w:num>
  <w:num w:numId="14">
    <w:abstractNumId w:val="33"/>
  </w:num>
  <w:num w:numId="15">
    <w:abstractNumId w:val="9"/>
  </w:num>
  <w:num w:numId="16">
    <w:abstractNumId w:val="32"/>
  </w:num>
  <w:num w:numId="17">
    <w:abstractNumId w:val="3"/>
  </w:num>
  <w:num w:numId="18">
    <w:abstractNumId w:val="15"/>
  </w:num>
  <w:num w:numId="19">
    <w:abstractNumId w:val="20"/>
  </w:num>
  <w:num w:numId="20">
    <w:abstractNumId w:val="14"/>
  </w:num>
  <w:num w:numId="21">
    <w:abstractNumId w:val="22"/>
  </w:num>
  <w:num w:numId="22">
    <w:abstractNumId w:val="8"/>
  </w:num>
  <w:num w:numId="23">
    <w:abstractNumId w:val="30"/>
  </w:num>
  <w:num w:numId="24">
    <w:abstractNumId w:val="4"/>
  </w:num>
  <w:num w:numId="25">
    <w:abstractNumId w:val="23"/>
  </w:num>
  <w:num w:numId="26">
    <w:abstractNumId w:val="34"/>
  </w:num>
  <w:num w:numId="27">
    <w:abstractNumId w:val="17"/>
  </w:num>
  <w:num w:numId="28">
    <w:abstractNumId w:val="16"/>
  </w:num>
  <w:num w:numId="29">
    <w:abstractNumId w:val="31"/>
  </w:num>
  <w:num w:numId="30">
    <w:abstractNumId w:val="6"/>
  </w:num>
  <w:num w:numId="31">
    <w:abstractNumId w:val="0"/>
  </w:num>
  <w:num w:numId="32">
    <w:abstractNumId w:val="28"/>
  </w:num>
  <w:num w:numId="33">
    <w:abstractNumId w:val="19"/>
  </w:num>
  <w:num w:numId="34">
    <w:abstractNumId w:val="2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62CC"/>
    <w:rsid w:val="000052DF"/>
    <w:rsid w:val="0000561D"/>
    <w:rsid w:val="00006F34"/>
    <w:rsid w:val="00013DBF"/>
    <w:rsid w:val="00015334"/>
    <w:rsid w:val="000171FE"/>
    <w:rsid w:val="000204B9"/>
    <w:rsid w:val="000259DF"/>
    <w:rsid w:val="00025FF9"/>
    <w:rsid w:val="00032797"/>
    <w:rsid w:val="00037A1D"/>
    <w:rsid w:val="00041457"/>
    <w:rsid w:val="000428B1"/>
    <w:rsid w:val="00043748"/>
    <w:rsid w:val="0004543E"/>
    <w:rsid w:val="00045FC7"/>
    <w:rsid w:val="00070073"/>
    <w:rsid w:val="00072785"/>
    <w:rsid w:val="000775A3"/>
    <w:rsid w:val="0008011E"/>
    <w:rsid w:val="00080201"/>
    <w:rsid w:val="00084D72"/>
    <w:rsid w:val="00086762"/>
    <w:rsid w:val="00086B40"/>
    <w:rsid w:val="00090B7B"/>
    <w:rsid w:val="00096EFB"/>
    <w:rsid w:val="000A1F10"/>
    <w:rsid w:val="000A6817"/>
    <w:rsid w:val="000B43F9"/>
    <w:rsid w:val="000B4C04"/>
    <w:rsid w:val="000C1067"/>
    <w:rsid w:val="000C18B1"/>
    <w:rsid w:val="000C35F0"/>
    <w:rsid w:val="000C58FA"/>
    <w:rsid w:val="000C6ECF"/>
    <w:rsid w:val="000D0AEC"/>
    <w:rsid w:val="000D64AB"/>
    <w:rsid w:val="000E212A"/>
    <w:rsid w:val="000E2369"/>
    <w:rsid w:val="000E70A4"/>
    <w:rsid w:val="000E7587"/>
    <w:rsid w:val="000F089C"/>
    <w:rsid w:val="000F09B1"/>
    <w:rsid w:val="000F1BD8"/>
    <w:rsid w:val="000F4CBE"/>
    <w:rsid w:val="000F7CC8"/>
    <w:rsid w:val="001008AD"/>
    <w:rsid w:val="00101599"/>
    <w:rsid w:val="00104B43"/>
    <w:rsid w:val="00105D8A"/>
    <w:rsid w:val="0010629D"/>
    <w:rsid w:val="001070F0"/>
    <w:rsid w:val="00111878"/>
    <w:rsid w:val="00112D2A"/>
    <w:rsid w:val="00122C67"/>
    <w:rsid w:val="001264A6"/>
    <w:rsid w:val="00143234"/>
    <w:rsid w:val="00147D78"/>
    <w:rsid w:val="00151562"/>
    <w:rsid w:val="00153A54"/>
    <w:rsid w:val="0016069A"/>
    <w:rsid w:val="00163766"/>
    <w:rsid w:val="00164601"/>
    <w:rsid w:val="00171566"/>
    <w:rsid w:val="001739ED"/>
    <w:rsid w:val="001753B8"/>
    <w:rsid w:val="001761E2"/>
    <w:rsid w:val="001763CE"/>
    <w:rsid w:val="00177056"/>
    <w:rsid w:val="001776BF"/>
    <w:rsid w:val="00181C07"/>
    <w:rsid w:val="00184C67"/>
    <w:rsid w:val="001904ED"/>
    <w:rsid w:val="00190D04"/>
    <w:rsid w:val="0019277F"/>
    <w:rsid w:val="00195041"/>
    <w:rsid w:val="0019594D"/>
    <w:rsid w:val="001A5183"/>
    <w:rsid w:val="001A6A41"/>
    <w:rsid w:val="001B1391"/>
    <w:rsid w:val="001B2A9E"/>
    <w:rsid w:val="001C1B16"/>
    <w:rsid w:val="001C2F0A"/>
    <w:rsid w:val="001D1C55"/>
    <w:rsid w:val="001D2940"/>
    <w:rsid w:val="001D35B0"/>
    <w:rsid w:val="001D4469"/>
    <w:rsid w:val="001D4A74"/>
    <w:rsid w:val="001D7969"/>
    <w:rsid w:val="001E4136"/>
    <w:rsid w:val="001E580A"/>
    <w:rsid w:val="001F34AC"/>
    <w:rsid w:val="001F3EA7"/>
    <w:rsid w:val="00204940"/>
    <w:rsid w:val="00205670"/>
    <w:rsid w:val="0021376A"/>
    <w:rsid w:val="00214628"/>
    <w:rsid w:val="00215520"/>
    <w:rsid w:val="00217A65"/>
    <w:rsid w:val="002207F2"/>
    <w:rsid w:val="002220BC"/>
    <w:rsid w:val="00222803"/>
    <w:rsid w:val="00226230"/>
    <w:rsid w:val="0022758A"/>
    <w:rsid w:val="00237181"/>
    <w:rsid w:val="00241A76"/>
    <w:rsid w:val="00243371"/>
    <w:rsid w:val="002470D5"/>
    <w:rsid w:val="0025091A"/>
    <w:rsid w:val="0025359F"/>
    <w:rsid w:val="00253A4A"/>
    <w:rsid w:val="00255F75"/>
    <w:rsid w:val="0026116F"/>
    <w:rsid w:val="0026227E"/>
    <w:rsid w:val="00265DDC"/>
    <w:rsid w:val="0027043A"/>
    <w:rsid w:val="002721A7"/>
    <w:rsid w:val="002746CB"/>
    <w:rsid w:val="00285AA7"/>
    <w:rsid w:val="00286E78"/>
    <w:rsid w:val="00287694"/>
    <w:rsid w:val="00290E76"/>
    <w:rsid w:val="002929DB"/>
    <w:rsid w:val="00293439"/>
    <w:rsid w:val="002941AA"/>
    <w:rsid w:val="0029562B"/>
    <w:rsid w:val="002A0B35"/>
    <w:rsid w:val="002A1B1E"/>
    <w:rsid w:val="002A1FA9"/>
    <w:rsid w:val="002A47D5"/>
    <w:rsid w:val="002A6B4B"/>
    <w:rsid w:val="002B3B08"/>
    <w:rsid w:val="002B7B6C"/>
    <w:rsid w:val="002C4B57"/>
    <w:rsid w:val="002C5973"/>
    <w:rsid w:val="002D3315"/>
    <w:rsid w:val="002D496D"/>
    <w:rsid w:val="002D6106"/>
    <w:rsid w:val="002E159E"/>
    <w:rsid w:val="002E680B"/>
    <w:rsid w:val="002E6AE3"/>
    <w:rsid w:val="00302FCD"/>
    <w:rsid w:val="003032A7"/>
    <w:rsid w:val="003065A6"/>
    <w:rsid w:val="003239DE"/>
    <w:rsid w:val="00323E6F"/>
    <w:rsid w:val="00333E27"/>
    <w:rsid w:val="00335A30"/>
    <w:rsid w:val="00341AA6"/>
    <w:rsid w:val="00342926"/>
    <w:rsid w:val="00352626"/>
    <w:rsid w:val="00354573"/>
    <w:rsid w:val="003575E1"/>
    <w:rsid w:val="00360C9C"/>
    <w:rsid w:val="00361895"/>
    <w:rsid w:val="0036373D"/>
    <w:rsid w:val="00364B01"/>
    <w:rsid w:val="00365D1A"/>
    <w:rsid w:val="00365FF8"/>
    <w:rsid w:val="003673BA"/>
    <w:rsid w:val="0036776D"/>
    <w:rsid w:val="003705D4"/>
    <w:rsid w:val="00372EFF"/>
    <w:rsid w:val="00373094"/>
    <w:rsid w:val="00376F40"/>
    <w:rsid w:val="00381B0A"/>
    <w:rsid w:val="0038407F"/>
    <w:rsid w:val="00391695"/>
    <w:rsid w:val="003958BE"/>
    <w:rsid w:val="003A0C70"/>
    <w:rsid w:val="003A1577"/>
    <w:rsid w:val="003A1C61"/>
    <w:rsid w:val="003A5213"/>
    <w:rsid w:val="003A75A7"/>
    <w:rsid w:val="003A78A6"/>
    <w:rsid w:val="003B05F2"/>
    <w:rsid w:val="003B0E4B"/>
    <w:rsid w:val="003B226D"/>
    <w:rsid w:val="003B4B6F"/>
    <w:rsid w:val="003B559B"/>
    <w:rsid w:val="003B58E1"/>
    <w:rsid w:val="003B6386"/>
    <w:rsid w:val="003C0D74"/>
    <w:rsid w:val="003C1EDD"/>
    <w:rsid w:val="003C228F"/>
    <w:rsid w:val="003C2841"/>
    <w:rsid w:val="003E19D3"/>
    <w:rsid w:val="003E1D11"/>
    <w:rsid w:val="003E244A"/>
    <w:rsid w:val="003E258A"/>
    <w:rsid w:val="003E2C40"/>
    <w:rsid w:val="003F26D9"/>
    <w:rsid w:val="003F5BF7"/>
    <w:rsid w:val="003F7DC7"/>
    <w:rsid w:val="00400180"/>
    <w:rsid w:val="00402168"/>
    <w:rsid w:val="00404240"/>
    <w:rsid w:val="00405B19"/>
    <w:rsid w:val="00410984"/>
    <w:rsid w:val="004150AF"/>
    <w:rsid w:val="00415BC4"/>
    <w:rsid w:val="00420EBA"/>
    <w:rsid w:val="0042106E"/>
    <w:rsid w:val="0042215D"/>
    <w:rsid w:val="00424E3E"/>
    <w:rsid w:val="00426E20"/>
    <w:rsid w:val="00430B7F"/>
    <w:rsid w:val="004324B9"/>
    <w:rsid w:val="00434E11"/>
    <w:rsid w:val="00434E96"/>
    <w:rsid w:val="00436C2A"/>
    <w:rsid w:val="004403BE"/>
    <w:rsid w:val="00440DD0"/>
    <w:rsid w:val="00441D9B"/>
    <w:rsid w:val="00442A8D"/>
    <w:rsid w:val="00445E7A"/>
    <w:rsid w:val="004551D8"/>
    <w:rsid w:val="004551FB"/>
    <w:rsid w:val="00463813"/>
    <w:rsid w:val="00465C6B"/>
    <w:rsid w:val="00467434"/>
    <w:rsid w:val="0047661C"/>
    <w:rsid w:val="00477CF1"/>
    <w:rsid w:val="00484BB3"/>
    <w:rsid w:val="0049255E"/>
    <w:rsid w:val="0049262C"/>
    <w:rsid w:val="00492E4A"/>
    <w:rsid w:val="00494C07"/>
    <w:rsid w:val="004A2BCB"/>
    <w:rsid w:val="004A3CC0"/>
    <w:rsid w:val="004A7185"/>
    <w:rsid w:val="004A7463"/>
    <w:rsid w:val="004B305D"/>
    <w:rsid w:val="004B52B2"/>
    <w:rsid w:val="004B538F"/>
    <w:rsid w:val="004B6A3B"/>
    <w:rsid w:val="004C1028"/>
    <w:rsid w:val="004C25A9"/>
    <w:rsid w:val="004C2D23"/>
    <w:rsid w:val="004C67B9"/>
    <w:rsid w:val="004D34BD"/>
    <w:rsid w:val="004D6017"/>
    <w:rsid w:val="004D66A7"/>
    <w:rsid w:val="004E1F4C"/>
    <w:rsid w:val="004E2FF2"/>
    <w:rsid w:val="004E345C"/>
    <w:rsid w:val="004E3A89"/>
    <w:rsid w:val="004E66CD"/>
    <w:rsid w:val="004F0F74"/>
    <w:rsid w:val="004F2D92"/>
    <w:rsid w:val="004F6EAE"/>
    <w:rsid w:val="00516331"/>
    <w:rsid w:val="005216D4"/>
    <w:rsid w:val="00523897"/>
    <w:rsid w:val="00524170"/>
    <w:rsid w:val="00525B8F"/>
    <w:rsid w:val="00526329"/>
    <w:rsid w:val="00530A9C"/>
    <w:rsid w:val="005313E5"/>
    <w:rsid w:val="00532EBC"/>
    <w:rsid w:val="005363A7"/>
    <w:rsid w:val="00540468"/>
    <w:rsid w:val="0054287D"/>
    <w:rsid w:val="005458EA"/>
    <w:rsid w:val="0054665C"/>
    <w:rsid w:val="00554DAA"/>
    <w:rsid w:val="00560964"/>
    <w:rsid w:val="00560A8C"/>
    <w:rsid w:val="00573D75"/>
    <w:rsid w:val="00585A4F"/>
    <w:rsid w:val="00591F12"/>
    <w:rsid w:val="005951C8"/>
    <w:rsid w:val="005A00B4"/>
    <w:rsid w:val="005A09E8"/>
    <w:rsid w:val="005A0EC5"/>
    <w:rsid w:val="005A1FBD"/>
    <w:rsid w:val="005A4CA1"/>
    <w:rsid w:val="005A62F5"/>
    <w:rsid w:val="005A692E"/>
    <w:rsid w:val="005B5713"/>
    <w:rsid w:val="005B5C88"/>
    <w:rsid w:val="005C6355"/>
    <w:rsid w:val="005D162D"/>
    <w:rsid w:val="005D1A65"/>
    <w:rsid w:val="005D3FF6"/>
    <w:rsid w:val="005D5268"/>
    <w:rsid w:val="005D6718"/>
    <w:rsid w:val="005E0547"/>
    <w:rsid w:val="005E2C16"/>
    <w:rsid w:val="005E6C1B"/>
    <w:rsid w:val="005E71FA"/>
    <w:rsid w:val="005E78BD"/>
    <w:rsid w:val="005F085A"/>
    <w:rsid w:val="005F2466"/>
    <w:rsid w:val="005F327C"/>
    <w:rsid w:val="005F57D9"/>
    <w:rsid w:val="005F5F3A"/>
    <w:rsid w:val="00601B1C"/>
    <w:rsid w:val="006032DE"/>
    <w:rsid w:val="00606362"/>
    <w:rsid w:val="006073A1"/>
    <w:rsid w:val="00612DFD"/>
    <w:rsid w:val="00614138"/>
    <w:rsid w:val="00617434"/>
    <w:rsid w:val="0061762D"/>
    <w:rsid w:val="00617C50"/>
    <w:rsid w:val="0062502C"/>
    <w:rsid w:val="0062714B"/>
    <w:rsid w:val="006303C6"/>
    <w:rsid w:val="00632B08"/>
    <w:rsid w:val="0063339F"/>
    <w:rsid w:val="0063481D"/>
    <w:rsid w:val="00634F5E"/>
    <w:rsid w:val="00641157"/>
    <w:rsid w:val="00642207"/>
    <w:rsid w:val="00644653"/>
    <w:rsid w:val="0064685A"/>
    <w:rsid w:val="00647C35"/>
    <w:rsid w:val="006525DD"/>
    <w:rsid w:val="00653F69"/>
    <w:rsid w:val="00656164"/>
    <w:rsid w:val="0065635D"/>
    <w:rsid w:val="0066125D"/>
    <w:rsid w:val="00662B08"/>
    <w:rsid w:val="006648EF"/>
    <w:rsid w:val="00666FF6"/>
    <w:rsid w:val="00670BF3"/>
    <w:rsid w:val="00670C23"/>
    <w:rsid w:val="0067310D"/>
    <w:rsid w:val="00677436"/>
    <w:rsid w:val="00681A92"/>
    <w:rsid w:val="006831EC"/>
    <w:rsid w:val="00686521"/>
    <w:rsid w:val="006876CA"/>
    <w:rsid w:val="00692028"/>
    <w:rsid w:val="00693EAA"/>
    <w:rsid w:val="006A003B"/>
    <w:rsid w:val="006B0A1E"/>
    <w:rsid w:val="006B122E"/>
    <w:rsid w:val="006B5CA7"/>
    <w:rsid w:val="006B71CB"/>
    <w:rsid w:val="006B7B60"/>
    <w:rsid w:val="006C47AC"/>
    <w:rsid w:val="006C528D"/>
    <w:rsid w:val="006C5665"/>
    <w:rsid w:val="006D0DA1"/>
    <w:rsid w:val="006D5E15"/>
    <w:rsid w:val="006D7A52"/>
    <w:rsid w:val="006E288A"/>
    <w:rsid w:val="006E7B19"/>
    <w:rsid w:val="006F2154"/>
    <w:rsid w:val="006F4FE1"/>
    <w:rsid w:val="006F5242"/>
    <w:rsid w:val="007034C7"/>
    <w:rsid w:val="00707E03"/>
    <w:rsid w:val="00710256"/>
    <w:rsid w:val="00712DA2"/>
    <w:rsid w:val="0071309A"/>
    <w:rsid w:val="00714EB8"/>
    <w:rsid w:val="007235ED"/>
    <w:rsid w:val="007236D9"/>
    <w:rsid w:val="0072480A"/>
    <w:rsid w:val="0072481D"/>
    <w:rsid w:val="00726A3E"/>
    <w:rsid w:val="007308B1"/>
    <w:rsid w:val="00730FF7"/>
    <w:rsid w:val="00731644"/>
    <w:rsid w:val="007353DC"/>
    <w:rsid w:val="007363F6"/>
    <w:rsid w:val="00740A0A"/>
    <w:rsid w:val="00742086"/>
    <w:rsid w:val="0075261A"/>
    <w:rsid w:val="00753A3C"/>
    <w:rsid w:val="007564AE"/>
    <w:rsid w:val="00757DBF"/>
    <w:rsid w:val="007715D7"/>
    <w:rsid w:val="00775290"/>
    <w:rsid w:val="00775EEF"/>
    <w:rsid w:val="00783883"/>
    <w:rsid w:val="007861A9"/>
    <w:rsid w:val="00796B17"/>
    <w:rsid w:val="00796BE1"/>
    <w:rsid w:val="007A13FA"/>
    <w:rsid w:val="007A1E9D"/>
    <w:rsid w:val="007A5DF0"/>
    <w:rsid w:val="007B496A"/>
    <w:rsid w:val="007B6087"/>
    <w:rsid w:val="007C09C5"/>
    <w:rsid w:val="007C0F1B"/>
    <w:rsid w:val="007C19C6"/>
    <w:rsid w:val="007D2E20"/>
    <w:rsid w:val="007D458C"/>
    <w:rsid w:val="007D5734"/>
    <w:rsid w:val="007E0DD8"/>
    <w:rsid w:val="007E144A"/>
    <w:rsid w:val="007E1480"/>
    <w:rsid w:val="007E2E91"/>
    <w:rsid w:val="007E3E27"/>
    <w:rsid w:val="007E5824"/>
    <w:rsid w:val="007E5D33"/>
    <w:rsid w:val="007E6205"/>
    <w:rsid w:val="007E6B6A"/>
    <w:rsid w:val="007F3FC0"/>
    <w:rsid w:val="007F42F0"/>
    <w:rsid w:val="008031A5"/>
    <w:rsid w:val="00805625"/>
    <w:rsid w:val="00805AE0"/>
    <w:rsid w:val="00811459"/>
    <w:rsid w:val="0081476E"/>
    <w:rsid w:val="00826BB2"/>
    <w:rsid w:val="008342BB"/>
    <w:rsid w:val="008346D1"/>
    <w:rsid w:val="008347E3"/>
    <w:rsid w:val="008349DB"/>
    <w:rsid w:val="00837FAD"/>
    <w:rsid w:val="008422D7"/>
    <w:rsid w:val="00845BAC"/>
    <w:rsid w:val="008642B7"/>
    <w:rsid w:val="00866887"/>
    <w:rsid w:val="00867CCC"/>
    <w:rsid w:val="008714CC"/>
    <w:rsid w:val="008735CC"/>
    <w:rsid w:val="0087453B"/>
    <w:rsid w:val="00874C8A"/>
    <w:rsid w:val="008768E7"/>
    <w:rsid w:val="008775D0"/>
    <w:rsid w:val="00877AC0"/>
    <w:rsid w:val="0088004A"/>
    <w:rsid w:val="00880BEA"/>
    <w:rsid w:val="00880D33"/>
    <w:rsid w:val="008857D5"/>
    <w:rsid w:val="00891651"/>
    <w:rsid w:val="00891785"/>
    <w:rsid w:val="00892581"/>
    <w:rsid w:val="008938C4"/>
    <w:rsid w:val="00897ADD"/>
    <w:rsid w:val="008A1764"/>
    <w:rsid w:val="008A3F74"/>
    <w:rsid w:val="008A5EE5"/>
    <w:rsid w:val="008A7DAE"/>
    <w:rsid w:val="008B5C98"/>
    <w:rsid w:val="008B79BE"/>
    <w:rsid w:val="008C1DB5"/>
    <w:rsid w:val="008C1FA6"/>
    <w:rsid w:val="008C4EEE"/>
    <w:rsid w:val="008C6ABF"/>
    <w:rsid w:val="008D2C51"/>
    <w:rsid w:val="008D754A"/>
    <w:rsid w:val="008D7B85"/>
    <w:rsid w:val="008E0A46"/>
    <w:rsid w:val="008E2B4D"/>
    <w:rsid w:val="008E2C92"/>
    <w:rsid w:val="008F674F"/>
    <w:rsid w:val="008F6AD7"/>
    <w:rsid w:val="00913640"/>
    <w:rsid w:val="00913AE4"/>
    <w:rsid w:val="0091483D"/>
    <w:rsid w:val="00923E3B"/>
    <w:rsid w:val="00924392"/>
    <w:rsid w:val="00924BEB"/>
    <w:rsid w:val="00932AEB"/>
    <w:rsid w:val="00933064"/>
    <w:rsid w:val="00935E41"/>
    <w:rsid w:val="00943C23"/>
    <w:rsid w:val="009450BC"/>
    <w:rsid w:val="00947678"/>
    <w:rsid w:val="00952708"/>
    <w:rsid w:val="009537B8"/>
    <w:rsid w:val="00954108"/>
    <w:rsid w:val="00955464"/>
    <w:rsid w:val="0096187E"/>
    <w:rsid w:val="00963C66"/>
    <w:rsid w:val="00963E4E"/>
    <w:rsid w:val="009650C6"/>
    <w:rsid w:val="009654BF"/>
    <w:rsid w:val="00965B35"/>
    <w:rsid w:val="00972093"/>
    <w:rsid w:val="00982EC7"/>
    <w:rsid w:val="00984B80"/>
    <w:rsid w:val="0099171B"/>
    <w:rsid w:val="00991F16"/>
    <w:rsid w:val="009A0AEA"/>
    <w:rsid w:val="009A2953"/>
    <w:rsid w:val="009A3463"/>
    <w:rsid w:val="009A377C"/>
    <w:rsid w:val="009A5CB4"/>
    <w:rsid w:val="009A67EB"/>
    <w:rsid w:val="009B01FF"/>
    <w:rsid w:val="009B1B62"/>
    <w:rsid w:val="009C058C"/>
    <w:rsid w:val="009C16C8"/>
    <w:rsid w:val="009C2451"/>
    <w:rsid w:val="009C546C"/>
    <w:rsid w:val="009D0043"/>
    <w:rsid w:val="009D057A"/>
    <w:rsid w:val="009D0A8E"/>
    <w:rsid w:val="009D3919"/>
    <w:rsid w:val="009F05CD"/>
    <w:rsid w:val="009F2792"/>
    <w:rsid w:val="009F7659"/>
    <w:rsid w:val="009F7D7D"/>
    <w:rsid w:val="00A03F4C"/>
    <w:rsid w:val="00A07843"/>
    <w:rsid w:val="00A12A7D"/>
    <w:rsid w:val="00A12ABC"/>
    <w:rsid w:val="00A16A66"/>
    <w:rsid w:val="00A20DCD"/>
    <w:rsid w:val="00A21D58"/>
    <w:rsid w:val="00A26927"/>
    <w:rsid w:val="00A32509"/>
    <w:rsid w:val="00A3472E"/>
    <w:rsid w:val="00A361A6"/>
    <w:rsid w:val="00A36E61"/>
    <w:rsid w:val="00A453F4"/>
    <w:rsid w:val="00A463D4"/>
    <w:rsid w:val="00A46AFF"/>
    <w:rsid w:val="00A47789"/>
    <w:rsid w:val="00A541C3"/>
    <w:rsid w:val="00A54A12"/>
    <w:rsid w:val="00A54C46"/>
    <w:rsid w:val="00A5527F"/>
    <w:rsid w:val="00A56849"/>
    <w:rsid w:val="00A60FC4"/>
    <w:rsid w:val="00A63567"/>
    <w:rsid w:val="00A64A9F"/>
    <w:rsid w:val="00A64EC6"/>
    <w:rsid w:val="00A66897"/>
    <w:rsid w:val="00A70731"/>
    <w:rsid w:val="00A749D5"/>
    <w:rsid w:val="00A76768"/>
    <w:rsid w:val="00A8159D"/>
    <w:rsid w:val="00A831D8"/>
    <w:rsid w:val="00A86937"/>
    <w:rsid w:val="00A90966"/>
    <w:rsid w:val="00A91A09"/>
    <w:rsid w:val="00A949BD"/>
    <w:rsid w:val="00A95E9F"/>
    <w:rsid w:val="00AA4FCB"/>
    <w:rsid w:val="00AA54D5"/>
    <w:rsid w:val="00AB2583"/>
    <w:rsid w:val="00AB347E"/>
    <w:rsid w:val="00AB6CB4"/>
    <w:rsid w:val="00AC2799"/>
    <w:rsid w:val="00AC3375"/>
    <w:rsid w:val="00AC6018"/>
    <w:rsid w:val="00AC6ABB"/>
    <w:rsid w:val="00AC6B65"/>
    <w:rsid w:val="00AC6D89"/>
    <w:rsid w:val="00AC7A13"/>
    <w:rsid w:val="00AD0B89"/>
    <w:rsid w:val="00AD2073"/>
    <w:rsid w:val="00AD2129"/>
    <w:rsid w:val="00AD426D"/>
    <w:rsid w:val="00AD5B6B"/>
    <w:rsid w:val="00AD632F"/>
    <w:rsid w:val="00AD6BF9"/>
    <w:rsid w:val="00AE09D5"/>
    <w:rsid w:val="00AE12A6"/>
    <w:rsid w:val="00AE1728"/>
    <w:rsid w:val="00AE54E4"/>
    <w:rsid w:val="00AE66D6"/>
    <w:rsid w:val="00AF016E"/>
    <w:rsid w:val="00AF356C"/>
    <w:rsid w:val="00B02A45"/>
    <w:rsid w:val="00B10151"/>
    <w:rsid w:val="00B11636"/>
    <w:rsid w:val="00B1214D"/>
    <w:rsid w:val="00B227AE"/>
    <w:rsid w:val="00B2703C"/>
    <w:rsid w:val="00B43FC4"/>
    <w:rsid w:val="00B45264"/>
    <w:rsid w:val="00B47219"/>
    <w:rsid w:val="00B47F7E"/>
    <w:rsid w:val="00B54A79"/>
    <w:rsid w:val="00B56A1C"/>
    <w:rsid w:val="00B6177F"/>
    <w:rsid w:val="00B62C61"/>
    <w:rsid w:val="00B65460"/>
    <w:rsid w:val="00B72801"/>
    <w:rsid w:val="00B72C3D"/>
    <w:rsid w:val="00B7571B"/>
    <w:rsid w:val="00B95896"/>
    <w:rsid w:val="00BA06A7"/>
    <w:rsid w:val="00BA1E2B"/>
    <w:rsid w:val="00BA234E"/>
    <w:rsid w:val="00BA5FD3"/>
    <w:rsid w:val="00BB02BD"/>
    <w:rsid w:val="00BB488B"/>
    <w:rsid w:val="00BC591F"/>
    <w:rsid w:val="00BD1193"/>
    <w:rsid w:val="00BD2E65"/>
    <w:rsid w:val="00BD677E"/>
    <w:rsid w:val="00BD76D1"/>
    <w:rsid w:val="00BF0B11"/>
    <w:rsid w:val="00BF3BC1"/>
    <w:rsid w:val="00BF5EBB"/>
    <w:rsid w:val="00BF79AE"/>
    <w:rsid w:val="00BF7D2A"/>
    <w:rsid w:val="00C00A2B"/>
    <w:rsid w:val="00C02EF9"/>
    <w:rsid w:val="00C03E75"/>
    <w:rsid w:val="00C169DD"/>
    <w:rsid w:val="00C179E2"/>
    <w:rsid w:val="00C20549"/>
    <w:rsid w:val="00C254E5"/>
    <w:rsid w:val="00C326E3"/>
    <w:rsid w:val="00C35B50"/>
    <w:rsid w:val="00C409A0"/>
    <w:rsid w:val="00C40AA2"/>
    <w:rsid w:val="00C4136F"/>
    <w:rsid w:val="00C47D8C"/>
    <w:rsid w:val="00C52B22"/>
    <w:rsid w:val="00C55284"/>
    <w:rsid w:val="00C56B8C"/>
    <w:rsid w:val="00C57375"/>
    <w:rsid w:val="00C60F14"/>
    <w:rsid w:val="00C61004"/>
    <w:rsid w:val="00C63777"/>
    <w:rsid w:val="00C70547"/>
    <w:rsid w:val="00C714C5"/>
    <w:rsid w:val="00C72716"/>
    <w:rsid w:val="00C72CF7"/>
    <w:rsid w:val="00C735EC"/>
    <w:rsid w:val="00C73B58"/>
    <w:rsid w:val="00C80B8F"/>
    <w:rsid w:val="00C80C84"/>
    <w:rsid w:val="00C849A6"/>
    <w:rsid w:val="00C8757D"/>
    <w:rsid w:val="00C90362"/>
    <w:rsid w:val="00C96874"/>
    <w:rsid w:val="00C96C1D"/>
    <w:rsid w:val="00CB0339"/>
    <w:rsid w:val="00CB1019"/>
    <w:rsid w:val="00CB119C"/>
    <w:rsid w:val="00CB30AC"/>
    <w:rsid w:val="00CB4156"/>
    <w:rsid w:val="00CB7D7B"/>
    <w:rsid w:val="00CC26B2"/>
    <w:rsid w:val="00CC464C"/>
    <w:rsid w:val="00CD0533"/>
    <w:rsid w:val="00CD1590"/>
    <w:rsid w:val="00CD439A"/>
    <w:rsid w:val="00CE4331"/>
    <w:rsid w:val="00CF5299"/>
    <w:rsid w:val="00CF566D"/>
    <w:rsid w:val="00CF632A"/>
    <w:rsid w:val="00CF6631"/>
    <w:rsid w:val="00CF6FC7"/>
    <w:rsid w:val="00D00237"/>
    <w:rsid w:val="00D01C39"/>
    <w:rsid w:val="00D102FF"/>
    <w:rsid w:val="00D10AC4"/>
    <w:rsid w:val="00D139D9"/>
    <w:rsid w:val="00D15536"/>
    <w:rsid w:val="00D1561D"/>
    <w:rsid w:val="00D211C2"/>
    <w:rsid w:val="00D21338"/>
    <w:rsid w:val="00D238F4"/>
    <w:rsid w:val="00D24752"/>
    <w:rsid w:val="00D406F6"/>
    <w:rsid w:val="00D43A93"/>
    <w:rsid w:val="00D500DA"/>
    <w:rsid w:val="00D508CB"/>
    <w:rsid w:val="00D514A0"/>
    <w:rsid w:val="00D53242"/>
    <w:rsid w:val="00D5378B"/>
    <w:rsid w:val="00D64456"/>
    <w:rsid w:val="00D65479"/>
    <w:rsid w:val="00D66F53"/>
    <w:rsid w:val="00D7287C"/>
    <w:rsid w:val="00D73EAC"/>
    <w:rsid w:val="00D7698E"/>
    <w:rsid w:val="00D82A6C"/>
    <w:rsid w:val="00D8367B"/>
    <w:rsid w:val="00D862CC"/>
    <w:rsid w:val="00D86643"/>
    <w:rsid w:val="00D95347"/>
    <w:rsid w:val="00D95D53"/>
    <w:rsid w:val="00DA1970"/>
    <w:rsid w:val="00DA383C"/>
    <w:rsid w:val="00DA69DD"/>
    <w:rsid w:val="00DA781E"/>
    <w:rsid w:val="00DB4A8D"/>
    <w:rsid w:val="00DC193F"/>
    <w:rsid w:val="00DC35CF"/>
    <w:rsid w:val="00DC3D1A"/>
    <w:rsid w:val="00DD0B60"/>
    <w:rsid w:val="00DD0E52"/>
    <w:rsid w:val="00DD2A91"/>
    <w:rsid w:val="00DD43F9"/>
    <w:rsid w:val="00DD5531"/>
    <w:rsid w:val="00DD7AB9"/>
    <w:rsid w:val="00DE2A7F"/>
    <w:rsid w:val="00DE3674"/>
    <w:rsid w:val="00DF04E8"/>
    <w:rsid w:val="00DF1059"/>
    <w:rsid w:val="00DF2D2E"/>
    <w:rsid w:val="00DF4493"/>
    <w:rsid w:val="00DF4C47"/>
    <w:rsid w:val="00DF5018"/>
    <w:rsid w:val="00DF6907"/>
    <w:rsid w:val="00DF6DD1"/>
    <w:rsid w:val="00DF7603"/>
    <w:rsid w:val="00E06D7F"/>
    <w:rsid w:val="00E07221"/>
    <w:rsid w:val="00E07445"/>
    <w:rsid w:val="00E106B4"/>
    <w:rsid w:val="00E1115F"/>
    <w:rsid w:val="00E11683"/>
    <w:rsid w:val="00E160A9"/>
    <w:rsid w:val="00E2753B"/>
    <w:rsid w:val="00E275BA"/>
    <w:rsid w:val="00E27889"/>
    <w:rsid w:val="00E35515"/>
    <w:rsid w:val="00E41CF9"/>
    <w:rsid w:val="00E4362E"/>
    <w:rsid w:val="00E44CCC"/>
    <w:rsid w:val="00E46501"/>
    <w:rsid w:val="00E47CCF"/>
    <w:rsid w:val="00E504E3"/>
    <w:rsid w:val="00E545DF"/>
    <w:rsid w:val="00E54B27"/>
    <w:rsid w:val="00E56EA2"/>
    <w:rsid w:val="00E7142D"/>
    <w:rsid w:val="00E7255E"/>
    <w:rsid w:val="00E74864"/>
    <w:rsid w:val="00E74EE4"/>
    <w:rsid w:val="00E75A6D"/>
    <w:rsid w:val="00E8065C"/>
    <w:rsid w:val="00E812FC"/>
    <w:rsid w:val="00E8278F"/>
    <w:rsid w:val="00E855AA"/>
    <w:rsid w:val="00E86667"/>
    <w:rsid w:val="00E908C4"/>
    <w:rsid w:val="00E91EFD"/>
    <w:rsid w:val="00E92FDF"/>
    <w:rsid w:val="00E94D04"/>
    <w:rsid w:val="00EA1B62"/>
    <w:rsid w:val="00EA5F77"/>
    <w:rsid w:val="00EB216C"/>
    <w:rsid w:val="00EB2CBF"/>
    <w:rsid w:val="00EC02B4"/>
    <w:rsid w:val="00ED04EF"/>
    <w:rsid w:val="00ED79D5"/>
    <w:rsid w:val="00EE0E79"/>
    <w:rsid w:val="00EE10AA"/>
    <w:rsid w:val="00EE3D3A"/>
    <w:rsid w:val="00EE6941"/>
    <w:rsid w:val="00EF4DD2"/>
    <w:rsid w:val="00F0084F"/>
    <w:rsid w:val="00F02D49"/>
    <w:rsid w:val="00F042ED"/>
    <w:rsid w:val="00F05B90"/>
    <w:rsid w:val="00F071A1"/>
    <w:rsid w:val="00F1113E"/>
    <w:rsid w:val="00F140A8"/>
    <w:rsid w:val="00F21479"/>
    <w:rsid w:val="00F21C3F"/>
    <w:rsid w:val="00F259A2"/>
    <w:rsid w:val="00F3217A"/>
    <w:rsid w:val="00F34055"/>
    <w:rsid w:val="00F34D6B"/>
    <w:rsid w:val="00F419B6"/>
    <w:rsid w:val="00F431FC"/>
    <w:rsid w:val="00F4732E"/>
    <w:rsid w:val="00F5087D"/>
    <w:rsid w:val="00F55DC8"/>
    <w:rsid w:val="00F56050"/>
    <w:rsid w:val="00F57B69"/>
    <w:rsid w:val="00F62F4C"/>
    <w:rsid w:val="00F70B27"/>
    <w:rsid w:val="00F73624"/>
    <w:rsid w:val="00F7465F"/>
    <w:rsid w:val="00F779C9"/>
    <w:rsid w:val="00F830E9"/>
    <w:rsid w:val="00F83C7E"/>
    <w:rsid w:val="00F849F4"/>
    <w:rsid w:val="00F871FB"/>
    <w:rsid w:val="00F975C2"/>
    <w:rsid w:val="00F97688"/>
    <w:rsid w:val="00FB5C7B"/>
    <w:rsid w:val="00FC0206"/>
    <w:rsid w:val="00FD1330"/>
    <w:rsid w:val="00FD3CCF"/>
    <w:rsid w:val="00FD6ED9"/>
    <w:rsid w:val="00FD7320"/>
    <w:rsid w:val="00FE2C0A"/>
    <w:rsid w:val="00FE3F01"/>
    <w:rsid w:val="00FF0062"/>
    <w:rsid w:val="00FF10BF"/>
    <w:rsid w:val="00FF25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E008A"/>
  <w15:docId w15:val="{DF332916-65DF-4850-BEED-83BF67F30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628"/>
    <w:rPr>
      <w:rFonts w:ascii="Times New Roman" w:eastAsia="Times New Roman" w:hAnsi="Times New Roman"/>
      <w:sz w:val="24"/>
      <w:szCs w:val="24"/>
      <w:lang w:val="en-GB" w:eastAsia="en-US"/>
    </w:rPr>
  </w:style>
  <w:style w:type="paragraph" w:styleId="Heading1">
    <w:name w:val="heading 1"/>
    <w:basedOn w:val="Normal"/>
    <w:next w:val="Normal"/>
    <w:link w:val="Heading1Char"/>
    <w:qFormat/>
    <w:rsid w:val="00101599"/>
    <w:pPr>
      <w:keepNext/>
      <w:outlineLvl w:val="0"/>
    </w:pPr>
    <w:rPr>
      <w:b/>
      <w:bCs/>
    </w:rPr>
  </w:style>
  <w:style w:type="paragraph" w:styleId="Heading2">
    <w:name w:val="heading 2"/>
    <w:basedOn w:val="Normal"/>
    <w:next w:val="Normal"/>
    <w:link w:val="Heading2Char"/>
    <w:qFormat/>
    <w:rsid w:val="0010159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01599"/>
    <w:pPr>
      <w:keepNext/>
      <w:numPr>
        <w:ilvl w:val="2"/>
        <w:numId w:val="1"/>
      </w:numPr>
      <w:outlineLvl w:val="2"/>
    </w:pPr>
    <w:rPr>
      <w:sz w:val="20"/>
    </w:rPr>
  </w:style>
  <w:style w:type="paragraph" w:styleId="Heading4">
    <w:name w:val="heading 4"/>
    <w:basedOn w:val="Normal"/>
    <w:next w:val="Normal"/>
    <w:link w:val="Heading4Char"/>
    <w:qFormat/>
    <w:rsid w:val="00101599"/>
    <w:pPr>
      <w:keepNext/>
      <w:numPr>
        <w:ilvl w:val="3"/>
        <w:numId w:val="1"/>
      </w:numPr>
      <w:tabs>
        <w:tab w:val="clear" w:pos="1080"/>
        <w:tab w:val="num" w:pos="360"/>
      </w:tabs>
      <w:ind w:left="0" w:firstLine="0"/>
      <w:outlineLvl w:val="3"/>
    </w:pPr>
    <w:rPr>
      <w:sz w:val="20"/>
    </w:rPr>
  </w:style>
  <w:style w:type="paragraph" w:styleId="Heading5">
    <w:name w:val="heading 5"/>
    <w:basedOn w:val="Normal"/>
    <w:next w:val="Normal"/>
    <w:link w:val="Heading5Char"/>
    <w:qFormat/>
    <w:rsid w:val="00101599"/>
    <w:pPr>
      <w:keepNext/>
      <w:numPr>
        <w:ilvl w:val="4"/>
        <w:numId w:val="15"/>
      </w:numPr>
      <w:outlineLvl w:val="4"/>
    </w:pPr>
  </w:style>
  <w:style w:type="paragraph" w:styleId="Heading6">
    <w:name w:val="heading 6"/>
    <w:basedOn w:val="Normal"/>
    <w:next w:val="Normal"/>
    <w:link w:val="Heading6Char"/>
    <w:qFormat/>
    <w:rsid w:val="00101599"/>
    <w:pPr>
      <w:keepNext/>
      <w:numPr>
        <w:ilvl w:val="5"/>
        <w:numId w:val="16"/>
      </w:numPr>
      <w:outlineLvl w:val="5"/>
    </w:pPr>
  </w:style>
  <w:style w:type="paragraph" w:styleId="Heading7">
    <w:name w:val="heading 7"/>
    <w:basedOn w:val="Normal"/>
    <w:next w:val="Normal"/>
    <w:link w:val="Heading7Char"/>
    <w:qFormat/>
    <w:rsid w:val="00101599"/>
    <w:pPr>
      <w:keepNext/>
      <w:numPr>
        <w:ilvl w:val="6"/>
        <w:numId w:val="17"/>
      </w:numPr>
      <w:outlineLvl w:val="6"/>
    </w:pPr>
    <w:rPr>
      <w:b/>
      <w:bCs/>
      <w:sz w:val="28"/>
    </w:rPr>
  </w:style>
  <w:style w:type="paragraph" w:styleId="Heading8">
    <w:name w:val="heading 8"/>
    <w:basedOn w:val="Normal"/>
    <w:next w:val="Normal"/>
    <w:link w:val="Heading8Char"/>
    <w:qFormat/>
    <w:rsid w:val="00101599"/>
    <w:pPr>
      <w:numPr>
        <w:ilvl w:val="7"/>
        <w:numId w:val="18"/>
      </w:numPr>
      <w:spacing w:before="240" w:after="60"/>
      <w:outlineLvl w:val="7"/>
    </w:pPr>
    <w:rPr>
      <w:i/>
      <w:iCs/>
    </w:rPr>
  </w:style>
  <w:style w:type="paragraph" w:styleId="Heading9">
    <w:name w:val="heading 9"/>
    <w:basedOn w:val="Normal"/>
    <w:next w:val="Normal"/>
    <w:link w:val="Heading9Char"/>
    <w:qFormat/>
    <w:rsid w:val="00101599"/>
    <w:pPr>
      <w:numPr>
        <w:ilvl w:val="8"/>
        <w:numId w:val="1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01599"/>
    <w:rPr>
      <w:rFonts w:ascii="Times New Roman" w:eastAsia="Times New Roman" w:hAnsi="Times New Roman" w:cs="Times New Roman"/>
      <w:b/>
      <w:bCs/>
      <w:sz w:val="24"/>
      <w:szCs w:val="24"/>
      <w:lang w:val="en-GB"/>
    </w:rPr>
  </w:style>
  <w:style w:type="character" w:customStyle="1" w:styleId="Heading2Char">
    <w:name w:val="Heading 2 Char"/>
    <w:link w:val="Heading2"/>
    <w:rsid w:val="00101599"/>
    <w:rPr>
      <w:rFonts w:ascii="Arial" w:eastAsia="Times New Roman" w:hAnsi="Arial" w:cs="Arial"/>
      <w:b/>
      <w:bCs/>
      <w:i/>
      <w:iCs/>
      <w:sz w:val="28"/>
      <w:szCs w:val="28"/>
      <w:lang w:val="en-GB"/>
    </w:rPr>
  </w:style>
  <w:style w:type="character" w:customStyle="1" w:styleId="Heading3Char">
    <w:name w:val="Heading 3 Char"/>
    <w:link w:val="Heading3"/>
    <w:rsid w:val="00101599"/>
    <w:rPr>
      <w:rFonts w:ascii="Times New Roman" w:eastAsia="Times New Roman" w:hAnsi="Times New Roman" w:cs="Times New Roman"/>
      <w:sz w:val="20"/>
      <w:szCs w:val="24"/>
      <w:lang w:val="en-GB"/>
    </w:rPr>
  </w:style>
  <w:style w:type="character" w:customStyle="1" w:styleId="Heading4Char">
    <w:name w:val="Heading 4 Char"/>
    <w:link w:val="Heading4"/>
    <w:rsid w:val="00101599"/>
    <w:rPr>
      <w:rFonts w:ascii="Times New Roman" w:eastAsia="Times New Roman" w:hAnsi="Times New Roman" w:cs="Times New Roman"/>
      <w:sz w:val="20"/>
      <w:szCs w:val="24"/>
      <w:lang w:val="en-GB"/>
    </w:rPr>
  </w:style>
  <w:style w:type="character" w:customStyle="1" w:styleId="Heading5Char">
    <w:name w:val="Heading 5 Char"/>
    <w:link w:val="Heading5"/>
    <w:rsid w:val="00101599"/>
    <w:rPr>
      <w:rFonts w:ascii="Times New Roman" w:eastAsia="Times New Roman" w:hAnsi="Times New Roman" w:cs="Times New Roman"/>
      <w:sz w:val="24"/>
      <w:szCs w:val="24"/>
      <w:lang w:val="en-GB"/>
    </w:rPr>
  </w:style>
  <w:style w:type="character" w:customStyle="1" w:styleId="Heading6Char">
    <w:name w:val="Heading 6 Char"/>
    <w:link w:val="Heading6"/>
    <w:rsid w:val="00101599"/>
    <w:rPr>
      <w:rFonts w:ascii="Times New Roman" w:eastAsia="Times New Roman" w:hAnsi="Times New Roman" w:cs="Times New Roman"/>
      <w:sz w:val="24"/>
      <w:szCs w:val="24"/>
      <w:lang w:val="en-GB"/>
    </w:rPr>
  </w:style>
  <w:style w:type="character" w:customStyle="1" w:styleId="Heading7Char">
    <w:name w:val="Heading 7 Char"/>
    <w:link w:val="Heading7"/>
    <w:rsid w:val="00101599"/>
    <w:rPr>
      <w:rFonts w:ascii="Times New Roman" w:eastAsia="Times New Roman" w:hAnsi="Times New Roman" w:cs="Times New Roman"/>
      <w:b/>
      <w:bCs/>
      <w:sz w:val="28"/>
      <w:szCs w:val="24"/>
      <w:lang w:val="en-GB"/>
    </w:rPr>
  </w:style>
  <w:style w:type="character" w:customStyle="1" w:styleId="Heading8Char">
    <w:name w:val="Heading 8 Char"/>
    <w:link w:val="Heading8"/>
    <w:rsid w:val="00101599"/>
    <w:rPr>
      <w:rFonts w:ascii="Times New Roman" w:eastAsia="Times New Roman" w:hAnsi="Times New Roman" w:cs="Times New Roman"/>
      <w:i/>
      <w:iCs/>
      <w:sz w:val="24"/>
      <w:szCs w:val="24"/>
      <w:lang w:val="en-GB"/>
    </w:rPr>
  </w:style>
  <w:style w:type="character" w:customStyle="1" w:styleId="Heading9Char">
    <w:name w:val="Heading 9 Char"/>
    <w:link w:val="Heading9"/>
    <w:rsid w:val="00101599"/>
    <w:rPr>
      <w:rFonts w:ascii="Arial" w:eastAsia="Times New Roman" w:hAnsi="Arial" w:cs="Arial"/>
      <w:lang w:val="en-GB"/>
    </w:rPr>
  </w:style>
  <w:style w:type="paragraph" w:styleId="BodyText">
    <w:name w:val="Body Text"/>
    <w:basedOn w:val="Normal"/>
    <w:link w:val="BodyTextChar"/>
    <w:rsid w:val="00101599"/>
    <w:rPr>
      <w:sz w:val="22"/>
    </w:rPr>
  </w:style>
  <w:style w:type="character" w:customStyle="1" w:styleId="BodyTextChar">
    <w:name w:val="Body Text Char"/>
    <w:link w:val="BodyText"/>
    <w:rsid w:val="00101599"/>
    <w:rPr>
      <w:rFonts w:ascii="Times New Roman" w:eastAsia="Times New Roman" w:hAnsi="Times New Roman" w:cs="Times New Roman"/>
      <w:szCs w:val="24"/>
      <w:lang w:val="en-GB"/>
    </w:rPr>
  </w:style>
  <w:style w:type="paragraph" w:styleId="BodyTextIndent2">
    <w:name w:val="Body Text Indent 2"/>
    <w:basedOn w:val="Normal"/>
    <w:link w:val="BodyTextIndent2Char"/>
    <w:rsid w:val="00101599"/>
    <w:pPr>
      <w:overflowPunct w:val="0"/>
      <w:autoSpaceDE w:val="0"/>
      <w:autoSpaceDN w:val="0"/>
      <w:adjustRightInd w:val="0"/>
      <w:ind w:left="720" w:hanging="720"/>
      <w:textAlignment w:val="baseline"/>
    </w:pPr>
    <w:rPr>
      <w:szCs w:val="20"/>
    </w:rPr>
  </w:style>
  <w:style w:type="character" w:customStyle="1" w:styleId="BodyTextIndent2Char">
    <w:name w:val="Body Text Indent 2 Char"/>
    <w:link w:val="BodyTextIndent2"/>
    <w:rsid w:val="00101599"/>
    <w:rPr>
      <w:rFonts w:ascii="Times New Roman" w:eastAsia="Times New Roman" w:hAnsi="Times New Roman" w:cs="Times New Roman"/>
      <w:sz w:val="24"/>
      <w:szCs w:val="20"/>
      <w:lang w:val="en-GB"/>
    </w:rPr>
  </w:style>
  <w:style w:type="paragraph" w:styleId="Footer">
    <w:name w:val="footer"/>
    <w:basedOn w:val="Normal"/>
    <w:link w:val="FooterChar"/>
    <w:uiPriority w:val="99"/>
    <w:rsid w:val="00101599"/>
    <w:pPr>
      <w:tabs>
        <w:tab w:val="center" w:pos="4536"/>
        <w:tab w:val="right" w:pos="9072"/>
      </w:tabs>
    </w:pPr>
  </w:style>
  <w:style w:type="character" w:customStyle="1" w:styleId="FooterChar">
    <w:name w:val="Footer Char"/>
    <w:link w:val="Footer"/>
    <w:uiPriority w:val="99"/>
    <w:rsid w:val="00101599"/>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101599"/>
    <w:pPr>
      <w:ind w:left="1134"/>
    </w:pPr>
  </w:style>
  <w:style w:type="character" w:customStyle="1" w:styleId="BodyTextIndentChar">
    <w:name w:val="Body Text Indent Char"/>
    <w:link w:val="BodyTextIndent"/>
    <w:rsid w:val="00101599"/>
    <w:rPr>
      <w:rFonts w:ascii="Times New Roman" w:eastAsia="Times New Roman" w:hAnsi="Times New Roman" w:cs="Times New Roman"/>
      <w:sz w:val="24"/>
      <w:szCs w:val="24"/>
      <w:lang w:val="en-GB"/>
    </w:rPr>
  </w:style>
  <w:style w:type="paragraph" w:styleId="TOC1">
    <w:name w:val="toc 1"/>
    <w:basedOn w:val="Normal"/>
    <w:next w:val="Normal"/>
    <w:autoRedefine/>
    <w:semiHidden/>
    <w:rsid w:val="00101599"/>
    <w:pPr>
      <w:ind w:left="425" w:right="851" w:hanging="425"/>
    </w:pPr>
    <w:rPr>
      <w:b/>
      <w:caps/>
    </w:rPr>
  </w:style>
  <w:style w:type="paragraph" w:styleId="BodyTextIndent3">
    <w:name w:val="Body Text Indent 3"/>
    <w:basedOn w:val="Normal"/>
    <w:link w:val="BodyTextIndent3Char"/>
    <w:rsid w:val="00101599"/>
    <w:pPr>
      <w:tabs>
        <w:tab w:val="left" w:pos="-1440"/>
        <w:tab w:val="left" w:pos="-720"/>
      </w:tabs>
      <w:suppressAutoHyphens/>
      <w:overflowPunct w:val="0"/>
      <w:autoSpaceDE w:val="0"/>
      <w:autoSpaceDN w:val="0"/>
      <w:adjustRightInd w:val="0"/>
      <w:ind w:left="720"/>
      <w:textAlignment w:val="baseline"/>
    </w:pPr>
    <w:rPr>
      <w:szCs w:val="20"/>
    </w:rPr>
  </w:style>
  <w:style w:type="character" w:customStyle="1" w:styleId="BodyTextIndent3Char">
    <w:name w:val="Body Text Indent 3 Char"/>
    <w:link w:val="BodyTextIndent3"/>
    <w:rsid w:val="00101599"/>
    <w:rPr>
      <w:rFonts w:ascii="Times New Roman" w:eastAsia="Times New Roman" w:hAnsi="Times New Roman" w:cs="Times New Roman"/>
      <w:sz w:val="24"/>
      <w:szCs w:val="20"/>
      <w:lang w:val="en-GB"/>
    </w:rPr>
  </w:style>
  <w:style w:type="paragraph" w:styleId="NormalWeb">
    <w:name w:val="Normal (Web)"/>
    <w:basedOn w:val="Normal"/>
    <w:uiPriority w:val="99"/>
    <w:rsid w:val="00101599"/>
    <w:pPr>
      <w:spacing w:before="100" w:beforeAutospacing="1" w:after="100" w:afterAutospacing="1"/>
    </w:pPr>
    <w:rPr>
      <w:rFonts w:ascii="Arial Unicode MS" w:eastAsia="Arial Unicode MS" w:hAnsi="Arial Unicode MS" w:cs="Arial Unicode MS"/>
      <w:color w:val="000000"/>
    </w:rPr>
  </w:style>
  <w:style w:type="paragraph" w:styleId="TOC5">
    <w:name w:val="toc 5"/>
    <w:basedOn w:val="Normal"/>
    <w:next w:val="Normal"/>
    <w:autoRedefine/>
    <w:semiHidden/>
    <w:rsid w:val="00101599"/>
    <w:pPr>
      <w:ind w:left="1276" w:right="851" w:hanging="851"/>
    </w:pPr>
  </w:style>
  <w:style w:type="paragraph" w:styleId="BalloonText">
    <w:name w:val="Balloon Text"/>
    <w:basedOn w:val="Normal"/>
    <w:link w:val="BalloonTextChar"/>
    <w:semiHidden/>
    <w:rsid w:val="00101599"/>
    <w:rPr>
      <w:rFonts w:ascii="Tahoma" w:hAnsi="Tahoma" w:cs="Tahoma"/>
      <w:sz w:val="16"/>
      <w:szCs w:val="16"/>
    </w:rPr>
  </w:style>
  <w:style w:type="character" w:customStyle="1" w:styleId="BalloonTextChar">
    <w:name w:val="Balloon Text Char"/>
    <w:link w:val="BalloonText"/>
    <w:semiHidden/>
    <w:rsid w:val="00101599"/>
    <w:rPr>
      <w:rFonts w:ascii="Tahoma" w:eastAsia="Times New Roman" w:hAnsi="Tahoma" w:cs="Tahoma"/>
      <w:sz w:val="16"/>
      <w:szCs w:val="16"/>
      <w:lang w:val="en-GB"/>
    </w:rPr>
  </w:style>
  <w:style w:type="character" w:styleId="Hyperlink">
    <w:name w:val="Hyperlink"/>
    <w:rsid w:val="00101599"/>
    <w:rPr>
      <w:color w:val="0000FF"/>
      <w:u w:val="single"/>
    </w:rPr>
  </w:style>
  <w:style w:type="paragraph" w:styleId="DocumentMap">
    <w:name w:val="Document Map"/>
    <w:basedOn w:val="Normal"/>
    <w:link w:val="DocumentMapChar"/>
    <w:semiHidden/>
    <w:rsid w:val="00101599"/>
    <w:pPr>
      <w:shd w:val="clear" w:color="auto" w:fill="000080"/>
    </w:pPr>
    <w:rPr>
      <w:rFonts w:ascii="Tahoma" w:hAnsi="Tahoma" w:cs="Tahoma"/>
      <w:sz w:val="20"/>
      <w:szCs w:val="20"/>
    </w:rPr>
  </w:style>
  <w:style w:type="character" w:customStyle="1" w:styleId="DocumentMapChar">
    <w:name w:val="Document Map Char"/>
    <w:link w:val="DocumentMap"/>
    <w:semiHidden/>
    <w:rsid w:val="00101599"/>
    <w:rPr>
      <w:rFonts w:ascii="Tahoma" w:eastAsia="Times New Roman" w:hAnsi="Tahoma" w:cs="Tahoma"/>
      <w:sz w:val="20"/>
      <w:szCs w:val="20"/>
      <w:shd w:val="clear" w:color="auto" w:fill="000080"/>
      <w:lang w:val="en-GB"/>
    </w:rPr>
  </w:style>
  <w:style w:type="paragraph" w:styleId="BodyText2">
    <w:name w:val="Body Text 2"/>
    <w:basedOn w:val="Normal"/>
    <w:link w:val="BodyText2Char"/>
    <w:rsid w:val="00101599"/>
    <w:pPr>
      <w:autoSpaceDE w:val="0"/>
      <w:autoSpaceDN w:val="0"/>
      <w:adjustRightInd w:val="0"/>
    </w:pPr>
    <w:rPr>
      <w:rFonts w:ascii="TimesNewRomanPSMT" w:hAnsi="TimesNewRomanPSMT"/>
      <w:i/>
      <w:iCs/>
      <w:lang w:val="en-US"/>
    </w:rPr>
  </w:style>
  <w:style w:type="character" w:customStyle="1" w:styleId="BodyText2Char">
    <w:name w:val="Body Text 2 Char"/>
    <w:link w:val="BodyText2"/>
    <w:rsid w:val="00101599"/>
    <w:rPr>
      <w:rFonts w:ascii="TimesNewRomanPSMT" w:eastAsia="Times New Roman" w:hAnsi="TimesNewRomanPSMT" w:cs="Times New Roman"/>
      <w:i/>
      <w:iCs/>
      <w:sz w:val="24"/>
      <w:szCs w:val="24"/>
      <w:lang w:val="en-US"/>
    </w:rPr>
  </w:style>
  <w:style w:type="paragraph" w:styleId="BodyText3">
    <w:name w:val="Body Text 3"/>
    <w:basedOn w:val="Normal"/>
    <w:link w:val="BodyText3Char"/>
    <w:rsid w:val="00101599"/>
    <w:pPr>
      <w:tabs>
        <w:tab w:val="left" w:pos="-1440"/>
        <w:tab w:val="left" w:pos="-720"/>
      </w:tabs>
      <w:suppressAutoHyphens/>
      <w:jc w:val="both"/>
    </w:pPr>
  </w:style>
  <w:style w:type="character" w:customStyle="1" w:styleId="BodyText3Char">
    <w:name w:val="Body Text 3 Char"/>
    <w:link w:val="BodyText3"/>
    <w:rsid w:val="00101599"/>
    <w:rPr>
      <w:rFonts w:ascii="Times New Roman" w:eastAsia="Times New Roman" w:hAnsi="Times New Roman" w:cs="Times New Roman"/>
      <w:sz w:val="24"/>
      <w:szCs w:val="24"/>
      <w:lang w:val="en-GB"/>
    </w:rPr>
  </w:style>
  <w:style w:type="character" w:styleId="FollowedHyperlink">
    <w:name w:val="FollowedHyperlink"/>
    <w:rsid w:val="00101599"/>
    <w:rPr>
      <w:color w:val="800080"/>
      <w:u w:val="single"/>
    </w:rPr>
  </w:style>
  <w:style w:type="character" w:styleId="PageNumber">
    <w:name w:val="page number"/>
    <w:rsid w:val="00101599"/>
  </w:style>
  <w:style w:type="paragraph" w:styleId="Header">
    <w:name w:val="header"/>
    <w:basedOn w:val="Normal"/>
    <w:link w:val="HeaderChar"/>
    <w:rsid w:val="00101599"/>
    <w:pPr>
      <w:tabs>
        <w:tab w:val="center" w:pos="4153"/>
        <w:tab w:val="right" w:pos="8306"/>
      </w:tabs>
    </w:pPr>
  </w:style>
  <w:style w:type="character" w:customStyle="1" w:styleId="HeaderChar">
    <w:name w:val="Header Char"/>
    <w:link w:val="Header"/>
    <w:rsid w:val="00101599"/>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F1113E"/>
    <w:rPr>
      <w:sz w:val="20"/>
      <w:szCs w:val="20"/>
    </w:rPr>
  </w:style>
  <w:style w:type="character" w:customStyle="1" w:styleId="FootnoteTextChar">
    <w:name w:val="Footnote Text Char"/>
    <w:link w:val="FootnoteText"/>
    <w:uiPriority w:val="99"/>
    <w:semiHidden/>
    <w:rsid w:val="00F1113E"/>
    <w:rPr>
      <w:rFonts w:ascii="Times New Roman" w:eastAsia="Times New Roman" w:hAnsi="Times New Roman"/>
      <w:lang w:val="en-GB" w:eastAsia="en-US"/>
    </w:rPr>
  </w:style>
  <w:style w:type="character" w:styleId="FootnoteReference">
    <w:name w:val="footnote reference"/>
    <w:uiPriority w:val="99"/>
    <w:semiHidden/>
    <w:unhideWhenUsed/>
    <w:rsid w:val="00F1113E"/>
    <w:rPr>
      <w:vertAlign w:val="superscript"/>
    </w:rPr>
  </w:style>
  <w:style w:type="paragraph" w:customStyle="1" w:styleId="Bibliography1">
    <w:name w:val="Bibliography1"/>
    <w:basedOn w:val="Normal"/>
    <w:link w:val="BibliographyZchn"/>
    <w:rsid w:val="003A0C70"/>
    <w:pPr>
      <w:suppressAutoHyphens/>
      <w:spacing w:after="240"/>
      <w:jc w:val="both"/>
    </w:pPr>
  </w:style>
  <w:style w:type="character" w:customStyle="1" w:styleId="BibliographyZchn">
    <w:name w:val="Bibliography Zchn"/>
    <w:link w:val="Bibliography1"/>
    <w:rsid w:val="003A0C70"/>
    <w:rPr>
      <w:rFonts w:ascii="Times New Roman" w:eastAsia="Times New Roman" w:hAnsi="Times New Roman"/>
      <w:sz w:val="24"/>
      <w:szCs w:val="24"/>
      <w:lang w:val="en-GB" w:eastAsia="en-US"/>
    </w:rPr>
  </w:style>
  <w:style w:type="paragraph" w:styleId="Bibliography">
    <w:name w:val="Bibliography"/>
    <w:basedOn w:val="Normal"/>
    <w:next w:val="Normal"/>
    <w:uiPriority w:val="37"/>
    <w:unhideWhenUsed/>
    <w:rsid w:val="005E0547"/>
    <w:pPr>
      <w:tabs>
        <w:tab w:val="left" w:pos="384"/>
      </w:tabs>
      <w:ind w:left="384" w:hanging="384"/>
    </w:pPr>
  </w:style>
  <w:style w:type="table" w:styleId="TableGrid">
    <w:name w:val="Table Grid"/>
    <w:basedOn w:val="TableNormal"/>
    <w:uiPriority w:val="59"/>
    <w:rsid w:val="008775D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09E8"/>
    <w:pPr>
      <w:ind w:left="708"/>
    </w:pPr>
  </w:style>
  <w:style w:type="character" w:styleId="PlaceholderText">
    <w:name w:val="Placeholder Text"/>
    <w:basedOn w:val="DefaultParagraphFont"/>
    <w:uiPriority w:val="99"/>
    <w:semiHidden/>
    <w:rsid w:val="0027043A"/>
    <w:rPr>
      <w:color w:val="808080"/>
    </w:rPr>
  </w:style>
  <w:style w:type="character" w:customStyle="1" w:styleId="highlight">
    <w:name w:val="highlight"/>
    <w:basedOn w:val="DefaultParagraphFont"/>
    <w:rsid w:val="00032797"/>
  </w:style>
  <w:style w:type="character" w:styleId="CommentReference">
    <w:name w:val="annotation reference"/>
    <w:basedOn w:val="DefaultParagraphFont"/>
    <w:uiPriority w:val="99"/>
    <w:semiHidden/>
    <w:unhideWhenUsed/>
    <w:rsid w:val="00775290"/>
    <w:rPr>
      <w:sz w:val="16"/>
      <w:szCs w:val="16"/>
    </w:rPr>
  </w:style>
  <w:style w:type="paragraph" w:styleId="CommentText">
    <w:name w:val="annotation text"/>
    <w:basedOn w:val="Normal"/>
    <w:link w:val="CommentTextChar"/>
    <w:uiPriority w:val="99"/>
    <w:semiHidden/>
    <w:unhideWhenUsed/>
    <w:rsid w:val="00775290"/>
    <w:rPr>
      <w:sz w:val="20"/>
      <w:szCs w:val="20"/>
    </w:rPr>
  </w:style>
  <w:style w:type="character" w:customStyle="1" w:styleId="CommentTextChar">
    <w:name w:val="Comment Text Char"/>
    <w:basedOn w:val="DefaultParagraphFont"/>
    <w:link w:val="CommentText"/>
    <w:uiPriority w:val="99"/>
    <w:semiHidden/>
    <w:rsid w:val="00775290"/>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775290"/>
    <w:rPr>
      <w:b/>
      <w:bCs/>
    </w:rPr>
  </w:style>
  <w:style w:type="character" w:customStyle="1" w:styleId="CommentSubjectChar">
    <w:name w:val="Comment Subject Char"/>
    <w:basedOn w:val="CommentTextChar"/>
    <w:link w:val="CommentSubject"/>
    <w:uiPriority w:val="99"/>
    <w:semiHidden/>
    <w:rsid w:val="00775290"/>
    <w:rPr>
      <w:rFonts w:ascii="Times New Roman" w:eastAsia="Times New Roman" w:hAnsi="Times New Roman"/>
      <w:b/>
      <w:bCs/>
      <w:lang w:val="en-GB" w:eastAsia="en-US"/>
    </w:rPr>
  </w:style>
  <w:style w:type="character" w:customStyle="1" w:styleId="apple-converted-space">
    <w:name w:val="apple-converted-space"/>
    <w:basedOn w:val="DefaultParagraphFont"/>
    <w:rsid w:val="00783883"/>
  </w:style>
  <w:style w:type="character" w:customStyle="1" w:styleId="apple-tab-span">
    <w:name w:val="apple-tab-span"/>
    <w:basedOn w:val="DefaultParagraphFont"/>
    <w:rsid w:val="00783883"/>
  </w:style>
  <w:style w:type="paragraph" w:styleId="Revision">
    <w:name w:val="Revision"/>
    <w:hidden/>
    <w:uiPriority w:val="99"/>
    <w:semiHidden/>
    <w:rsid w:val="00E4362E"/>
    <w:rPr>
      <w:rFonts w:ascii="Times New Roman" w:eastAsia="Times New Roman" w:hAnsi="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21959">
      <w:bodyDiv w:val="1"/>
      <w:marLeft w:val="0"/>
      <w:marRight w:val="0"/>
      <w:marTop w:val="0"/>
      <w:marBottom w:val="0"/>
      <w:divBdr>
        <w:top w:val="none" w:sz="0" w:space="0" w:color="auto"/>
        <w:left w:val="none" w:sz="0" w:space="0" w:color="auto"/>
        <w:bottom w:val="none" w:sz="0" w:space="0" w:color="auto"/>
        <w:right w:val="none" w:sz="0" w:space="0" w:color="auto"/>
      </w:divBdr>
      <w:divsChild>
        <w:div w:id="904534612">
          <w:marLeft w:val="0"/>
          <w:marRight w:val="0"/>
          <w:marTop w:val="0"/>
          <w:marBottom w:val="0"/>
          <w:divBdr>
            <w:top w:val="none" w:sz="0" w:space="0" w:color="auto"/>
            <w:left w:val="none" w:sz="0" w:space="0" w:color="auto"/>
            <w:bottom w:val="none" w:sz="0" w:space="0" w:color="auto"/>
            <w:right w:val="none" w:sz="0" w:space="0" w:color="auto"/>
          </w:divBdr>
        </w:div>
        <w:div w:id="1807888098">
          <w:marLeft w:val="0"/>
          <w:marRight w:val="0"/>
          <w:marTop w:val="0"/>
          <w:marBottom w:val="0"/>
          <w:divBdr>
            <w:top w:val="none" w:sz="0" w:space="0" w:color="auto"/>
            <w:left w:val="none" w:sz="0" w:space="0" w:color="auto"/>
            <w:bottom w:val="none" w:sz="0" w:space="0" w:color="auto"/>
            <w:right w:val="none" w:sz="0" w:space="0" w:color="auto"/>
          </w:divBdr>
        </w:div>
      </w:divsChild>
    </w:div>
    <w:div w:id="228075070">
      <w:bodyDiv w:val="1"/>
      <w:marLeft w:val="0"/>
      <w:marRight w:val="0"/>
      <w:marTop w:val="0"/>
      <w:marBottom w:val="0"/>
      <w:divBdr>
        <w:top w:val="none" w:sz="0" w:space="0" w:color="auto"/>
        <w:left w:val="none" w:sz="0" w:space="0" w:color="auto"/>
        <w:bottom w:val="none" w:sz="0" w:space="0" w:color="auto"/>
        <w:right w:val="none" w:sz="0" w:space="0" w:color="auto"/>
      </w:divBdr>
    </w:div>
    <w:div w:id="460421992">
      <w:bodyDiv w:val="1"/>
      <w:marLeft w:val="0"/>
      <w:marRight w:val="0"/>
      <w:marTop w:val="0"/>
      <w:marBottom w:val="0"/>
      <w:divBdr>
        <w:top w:val="none" w:sz="0" w:space="0" w:color="auto"/>
        <w:left w:val="none" w:sz="0" w:space="0" w:color="auto"/>
        <w:bottom w:val="none" w:sz="0" w:space="0" w:color="auto"/>
        <w:right w:val="none" w:sz="0" w:space="0" w:color="auto"/>
      </w:divBdr>
    </w:div>
    <w:div w:id="768551843">
      <w:bodyDiv w:val="1"/>
      <w:marLeft w:val="0"/>
      <w:marRight w:val="0"/>
      <w:marTop w:val="0"/>
      <w:marBottom w:val="0"/>
      <w:divBdr>
        <w:top w:val="none" w:sz="0" w:space="0" w:color="auto"/>
        <w:left w:val="none" w:sz="0" w:space="0" w:color="auto"/>
        <w:bottom w:val="none" w:sz="0" w:space="0" w:color="auto"/>
        <w:right w:val="none" w:sz="0" w:space="0" w:color="auto"/>
      </w:divBdr>
    </w:div>
    <w:div w:id="810712775">
      <w:bodyDiv w:val="1"/>
      <w:marLeft w:val="0"/>
      <w:marRight w:val="0"/>
      <w:marTop w:val="0"/>
      <w:marBottom w:val="0"/>
      <w:divBdr>
        <w:top w:val="none" w:sz="0" w:space="0" w:color="auto"/>
        <w:left w:val="none" w:sz="0" w:space="0" w:color="auto"/>
        <w:bottom w:val="none" w:sz="0" w:space="0" w:color="auto"/>
        <w:right w:val="none" w:sz="0" w:space="0" w:color="auto"/>
      </w:divBdr>
    </w:div>
    <w:div w:id="1075543292">
      <w:bodyDiv w:val="1"/>
      <w:marLeft w:val="0"/>
      <w:marRight w:val="0"/>
      <w:marTop w:val="0"/>
      <w:marBottom w:val="0"/>
      <w:divBdr>
        <w:top w:val="none" w:sz="0" w:space="0" w:color="auto"/>
        <w:left w:val="none" w:sz="0" w:space="0" w:color="auto"/>
        <w:bottom w:val="none" w:sz="0" w:space="0" w:color="auto"/>
        <w:right w:val="none" w:sz="0" w:space="0" w:color="auto"/>
      </w:divBdr>
    </w:div>
    <w:div w:id="1152677134">
      <w:bodyDiv w:val="1"/>
      <w:marLeft w:val="0"/>
      <w:marRight w:val="0"/>
      <w:marTop w:val="0"/>
      <w:marBottom w:val="0"/>
      <w:divBdr>
        <w:top w:val="none" w:sz="0" w:space="0" w:color="auto"/>
        <w:left w:val="none" w:sz="0" w:space="0" w:color="auto"/>
        <w:bottom w:val="none" w:sz="0" w:space="0" w:color="auto"/>
        <w:right w:val="none" w:sz="0" w:space="0" w:color="auto"/>
      </w:divBdr>
    </w:div>
    <w:div w:id="1290891357">
      <w:bodyDiv w:val="1"/>
      <w:marLeft w:val="0"/>
      <w:marRight w:val="0"/>
      <w:marTop w:val="0"/>
      <w:marBottom w:val="0"/>
      <w:divBdr>
        <w:top w:val="none" w:sz="0" w:space="0" w:color="auto"/>
        <w:left w:val="none" w:sz="0" w:space="0" w:color="auto"/>
        <w:bottom w:val="none" w:sz="0" w:space="0" w:color="auto"/>
        <w:right w:val="none" w:sz="0" w:space="0" w:color="auto"/>
      </w:divBdr>
      <w:divsChild>
        <w:div w:id="1441408955">
          <w:marLeft w:val="0"/>
          <w:marRight w:val="0"/>
          <w:marTop w:val="0"/>
          <w:marBottom w:val="0"/>
          <w:divBdr>
            <w:top w:val="none" w:sz="0" w:space="0" w:color="auto"/>
            <w:left w:val="none" w:sz="0" w:space="0" w:color="auto"/>
            <w:bottom w:val="none" w:sz="0" w:space="0" w:color="auto"/>
            <w:right w:val="none" w:sz="0" w:space="0" w:color="auto"/>
          </w:divBdr>
        </w:div>
        <w:div w:id="1664821647">
          <w:marLeft w:val="0"/>
          <w:marRight w:val="0"/>
          <w:marTop w:val="0"/>
          <w:marBottom w:val="0"/>
          <w:divBdr>
            <w:top w:val="none" w:sz="0" w:space="0" w:color="auto"/>
            <w:left w:val="none" w:sz="0" w:space="0" w:color="auto"/>
            <w:bottom w:val="none" w:sz="0" w:space="0" w:color="auto"/>
            <w:right w:val="none" w:sz="0" w:space="0" w:color="auto"/>
          </w:divBdr>
        </w:div>
      </w:divsChild>
    </w:div>
    <w:div w:id="1473256765">
      <w:bodyDiv w:val="1"/>
      <w:marLeft w:val="0"/>
      <w:marRight w:val="0"/>
      <w:marTop w:val="0"/>
      <w:marBottom w:val="0"/>
      <w:divBdr>
        <w:top w:val="none" w:sz="0" w:space="0" w:color="auto"/>
        <w:left w:val="none" w:sz="0" w:space="0" w:color="auto"/>
        <w:bottom w:val="none" w:sz="0" w:space="0" w:color="auto"/>
        <w:right w:val="none" w:sz="0" w:space="0" w:color="auto"/>
      </w:divBdr>
    </w:div>
    <w:div w:id="1548756843">
      <w:bodyDiv w:val="1"/>
      <w:marLeft w:val="0"/>
      <w:marRight w:val="0"/>
      <w:marTop w:val="0"/>
      <w:marBottom w:val="0"/>
      <w:divBdr>
        <w:top w:val="none" w:sz="0" w:space="0" w:color="auto"/>
        <w:left w:val="none" w:sz="0" w:space="0" w:color="auto"/>
        <w:bottom w:val="none" w:sz="0" w:space="0" w:color="auto"/>
        <w:right w:val="none" w:sz="0" w:space="0" w:color="auto"/>
      </w:divBdr>
    </w:div>
    <w:div w:id="1619992461">
      <w:bodyDiv w:val="1"/>
      <w:marLeft w:val="0"/>
      <w:marRight w:val="0"/>
      <w:marTop w:val="0"/>
      <w:marBottom w:val="0"/>
      <w:divBdr>
        <w:top w:val="none" w:sz="0" w:space="0" w:color="auto"/>
        <w:left w:val="none" w:sz="0" w:space="0" w:color="auto"/>
        <w:bottom w:val="none" w:sz="0" w:space="0" w:color="auto"/>
        <w:right w:val="none" w:sz="0" w:space="0" w:color="auto"/>
      </w:divBdr>
    </w:div>
    <w:div w:id="1687097093">
      <w:bodyDiv w:val="1"/>
      <w:marLeft w:val="0"/>
      <w:marRight w:val="0"/>
      <w:marTop w:val="0"/>
      <w:marBottom w:val="0"/>
      <w:divBdr>
        <w:top w:val="none" w:sz="0" w:space="0" w:color="auto"/>
        <w:left w:val="none" w:sz="0" w:space="0" w:color="auto"/>
        <w:bottom w:val="none" w:sz="0" w:space="0" w:color="auto"/>
        <w:right w:val="none" w:sz="0" w:space="0" w:color="auto"/>
      </w:divBdr>
    </w:div>
    <w:div w:id="184261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aumgartner@bradford.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3721F-5C94-440D-AE22-EB86D00A7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2100</TotalTime>
  <Pages>1</Pages>
  <Words>44672</Words>
  <Characters>254634</Characters>
  <Application>Microsoft Office Word</Application>
  <DocSecurity>0</DocSecurity>
  <Lines>2121</Lines>
  <Paragraphs>597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298709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 Baumgartner</dc:creator>
  <cp:lastModifiedBy>Adi Baumgartner</cp:lastModifiedBy>
  <cp:revision>156</cp:revision>
  <cp:lastPrinted>2012-11-09T09:59:00Z</cp:lastPrinted>
  <dcterms:created xsi:type="dcterms:W3CDTF">2012-12-08T10:28:00Z</dcterms:created>
  <dcterms:modified xsi:type="dcterms:W3CDTF">2022-03-11T10:36:00Z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zotero-version="3.0.8"&gt;&lt;session id="qe7vxJXt"/&gt;&lt;style id="http://www.zotero.org/styles/Springer basic number" hasBibliography="1" bibliographyStyleHasBeenSet="1"/&gt;&lt;prefs&gt;&lt;pref name="fieldType" value="Field"/&gt;&lt;pref name="storeReferen</vt:lpwstr>
  </property>
  <property fmtid="{D5CDD505-2E9C-101B-9397-08002B2CF9AE}" pid="3" name="ZOTERO_PREF_2">
    <vt:lpwstr>ces" value="true"/&gt;&lt;pref name="noteType" value="0"/&gt;&lt;/prefs&gt;&lt;/data&gt;</vt:lpwstr>
  </property>
</Properties>
</file>