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895D" w14:textId="77777777" w:rsidR="00C24CF6" w:rsidRPr="00AC3C60" w:rsidRDefault="00C24CF6" w:rsidP="00A81AB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17A070" w14:textId="23F0E71C" w:rsidR="00A81ABB" w:rsidRPr="00AC3C60" w:rsidRDefault="00630E07" w:rsidP="00A81AB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3C60">
        <w:rPr>
          <w:rFonts w:ascii="Times New Roman" w:eastAsia="Times New Roman" w:hAnsi="Times New Roman" w:cs="Times New Roman"/>
          <w:sz w:val="24"/>
          <w:szCs w:val="24"/>
        </w:rPr>
        <w:t xml:space="preserve">How </w:t>
      </w:r>
      <w:r w:rsidR="00FA0EA0" w:rsidRPr="00AC3C60">
        <w:rPr>
          <w:rFonts w:ascii="Times New Roman" w:eastAsia="Times New Roman" w:hAnsi="Times New Roman" w:cs="Times New Roman"/>
          <w:sz w:val="24"/>
          <w:szCs w:val="24"/>
        </w:rPr>
        <w:t>did</w:t>
      </w:r>
      <w:r w:rsidR="00F81E2D" w:rsidRPr="00AC3C60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A81ABB" w:rsidRPr="00AC3C60">
        <w:rPr>
          <w:rFonts w:ascii="Times New Roman" w:eastAsia="Times New Roman" w:hAnsi="Times New Roman" w:cs="Times New Roman"/>
          <w:sz w:val="24"/>
          <w:szCs w:val="24"/>
        </w:rPr>
        <w:t xml:space="preserve">sychological wellbeing of Church of England clergy and laity </w:t>
      </w:r>
      <w:r w:rsidR="00FA0EA0" w:rsidRPr="00AC3C60">
        <w:rPr>
          <w:rFonts w:ascii="Times New Roman" w:eastAsia="Times New Roman" w:hAnsi="Times New Roman" w:cs="Times New Roman"/>
          <w:sz w:val="24"/>
          <w:szCs w:val="24"/>
        </w:rPr>
        <w:t xml:space="preserve">change </w:t>
      </w:r>
      <w:r w:rsidR="00F81E2D" w:rsidRPr="00AC3C60">
        <w:rPr>
          <w:rFonts w:ascii="Times New Roman" w:eastAsia="Times New Roman" w:hAnsi="Times New Roman" w:cs="Times New Roman"/>
          <w:sz w:val="24"/>
          <w:szCs w:val="24"/>
        </w:rPr>
        <w:t>from the first to the third national COVID-19 lockdowns</w:t>
      </w:r>
      <w:r w:rsidR="00FA0EA0" w:rsidRPr="00AC3C60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272B32B" w14:textId="77777777" w:rsidR="00A81ABB" w:rsidRPr="00AC3C60" w:rsidRDefault="00A81ABB" w:rsidP="00A81ABB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539C2B" w14:textId="04A22036" w:rsidR="00A81ABB" w:rsidRPr="00AC3C60" w:rsidRDefault="00A81ABB" w:rsidP="00A81AB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3C60">
        <w:rPr>
          <w:rFonts w:ascii="Times New Roman" w:eastAsia="Times New Roman" w:hAnsi="Times New Roman" w:cs="Times New Roman"/>
          <w:sz w:val="24"/>
          <w:szCs w:val="24"/>
        </w:rPr>
        <w:t>Andrew Village</w:t>
      </w:r>
      <w:r w:rsidR="00D3219D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 w:rsidR="009D3D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B43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3C60">
        <w:rPr>
          <w:rFonts w:ascii="Times New Roman" w:eastAsia="Times New Roman" w:hAnsi="Times New Roman" w:cs="Times New Roman"/>
          <w:sz w:val="24"/>
          <w:szCs w:val="24"/>
        </w:rPr>
        <w:t>Leslie J. Francis</w:t>
      </w:r>
      <w:r w:rsidR="00FB43A6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3"/>
      </w:r>
    </w:p>
    <w:p w14:paraId="13176C4A" w14:textId="77777777" w:rsidR="00FB43A6" w:rsidRDefault="00FB43A6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364797E7" w14:textId="0B1DD8EB" w:rsidR="00C905BF" w:rsidRPr="00AC3C60" w:rsidRDefault="00C905BF" w:rsidP="00C905BF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3C6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Abstract</w:t>
      </w:r>
    </w:p>
    <w:p w14:paraId="5FA93AE0" w14:textId="6D088AB0" w:rsidR="00E96B08" w:rsidRPr="00AC3C60" w:rsidRDefault="00097B7A" w:rsidP="00E96B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bCs/>
          <w:sz w:val="24"/>
          <w:szCs w:val="24"/>
        </w:rPr>
        <w:t xml:space="preserve">The balanced affect model of psychological wellbeing conceptualises positive and negative affect as two separate continua, and wellbeing as the function of these two entities. </w:t>
      </w:r>
      <w:r w:rsidR="00B52741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>The C</w:t>
      </w:r>
      <w:r w:rsidR="00B157DA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OVID-19 pandemic </w:t>
      </w:r>
      <w:r w:rsidR="00C832A1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lasted over </w:t>
      </w:r>
      <w:r w:rsidR="00A263F0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>two</w:t>
      </w:r>
      <w:r w:rsidR="00C832A1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years in the UK</w:t>
      </w:r>
      <w:r w:rsidR="00A263F0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and </w:t>
      </w:r>
      <w:r w:rsidR="007B054C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initially caused widespread declines mental </w:t>
      </w:r>
      <w:r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in </w:t>
      </w:r>
      <w:r w:rsidR="007B054C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health and wellbeing. This paper tests whether such declines </w:t>
      </w:r>
      <w:r w:rsidR="00B67E12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>continued or stabilised as the pandemic lockdowns persisted.</w:t>
      </w:r>
      <w:r w:rsidR="00A402E5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67E12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>The p</w:t>
      </w:r>
      <w:r w:rsidR="00C708A6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>sychological</w:t>
      </w:r>
      <w:r w:rsidR="00050BD7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wellbeing </w:t>
      </w:r>
      <w:r w:rsidR="00F84546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of a </w:t>
      </w:r>
      <w:r w:rsidR="00FD0EC9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religiously-committed sample </w:t>
      </w:r>
      <w:r w:rsidR="00F84546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was assessed </w:t>
      </w:r>
      <w:r w:rsidR="00354B2A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by </w:t>
      </w:r>
      <w:r w:rsidR="00697ED7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perceived changes in </w:t>
      </w:r>
      <w:r w:rsidR="00354B2A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affect balance </w:t>
      </w:r>
      <w:r w:rsidR="007A146C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>(</w:t>
      </w:r>
      <w:r w:rsidR="007F1863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>a function</w:t>
      </w:r>
      <w:r w:rsidR="007A146C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of negative and positive affect)</w:t>
      </w:r>
      <w:r w:rsidR="00F13D7C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using The Index of Affect Balance Change (TIBA</w:t>
      </w:r>
      <w:r w:rsidR="00D3036A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>C</w:t>
      </w:r>
      <w:r w:rsidR="00F13D7C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>h)</w:t>
      </w:r>
      <w:r w:rsidR="007A146C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F4EC5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>from</w:t>
      </w:r>
      <w:r w:rsidR="00050BD7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the </w:t>
      </w:r>
      <w:r w:rsidR="00880AA7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first </w:t>
      </w:r>
      <w:r w:rsidR="004F4EC5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to the </w:t>
      </w:r>
      <w:r w:rsidR="00880AA7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third </w:t>
      </w:r>
      <w:r w:rsidR="000D49C4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>COVID-19</w:t>
      </w:r>
      <w:r w:rsidR="00050BD7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lockdown</w:t>
      </w:r>
      <w:r w:rsidR="00880AA7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>s</w:t>
      </w:r>
      <w:r w:rsidR="00050BD7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in </w:t>
      </w:r>
      <w:r w:rsidR="00CA425A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the Church of </w:t>
      </w:r>
      <w:r w:rsidR="00880AA7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England.  </w:t>
      </w:r>
      <w:r w:rsidR="00CA425A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The </w:t>
      </w:r>
      <w:r w:rsidR="00C708A6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>2020</w:t>
      </w:r>
      <w:r w:rsidR="00880AA7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CA425A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>sample in the first lock</w:t>
      </w:r>
      <w:r w:rsidR="00CC5B00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>down comprised 792</w:t>
      </w:r>
      <w:r w:rsidR="00C708A6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DF57D6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stipendiary parochial </w:t>
      </w:r>
      <w:r w:rsidR="00C708A6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clergy </w:t>
      </w:r>
      <w:r w:rsidR="0002239C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and </w:t>
      </w:r>
      <w:r w:rsidR="00CC5B00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2,815 </w:t>
      </w:r>
      <w:r w:rsidR="00C708A6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>laity</w:t>
      </w:r>
      <w:r w:rsidR="0002239C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who were not in licensed ministry</w:t>
      </w:r>
      <w:r w:rsidR="00C708A6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in the Church of England. </w:t>
      </w:r>
      <w:r w:rsidR="00523BD2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>A repeat survey</w:t>
      </w:r>
      <w:r w:rsidR="00AC3EAD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in the third lockdown in England </w:t>
      </w:r>
      <w:r w:rsidR="0084420F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>in</w:t>
      </w:r>
      <w:r w:rsidR="00AC3EAD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2021 </w:t>
      </w:r>
      <w:r w:rsidR="002359F3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collected responses from </w:t>
      </w:r>
      <w:r w:rsidR="00FC7EEC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401 </w:t>
      </w:r>
      <w:r w:rsidR="00AF1CD1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equivalent </w:t>
      </w:r>
      <w:r w:rsidR="00AD3B8D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>clergy</w:t>
      </w:r>
      <w:r w:rsidR="005A7B81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AD3B8D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and </w:t>
      </w:r>
      <w:r w:rsidR="005C1D48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>1027</w:t>
      </w:r>
      <w:r w:rsidR="00FC7EEC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equivalent </w:t>
      </w:r>
      <w:r w:rsidR="00697ED7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>laity</w:t>
      </w:r>
      <w:r w:rsidR="007C1EA5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Both clergy and lay people showed </w:t>
      </w:r>
      <w:r w:rsidR="00E943A2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increased proportions reporting </w:t>
      </w:r>
      <w:r w:rsidR="00134909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lower positive affect and increased </w:t>
      </w:r>
      <w:r w:rsidR="00610D71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>proportions reporting higher negative affect</w:t>
      </w:r>
      <w:r w:rsidR="00FC7EEC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in the second survey, suggesting </w:t>
      </w:r>
      <w:r w:rsidR="006E29B8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psychological wellbeing had continued to deteriorate as </w:t>
      </w:r>
      <w:r w:rsidR="00EB52DC" w:rsidRPr="00AC3C60">
        <w:rPr>
          <w:rFonts w:ascii="Times New Roman" w:eastAsia="Times New Roman" w:hAnsi="Times New Roman" w:cs="Times New Roman"/>
          <w:bCs/>
          <w:iCs/>
          <w:sz w:val="24"/>
          <w:szCs w:val="24"/>
        </w:rPr>
        <w:t>lockdowns persisted.</w:t>
      </w:r>
    </w:p>
    <w:p w14:paraId="7A44933D" w14:textId="77777777" w:rsidR="00E96B08" w:rsidRPr="00AC3C60" w:rsidRDefault="00E96B08" w:rsidP="00E96B0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5E4AFA8D" w14:textId="33D192A2" w:rsidR="00D33EAB" w:rsidRPr="00AC3C60" w:rsidRDefault="00D33EAB" w:rsidP="00C905BF">
      <w:pPr>
        <w:spacing w:line="48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ED9C549" w14:textId="77777777" w:rsidR="00D33EAB" w:rsidRPr="00AC3C60" w:rsidRDefault="00D33EAB" w:rsidP="00C905BF">
      <w:pPr>
        <w:spacing w:line="48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4B8860B6" w14:textId="77777777" w:rsidR="00D33EAB" w:rsidRPr="00AC3C60" w:rsidRDefault="00D33EAB" w:rsidP="00C905BF">
      <w:pPr>
        <w:spacing w:line="48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739B5B12" w14:textId="523D3E16" w:rsidR="00C905BF" w:rsidRPr="00AC3C60" w:rsidRDefault="00C905BF" w:rsidP="00C905BF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3C60">
        <w:rPr>
          <w:rFonts w:ascii="Times New Roman" w:eastAsia="Times New Roman" w:hAnsi="Times New Roman" w:cs="Times New Roman"/>
          <w:bCs/>
          <w:i/>
          <w:sz w:val="24"/>
          <w:szCs w:val="24"/>
        </w:rPr>
        <w:t>Keywords</w:t>
      </w:r>
      <w:r w:rsidRPr="00AC3C60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E96B08" w:rsidRPr="00AC3C60">
        <w:rPr>
          <w:rFonts w:ascii="Times New Roman" w:eastAsia="Times New Roman" w:hAnsi="Times New Roman" w:cs="Times New Roman"/>
          <w:bCs/>
          <w:sz w:val="24"/>
          <w:szCs w:val="24"/>
        </w:rPr>
        <w:t xml:space="preserve"> balanced affect, </w:t>
      </w:r>
      <w:r w:rsidR="00B56C08" w:rsidRPr="00AC3C60">
        <w:rPr>
          <w:rFonts w:ascii="Times New Roman" w:eastAsia="Times New Roman" w:hAnsi="Times New Roman" w:cs="Times New Roman"/>
          <w:bCs/>
          <w:sz w:val="24"/>
          <w:szCs w:val="24"/>
        </w:rPr>
        <w:t xml:space="preserve">clergy, </w:t>
      </w:r>
      <w:r w:rsidR="000D49C4" w:rsidRPr="00AC3C60">
        <w:rPr>
          <w:rFonts w:ascii="Times New Roman" w:eastAsia="Times New Roman" w:hAnsi="Times New Roman" w:cs="Times New Roman"/>
          <w:bCs/>
          <w:sz w:val="24"/>
          <w:szCs w:val="24"/>
        </w:rPr>
        <w:t>COVID-19</w:t>
      </w:r>
      <w:r w:rsidR="00800320" w:rsidRPr="00AC3C60">
        <w:rPr>
          <w:rFonts w:ascii="Times New Roman" w:eastAsia="Times New Roman" w:hAnsi="Times New Roman" w:cs="Times New Roman"/>
          <w:bCs/>
          <w:sz w:val="24"/>
          <w:szCs w:val="24"/>
        </w:rPr>
        <w:t xml:space="preserve"> lockdowns</w:t>
      </w:r>
      <w:r w:rsidR="00E20717" w:rsidRPr="00AC3C6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B56C08" w:rsidRPr="00AC3C60">
        <w:rPr>
          <w:rFonts w:ascii="Times New Roman" w:eastAsia="Times New Roman" w:hAnsi="Times New Roman" w:cs="Times New Roman"/>
          <w:bCs/>
          <w:sz w:val="24"/>
          <w:szCs w:val="24"/>
        </w:rPr>
        <w:t xml:space="preserve">lay people, </w:t>
      </w:r>
      <w:r w:rsidR="00800320" w:rsidRPr="00AC3C60">
        <w:rPr>
          <w:rFonts w:ascii="Times New Roman" w:eastAsia="Times New Roman" w:hAnsi="Times New Roman" w:cs="Times New Roman"/>
          <w:bCs/>
          <w:sz w:val="24"/>
          <w:szCs w:val="24"/>
        </w:rPr>
        <w:t>psychological wellbeing</w:t>
      </w:r>
      <w:r w:rsidR="00305E7E" w:rsidRPr="00AC3C6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E20717" w:rsidRPr="00AC3C60">
        <w:rPr>
          <w:rFonts w:ascii="Times New Roman" w:eastAsia="Times New Roman" w:hAnsi="Times New Roman" w:cs="Times New Roman"/>
          <w:bCs/>
          <w:sz w:val="24"/>
          <w:szCs w:val="24"/>
        </w:rPr>
        <w:t>religion</w:t>
      </w:r>
    </w:p>
    <w:p w14:paraId="61D0899E" w14:textId="77777777" w:rsidR="00D33EAB" w:rsidRPr="00AC3C60" w:rsidRDefault="00D33EAB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3C60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9ED2EBA" w14:textId="5D46023B" w:rsidR="00A03135" w:rsidRPr="00AC3C60" w:rsidRDefault="00C905BF" w:rsidP="00A03135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C60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Introduction</w:t>
      </w:r>
    </w:p>
    <w:p w14:paraId="3DC4AD53" w14:textId="313FA26A" w:rsidR="00A00230" w:rsidRPr="00AC3C60" w:rsidRDefault="00A00230" w:rsidP="00066E2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3C60">
        <w:rPr>
          <w:rFonts w:ascii="Times New Roman" w:hAnsi="Times New Roman" w:cs="Times New Roman"/>
          <w:b/>
          <w:bCs/>
          <w:sz w:val="24"/>
          <w:szCs w:val="24"/>
        </w:rPr>
        <w:t>Changes in psychological wellbeing in the first UK lockdown</w:t>
      </w:r>
    </w:p>
    <w:p w14:paraId="500F7C50" w14:textId="0F0F44E0" w:rsidR="000C4CD9" w:rsidRPr="00AC3C60" w:rsidRDefault="00817F95" w:rsidP="00066E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t xml:space="preserve">The </w:t>
      </w:r>
      <w:r w:rsidR="000D49C4" w:rsidRPr="00AC3C60">
        <w:rPr>
          <w:rFonts w:ascii="Times New Roman" w:hAnsi="Times New Roman" w:cs="Times New Roman"/>
          <w:sz w:val="24"/>
          <w:szCs w:val="24"/>
        </w:rPr>
        <w:t>COVID-19</w:t>
      </w:r>
      <w:r w:rsidRPr="00AC3C60">
        <w:rPr>
          <w:rFonts w:ascii="Times New Roman" w:hAnsi="Times New Roman" w:cs="Times New Roman"/>
          <w:sz w:val="24"/>
          <w:szCs w:val="24"/>
        </w:rPr>
        <w:t xml:space="preserve"> coronavirus pandemic</w:t>
      </w:r>
      <w:r w:rsidR="00DB26AD" w:rsidRPr="00AC3C60">
        <w:rPr>
          <w:rFonts w:ascii="Times New Roman" w:hAnsi="Times New Roman" w:cs="Times New Roman"/>
          <w:sz w:val="24"/>
          <w:szCs w:val="24"/>
        </w:rPr>
        <w:t xml:space="preserve"> led to a first national lockdown in the UK in March 2020. As well as </w:t>
      </w:r>
      <w:r w:rsidR="001F7D6C" w:rsidRPr="00AC3C60">
        <w:rPr>
          <w:rFonts w:ascii="Times New Roman" w:hAnsi="Times New Roman" w:cs="Times New Roman"/>
          <w:sz w:val="24"/>
          <w:szCs w:val="24"/>
        </w:rPr>
        <w:t xml:space="preserve">addressing the development of vaccines and treatments for the disease, </w:t>
      </w:r>
      <w:r w:rsidR="0076587D" w:rsidRPr="00AC3C60">
        <w:rPr>
          <w:rFonts w:ascii="Times New Roman" w:hAnsi="Times New Roman" w:cs="Times New Roman"/>
          <w:sz w:val="24"/>
          <w:szCs w:val="24"/>
        </w:rPr>
        <w:t xml:space="preserve">the </w:t>
      </w:r>
      <w:r w:rsidR="007568A0" w:rsidRPr="00AC3C60">
        <w:rPr>
          <w:rFonts w:ascii="Times New Roman" w:hAnsi="Times New Roman" w:cs="Times New Roman"/>
          <w:sz w:val="24"/>
          <w:szCs w:val="24"/>
        </w:rPr>
        <w:t xml:space="preserve">research </w:t>
      </w:r>
      <w:r w:rsidR="00910248" w:rsidRPr="00AC3C60">
        <w:rPr>
          <w:rFonts w:ascii="Times New Roman" w:hAnsi="Times New Roman" w:cs="Times New Roman"/>
          <w:sz w:val="24"/>
          <w:szCs w:val="24"/>
        </w:rPr>
        <w:t xml:space="preserve">establishment </w:t>
      </w:r>
      <w:r w:rsidR="007568A0" w:rsidRPr="00AC3C60">
        <w:rPr>
          <w:rFonts w:ascii="Times New Roman" w:hAnsi="Times New Roman" w:cs="Times New Roman"/>
          <w:sz w:val="24"/>
          <w:szCs w:val="24"/>
        </w:rPr>
        <w:t xml:space="preserve">was mobilised </w:t>
      </w:r>
      <w:r w:rsidR="0076587D" w:rsidRPr="00AC3C60">
        <w:rPr>
          <w:rFonts w:ascii="Times New Roman" w:hAnsi="Times New Roman" w:cs="Times New Roman"/>
          <w:sz w:val="24"/>
          <w:szCs w:val="24"/>
        </w:rPr>
        <w:t xml:space="preserve">to address the social and psychological impacts </w:t>
      </w:r>
      <w:r w:rsidR="00516FD6" w:rsidRPr="00AC3C60">
        <w:rPr>
          <w:rFonts w:ascii="Times New Roman" w:hAnsi="Times New Roman" w:cs="Times New Roman"/>
          <w:sz w:val="24"/>
          <w:szCs w:val="24"/>
        </w:rPr>
        <w:t xml:space="preserve">of long-term </w:t>
      </w:r>
      <w:r w:rsidR="003B6911" w:rsidRPr="00AC3C60">
        <w:rPr>
          <w:rFonts w:ascii="Times New Roman" w:hAnsi="Times New Roman" w:cs="Times New Roman"/>
          <w:sz w:val="24"/>
          <w:szCs w:val="24"/>
        </w:rPr>
        <w:t>lockdowns o</w:t>
      </w:r>
      <w:r w:rsidR="00134EA8" w:rsidRPr="00AC3C60">
        <w:rPr>
          <w:rFonts w:ascii="Times New Roman" w:hAnsi="Times New Roman" w:cs="Times New Roman"/>
          <w:sz w:val="24"/>
          <w:szCs w:val="24"/>
        </w:rPr>
        <w:t>n</w:t>
      </w:r>
      <w:r w:rsidR="003B6911" w:rsidRPr="00AC3C60">
        <w:rPr>
          <w:rFonts w:ascii="Times New Roman" w:hAnsi="Times New Roman" w:cs="Times New Roman"/>
          <w:sz w:val="24"/>
          <w:szCs w:val="24"/>
        </w:rPr>
        <w:t xml:space="preserve"> society</w:t>
      </w:r>
      <w:r w:rsidR="00516FD6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5E4E10" w:rsidRPr="00AC3C60">
        <w:rPr>
          <w:rFonts w:ascii="Times New Roman" w:hAnsi="Times New Roman" w:cs="Times New Roman"/>
          <w:noProof/>
          <w:sz w:val="24"/>
          <w:szCs w:val="24"/>
        </w:rPr>
        <w:t>(O'Connor et al., 2020)</w:t>
      </w:r>
      <w:r w:rsidR="00516FD6" w:rsidRPr="00AC3C60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863403" w:rsidRPr="00AC3C60">
        <w:rPr>
          <w:rFonts w:ascii="Times New Roman" w:hAnsi="Times New Roman" w:cs="Times New Roman"/>
          <w:sz w:val="24"/>
          <w:szCs w:val="24"/>
        </w:rPr>
        <w:t xml:space="preserve">their relationship to religion </w:t>
      </w:r>
      <w:r w:rsidR="005E4E10" w:rsidRPr="00AC3C60">
        <w:rPr>
          <w:rFonts w:ascii="Times New Roman" w:hAnsi="Times New Roman" w:cs="Times New Roman"/>
          <w:noProof/>
          <w:sz w:val="24"/>
          <w:szCs w:val="24"/>
        </w:rPr>
        <w:t>(Dein et al., 2020)</w:t>
      </w:r>
      <w:r w:rsidR="00863403" w:rsidRPr="00AC3C60">
        <w:rPr>
          <w:rFonts w:ascii="Times New Roman" w:hAnsi="Times New Roman" w:cs="Times New Roman"/>
          <w:sz w:val="24"/>
          <w:szCs w:val="24"/>
        </w:rPr>
        <w:t xml:space="preserve">.  </w:t>
      </w:r>
      <w:r w:rsidR="000C639A" w:rsidRPr="00AC3C60">
        <w:rPr>
          <w:rFonts w:ascii="Times New Roman" w:hAnsi="Times New Roman" w:cs="Times New Roman"/>
          <w:sz w:val="24"/>
          <w:szCs w:val="24"/>
        </w:rPr>
        <w:t xml:space="preserve">Evidence of widespread deterioration in mental health and wellbeing among the UK population began to emerge </w:t>
      </w:r>
      <w:r w:rsidR="00150F46" w:rsidRPr="00AC3C60">
        <w:rPr>
          <w:rFonts w:ascii="Times New Roman" w:hAnsi="Times New Roman" w:cs="Times New Roman"/>
          <w:sz w:val="24"/>
          <w:szCs w:val="24"/>
        </w:rPr>
        <w:t>during the ensuing months</w:t>
      </w:r>
      <w:r w:rsidR="000C639A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987E72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5E4E10" w:rsidRPr="00AC3C60">
        <w:rPr>
          <w:rFonts w:ascii="Times New Roman" w:hAnsi="Times New Roman" w:cs="Times New Roman"/>
          <w:noProof/>
          <w:sz w:val="24"/>
          <w:szCs w:val="24"/>
        </w:rPr>
        <w:t>(Marshall et al., 2020; Mental Health Foundation, 2020; ONS, 2020)</w:t>
      </w:r>
      <w:r w:rsidR="00776102" w:rsidRPr="00AC3C60">
        <w:rPr>
          <w:rFonts w:ascii="Times New Roman" w:hAnsi="Times New Roman" w:cs="Times New Roman"/>
          <w:sz w:val="24"/>
          <w:szCs w:val="24"/>
        </w:rPr>
        <w:t xml:space="preserve">. </w:t>
      </w:r>
      <w:r w:rsidR="00A268EC" w:rsidRPr="00AC3C60">
        <w:rPr>
          <w:rFonts w:ascii="Times New Roman" w:hAnsi="Times New Roman" w:cs="Times New Roman"/>
          <w:sz w:val="24"/>
          <w:szCs w:val="24"/>
        </w:rPr>
        <w:t xml:space="preserve">The concern for mental health in lockdown led </w:t>
      </w:r>
      <w:r w:rsidR="001C210A" w:rsidRPr="00AC3C60">
        <w:rPr>
          <w:rFonts w:ascii="Times New Roman" w:hAnsi="Times New Roman" w:cs="Times New Roman"/>
          <w:sz w:val="24"/>
          <w:szCs w:val="24"/>
        </w:rPr>
        <w:t xml:space="preserve">to </w:t>
      </w:r>
      <w:r w:rsidR="00A268EC" w:rsidRPr="00AC3C60">
        <w:rPr>
          <w:rFonts w:ascii="Times New Roman" w:hAnsi="Times New Roman" w:cs="Times New Roman"/>
          <w:sz w:val="24"/>
          <w:szCs w:val="24"/>
        </w:rPr>
        <w:t xml:space="preserve">a number of studies in the general population that tried to assess </w:t>
      </w:r>
      <w:r w:rsidR="0029143A" w:rsidRPr="00AC3C60">
        <w:rPr>
          <w:rFonts w:ascii="Times New Roman" w:hAnsi="Times New Roman" w:cs="Times New Roman"/>
          <w:sz w:val="24"/>
          <w:szCs w:val="24"/>
        </w:rPr>
        <w:t xml:space="preserve">changes in the </w:t>
      </w:r>
      <w:r w:rsidR="00A268EC" w:rsidRPr="00AC3C60">
        <w:rPr>
          <w:rFonts w:ascii="Times New Roman" w:hAnsi="Times New Roman" w:cs="Times New Roman"/>
          <w:sz w:val="24"/>
          <w:szCs w:val="24"/>
        </w:rPr>
        <w:t>level</w:t>
      </w:r>
      <w:r w:rsidR="0029143A" w:rsidRPr="00AC3C60">
        <w:rPr>
          <w:rFonts w:ascii="Times New Roman" w:hAnsi="Times New Roman" w:cs="Times New Roman"/>
          <w:sz w:val="24"/>
          <w:szCs w:val="24"/>
        </w:rPr>
        <w:t xml:space="preserve">s of </w:t>
      </w:r>
      <w:r w:rsidR="00D35B77" w:rsidRPr="00AC3C60">
        <w:rPr>
          <w:rFonts w:ascii="Times New Roman" w:hAnsi="Times New Roman" w:cs="Times New Roman"/>
          <w:sz w:val="24"/>
          <w:szCs w:val="24"/>
        </w:rPr>
        <w:t xml:space="preserve">psychological </w:t>
      </w:r>
      <w:r w:rsidR="0029143A" w:rsidRPr="00AC3C60">
        <w:rPr>
          <w:rFonts w:ascii="Times New Roman" w:hAnsi="Times New Roman" w:cs="Times New Roman"/>
          <w:sz w:val="24"/>
          <w:szCs w:val="24"/>
        </w:rPr>
        <w:t xml:space="preserve">wellbeing </w:t>
      </w:r>
      <w:r w:rsidR="00150F46" w:rsidRPr="00AC3C60">
        <w:rPr>
          <w:rFonts w:ascii="Times New Roman" w:hAnsi="Times New Roman" w:cs="Times New Roman"/>
          <w:sz w:val="24"/>
          <w:szCs w:val="24"/>
        </w:rPr>
        <w:t xml:space="preserve">either </w:t>
      </w:r>
      <w:r w:rsidR="0029702D" w:rsidRPr="00AC3C60">
        <w:rPr>
          <w:rFonts w:ascii="Times New Roman" w:hAnsi="Times New Roman" w:cs="Times New Roman"/>
          <w:sz w:val="24"/>
          <w:szCs w:val="24"/>
        </w:rPr>
        <w:t xml:space="preserve">by comparing levels in the first lockdown with levels </w:t>
      </w:r>
      <w:r w:rsidR="00543A49" w:rsidRPr="00AC3C60">
        <w:rPr>
          <w:rFonts w:ascii="Times New Roman" w:hAnsi="Times New Roman" w:cs="Times New Roman"/>
          <w:sz w:val="24"/>
          <w:szCs w:val="24"/>
        </w:rPr>
        <w:t xml:space="preserve">prior to the pandemic, or by </w:t>
      </w:r>
      <w:r w:rsidR="00FF23B5" w:rsidRPr="00AC3C60">
        <w:rPr>
          <w:rFonts w:ascii="Times New Roman" w:hAnsi="Times New Roman" w:cs="Times New Roman"/>
          <w:sz w:val="24"/>
          <w:szCs w:val="24"/>
        </w:rPr>
        <w:t xml:space="preserve">examining changes as the lockdown continued. </w:t>
      </w:r>
      <w:r w:rsidR="003A3E16" w:rsidRPr="00AC3C60">
        <w:rPr>
          <w:rFonts w:ascii="Times New Roman" w:hAnsi="Times New Roman" w:cs="Times New Roman"/>
          <w:sz w:val="24"/>
          <w:szCs w:val="24"/>
        </w:rPr>
        <w:t>These longitudinal studies</w:t>
      </w:r>
      <w:r w:rsidR="00B43D04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222659" w:rsidRPr="00AC3C60">
        <w:rPr>
          <w:rFonts w:ascii="Times New Roman" w:hAnsi="Times New Roman" w:cs="Times New Roman"/>
          <w:sz w:val="24"/>
          <w:szCs w:val="24"/>
        </w:rPr>
        <w:t>demonstrate the initial impacts of lockdown</w:t>
      </w:r>
      <w:r w:rsidR="00212C3B" w:rsidRPr="00AC3C60">
        <w:rPr>
          <w:rFonts w:ascii="Times New Roman" w:hAnsi="Times New Roman" w:cs="Times New Roman"/>
          <w:sz w:val="24"/>
          <w:szCs w:val="24"/>
        </w:rPr>
        <w:t xml:space="preserve"> and how these varied between different sections of the population</w:t>
      </w:r>
      <w:r w:rsidR="00757E80" w:rsidRPr="00AC3C60">
        <w:rPr>
          <w:rFonts w:ascii="Times New Roman" w:hAnsi="Times New Roman" w:cs="Times New Roman"/>
          <w:sz w:val="24"/>
          <w:szCs w:val="24"/>
        </w:rPr>
        <w:t xml:space="preserve"> the UK and elsewhere</w:t>
      </w:r>
      <w:r w:rsidR="00212C3B" w:rsidRPr="00AC3C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603AA4" w14:textId="073A2B2F" w:rsidR="00DE771B" w:rsidRPr="00AC3C60" w:rsidRDefault="00DE771B" w:rsidP="000C4CD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t xml:space="preserve">A few studies were able to compare </w:t>
      </w:r>
      <w:r w:rsidR="00D82F7F" w:rsidRPr="00AC3C60">
        <w:rPr>
          <w:rFonts w:ascii="Times New Roman" w:hAnsi="Times New Roman" w:cs="Times New Roman"/>
          <w:sz w:val="24"/>
          <w:szCs w:val="24"/>
        </w:rPr>
        <w:t>levels of standard measures of mental health</w:t>
      </w:r>
      <w:r w:rsidR="00B560D4" w:rsidRPr="00AC3C60">
        <w:rPr>
          <w:rFonts w:ascii="Times New Roman" w:hAnsi="Times New Roman" w:cs="Times New Roman"/>
          <w:sz w:val="24"/>
          <w:szCs w:val="24"/>
        </w:rPr>
        <w:t xml:space="preserve"> during the first lockdown with levels recorded </w:t>
      </w:r>
      <w:r w:rsidR="002E62A7" w:rsidRPr="00AC3C60">
        <w:rPr>
          <w:rFonts w:ascii="Times New Roman" w:hAnsi="Times New Roman" w:cs="Times New Roman"/>
          <w:sz w:val="24"/>
          <w:szCs w:val="24"/>
        </w:rPr>
        <w:t>prior to the pandemic</w:t>
      </w:r>
      <w:r w:rsidR="009902AB" w:rsidRPr="00AC3C60">
        <w:rPr>
          <w:rFonts w:ascii="Times New Roman" w:hAnsi="Times New Roman" w:cs="Times New Roman"/>
          <w:sz w:val="24"/>
          <w:szCs w:val="24"/>
        </w:rPr>
        <w:t>.</w:t>
      </w:r>
      <w:r w:rsidR="00372E7C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D65AE3" w:rsidRPr="00AC3C60">
        <w:rPr>
          <w:rFonts w:ascii="Times New Roman" w:hAnsi="Times New Roman" w:cs="Times New Roman"/>
          <w:sz w:val="24"/>
          <w:szCs w:val="24"/>
        </w:rPr>
        <w:t xml:space="preserve">One such study drew on pre-existing </w:t>
      </w:r>
      <w:r w:rsidR="00A27876" w:rsidRPr="00AC3C60">
        <w:rPr>
          <w:rFonts w:ascii="Times New Roman" w:hAnsi="Times New Roman" w:cs="Times New Roman"/>
          <w:sz w:val="24"/>
          <w:szCs w:val="24"/>
        </w:rPr>
        <w:t xml:space="preserve">work in </w:t>
      </w:r>
      <w:r w:rsidR="00D7209A" w:rsidRPr="00AC3C60">
        <w:rPr>
          <w:rFonts w:ascii="Times New Roman" w:hAnsi="Times New Roman" w:cs="Times New Roman"/>
          <w:sz w:val="24"/>
          <w:szCs w:val="24"/>
        </w:rPr>
        <w:t>Avon (South-West England) and S</w:t>
      </w:r>
      <w:r w:rsidR="00D649C7" w:rsidRPr="00AC3C60">
        <w:rPr>
          <w:rFonts w:ascii="Times New Roman" w:hAnsi="Times New Roman" w:cs="Times New Roman"/>
          <w:sz w:val="24"/>
          <w:szCs w:val="24"/>
        </w:rPr>
        <w:t xml:space="preserve">cotland by issuing an </w:t>
      </w:r>
      <w:r w:rsidR="0050551D" w:rsidRPr="00AC3C60">
        <w:rPr>
          <w:rFonts w:ascii="Times New Roman" w:hAnsi="Times New Roman" w:cs="Times New Roman"/>
          <w:sz w:val="24"/>
          <w:szCs w:val="24"/>
        </w:rPr>
        <w:t>online survey</w:t>
      </w:r>
      <w:r w:rsidR="00D649C7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60069B" w:rsidRPr="00AC3C60">
        <w:rPr>
          <w:rFonts w:ascii="Times New Roman" w:hAnsi="Times New Roman" w:cs="Times New Roman"/>
          <w:sz w:val="24"/>
          <w:szCs w:val="24"/>
        </w:rPr>
        <w:t xml:space="preserve">from </w:t>
      </w:r>
      <w:r w:rsidR="00485042" w:rsidRPr="00AC3C60">
        <w:rPr>
          <w:rFonts w:ascii="Times New Roman" w:hAnsi="Times New Roman" w:cs="Times New Roman"/>
          <w:sz w:val="24"/>
          <w:szCs w:val="24"/>
        </w:rPr>
        <w:t xml:space="preserve">9 April to 14 May 2020 to cohorts that had already provided data </w:t>
      </w:r>
      <w:r w:rsidR="00504AC6" w:rsidRPr="00AC3C60">
        <w:rPr>
          <w:rFonts w:ascii="Times New Roman" w:hAnsi="Times New Roman" w:cs="Times New Roman"/>
          <w:sz w:val="24"/>
          <w:szCs w:val="24"/>
        </w:rPr>
        <w:t xml:space="preserve">in previous years </w:t>
      </w:r>
      <w:r w:rsidR="00504AC6" w:rsidRPr="00AC3C60">
        <w:rPr>
          <w:rFonts w:ascii="Times New Roman" w:hAnsi="Times New Roman" w:cs="Times New Roman"/>
          <w:noProof/>
          <w:sz w:val="24"/>
          <w:szCs w:val="24"/>
        </w:rPr>
        <w:t>(Kwong et al., 2021)</w:t>
      </w:r>
      <w:r w:rsidR="00221D02" w:rsidRPr="00AC3C60">
        <w:rPr>
          <w:rFonts w:ascii="Times New Roman" w:hAnsi="Times New Roman" w:cs="Times New Roman"/>
          <w:sz w:val="24"/>
          <w:szCs w:val="24"/>
        </w:rPr>
        <w:t xml:space="preserve">. </w:t>
      </w:r>
      <w:r w:rsidR="00580F1D" w:rsidRPr="00AC3C60">
        <w:rPr>
          <w:rFonts w:ascii="Times New Roman" w:hAnsi="Times New Roman" w:cs="Times New Roman"/>
          <w:sz w:val="24"/>
          <w:szCs w:val="24"/>
        </w:rPr>
        <w:t xml:space="preserve">The results suggested </w:t>
      </w:r>
      <w:r w:rsidR="00580ECA" w:rsidRPr="00AC3C60">
        <w:rPr>
          <w:rFonts w:ascii="Times New Roman" w:hAnsi="Times New Roman" w:cs="Times New Roman"/>
          <w:sz w:val="24"/>
          <w:szCs w:val="24"/>
        </w:rPr>
        <w:t xml:space="preserve">similar levels of depression pre-pandemic and during the first lockdown, but </w:t>
      </w:r>
      <w:r w:rsidR="003344AB" w:rsidRPr="00AC3C60">
        <w:rPr>
          <w:rFonts w:ascii="Times New Roman" w:hAnsi="Times New Roman" w:cs="Times New Roman"/>
          <w:sz w:val="24"/>
          <w:szCs w:val="24"/>
        </w:rPr>
        <w:t xml:space="preserve">the proportion suffering from anxiety almost doubled from 13% to 24%. There was evidence that the lockdown had </w:t>
      </w:r>
      <w:r w:rsidR="00133CAF" w:rsidRPr="00AC3C60">
        <w:rPr>
          <w:rFonts w:ascii="Times New Roman" w:hAnsi="Times New Roman" w:cs="Times New Roman"/>
          <w:sz w:val="24"/>
          <w:szCs w:val="24"/>
        </w:rPr>
        <w:t xml:space="preserve">been </w:t>
      </w:r>
      <w:r w:rsidR="00566595" w:rsidRPr="00AC3C60">
        <w:rPr>
          <w:rFonts w:ascii="Times New Roman" w:hAnsi="Times New Roman" w:cs="Times New Roman"/>
          <w:sz w:val="24"/>
          <w:szCs w:val="24"/>
        </w:rPr>
        <w:t>particularly</w:t>
      </w:r>
      <w:r w:rsidR="00133CAF" w:rsidRPr="00AC3C60">
        <w:rPr>
          <w:rFonts w:ascii="Times New Roman" w:hAnsi="Times New Roman" w:cs="Times New Roman"/>
          <w:sz w:val="24"/>
          <w:szCs w:val="24"/>
        </w:rPr>
        <w:t xml:space="preserve"> hard on </w:t>
      </w:r>
      <w:r w:rsidR="00E966D3" w:rsidRPr="00AC3C60">
        <w:rPr>
          <w:rFonts w:ascii="Times New Roman" w:hAnsi="Times New Roman" w:cs="Times New Roman"/>
          <w:sz w:val="24"/>
          <w:szCs w:val="24"/>
        </w:rPr>
        <w:t>young people, women, those with pre-</w:t>
      </w:r>
      <w:r w:rsidR="00566595" w:rsidRPr="00AC3C60">
        <w:rPr>
          <w:rFonts w:ascii="Times New Roman" w:hAnsi="Times New Roman" w:cs="Times New Roman"/>
          <w:sz w:val="24"/>
          <w:szCs w:val="24"/>
        </w:rPr>
        <w:t>existing</w:t>
      </w:r>
      <w:r w:rsidR="00E966D3" w:rsidRPr="00AC3C60">
        <w:rPr>
          <w:rFonts w:ascii="Times New Roman" w:hAnsi="Times New Roman" w:cs="Times New Roman"/>
          <w:sz w:val="24"/>
          <w:szCs w:val="24"/>
        </w:rPr>
        <w:t xml:space="preserve"> health issues, and those </w:t>
      </w:r>
      <w:r w:rsidR="00566595" w:rsidRPr="00AC3C60">
        <w:rPr>
          <w:rFonts w:ascii="Times New Roman" w:hAnsi="Times New Roman" w:cs="Times New Roman"/>
          <w:sz w:val="24"/>
          <w:szCs w:val="24"/>
        </w:rPr>
        <w:t>in socio-economic adversity.</w:t>
      </w:r>
      <w:r w:rsidR="00B54E87" w:rsidRPr="00AC3C60">
        <w:rPr>
          <w:rFonts w:ascii="Times New Roman" w:hAnsi="Times New Roman" w:cs="Times New Roman"/>
          <w:sz w:val="24"/>
          <w:szCs w:val="24"/>
        </w:rPr>
        <w:t xml:space="preserve"> A </w:t>
      </w:r>
      <w:r w:rsidR="00184BD2" w:rsidRPr="00AC3C60">
        <w:rPr>
          <w:rFonts w:ascii="Times New Roman" w:hAnsi="Times New Roman" w:cs="Times New Roman"/>
          <w:sz w:val="24"/>
          <w:szCs w:val="24"/>
        </w:rPr>
        <w:t xml:space="preserve">separate </w:t>
      </w:r>
      <w:r w:rsidR="004D36F6" w:rsidRPr="00AC3C60">
        <w:rPr>
          <w:rFonts w:ascii="Times New Roman" w:hAnsi="Times New Roman" w:cs="Times New Roman"/>
          <w:sz w:val="24"/>
          <w:szCs w:val="24"/>
        </w:rPr>
        <w:t xml:space="preserve">study of the national population drew on </w:t>
      </w:r>
      <w:r w:rsidR="00287E18" w:rsidRPr="00AC3C60">
        <w:rPr>
          <w:rFonts w:ascii="Times New Roman" w:hAnsi="Times New Roman" w:cs="Times New Roman"/>
          <w:sz w:val="24"/>
          <w:szCs w:val="24"/>
        </w:rPr>
        <w:t xml:space="preserve">Waves </w:t>
      </w:r>
      <w:r w:rsidR="00A21C7F" w:rsidRPr="00AC3C60">
        <w:rPr>
          <w:rFonts w:ascii="Times New Roman" w:hAnsi="Times New Roman" w:cs="Times New Roman"/>
          <w:sz w:val="24"/>
          <w:szCs w:val="24"/>
        </w:rPr>
        <w:t xml:space="preserve">8 and 9 of </w:t>
      </w:r>
      <w:r w:rsidR="00774C2B" w:rsidRPr="00AC3C60">
        <w:rPr>
          <w:rFonts w:ascii="Times New Roman" w:hAnsi="Times New Roman" w:cs="Times New Roman"/>
          <w:sz w:val="24"/>
          <w:szCs w:val="24"/>
        </w:rPr>
        <w:t>the UK Household Longitudinal Study (UKHLS)</w:t>
      </w:r>
      <w:r w:rsidR="00184BD2" w:rsidRPr="00AC3C60">
        <w:rPr>
          <w:rFonts w:ascii="Times New Roman" w:hAnsi="Times New Roman" w:cs="Times New Roman"/>
          <w:sz w:val="24"/>
          <w:szCs w:val="24"/>
        </w:rPr>
        <w:t>,</w:t>
      </w:r>
      <w:r w:rsidR="00A21C7F" w:rsidRPr="00AC3C60">
        <w:rPr>
          <w:rFonts w:ascii="Times New Roman" w:hAnsi="Times New Roman" w:cs="Times New Roman"/>
          <w:sz w:val="24"/>
          <w:szCs w:val="24"/>
        </w:rPr>
        <w:t xml:space="preserve"> w</w:t>
      </w:r>
      <w:r w:rsidR="00184BD2" w:rsidRPr="00AC3C60">
        <w:rPr>
          <w:rFonts w:ascii="Times New Roman" w:hAnsi="Times New Roman" w:cs="Times New Roman"/>
          <w:sz w:val="24"/>
          <w:szCs w:val="24"/>
        </w:rPr>
        <w:t>hich</w:t>
      </w:r>
      <w:r w:rsidR="00A21C7F" w:rsidRPr="00AC3C60">
        <w:rPr>
          <w:rFonts w:ascii="Times New Roman" w:hAnsi="Times New Roman" w:cs="Times New Roman"/>
          <w:sz w:val="24"/>
          <w:szCs w:val="24"/>
        </w:rPr>
        <w:t xml:space="preserve"> included </w:t>
      </w:r>
      <w:r w:rsidR="002965AB" w:rsidRPr="00AC3C60">
        <w:rPr>
          <w:rFonts w:ascii="Times New Roman" w:hAnsi="Times New Roman" w:cs="Times New Roman"/>
          <w:sz w:val="24"/>
          <w:szCs w:val="24"/>
        </w:rPr>
        <w:t xml:space="preserve">the </w:t>
      </w:r>
      <w:r w:rsidR="00DE0C4A" w:rsidRPr="00AC3C60">
        <w:rPr>
          <w:rFonts w:ascii="Times New Roman" w:hAnsi="Times New Roman" w:cs="Times New Roman"/>
          <w:sz w:val="24"/>
          <w:szCs w:val="24"/>
        </w:rPr>
        <w:t xml:space="preserve">12-item </w:t>
      </w:r>
      <w:r w:rsidR="002965AB" w:rsidRPr="00AC3C60">
        <w:rPr>
          <w:rFonts w:ascii="Times New Roman" w:hAnsi="Times New Roman" w:cs="Times New Roman"/>
          <w:sz w:val="24"/>
          <w:szCs w:val="24"/>
        </w:rPr>
        <w:t>General Health Questio</w:t>
      </w:r>
      <w:r w:rsidR="00F97447" w:rsidRPr="00AC3C60">
        <w:rPr>
          <w:rFonts w:ascii="Times New Roman" w:hAnsi="Times New Roman" w:cs="Times New Roman"/>
          <w:sz w:val="24"/>
          <w:szCs w:val="24"/>
        </w:rPr>
        <w:t>nnaire</w:t>
      </w:r>
      <w:r w:rsidR="00754C31" w:rsidRPr="00AC3C60">
        <w:rPr>
          <w:rFonts w:ascii="Times New Roman" w:hAnsi="Times New Roman" w:cs="Times New Roman"/>
          <w:sz w:val="24"/>
          <w:szCs w:val="24"/>
        </w:rPr>
        <w:t xml:space="preserve"> (</w:t>
      </w:r>
      <w:r w:rsidR="00DE0C4A" w:rsidRPr="00AC3C60">
        <w:rPr>
          <w:rFonts w:ascii="Times New Roman" w:hAnsi="Times New Roman" w:cs="Times New Roman"/>
          <w:sz w:val="24"/>
          <w:szCs w:val="24"/>
        </w:rPr>
        <w:t>GHQ-12)</w:t>
      </w:r>
      <w:r w:rsidR="00354A0B" w:rsidRPr="00AC3C60">
        <w:rPr>
          <w:rFonts w:ascii="Times New Roman" w:hAnsi="Times New Roman" w:cs="Times New Roman"/>
          <w:sz w:val="24"/>
          <w:szCs w:val="24"/>
        </w:rPr>
        <w:t xml:space="preserve">. A sample of </w:t>
      </w:r>
      <w:r w:rsidR="0054701D" w:rsidRPr="00AC3C60">
        <w:rPr>
          <w:rFonts w:ascii="Times New Roman" w:hAnsi="Times New Roman" w:cs="Times New Roman"/>
          <w:sz w:val="24"/>
          <w:szCs w:val="24"/>
        </w:rPr>
        <w:t xml:space="preserve">17,452 </w:t>
      </w:r>
      <w:r w:rsidR="00DE0C4A" w:rsidRPr="00AC3C60">
        <w:rPr>
          <w:rFonts w:ascii="Times New Roman" w:hAnsi="Times New Roman" w:cs="Times New Roman"/>
          <w:sz w:val="24"/>
          <w:szCs w:val="24"/>
        </w:rPr>
        <w:t>from these</w:t>
      </w:r>
      <w:r w:rsidR="00A37775" w:rsidRPr="00AC3C60">
        <w:rPr>
          <w:rFonts w:ascii="Times New Roman" w:hAnsi="Times New Roman" w:cs="Times New Roman"/>
          <w:sz w:val="24"/>
          <w:szCs w:val="24"/>
        </w:rPr>
        <w:t xml:space="preserve"> cohorts </w:t>
      </w:r>
      <w:r w:rsidR="00754C31" w:rsidRPr="00AC3C60">
        <w:rPr>
          <w:rFonts w:ascii="Times New Roman" w:hAnsi="Times New Roman" w:cs="Times New Roman"/>
          <w:sz w:val="24"/>
          <w:szCs w:val="24"/>
        </w:rPr>
        <w:t xml:space="preserve">aged 16 and over completed the </w:t>
      </w:r>
      <w:r w:rsidR="00DE0C4A" w:rsidRPr="00AC3C60">
        <w:rPr>
          <w:rFonts w:ascii="Times New Roman" w:hAnsi="Times New Roman" w:cs="Times New Roman"/>
          <w:sz w:val="24"/>
          <w:szCs w:val="24"/>
        </w:rPr>
        <w:t xml:space="preserve">same </w:t>
      </w:r>
      <w:r w:rsidR="00A37775" w:rsidRPr="00AC3C60">
        <w:rPr>
          <w:rFonts w:ascii="Times New Roman" w:hAnsi="Times New Roman" w:cs="Times New Roman"/>
          <w:sz w:val="24"/>
          <w:szCs w:val="24"/>
        </w:rPr>
        <w:lastRenderedPageBreak/>
        <w:t xml:space="preserve">instrument </w:t>
      </w:r>
      <w:r w:rsidR="003371D0" w:rsidRPr="00AC3C60">
        <w:rPr>
          <w:rFonts w:ascii="Times New Roman" w:hAnsi="Times New Roman" w:cs="Times New Roman"/>
          <w:sz w:val="24"/>
          <w:szCs w:val="24"/>
        </w:rPr>
        <w:t>in the last week of April 2020, when the first lockdown had been in place for a mont</w:t>
      </w:r>
      <w:r w:rsidR="006109AE" w:rsidRPr="00AC3C60">
        <w:rPr>
          <w:rFonts w:ascii="Times New Roman" w:hAnsi="Times New Roman" w:cs="Times New Roman"/>
          <w:sz w:val="24"/>
          <w:szCs w:val="24"/>
        </w:rPr>
        <w:t xml:space="preserve">h </w:t>
      </w:r>
      <w:r w:rsidR="006109AE" w:rsidRPr="00AC3C60">
        <w:rPr>
          <w:rFonts w:ascii="Times New Roman" w:hAnsi="Times New Roman" w:cs="Times New Roman"/>
          <w:noProof/>
          <w:sz w:val="24"/>
          <w:szCs w:val="24"/>
        </w:rPr>
        <w:t>(Pierce et al., 2020)</w:t>
      </w:r>
      <w:r w:rsidR="006109AE" w:rsidRPr="00AC3C60">
        <w:rPr>
          <w:rFonts w:ascii="Times New Roman" w:hAnsi="Times New Roman" w:cs="Times New Roman"/>
          <w:sz w:val="24"/>
          <w:szCs w:val="24"/>
        </w:rPr>
        <w:t xml:space="preserve">. </w:t>
      </w:r>
      <w:r w:rsidR="002C2345" w:rsidRPr="00AC3C60">
        <w:rPr>
          <w:rFonts w:ascii="Times New Roman" w:hAnsi="Times New Roman" w:cs="Times New Roman"/>
          <w:sz w:val="24"/>
          <w:szCs w:val="24"/>
        </w:rPr>
        <w:t xml:space="preserve">Levels of mental distress considered clinically significant increased from </w:t>
      </w:r>
      <w:r w:rsidR="00DF7EB4" w:rsidRPr="00AC3C60">
        <w:rPr>
          <w:rFonts w:ascii="Times New Roman" w:hAnsi="Times New Roman" w:cs="Times New Roman"/>
          <w:sz w:val="24"/>
          <w:szCs w:val="24"/>
        </w:rPr>
        <w:t>18.9% in 2018-19 to 27.3% in April 2020</w:t>
      </w:r>
      <w:r w:rsidR="008D7C06" w:rsidRPr="00AC3C60">
        <w:rPr>
          <w:rFonts w:ascii="Times New Roman" w:hAnsi="Times New Roman" w:cs="Times New Roman"/>
          <w:sz w:val="24"/>
          <w:szCs w:val="24"/>
        </w:rPr>
        <w:t xml:space="preserve">. Mean GHQ-12 scores </w:t>
      </w:r>
      <w:r w:rsidR="006F1BDF" w:rsidRPr="00AC3C60">
        <w:rPr>
          <w:rFonts w:ascii="Times New Roman" w:hAnsi="Times New Roman" w:cs="Times New Roman"/>
          <w:sz w:val="24"/>
          <w:szCs w:val="24"/>
        </w:rPr>
        <w:t xml:space="preserve">also increased </w:t>
      </w:r>
      <w:r w:rsidR="00587968" w:rsidRPr="00AC3C60">
        <w:rPr>
          <w:rFonts w:ascii="Times New Roman" w:hAnsi="Times New Roman" w:cs="Times New Roman"/>
          <w:sz w:val="24"/>
          <w:szCs w:val="24"/>
        </w:rPr>
        <w:t xml:space="preserve">(suggesting reduced </w:t>
      </w:r>
      <w:r w:rsidR="008B77AD" w:rsidRPr="00AC3C60">
        <w:rPr>
          <w:rFonts w:ascii="Times New Roman" w:hAnsi="Times New Roman" w:cs="Times New Roman"/>
          <w:sz w:val="24"/>
          <w:szCs w:val="24"/>
        </w:rPr>
        <w:t xml:space="preserve">mental health) </w:t>
      </w:r>
      <w:r w:rsidR="006F1BDF" w:rsidRPr="00AC3C60">
        <w:rPr>
          <w:rFonts w:ascii="Times New Roman" w:hAnsi="Times New Roman" w:cs="Times New Roman"/>
          <w:sz w:val="24"/>
          <w:szCs w:val="24"/>
        </w:rPr>
        <w:t>at a rate that</w:t>
      </w:r>
      <w:r w:rsidR="008D7C06" w:rsidRPr="00AC3C60">
        <w:rPr>
          <w:rFonts w:ascii="Times New Roman" w:hAnsi="Times New Roman" w:cs="Times New Roman"/>
          <w:sz w:val="24"/>
          <w:szCs w:val="24"/>
        </w:rPr>
        <w:t xml:space="preserve"> was higher than predicted by the general upward tren</w:t>
      </w:r>
      <w:r w:rsidR="006F1BDF" w:rsidRPr="00AC3C60">
        <w:rPr>
          <w:rFonts w:ascii="Times New Roman" w:hAnsi="Times New Roman" w:cs="Times New Roman"/>
          <w:sz w:val="24"/>
          <w:szCs w:val="24"/>
        </w:rPr>
        <w:t xml:space="preserve">d in the population </w:t>
      </w:r>
      <w:r w:rsidR="00587968" w:rsidRPr="00AC3C60">
        <w:rPr>
          <w:rFonts w:ascii="Times New Roman" w:hAnsi="Times New Roman" w:cs="Times New Roman"/>
          <w:sz w:val="24"/>
          <w:szCs w:val="24"/>
        </w:rPr>
        <w:t>from 2014-18.</w:t>
      </w:r>
      <w:r w:rsidR="008304D5" w:rsidRPr="00AC3C60">
        <w:rPr>
          <w:rFonts w:ascii="Times New Roman" w:hAnsi="Times New Roman" w:cs="Times New Roman"/>
          <w:sz w:val="24"/>
          <w:szCs w:val="24"/>
        </w:rPr>
        <w:t xml:space="preserve"> The groups most </w:t>
      </w:r>
      <w:r w:rsidR="00E32B30" w:rsidRPr="00AC3C60">
        <w:rPr>
          <w:rFonts w:ascii="Times New Roman" w:hAnsi="Times New Roman" w:cs="Times New Roman"/>
          <w:sz w:val="24"/>
          <w:szCs w:val="24"/>
        </w:rPr>
        <w:t xml:space="preserve">likely to show an increase </w:t>
      </w:r>
      <w:r w:rsidR="00097B7A" w:rsidRPr="00AC3C60">
        <w:rPr>
          <w:rFonts w:ascii="Times New Roman" w:hAnsi="Times New Roman" w:cs="Times New Roman"/>
          <w:sz w:val="24"/>
          <w:szCs w:val="24"/>
        </w:rPr>
        <w:t xml:space="preserve">were </w:t>
      </w:r>
      <w:r w:rsidR="00184BD2" w:rsidRPr="00AC3C60">
        <w:rPr>
          <w:rFonts w:ascii="Times New Roman" w:hAnsi="Times New Roman" w:cs="Times New Roman"/>
          <w:sz w:val="24"/>
          <w:szCs w:val="24"/>
        </w:rPr>
        <w:t xml:space="preserve">similar to those </w:t>
      </w:r>
      <w:r w:rsidR="005A6AB6" w:rsidRPr="00AC3C60">
        <w:rPr>
          <w:rFonts w:ascii="Times New Roman" w:hAnsi="Times New Roman" w:cs="Times New Roman"/>
          <w:sz w:val="24"/>
          <w:szCs w:val="24"/>
        </w:rPr>
        <w:t xml:space="preserve">reported by </w:t>
      </w:r>
      <w:proofErr w:type="spellStart"/>
      <w:r w:rsidR="005A6AB6" w:rsidRPr="00AC3C60">
        <w:rPr>
          <w:rFonts w:ascii="Times New Roman" w:hAnsi="Times New Roman" w:cs="Times New Roman"/>
          <w:sz w:val="24"/>
          <w:szCs w:val="24"/>
        </w:rPr>
        <w:t>Kwong</w:t>
      </w:r>
      <w:proofErr w:type="spellEnd"/>
      <w:r w:rsidR="005A6AB6" w:rsidRPr="00AC3C60">
        <w:rPr>
          <w:rFonts w:ascii="Times New Roman" w:hAnsi="Times New Roman" w:cs="Times New Roman"/>
          <w:sz w:val="24"/>
          <w:szCs w:val="24"/>
        </w:rPr>
        <w:t xml:space="preserve"> et al</w:t>
      </w:r>
      <w:r w:rsidR="00E32B30" w:rsidRPr="00AC3C60">
        <w:rPr>
          <w:rFonts w:ascii="Times New Roman" w:hAnsi="Times New Roman" w:cs="Times New Roman"/>
          <w:sz w:val="24"/>
          <w:szCs w:val="24"/>
        </w:rPr>
        <w:t>.</w:t>
      </w:r>
      <w:r w:rsidR="005A6AB6" w:rsidRPr="00AC3C60">
        <w:rPr>
          <w:rFonts w:ascii="Times New Roman" w:hAnsi="Times New Roman" w:cs="Times New Roman"/>
          <w:sz w:val="24"/>
          <w:szCs w:val="24"/>
        </w:rPr>
        <w:t xml:space="preserve"> (2021).</w:t>
      </w:r>
    </w:p>
    <w:p w14:paraId="0C313A2E" w14:textId="69C3180E" w:rsidR="00DE5954" w:rsidRPr="00AC3C60" w:rsidRDefault="00906E1C" w:rsidP="000C4CD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t xml:space="preserve">Where longitudinal data </w:t>
      </w:r>
      <w:r w:rsidR="005A6AB6" w:rsidRPr="00AC3C60">
        <w:rPr>
          <w:rFonts w:ascii="Times New Roman" w:hAnsi="Times New Roman" w:cs="Times New Roman"/>
          <w:sz w:val="24"/>
          <w:szCs w:val="24"/>
        </w:rPr>
        <w:t>were</w:t>
      </w:r>
      <w:r w:rsidRPr="00AC3C60">
        <w:rPr>
          <w:rFonts w:ascii="Times New Roman" w:hAnsi="Times New Roman" w:cs="Times New Roman"/>
          <w:sz w:val="24"/>
          <w:szCs w:val="24"/>
        </w:rPr>
        <w:t xml:space="preserve"> not available</w:t>
      </w:r>
      <w:r w:rsidR="004D60D9" w:rsidRPr="00AC3C60">
        <w:rPr>
          <w:rFonts w:ascii="Times New Roman" w:hAnsi="Times New Roman" w:cs="Times New Roman"/>
          <w:sz w:val="24"/>
          <w:szCs w:val="24"/>
        </w:rPr>
        <w:t xml:space="preserve">, </w:t>
      </w:r>
      <w:r w:rsidR="004E39BD" w:rsidRPr="00AC3C60">
        <w:rPr>
          <w:rFonts w:ascii="Times New Roman" w:hAnsi="Times New Roman" w:cs="Times New Roman"/>
          <w:sz w:val="24"/>
          <w:szCs w:val="24"/>
        </w:rPr>
        <w:t>cross-sectional</w:t>
      </w:r>
      <w:r w:rsidR="00D7483C" w:rsidRPr="00AC3C60">
        <w:rPr>
          <w:rFonts w:ascii="Times New Roman" w:hAnsi="Times New Roman" w:cs="Times New Roman"/>
          <w:sz w:val="24"/>
          <w:szCs w:val="24"/>
        </w:rPr>
        <w:t xml:space="preserve"> studies have compared </w:t>
      </w:r>
      <w:r w:rsidR="00E45C07" w:rsidRPr="00AC3C60">
        <w:rPr>
          <w:rFonts w:ascii="Times New Roman" w:hAnsi="Times New Roman" w:cs="Times New Roman"/>
          <w:sz w:val="24"/>
          <w:szCs w:val="24"/>
        </w:rPr>
        <w:t xml:space="preserve">recognised </w:t>
      </w:r>
      <w:r w:rsidR="00381066" w:rsidRPr="00AC3C60">
        <w:rPr>
          <w:rFonts w:ascii="Times New Roman" w:hAnsi="Times New Roman" w:cs="Times New Roman"/>
          <w:sz w:val="24"/>
          <w:szCs w:val="24"/>
        </w:rPr>
        <w:t xml:space="preserve">measures </w:t>
      </w:r>
      <w:r w:rsidR="004E39BD" w:rsidRPr="00AC3C60">
        <w:rPr>
          <w:rFonts w:ascii="Times New Roman" w:hAnsi="Times New Roman" w:cs="Times New Roman"/>
          <w:sz w:val="24"/>
          <w:szCs w:val="24"/>
        </w:rPr>
        <w:t xml:space="preserve">of </w:t>
      </w:r>
      <w:r w:rsidR="00381066" w:rsidRPr="00AC3C60">
        <w:rPr>
          <w:rFonts w:ascii="Times New Roman" w:hAnsi="Times New Roman" w:cs="Times New Roman"/>
          <w:sz w:val="24"/>
          <w:szCs w:val="24"/>
        </w:rPr>
        <w:t xml:space="preserve">wellbeing during the lockdown with </w:t>
      </w:r>
      <w:r w:rsidR="001F21EF" w:rsidRPr="00AC3C60">
        <w:rPr>
          <w:rFonts w:ascii="Times New Roman" w:hAnsi="Times New Roman" w:cs="Times New Roman"/>
          <w:sz w:val="24"/>
          <w:szCs w:val="24"/>
        </w:rPr>
        <w:t xml:space="preserve">population </w:t>
      </w:r>
      <w:r w:rsidR="004E39BD" w:rsidRPr="00AC3C60">
        <w:rPr>
          <w:rFonts w:ascii="Times New Roman" w:hAnsi="Times New Roman" w:cs="Times New Roman"/>
          <w:sz w:val="24"/>
          <w:szCs w:val="24"/>
        </w:rPr>
        <w:t>norms</w:t>
      </w:r>
      <w:r w:rsidR="001F21EF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E93EE7" w:rsidRPr="00AC3C60">
        <w:rPr>
          <w:rFonts w:ascii="Times New Roman" w:hAnsi="Times New Roman" w:cs="Times New Roman"/>
          <w:sz w:val="24"/>
          <w:szCs w:val="24"/>
        </w:rPr>
        <w:t xml:space="preserve">prior to the pandemic. One study in the UK used </w:t>
      </w:r>
      <w:r w:rsidR="00587E9D" w:rsidRPr="00AC3C60">
        <w:rPr>
          <w:rFonts w:ascii="Times New Roman" w:hAnsi="Times New Roman" w:cs="Times New Roman"/>
          <w:sz w:val="24"/>
          <w:szCs w:val="24"/>
        </w:rPr>
        <w:t xml:space="preserve">a range of such measures with a convenience sample of </w:t>
      </w:r>
      <w:r w:rsidR="00EE3370" w:rsidRPr="00AC3C60">
        <w:rPr>
          <w:rFonts w:ascii="Times New Roman" w:hAnsi="Times New Roman" w:cs="Times New Roman"/>
          <w:sz w:val="24"/>
          <w:szCs w:val="24"/>
        </w:rPr>
        <w:t xml:space="preserve">600 recruited in the first two weeks of April 2020 </w:t>
      </w:r>
      <w:r w:rsidR="0093394E" w:rsidRPr="00AC3C60">
        <w:rPr>
          <w:rFonts w:ascii="Times New Roman" w:hAnsi="Times New Roman" w:cs="Times New Roman"/>
          <w:sz w:val="24"/>
          <w:szCs w:val="24"/>
        </w:rPr>
        <w:t xml:space="preserve">as the first lockdown began </w:t>
      </w:r>
      <w:r w:rsidR="0093394E" w:rsidRPr="00AC3C60">
        <w:rPr>
          <w:rFonts w:ascii="Times New Roman" w:hAnsi="Times New Roman" w:cs="Times New Roman"/>
          <w:noProof/>
          <w:sz w:val="24"/>
          <w:szCs w:val="24"/>
        </w:rPr>
        <w:t>(White &amp; Van Der Boor, 2020)</w:t>
      </w:r>
      <w:r w:rsidR="00415E64" w:rsidRPr="00AC3C60">
        <w:rPr>
          <w:rFonts w:ascii="Times New Roman" w:hAnsi="Times New Roman" w:cs="Times New Roman"/>
          <w:sz w:val="24"/>
          <w:szCs w:val="24"/>
        </w:rPr>
        <w:t xml:space="preserve">. The authors reported </w:t>
      </w:r>
      <w:r w:rsidR="00B84D33" w:rsidRPr="00AC3C60">
        <w:rPr>
          <w:rFonts w:ascii="Times New Roman" w:hAnsi="Times New Roman" w:cs="Times New Roman"/>
          <w:sz w:val="24"/>
          <w:szCs w:val="24"/>
        </w:rPr>
        <w:t xml:space="preserve">that levels of the Hospital Anxiety and Depression Scale were </w:t>
      </w:r>
      <w:r w:rsidR="003A64CB" w:rsidRPr="00AC3C60">
        <w:rPr>
          <w:rFonts w:ascii="Times New Roman" w:hAnsi="Times New Roman" w:cs="Times New Roman"/>
          <w:sz w:val="24"/>
          <w:szCs w:val="24"/>
        </w:rPr>
        <w:t xml:space="preserve">higher in their sample than the normal population range pre-pandemic. </w:t>
      </w:r>
      <w:r w:rsidR="00415E64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0836C5" w:rsidRPr="00AC3C60">
        <w:rPr>
          <w:rFonts w:ascii="Times New Roman" w:hAnsi="Times New Roman" w:cs="Times New Roman"/>
          <w:sz w:val="24"/>
          <w:szCs w:val="24"/>
        </w:rPr>
        <w:t>S</w:t>
      </w:r>
      <w:r w:rsidR="004D60D9" w:rsidRPr="00AC3C60">
        <w:rPr>
          <w:rFonts w:ascii="Times New Roman" w:hAnsi="Times New Roman" w:cs="Times New Roman"/>
          <w:sz w:val="24"/>
          <w:szCs w:val="24"/>
        </w:rPr>
        <w:t xml:space="preserve">ome cross-sectional surveys </w:t>
      </w:r>
      <w:r w:rsidR="000836C5" w:rsidRPr="00AC3C60">
        <w:rPr>
          <w:rFonts w:ascii="Times New Roman" w:hAnsi="Times New Roman" w:cs="Times New Roman"/>
          <w:sz w:val="24"/>
          <w:szCs w:val="24"/>
        </w:rPr>
        <w:t>have</w:t>
      </w:r>
      <w:r w:rsidR="004D60D9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0A0177" w:rsidRPr="00AC3C60">
        <w:rPr>
          <w:rFonts w:ascii="Times New Roman" w:hAnsi="Times New Roman" w:cs="Times New Roman"/>
          <w:sz w:val="24"/>
          <w:szCs w:val="24"/>
        </w:rPr>
        <w:t xml:space="preserve">asked </w:t>
      </w:r>
      <w:r w:rsidR="004D60D9" w:rsidRPr="00AC3C60">
        <w:rPr>
          <w:rFonts w:ascii="Times New Roman" w:hAnsi="Times New Roman" w:cs="Times New Roman"/>
          <w:sz w:val="24"/>
          <w:szCs w:val="24"/>
        </w:rPr>
        <w:t xml:space="preserve">respondents </w:t>
      </w:r>
      <w:r w:rsidR="004E39BD" w:rsidRPr="00AC3C60">
        <w:rPr>
          <w:rFonts w:ascii="Times New Roman" w:hAnsi="Times New Roman" w:cs="Times New Roman"/>
          <w:sz w:val="24"/>
          <w:szCs w:val="24"/>
        </w:rPr>
        <w:t xml:space="preserve">during lockdowns </w:t>
      </w:r>
      <w:r w:rsidR="004D60D9" w:rsidRPr="00AC3C60">
        <w:rPr>
          <w:rFonts w:ascii="Times New Roman" w:hAnsi="Times New Roman" w:cs="Times New Roman"/>
          <w:sz w:val="24"/>
          <w:szCs w:val="24"/>
        </w:rPr>
        <w:t xml:space="preserve">to </w:t>
      </w:r>
      <w:r w:rsidR="008530EC" w:rsidRPr="00AC3C60">
        <w:rPr>
          <w:rFonts w:ascii="Times New Roman" w:hAnsi="Times New Roman" w:cs="Times New Roman"/>
          <w:sz w:val="24"/>
          <w:szCs w:val="24"/>
        </w:rPr>
        <w:t xml:space="preserve">assess </w:t>
      </w:r>
      <w:r w:rsidR="004E39BD" w:rsidRPr="00AC3C60">
        <w:rPr>
          <w:rFonts w:ascii="Times New Roman" w:hAnsi="Times New Roman" w:cs="Times New Roman"/>
          <w:sz w:val="24"/>
          <w:szCs w:val="24"/>
        </w:rPr>
        <w:t xml:space="preserve">subjectively </w:t>
      </w:r>
      <w:r w:rsidR="004D60D9" w:rsidRPr="00AC3C60">
        <w:rPr>
          <w:rFonts w:ascii="Times New Roman" w:hAnsi="Times New Roman" w:cs="Times New Roman"/>
          <w:sz w:val="24"/>
          <w:szCs w:val="24"/>
        </w:rPr>
        <w:t>levels pre</w:t>
      </w:r>
      <w:r w:rsidR="004D4599" w:rsidRPr="00AC3C60">
        <w:rPr>
          <w:rFonts w:ascii="Times New Roman" w:hAnsi="Times New Roman" w:cs="Times New Roman"/>
          <w:sz w:val="24"/>
          <w:szCs w:val="24"/>
        </w:rPr>
        <w:t>-</w:t>
      </w:r>
      <w:r w:rsidR="004D60D9" w:rsidRPr="00AC3C60">
        <w:rPr>
          <w:rFonts w:ascii="Times New Roman" w:hAnsi="Times New Roman" w:cs="Times New Roman"/>
          <w:sz w:val="24"/>
          <w:szCs w:val="24"/>
        </w:rPr>
        <w:t xml:space="preserve"> and post-</w:t>
      </w:r>
      <w:r w:rsidR="004D4599" w:rsidRPr="00AC3C60">
        <w:rPr>
          <w:rFonts w:ascii="Times New Roman" w:hAnsi="Times New Roman" w:cs="Times New Roman"/>
          <w:sz w:val="24"/>
          <w:szCs w:val="24"/>
        </w:rPr>
        <w:t xml:space="preserve">lockdown. One </w:t>
      </w:r>
      <w:r w:rsidR="00F43B27" w:rsidRPr="00AC3C60">
        <w:rPr>
          <w:rFonts w:ascii="Times New Roman" w:hAnsi="Times New Roman" w:cs="Times New Roman"/>
          <w:sz w:val="24"/>
          <w:szCs w:val="24"/>
        </w:rPr>
        <w:t xml:space="preserve">such </w:t>
      </w:r>
      <w:r w:rsidR="004D4599" w:rsidRPr="00AC3C60">
        <w:rPr>
          <w:rFonts w:ascii="Times New Roman" w:hAnsi="Times New Roman" w:cs="Times New Roman"/>
          <w:sz w:val="24"/>
          <w:szCs w:val="24"/>
        </w:rPr>
        <w:t>international</w:t>
      </w:r>
      <w:r w:rsidR="000A6529" w:rsidRPr="00AC3C60">
        <w:rPr>
          <w:rFonts w:ascii="Times New Roman" w:hAnsi="Times New Roman" w:cs="Times New Roman"/>
          <w:sz w:val="24"/>
          <w:szCs w:val="24"/>
        </w:rPr>
        <w:t xml:space="preserve"> study used a range of measures including the Short Warwick-Edinburgh </w:t>
      </w:r>
      <w:r w:rsidR="00F43B27" w:rsidRPr="00AC3C60">
        <w:rPr>
          <w:rFonts w:ascii="Times New Roman" w:hAnsi="Times New Roman" w:cs="Times New Roman"/>
          <w:sz w:val="24"/>
          <w:szCs w:val="24"/>
        </w:rPr>
        <w:t xml:space="preserve">Mental Well-being Scale </w:t>
      </w:r>
      <w:r w:rsidR="00CB6728" w:rsidRPr="00AC3C60">
        <w:rPr>
          <w:rFonts w:ascii="Times New Roman" w:hAnsi="Times New Roman" w:cs="Times New Roman"/>
          <w:sz w:val="24"/>
          <w:szCs w:val="24"/>
        </w:rPr>
        <w:t xml:space="preserve">that was </w:t>
      </w:r>
      <w:r w:rsidR="004A3FD6" w:rsidRPr="00AC3C60">
        <w:rPr>
          <w:rFonts w:ascii="Times New Roman" w:hAnsi="Times New Roman" w:cs="Times New Roman"/>
          <w:sz w:val="24"/>
          <w:szCs w:val="24"/>
        </w:rPr>
        <w:t xml:space="preserve">completed online by </w:t>
      </w:r>
      <w:r w:rsidR="007A243A" w:rsidRPr="00AC3C60">
        <w:rPr>
          <w:rFonts w:ascii="Times New Roman" w:hAnsi="Times New Roman" w:cs="Times New Roman"/>
          <w:sz w:val="24"/>
          <w:szCs w:val="24"/>
        </w:rPr>
        <w:t xml:space="preserve">a convenience sample of 1,047 participants from a range of countries across Europe, </w:t>
      </w:r>
      <w:r w:rsidR="00D6137B" w:rsidRPr="00AC3C60">
        <w:rPr>
          <w:rFonts w:ascii="Times New Roman" w:hAnsi="Times New Roman" w:cs="Times New Roman"/>
          <w:sz w:val="24"/>
          <w:szCs w:val="24"/>
        </w:rPr>
        <w:t xml:space="preserve">North Africa, and Western Asia </w:t>
      </w:r>
      <w:r w:rsidR="00D6137B" w:rsidRPr="00AC3C60">
        <w:rPr>
          <w:rFonts w:ascii="Times New Roman" w:hAnsi="Times New Roman" w:cs="Times New Roman"/>
          <w:noProof/>
          <w:sz w:val="24"/>
          <w:szCs w:val="24"/>
        </w:rPr>
        <w:t>(Ammar et al., 2021)</w:t>
      </w:r>
      <w:r w:rsidR="00B61D55" w:rsidRPr="00AC3C60">
        <w:rPr>
          <w:rFonts w:ascii="Times New Roman" w:hAnsi="Times New Roman" w:cs="Times New Roman"/>
          <w:sz w:val="24"/>
          <w:szCs w:val="24"/>
        </w:rPr>
        <w:t xml:space="preserve">. </w:t>
      </w:r>
      <w:r w:rsidR="00353485" w:rsidRPr="00AC3C60">
        <w:rPr>
          <w:rFonts w:ascii="Times New Roman" w:hAnsi="Times New Roman" w:cs="Times New Roman"/>
          <w:sz w:val="24"/>
          <w:szCs w:val="24"/>
        </w:rPr>
        <w:t xml:space="preserve">The average scores for perceived </w:t>
      </w:r>
      <w:r w:rsidR="00E03F5A" w:rsidRPr="00AC3C60">
        <w:rPr>
          <w:rFonts w:ascii="Times New Roman" w:hAnsi="Times New Roman" w:cs="Times New Roman"/>
          <w:sz w:val="24"/>
          <w:szCs w:val="24"/>
        </w:rPr>
        <w:t>mental wellbeing</w:t>
      </w:r>
      <w:r w:rsidR="000E0B3E" w:rsidRPr="00AC3C60">
        <w:rPr>
          <w:rFonts w:ascii="Times New Roman" w:hAnsi="Times New Roman" w:cs="Times New Roman"/>
          <w:sz w:val="24"/>
          <w:szCs w:val="24"/>
        </w:rPr>
        <w:t xml:space="preserve"> and life satisfaction</w:t>
      </w:r>
      <w:r w:rsidR="00353485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220453" w:rsidRPr="00AC3C60">
        <w:rPr>
          <w:rFonts w:ascii="Times New Roman" w:hAnsi="Times New Roman" w:cs="Times New Roman"/>
          <w:sz w:val="24"/>
          <w:szCs w:val="24"/>
        </w:rPr>
        <w:t>were</w:t>
      </w:r>
      <w:r w:rsidR="00D7422C" w:rsidRPr="00AC3C60">
        <w:rPr>
          <w:rFonts w:ascii="Times New Roman" w:hAnsi="Times New Roman" w:cs="Times New Roman"/>
          <w:sz w:val="24"/>
          <w:szCs w:val="24"/>
        </w:rPr>
        <w:t xml:space="preserve"> lower </w:t>
      </w:r>
      <w:r w:rsidR="007E3BF4" w:rsidRPr="00AC3C60">
        <w:rPr>
          <w:rFonts w:ascii="Times New Roman" w:hAnsi="Times New Roman" w:cs="Times New Roman"/>
          <w:sz w:val="24"/>
          <w:szCs w:val="24"/>
        </w:rPr>
        <w:t>for ‘in-lockdown’ than for ‘before-lockdown’</w:t>
      </w:r>
      <w:r w:rsidR="00220453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7E3BF4" w:rsidRPr="00AC3C60">
        <w:rPr>
          <w:rFonts w:ascii="Times New Roman" w:hAnsi="Times New Roman" w:cs="Times New Roman"/>
          <w:sz w:val="24"/>
          <w:szCs w:val="24"/>
        </w:rPr>
        <w:t>and the opposite was true for</w:t>
      </w:r>
      <w:r w:rsidR="00DB040F" w:rsidRPr="00AC3C60">
        <w:rPr>
          <w:rFonts w:ascii="Times New Roman" w:hAnsi="Times New Roman" w:cs="Times New Roman"/>
          <w:sz w:val="24"/>
          <w:szCs w:val="24"/>
        </w:rPr>
        <w:t xml:space="preserve"> reported levels of depression.</w:t>
      </w:r>
      <w:r w:rsidR="00E03F5A" w:rsidRPr="00AC3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8B846" w14:textId="23D1A7DD" w:rsidR="004D0703" w:rsidRPr="00AC3C60" w:rsidRDefault="00A54A87" w:rsidP="000C4CD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t xml:space="preserve">A different way of </w:t>
      </w:r>
      <w:r w:rsidR="0064046A" w:rsidRPr="00AC3C60">
        <w:rPr>
          <w:rFonts w:ascii="Times New Roman" w:hAnsi="Times New Roman" w:cs="Times New Roman"/>
          <w:sz w:val="24"/>
          <w:szCs w:val="24"/>
        </w:rPr>
        <w:t xml:space="preserve">assessing </w:t>
      </w:r>
      <w:r w:rsidR="00A76BF9" w:rsidRPr="00AC3C60">
        <w:rPr>
          <w:rFonts w:ascii="Times New Roman" w:hAnsi="Times New Roman" w:cs="Times New Roman"/>
          <w:sz w:val="24"/>
          <w:szCs w:val="24"/>
        </w:rPr>
        <w:t>changes has been applied to wider European and US</w:t>
      </w:r>
      <w:r w:rsidR="00DC1F36" w:rsidRPr="00AC3C60">
        <w:rPr>
          <w:rFonts w:ascii="Times New Roman" w:hAnsi="Times New Roman" w:cs="Times New Roman"/>
          <w:sz w:val="24"/>
          <w:szCs w:val="24"/>
        </w:rPr>
        <w:t xml:space="preserve"> populations by examining Google Trends in various countries in relation to when lockdowns were imposed</w:t>
      </w:r>
      <w:r w:rsidR="004D0703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5E4E10" w:rsidRPr="00AC3C60">
        <w:rPr>
          <w:rFonts w:ascii="Times New Roman" w:hAnsi="Times New Roman" w:cs="Times New Roman"/>
          <w:noProof/>
          <w:sz w:val="24"/>
          <w:szCs w:val="24"/>
        </w:rPr>
        <w:t>(Brodeur et al., 2021)</w:t>
      </w:r>
      <w:r w:rsidR="00ED544A" w:rsidRPr="00AC3C60">
        <w:rPr>
          <w:rFonts w:ascii="Times New Roman" w:hAnsi="Times New Roman" w:cs="Times New Roman"/>
          <w:sz w:val="24"/>
          <w:szCs w:val="24"/>
        </w:rPr>
        <w:t xml:space="preserve">. </w:t>
      </w:r>
      <w:r w:rsidR="00F72862" w:rsidRPr="00AC3C60">
        <w:rPr>
          <w:rFonts w:ascii="Times New Roman" w:hAnsi="Times New Roman" w:cs="Times New Roman"/>
          <w:sz w:val="24"/>
          <w:szCs w:val="24"/>
        </w:rPr>
        <w:t>In Europe</w:t>
      </w:r>
      <w:r w:rsidR="005B40EB" w:rsidRPr="00AC3C60">
        <w:rPr>
          <w:rFonts w:ascii="Times New Roman" w:hAnsi="Times New Roman" w:cs="Times New Roman"/>
          <w:sz w:val="24"/>
          <w:szCs w:val="24"/>
        </w:rPr>
        <w:t>, s</w:t>
      </w:r>
      <w:r w:rsidR="00ED544A" w:rsidRPr="00AC3C60">
        <w:rPr>
          <w:rFonts w:ascii="Times New Roman" w:hAnsi="Times New Roman" w:cs="Times New Roman"/>
          <w:sz w:val="24"/>
          <w:szCs w:val="24"/>
        </w:rPr>
        <w:t>earches related</w:t>
      </w:r>
      <w:r w:rsidR="000B5591" w:rsidRPr="00AC3C60">
        <w:rPr>
          <w:rFonts w:ascii="Times New Roman" w:hAnsi="Times New Roman" w:cs="Times New Roman"/>
          <w:sz w:val="24"/>
          <w:szCs w:val="24"/>
        </w:rPr>
        <w:t xml:space="preserve"> to boredom,</w:t>
      </w:r>
      <w:r w:rsidR="00ED544A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1F01C8" w:rsidRPr="00AC3C60">
        <w:rPr>
          <w:rFonts w:ascii="Times New Roman" w:hAnsi="Times New Roman" w:cs="Times New Roman"/>
          <w:sz w:val="24"/>
          <w:szCs w:val="24"/>
        </w:rPr>
        <w:t xml:space="preserve">loneliness, and sadness increased </w:t>
      </w:r>
      <w:r w:rsidR="004E39BD" w:rsidRPr="00AC3C60">
        <w:rPr>
          <w:rFonts w:ascii="Times New Roman" w:hAnsi="Times New Roman" w:cs="Times New Roman"/>
          <w:sz w:val="24"/>
          <w:szCs w:val="24"/>
        </w:rPr>
        <w:t xml:space="preserve">in </w:t>
      </w:r>
      <w:r w:rsidR="00820E00" w:rsidRPr="00AC3C60">
        <w:rPr>
          <w:rFonts w:ascii="Times New Roman" w:hAnsi="Times New Roman" w:cs="Times New Roman"/>
          <w:sz w:val="24"/>
          <w:szCs w:val="24"/>
        </w:rPr>
        <w:t xml:space="preserve">days </w:t>
      </w:r>
      <w:r w:rsidR="0050551D" w:rsidRPr="00AC3C60">
        <w:rPr>
          <w:rFonts w:ascii="Times New Roman" w:hAnsi="Times New Roman" w:cs="Times New Roman"/>
          <w:sz w:val="24"/>
          <w:szCs w:val="24"/>
        </w:rPr>
        <w:t xml:space="preserve">immediately </w:t>
      </w:r>
      <w:r w:rsidR="00DE73DA" w:rsidRPr="00AC3C60">
        <w:rPr>
          <w:rFonts w:ascii="Times New Roman" w:hAnsi="Times New Roman" w:cs="Times New Roman"/>
          <w:sz w:val="24"/>
          <w:szCs w:val="24"/>
        </w:rPr>
        <w:t>pre</w:t>
      </w:r>
      <w:r w:rsidR="00820E00" w:rsidRPr="00AC3C60">
        <w:rPr>
          <w:rFonts w:ascii="Times New Roman" w:hAnsi="Times New Roman" w:cs="Times New Roman"/>
          <w:sz w:val="24"/>
          <w:szCs w:val="24"/>
        </w:rPr>
        <w:t>- and post-lockdown</w:t>
      </w:r>
      <w:r w:rsidR="00A10690" w:rsidRPr="00AC3C60">
        <w:rPr>
          <w:rFonts w:ascii="Times New Roman" w:hAnsi="Times New Roman" w:cs="Times New Roman"/>
          <w:sz w:val="24"/>
          <w:szCs w:val="24"/>
        </w:rPr>
        <w:t>.</w:t>
      </w:r>
      <w:r w:rsidR="00AE1311" w:rsidRPr="00AC3C60">
        <w:rPr>
          <w:rFonts w:ascii="Times New Roman" w:hAnsi="Times New Roman" w:cs="Times New Roman"/>
          <w:sz w:val="24"/>
          <w:szCs w:val="24"/>
        </w:rPr>
        <w:t xml:space="preserve"> Results for a wider </w:t>
      </w:r>
      <w:r w:rsidR="00EE51E1" w:rsidRPr="00AC3C60">
        <w:rPr>
          <w:rFonts w:ascii="Times New Roman" w:hAnsi="Times New Roman" w:cs="Times New Roman"/>
          <w:sz w:val="24"/>
          <w:szCs w:val="24"/>
        </w:rPr>
        <w:t>range of search items related to wellbeing revealed differences between Europe (decline post-lockdowns, apart from in countries like the UK which had late lockdowns)</w:t>
      </w:r>
      <w:r w:rsidR="0000700F" w:rsidRPr="00AC3C60">
        <w:rPr>
          <w:rFonts w:ascii="Times New Roman" w:hAnsi="Times New Roman" w:cs="Times New Roman"/>
          <w:sz w:val="24"/>
          <w:szCs w:val="24"/>
        </w:rPr>
        <w:t xml:space="preserve"> and the US </w:t>
      </w:r>
      <w:r w:rsidR="0000700F" w:rsidRPr="00AC3C60">
        <w:rPr>
          <w:rFonts w:ascii="Times New Roman" w:hAnsi="Times New Roman" w:cs="Times New Roman"/>
          <w:sz w:val="24"/>
          <w:szCs w:val="24"/>
        </w:rPr>
        <w:lastRenderedPageBreak/>
        <w:t>(increases post-lockdowns). There was also some evidence of de</w:t>
      </w:r>
      <w:r w:rsidR="00A466F8" w:rsidRPr="00AC3C60">
        <w:rPr>
          <w:rFonts w:ascii="Times New Roman" w:hAnsi="Times New Roman" w:cs="Times New Roman"/>
          <w:sz w:val="24"/>
          <w:szCs w:val="24"/>
        </w:rPr>
        <w:t>cre</w:t>
      </w:r>
      <w:r w:rsidR="0000700F" w:rsidRPr="00AC3C60">
        <w:rPr>
          <w:rFonts w:ascii="Times New Roman" w:hAnsi="Times New Roman" w:cs="Times New Roman"/>
          <w:sz w:val="24"/>
          <w:szCs w:val="24"/>
        </w:rPr>
        <w:t xml:space="preserve">ases </w:t>
      </w:r>
      <w:r w:rsidR="00A466F8" w:rsidRPr="00AC3C60">
        <w:rPr>
          <w:rFonts w:ascii="Times New Roman" w:hAnsi="Times New Roman" w:cs="Times New Roman"/>
          <w:sz w:val="24"/>
          <w:szCs w:val="24"/>
        </w:rPr>
        <w:t xml:space="preserve">in search levels </w:t>
      </w:r>
      <w:r w:rsidR="00972CE6" w:rsidRPr="00AC3C60">
        <w:rPr>
          <w:rFonts w:ascii="Times New Roman" w:hAnsi="Times New Roman" w:cs="Times New Roman"/>
          <w:sz w:val="24"/>
          <w:szCs w:val="24"/>
        </w:rPr>
        <w:t>as lockdowns progressed</w:t>
      </w:r>
      <w:r w:rsidR="0000700F" w:rsidRPr="00AC3C60">
        <w:rPr>
          <w:rFonts w:ascii="Times New Roman" w:hAnsi="Times New Roman" w:cs="Times New Roman"/>
          <w:sz w:val="24"/>
          <w:szCs w:val="24"/>
        </w:rPr>
        <w:t>, which might</w:t>
      </w:r>
      <w:r w:rsidR="00A466F8" w:rsidRPr="00AC3C60">
        <w:rPr>
          <w:rFonts w:ascii="Times New Roman" w:hAnsi="Times New Roman" w:cs="Times New Roman"/>
          <w:sz w:val="24"/>
          <w:szCs w:val="24"/>
        </w:rPr>
        <w:t xml:space="preserve"> imply some adaption to </w:t>
      </w:r>
      <w:r w:rsidR="00131092" w:rsidRPr="00AC3C60">
        <w:rPr>
          <w:rFonts w:ascii="Times New Roman" w:hAnsi="Times New Roman" w:cs="Times New Roman"/>
          <w:sz w:val="24"/>
          <w:szCs w:val="24"/>
        </w:rPr>
        <w:t xml:space="preserve">the problems caused by </w:t>
      </w:r>
      <w:r w:rsidR="00972CE6" w:rsidRPr="00AC3C60">
        <w:rPr>
          <w:rFonts w:ascii="Times New Roman" w:hAnsi="Times New Roman" w:cs="Times New Roman"/>
          <w:sz w:val="24"/>
          <w:szCs w:val="24"/>
        </w:rPr>
        <w:t>social isolation</w:t>
      </w:r>
      <w:r w:rsidR="00131092" w:rsidRPr="00AC3C60">
        <w:rPr>
          <w:rFonts w:ascii="Times New Roman" w:hAnsi="Times New Roman" w:cs="Times New Roman"/>
          <w:sz w:val="24"/>
          <w:szCs w:val="24"/>
        </w:rPr>
        <w:t>. Th</w:t>
      </w:r>
      <w:r w:rsidR="00471E29" w:rsidRPr="00AC3C60">
        <w:rPr>
          <w:rFonts w:ascii="Times New Roman" w:hAnsi="Times New Roman" w:cs="Times New Roman"/>
          <w:sz w:val="24"/>
          <w:szCs w:val="24"/>
        </w:rPr>
        <w:t xml:space="preserve">is raises the question of how psychological wellbeing may change </w:t>
      </w:r>
      <w:r w:rsidR="00734C03" w:rsidRPr="00AC3C60">
        <w:rPr>
          <w:rFonts w:ascii="Times New Roman" w:hAnsi="Times New Roman" w:cs="Times New Roman"/>
          <w:sz w:val="24"/>
          <w:szCs w:val="24"/>
        </w:rPr>
        <w:t>during the course of extended lockdowns.</w:t>
      </w:r>
    </w:p>
    <w:p w14:paraId="5C23A31A" w14:textId="690864C3" w:rsidR="003A3E16" w:rsidRPr="00AC3C60" w:rsidRDefault="00734C03" w:rsidP="000C4CD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t xml:space="preserve">A few studies have begun to report changes over time during the first lockdown in the UK. </w:t>
      </w:r>
      <w:r w:rsidR="00F63465" w:rsidRPr="00AC3C60">
        <w:rPr>
          <w:rFonts w:ascii="Times New Roman" w:hAnsi="Times New Roman" w:cs="Times New Roman"/>
          <w:sz w:val="24"/>
          <w:szCs w:val="24"/>
        </w:rPr>
        <w:t xml:space="preserve">A longitudinal </w:t>
      </w:r>
      <w:r w:rsidR="00D55301" w:rsidRPr="00AC3C60">
        <w:rPr>
          <w:rFonts w:ascii="Times New Roman" w:hAnsi="Times New Roman" w:cs="Times New Roman"/>
          <w:sz w:val="24"/>
          <w:szCs w:val="24"/>
        </w:rPr>
        <w:t xml:space="preserve">quota </w:t>
      </w:r>
      <w:r w:rsidR="00F63465" w:rsidRPr="00AC3C60">
        <w:rPr>
          <w:rFonts w:ascii="Times New Roman" w:hAnsi="Times New Roman" w:cs="Times New Roman"/>
          <w:sz w:val="24"/>
          <w:szCs w:val="24"/>
        </w:rPr>
        <w:t xml:space="preserve">survey </w:t>
      </w:r>
      <w:r w:rsidR="000C4CD9" w:rsidRPr="00AC3C60">
        <w:rPr>
          <w:rFonts w:ascii="Times New Roman" w:hAnsi="Times New Roman" w:cs="Times New Roman"/>
          <w:sz w:val="24"/>
          <w:szCs w:val="24"/>
        </w:rPr>
        <w:t>of 3,077</w:t>
      </w:r>
      <w:r w:rsidR="00D55301" w:rsidRPr="00AC3C60">
        <w:rPr>
          <w:rFonts w:ascii="Times New Roman" w:hAnsi="Times New Roman" w:cs="Times New Roman"/>
          <w:sz w:val="24"/>
          <w:szCs w:val="24"/>
        </w:rPr>
        <w:t xml:space="preserve"> adults </w:t>
      </w:r>
      <w:r w:rsidR="007E1C14" w:rsidRPr="00AC3C60">
        <w:rPr>
          <w:rFonts w:ascii="Times New Roman" w:hAnsi="Times New Roman" w:cs="Times New Roman"/>
          <w:sz w:val="24"/>
          <w:szCs w:val="24"/>
        </w:rPr>
        <w:t xml:space="preserve">examined a </w:t>
      </w:r>
      <w:r w:rsidR="00F70F88" w:rsidRPr="00AC3C60">
        <w:rPr>
          <w:rFonts w:ascii="Times New Roman" w:hAnsi="Times New Roman" w:cs="Times New Roman"/>
          <w:sz w:val="24"/>
          <w:szCs w:val="24"/>
        </w:rPr>
        <w:t xml:space="preserve">range of self-reported measures of wellbeing including suicide ideation, </w:t>
      </w:r>
      <w:r w:rsidR="00FD7369" w:rsidRPr="00AC3C60">
        <w:rPr>
          <w:rFonts w:ascii="Times New Roman" w:hAnsi="Times New Roman" w:cs="Times New Roman"/>
          <w:sz w:val="24"/>
          <w:szCs w:val="24"/>
        </w:rPr>
        <w:t xml:space="preserve">depression, anxiety, mental wellbeing and loneliness in three waves </w:t>
      </w:r>
      <w:r w:rsidR="00D4534C" w:rsidRPr="00AC3C60">
        <w:rPr>
          <w:rFonts w:ascii="Times New Roman" w:hAnsi="Times New Roman" w:cs="Times New Roman"/>
          <w:sz w:val="24"/>
          <w:szCs w:val="24"/>
        </w:rPr>
        <w:t xml:space="preserve">during April and May 2020 </w:t>
      </w:r>
      <w:r w:rsidR="005E4E10" w:rsidRPr="00AC3C60">
        <w:rPr>
          <w:rFonts w:ascii="Times New Roman" w:hAnsi="Times New Roman" w:cs="Times New Roman"/>
          <w:noProof/>
          <w:sz w:val="24"/>
          <w:szCs w:val="24"/>
        </w:rPr>
        <w:t>(O'Connor et al., 2021)</w:t>
      </w:r>
      <w:r w:rsidR="00D4534C" w:rsidRPr="00AC3C60">
        <w:rPr>
          <w:rFonts w:ascii="Times New Roman" w:hAnsi="Times New Roman" w:cs="Times New Roman"/>
          <w:sz w:val="24"/>
          <w:szCs w:val="24"/>
        </w:rPr>
        <w:t xml:space="preserve">. The results suggested </w:t>
      </w:r>
      <w:r w:rsidR="000C4CD9" w:rsidRPr="00AC3C60">
        <w:rPr>
          <w:rFonts w:ascii="Times New Roman" w:hAnsi="Times New Roman" w:cs="Times New Roman"/>
          <w:sz w:val="24"/>
          <w:szCs w:val="24"/>
        </w:rPr>
        <w:t xml:space="preserve">an increase over time in </w:t>
      </w:r>
      <w:r w:rsidR="00D7209A" w:rsidRPr="00AC3C60">
        <w:rPr>
          <w:rFonts w:ascii="Times New Roman" w:hAnsi="Times New Roman" w:cs="Times New Roman"/>
          <w:sz w:val="24"/>
          <w:szCs w:val="24"/>
        </w:rPr>
        <w:t>suicidal</w:t>
      </w:r>
      <w:r w:rsidR="00ED7267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762F37" w:rsidRPr="00AC3C60">
        <w:rPr>
          <w:rFonts w:ascii="Times New Roman" w:hAnsi="Times New Roman" w:cs="Times New Roman"/>
          <w:sz w:val="24"/>
          <w:szCs w:val="24"/>
        </w:rPr>
        <w:t>thoughts but</w:t>
      </w:r>
      <w:r w:rsidR="004E3CFD" w:rsidRPr="00AC3C60">
        <w:rPr>
          <w:rFonts w:ascii="Times New Roman" w:hAnsi="Times New Roman" w:cs="Times New Roman"/>
          <w:sz w:val="24"/>
          <w:szCs w:val="24"/>
        </w:rPr>
        <w:t xml:space="preserve"> unchanged levels of depression. Interestingly, levels of </w:t>
      </w:r>
      <w:r w:rsidR="009376A5" w:rsidRPr="00AC3C60">
        <w:rPr>
          <w:rFonts w:ascii="Times New Roman" w:hAnsi="Times New Roman" w:cs="Times New Roman"/>
          <w:sz w:val="24"/>
          <w:szCs w:val="24"/>
        </w:rPr>
        <w:t>anxiety and feelings of defeat decreased over time and levels of positive wellbeing increased.</w:t>
      </w:r>
      <w:r w:rsidR="000F3CFB" w:rsidRPr="00AC3C60">
        <w:rPr>
          <w:rFonts w:ascii="Times New Roman" w:hAnsi="Times New Roman" w:cs="Times New Roman"/>
          <w:sz w:val="24"/>
          <w:szCs w:val="24"/>
        </w:rPr>
        <w:t xml:space="preserve"> The authors suggest there may have been time-lagged </w:t>
      </w:r>
      <w:r w:rsidR="00CF216E" w:rsidRPr="00AC3C60">
        <w:rPr>
          <w:rFonts w:ascii="Times New Roman" w:hAnsi="Times New Roman" w:cs="Times New Roman"/>
          <w:sz w:val="24"/>
          <w:szCs w:val="24"/>
        </w:rPr>
        <w:t>effects in the latter measure, and the period over which change was measured was only six weeks</w:t>
      </w:r>
      <w:r w:rsidR="00F54755" w:rsidRPr="00AC3C60">
        <w:rPr>
          <w:rFonts w:ascii="Times New Roman" w:hAnsi="Times New Roman" w:cs="Times New Roman"/>
          <w:sz w:val="24"/>
          <w:szCs w:val="24"/>
        </w:rPr>
        <w:t xml:space="preserve">, so it is difficult to tell from these data if the population was adjusting to </w:t>
      </w:r>
      <w:r w:rsidR="00A15528" w:rsidRPr="00AC3C60">
        <w:rPr>
          <w:rFonts w:ascii="Times New Roman" w:hAnsi="Times New Roman" w:cs="Times New Roman"/>
          <w:sz w:val="24"/>
          <w:szCs w:val="24"/>
        </w:rPr>
        <w:t>lockdown or not in terms of psychological wellbeing.</w:t>
      </w:r>
      <w:r w:rsidR="00DA2B38" w:rsidRPr="00AC3C60">
        <w:rPr>
          <w:rFonts w:ascii="Times New Roman" w:hAnsi="Times New Roman" w:cs="Times New Roman"/>
          <w:sz w:val="24"/>
          <w:szCs w:val="24"/>
        </w:rPr>
        <w:t xml:space="preserve"> Data on suicide rates </w:t>
      </w:r>
      <w:r w:rsidR="006E6BDB" w:rsidRPr="00AC3C60">
        <w:rPr>
          <w:rFonts w:ascii="Times New Roman" w:hAnsi="Times New Roman" w:cs="Times New Roman"/>
          <w:sz w:val="24"/>
          <w:szCs w:val="24"/>
        </w:rPr>
        <w:t xml:space="preserve">beyond May 2020 suggest that the rate did not increase </w:t>
      </w:r>
      <w:r w:rsidR="006E6BDB" w:rsidRPr="00AC3C60">
        <w:rPr>
          <w:rFonts w:ascii="Times New Roman" w:hAnsi="Times New Roman" w:cs="Times New Roman"/>
          <w:noProof/>
          <w:sz w:val="24"/>
          <w:szCs w:val="24"/>
        </w:rPr>
        <w:t>(Appleby et al., 2021)</w:t>
      </w:r>
      <w:r w:rsidR="006E6BDB" w:rsidRPr="00AC3C60">
        <w:rPr>
          <w:rFonts w:ascii="Times New Roman" w:hAnsi="Times New Roman" w:cs="Times New Roman"/>
          <w:sz w:val="24"/>
          <w:szCs w:val="24"/>
        </w:rPr>
        <w:t xml:space="preserve"> but fell between April and July </w:t>
      </w:r>
      <w:r w:rsidR="006E6BDB" w:rsidRPr="00AC3C60">
        <w:rPr>
          <w:rFonts w:ascii="Times New Roman" w:hAnsi="Times New Roman" w:cs="Times New Roman"/>
          <w:noProof/>
          <w:sz w:val="24"/>
          <w:szCs w:val="24"/>
        </w:rPr>
        <w:t>(ONS, 2021b)</w:t>
      </w:r>
      <w:r w:rsidR="006E6BDB" w:rsidRPr="00AC3C60">
        <w:rPr>
          <w:rFonts w:ascii="Times New Roman" w:hAnsi="Times New Roman" w:cs="Times New Roman"/>
          <w:sz w:val="24"/>
          <w:szCs w:val="24"/>
        </w:rPr>
        <w:t xml:space="preserve">, so </w:t>
      </w:r>
      <w:r w:rsidR="002158FD" w:rsidRPr="00AC3C60">
        <w:rPr>
          <w:rFonts w:ascii="Times New Roman" w:hAnsi="Times New Roman" w:cs="Times New Roman"/>
          <w:sz w:val="24"/>
          <w:szCs w:val="24"/>
        </w:rPr>
        <w:t>the evidence of widespread reduced wellbeing is mixed in the general population.</w:t>
      </w:r>
    </w:p>
    <w:p w14:paraId="13A81519" w14:textId="20536818" w:rsidR="002B272B" w:rsidRPr="00AC3C60" w:rsidRDefault="002B272B" w:rsidP="00066E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tab/>
      </w:r>
      <w:r w:rsidR="00DE5754" w:rsidRPr="00AC3C60">
        <w:rPr>
          <w:rFonts w:ascii="Times New Roman" w:hAnsi="Times New Roman" w:cs="Times New Roman"/>
          <w:sz w:val="24"/>
          <w:szCs w:val="24"/>
        </w:rPr>
        <w:t xml:space="preserve">These studies of the general population in the UK </w:t>
      </w:r>
      <w:r w:rsidR="00D3544B" w:rsidRPr="00AC3C60">
        <w:rPr>
          <w:rFonts w:ascii="Times New Roman" w:hAnsi="Times New Roman" w:cs="Times New Roman"/>
          <w:sz w:val="24"/>
          <w:szCs w:val="24"/>
        </w:rPr>
        <w:t xml:space="preserve">and elsewhere </w:t>
      </w:r>
      <w:r w:rsidR="00DE5754" w:rsidRPr="00AC3C60">
        <w:rPr>
          <w:rFonts w:ascii="Times New Roman" w:hAnsi="Times New Roman" w:cs="Times New Roman"/>
          <w:sz w:val="24"/>
          <w:szCs w:val="24"/>
        </w:rPr>
        <w:t xml:space="preserve">have provided </w:t>
      </w:r>
      <w:r w:rsidR="002158FD" w:rsidRPr="00AC3C60">
        <w:rPr>
          <w:rFonts w:ascii="Times New Roman" w:hAnsi="Times New Roman" w:cs="Times New Roman"/>
          <w:sz w:val="24"/>
          <w:szCs w:val="24"/>
        </w:rPr>
        <w:t xml:space="preserve">some </w:t>
      </w:r>
      <w:r w:rsidR="00DE5754" w:rsidRPr="00AC3C60">
        <w:rPr>
          <w:rFonts w:ascii="Times New Roman" w:hAnsi="Times New Roman" w:cs="Times New Roman"/>
          <w:sz w:val="24"/>
          <w:szCs w:val="24"/>
        </w:rPr>
        <w:t>evidence</w:t>
      </w:r>
      <w:r w:rsidR="0001406F" w:rsidRPr="00AC3C60">
        <w:rPr>
          <w:rFonts w:ascii="Times New Roman" w:hAnsi="Times New Roman" w:cs="Times New Roman"/>
          <w:sz w:val="24"/>
          <w:szCs w:val="24"/>
        </w:rPr>
        <w:t xml:space="preserve"> of </w:t>
      </w:r>
      <w:r w:rsidR="001538A1" w:rsidRPr="00AC3C60">
        <w:rPr>
          <w:rFonts w:ascii="Times New Roman" w:hAnsi="Times New Roman" w:cs="Times New Roman"/>
          <w:sz w:val="24"/>
          <w:szCs w:val="24"/>
        </w:rPr>
        <w:t>deteriorat</w:t>
      </w:r>
      <w:r w:rsidR="00046293" w:rsidRPr="00AC3C60">
        <w:rPr>
          <w:rFonts w:ascii="Times New Roman" w:hAnsi="Times New Roman" w:cs="Times New Roman"/>
          <w:sz w:val="24"/>
          <w:szCs w:val="24"/>
        </w:rPr>
        <w:t xml:space="preserve">ion in some aspects </w:t>
      </w:r>
      <w:r w:rsidR="00E95B50" w:rsidRPr="00AC3C60">
        <w:rPr>
          <w:rFonts w:ascii="Times New Roman" w:hAnsi="Times New Roman" w:cs="Times New Roman"/>
          <w:sz w:val="24"/>
          <w:szCs w:val="24"/>
        </w:rPr>
        <w:t>of psychological</w:t>
      </w:r>
      <w:r w:rsidR="0001406F" w:rsidRPr="00AC3C60">
        <w:rPr>
          <w:rFonts w:ascii="Times New Roman" w:hAnsi="Times New Roman" w:cs="Times New Roman"/>
          <w:sz w:val="24"/>
          <w:szCs w:val="24"/>
        </w:rPr>
        <w:t xml:space="preserve"> wellbeing during the </w:t>
      </w:r>
      <w:r w:rsidR="001B6A4C" w:rsidRPr="00AC3C60">
        <w:rPr>
          <w:rFonts w:ascii="Times New Roman" w:hAnsi="Times New Roman" w:cs="Times New Roman"/>
          <w:sz w:val="24"/>
          <w:szCs w:val="24"/>
        </w:rPr>
        <w:t xml:space="preserve">early stages of the </w:t>
      </w:r>
      <w:r w:rsidR="0001406F" w:rsidRPr="00AC3C60">
        <w:rPr>
          <w:rFonts w:ascii="Times New Roman" w:hAnsi="Times New Roman" w:cs="Times New Roman"/>
          <w:sz w:val="24"/>
          <w:szCs w:val="24"/>
        </w:rPr>
        <w:t xml:space="preserve">first lockdown </w:t>
      </w:r>
      <w:r w:rsidR="00D3544B" w:rsidRPr="00AC3C60">
        <w:rPr>
          <w:rFonts w:ascii="Times New Roman" w:hAnsi="Times New Roman" w:cs="Times New Roman"/>
          <w:sz w:val="24"/>
          <w:szCs w:val="24"/>
        </w:rPr>
        <w:t xml:space="preserve">in March and April 2020. </w:t>
      </w:r>
      <w:r w:rsidR="00D0486D" w:rsidRPr="00AC3C60">
        <w:rPr>
          <w:rFonts w:ascii="Times New Roman" w:hAnsi="Times New Roman" w:cs="Times New Roman"/>
          <w:sz w:val="24"/>
          <w:szCs w:val="24"/>
        </w:rPr>
        <w:t>Initial data suggested higher levels of anxiety</w:t>
      </w:r>
      <w:r w:rsidR="00326215" w:rsidRPr="00AC3C60">
        <w:rPr>
          <w:rFonts w:ascii="Times New Roman" w:hAnsi="Times New Roman" w:cs="Times New Roman"/>
          <w:sz w:val="24"/>
          <w:szCs w:val="24"/>
        </w:rPr>
        <w:t xml:space="preserve">, but there is little evidence to tell from studies reported to date whether </w:t>
      </w:r>
      <w:r w:rsidR="00C14876" w:rsidRPr="00AC3C60">
        <w:rPr>
          <w:rFonts w:ascii="Times New Roman" w:hAnsi="Times New Roman" w:cs="Times New Roman"/>
          <w:sz w:val="24"/>
          <w:szCs w:val="24"/>
        </w:rPr>
        <w:t xml:space="preserve">there was longer-term resilience to lockdowns, or whether </w:t>
      </w:r>
      <w:r w:rsidR="0004110A" w:rsidRPr="00AC3C60">
        <w:rPr>
          <w:rFonts w:ascii="Times New Roman" w:hAnsi="Times New Roman" w:cs="Times New Roman"/>
          <w:sz w:val="24"/>
          <w:szCs w:val="24"/>
        </w:rPr>
        <w:t>wellbeing deteriorated as lockdown</w:t>
      </w:r>
      <w:r w:rsidR="002F6510" w:rsidRPr="00AC3C60">
        <w:rPr>
          <w:rFonts w:ascii="Times New Roman" w:hAnsi="Times New Roman" w:cs="Times New Roman"/>
          <w:sz w:val="24"/>
          <w:szCs w:val="24"/>
        </w:rPr>
        <w:t>s</w:t>
      </w:r>
      <w:r w:rsidR="0004110A" w:rsidRPr="00AC3C60">
        <w:rPr>
          <w:rFonts w:ascii="Times New Roman" w:hAnsi="Times New Roman" w:cs="Times New Roman"/>
          <w:sz w:val="24"/>
          <w:szCs w:val="24"/>
        </w:rPr>
        <w:t xml:space="preserve"> stretch</w:t>
      </w:r>
      <w:r w:rsidR="002F6510" w:rsidRPr="00AC3C60">
        <w:rPr>
          <w:rFonts w:ascii="Times New Roman" w:hAnsi="Times New Roman" w:cs="Times New Roman"/>
          <w:sz w:val="24"/>
          <w:szCs w:val="24"/>
        </w:rPr>
        <w:t>ed</w:t>
      </w:r>
      <w:r w:rsidR="0004110A" w:rsidRPr="00AC3C60">
        <w:rPr>
          <w:rFonts w:ascii="Times New Roman" w:hAnsi="Times New Roman" w:cs="Times New Roman"/>
          <w:sz w:val="24"/>
          <w:szCs w:val="24"/>
        </w:rPr>
        <w:t xml:space="preserve"> into the next calendar year.</w:t>
      </w:r>
      <w:r w:rsidR="002F6510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D400DE" w:rsidRPr="00AC3C60">
        <w:rPr>
          <w:rFonts w:ascii="Times New Roman" w:hAnsi="Times New Roman" w:cs="Times New Roman"/>
          <w:sz w:val="24"/>
          <w:szCs w:val="24"/>
        </w:rPr>
        <w:t xml:space="preserve">Restrictions in the UK began to ease from July 2020, and the four nations (England, Scotland, </w:t>
      </w:r>
      <w:r w:rsidR="001B6A4C" w:rsidRPr="00AC3C60">
        <w:rPr>
          <w:rFonts w:ascii="Times New Roman" w:hAnsi="Times New Roman" w:cs="Times New Roman"/>
          <w:sz w:val="24"/>
          <w:szCs w:val="24"/>
        </w:rPr>
        <w:t>Wales,</w:t>
      </w:r>
      <w:r w:rsidR="00D400DE" w:rsidRPr="00AC3C60">
        <w:rPr>
          <w:rFonts w:ascii="Times New Roman" w:hAnsi="Times New Roman" w:cs="Times New Roman"/>
          <w:sz w:val="24"/>
          <w:szCs w:val="24"/>
        </w:rPr>
        <w:t xml:space="preserve"> and </w:t>
      </w:r>
      <w:r w:rsidR="009A0918" w:rsidRPr="00AC3C60">
        <w:rPr>
          <w:rFonts w:ascii="Times New Roman" w:hAnsi="Times New Roman" w:cs="Times New Roman"/>
          <w:sz w:val="24"/>
          <w:szCs w:val="24"/>
        </w:rPr>
        <w:t xml:space="preserve">Northern Ireland) began to take slightly different paths </w:t>
      </w:r>
      <w:r w:rsidR="00B864F5" w:rsidRPr="00AC3C60">
        <w:rPr>
          <w:rFonts w:ascii="Times New Roman" w:hAnsi="Times New Roman" w:cs="Times New Roman"/>
          <w:sz w:val="24"/>
          <w:szCs w:val="24"/>
        </w:rPr>
        <w:t xml:space="preserve">in terms of lockdowns in the following months </w:t>
      </w:r>
      <w:r w:rsidR="00E37914" w:rsidRPr="00AC3C60">
        <w:rPr>
          <w:rFonts w:ascii="Times New Roman" w:hAnsi="Times New Roman" w:cs="Times New Roman"/>
          <w:sz w:val="24"/>
          <w:szCs w:val="24"/>
        </w:rPr>
        <w:t xml:space="preserve">as regional levels of infection fluctuated. By </w:t>
      </w:r>
      <w:r w:rsidR="002F59F7" w:rsidRPr="00AC3C60">
        <w:rPr>
          <w:rFonts w:ascii="Times New Roman" w:hAnsi="Times New Roman" w:cs="Times New Roman"/>
          <w:sz w:val="24"/>
          <w:szCs w:val="24"/>
        </w:rPr>
        <w:t xml:space="preserve">early </w:t>
      </w:r>
      <w:r w:rsidR="00E37914" w:rsidRPr="00AC3C60">
        <w:rPr>
          <w:rFonts w:ascii="Times New Roman" w:hAnsi="Times New Roman" w:cs="Times New Roman"/>
          <w:sz w:val="24"/>
          <w:szCs w:val="24"/>
        </w:rPr>
        <w:t xml:space="preserve">January 2021 it was clear that there was </w:t>
      </w:r>
      <w:r w:rsidR="001B6A4C" w:rsidRPr="00AC3C60">
        <w:rPr>
          <w:rFonts w:ascii="Times New Roman" w:hAnsi="Times New Roman" w:cs="Times New Roman"/>
          <w:sz w:val="24"/>
          <w:szCs w:val="24"/>
        </w:rPr>
        <w:t xml:space="preserve">a </w:t>
      </w:r>
      <w:r w:rsidR="00DD1C40" w:rsidRPr="00AC3C60">
        <w:rPr>
          <w:rFonts w:ascii="Times New Roman" w:hAnsi="Times New Roman" w:cs="Times New Roman"/>
          <w:sz w:val="24"/>
          <w:szCs w:val="24"/>
        </w:rPr>
        <w:t xml:space="preserve">rapidly rising infection rate related to the </w:t>
      </w:r>
      <w:r w:rsidR="00DD1C40" w:rsidRPr="00AC3C60">
        <w:rPr>
          <w:rFonts w:ascii="Times New Roman" w:hAnsi="Times New Roman" w:cs="Times New Roman"/>
          <w:sz w:val="24"/>
          <w:szCs w:val="24"/>
        </w:rPr>
        <w:lastRenderedPageBreak/>
        <w:t>delta-variant of COVID-19</w:t>
      </w:r>
      <w:r w:rsidR="00DA3794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DA3794" w:rsidRPr="00AC3C60">
        <w:rPr>
          <w:rFonts w:ascii="Times New Roman" w:hAnsi="Times New Roman" w:cs="Times New Roman"/>
          <w:noProof/>
          <w:sz w:val="24"/>
          <w:szCs w:val="24"/>
        </w:rPr>
        <w:t>(PHE, 2021)</w:t>
      </w:r>
      <w:r w:rsidR="002F59F7" w:rsidRPr="00AC3C60">
        <w:rPr>
          <w:rFonts w:ascii="Times New Roman" w:hAnsi="Times New Roman" w:cs="Times New Roman"/>
          <w:sz w:val="24"/>
          <w:szCs w:val="24"/>
        </w:rPr>
        <w:t xml:space="preserve">, and a third lockdown was imposed in England that lasted until July. </w:t>
      </w:r>
      <w:r w:rsidR="00BB5383" w:rsidRPr="00AC3C60">
        <w:rPr>
          <w:rFonts w:ascii="Times New Roman" w:hAnsi="Times New Roman" w:cs="Times New Roman"/>
          <w:sz w:val="24"/>
          <w:szCs w:val="24"/>
        </w:rPr>
        <w:t xml:space="preserve">To date there </w:t>
      </w:r>
      <w:r w:rsidR="00A425C8" w:rsidRPr="00AC3C60">
        <w:rPr>
          <w:rFonts w:ascii="Times New Roman" w:hAnsi="Times New Roman" w:cs="Times New Roman"/>
          <w:sz w:val="24"/>
          <w:szCs w:val="24"/>
        </w:rPr>
        <w:t xml:space="preserve">is little published data on the effects of the third lockdown </w:t>
      </w:r>
      <w:r w:rsidR="00216018" w:rsidRPr="00AC3C60">
        <w:rPr>
          <w:rFonts w:ascii="Times New Roman" w:hAnsi="Times New Roman" w:cs="Times New Roman"/>
          <w:sz w:val="24"/>
          <w:szCs w:val="24"/>
        </w:rPr>
        <w:t xml:space="preserve">in England </w:t>
      </w:r>
      <w:r w:rsidR="00EF4047" w:rsidRPr="00AC3C60">
        <w:rPr>
          <w:rFonts w:ascii="Times New Roman" w:hAnsi="Times New Roman" w:cs="Times New Roman"/>
          <w:sz w:val="24"/>
          <w:szCs w:val="24"/>
        </w:rPr>
        <w:t xml:space="preserve">on psychological wellbeing. </w:t>
      </w:r>
      <w:r w:rsidR="00AB398B" w:rsidRPr="00AC3C60">
        <w:rPr>
          <w:rFonts w:ascii="Times New Roman" w:hAnsi="Times New Roman" w:cs="Times New Roman"/>
          <w:sz w:val="24"/>
          <w:szCs w:val="24"/>
        </w:rPr>
        <w:t>E</w:t>
      </w:r>
      <w:r w:rsidR="00E800A5" w:rsidRPr="00AC3C60">
        <w:rPr>
          <w:rFonts w:ascii="Times New Roman" w:hAnsi="Times New Roman" w:cs="Times New Roman"/>
          <w:sz w:val="24"/>
          <w:szCs w:val="24"/>
        </w:rPr>
        <w:t xml:space="preserve">vidence </w:t>
      </w:r>
      <w:r w:rsidR="00792217" w:rsidRPr="00AC3C60">
        <w:rPr>
          <w:rFonts w:ascii="Times New Roman" w:hAnsi="Times New Roman" w:cs="Times New Roman"/>
          <w:sz w:val="24"/>
          <w:szCs w:val="24"/>
        </w:rPr>
        <w:t xml:space="preserve">from polls </w:t>
      </w:r>
      <w:r w:rsidR="00403754" w:rsidRPr="00AC3C60">
        <w:rPr>
          <w:rFonts w:ascii="Times New Roman" w:hAnsi="Times New Roman" w:cs="Times New Roman"/>
          <w:sz w:val="24"/>
          <w:szCs w:val="24"/>
        </w:rPr>
        <w:t xml:space="preserve">at the start of the pandemic </w:t>
      </w:r>
      <w:r w:rsidR="00E800A5" w:rsidRPr="00AC3C60">
        <w:rPr>
          <w:rFonts w:ascii="Times New Roman" w:hAnsi="Times New Roman" w:cs="Times New Roman"/>
          <w:sz w:val="24"/>
          <w:szCs w:val="24"/>
        </w:rPr>
        <w:t>suggest</w:t>
      </w:r>
      <w:r w:rsidR="00403754" w:rsidRPr="00AC3C60">
        <w:rPr>
          <w:rFonts w:ascii="Times New Roman" w:hAnsi="Times New Roman" w:cs="Times New Roman"/>
          <w:sz w:val="24"/>
          <w:szCs w:val="24"/>
        </w:rPr>
        <w:t>ed</w:t>
      </w:r>
      <w:r w:rsidR="00E800A5" w:rsidRPr="00AC3C60">
        <w:rPr>
          <w:rFonts w:ascii="Times New Roman" w:hAnsi="Times New Roman" w:cs="Times New Roman"/>
          <w:sz w:val="24"/>
          <w:szCs w:val="24"/>
        </w:rPr>
        <w:t xml:space="preserve"> that </w:t>
      </w:r>
      <w:r w:rsidR="00FE3C5B" w:rsidRPr="00AC3C60">
        <w:rPr>
          <w:rFonts w:ascii="Times New Roman" w:hAnsi="Times New Roman" w:cs="Times New Roman"/>
          <w:sz w:val="24"/>
          <w:szCs w:val="24"/>
        </w:rPr>
        <w:t xml:space="preserve">people in the UK were finding it harder to stay positive </w:t>
      </w:r>
      <w:r w:rsidR="0037565E" w:rsidRPr="00AC3C60">
        <w:rPr>
          <w:rFonts w:ascii="Times New Roman" w:hAnsi="Times New Roman" w:cs="Times New Roman"/>
          <w:sz w:val="24"/>
          <w:szCs w:val="24"/>
        </w:rPr>
        <w:t xml:space="preserve">than during the initial outbreak </w:t>
      </w:r>
      <w:r w:rsidR="0075040B" w:rsidRPr="00AC3C60">
        <w:rPr>
          <w:rFonts w:ascii="Times New Roman" w:hAnsi="Times New Roman" w:cs="Times New Roman"/>
          <w:noProof/>
          <w:sz w:val="24"/>
          <w:szCs w:val="24"/>
        </w:rPr>
        <w:t>(Ipsos MORI, 2021)</w:t>
      </w:r>
      <w:r w:rsidR="00AB398B" w:rsidRPr="00AC3C60">
        <w:rPr>
          <w:rFonts w:ascii="Times New Roman" w:hAnsi="Times New Roman" w:cs="Times New Roman"/>
          <w:sz w:val="24"/>
          <w:szCs w:val="24"/>
        </w:rPr>
        <w:t xml:space="preserve"> and levels of happiness</w:t>
      </w:r>
      <w:r w:rsidR="008B7392" w:rsidRPr="00AC3C60">
        <w:rPr>
          <w:rFonts w:ascii="Times New Roman" w:hAnsi="Times New Roman" w:cs="Times New Roman"/>
          <w:sz w:val="24"/>
          <w:szCs w:val="24"/>
        </w:rPr>
        <w:t xml:space="preserve"> had declined </w:t>
      </w:r>
      <w:r w:rsidR="00C36151" w:rsidRPr="00AC3C60">
        <w:rPr>
          <w:rFonts w:ascii="Times New Roman" w:hAnsi="Times New Roman" w:cs="Times New Roman"/>
          <w:sz w:val="24"/>
          <w:szCs w:val="24"/>
        </w:rPr>
        <w:t>following a rise after the first lockdown ended</w:t>
      </w:r>
      <w:r w:rsidR="00AA34C2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6E6BDB" w:rsidRPr="00AC3C60">
        <w:rPr>
          <w:rFonts w:ascii="Times New Roman" w:hAnsi="Times New Roman" w:cs="Times New Roman"/>
          <w:noProof/>
          <w:sz w:val="24"/>
          <w:szCs w:val="24"/>
        </w:rPr>
        <w:t>(ONS, 2021a)</w:t>
      </w:r>
      <w:r w:rsidR="00AA34C2" w:rsidRPr="00AC3C60">
        <w:rPr>
          <w:rFonts w:ascii="Times New Roman" w:hAnsi="Times New Roman" w:cs="Times New Roman"/>
          <w:sz w:val="24"/>
          <w:szCs w:val="24"/>
        </w:rPr>
        <w:t>.</w:t>
      </w:r>
      <w:r w:rsidR="00F77582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5133F7" w:rsidRPr="00AC3C60">
        <w:rPr>
          <w:rFonts w:ascii="Times New Roman" w:hAnsi="Times New Roman" w:cs="Times New Roman"/>
          <w:sz w:val="24"/>
          <w:szCs w:val="24"/>
        </w:rPr>
        <w:t xml:space="preserve">This study reports </w:t>
      </w:r>
      <w:r w:rsidR="00697225" w:rsidRPr="00AC3C60">
        <w:rPr>
          <w:rFonts w:ascii="Times New Roman" w:hAnsi="Times New Roman" w:cs="Times New Roman"/>
          <w:sz w:val="24"/>
          <w:szCs w:val="24"/>
        </w:rPr>
        <w:t xml:space="preserve">on a particular population, members of the Church of England, </w:t>
      </w:r>
      <w:r w:rsidR="00DC4A3E" w:rsidRPr="00AC3C60">
        <w:rPr>
          <w:rFonts w:ascii="Times New Roman" w:hAnsi="Times New Roman" w:cs="Times New Roman"/>
          <w:sz w:val="24"/>
          <w:szCs w:val="24"/>
        </w:rPr>
        <w:t xml:space="preserve">using two cross-sectional studies based on online questionnaires </w:t>
      </w:r>
      <w:r w:rsidR="007C7373" w:rsidRPr="00AC3C60">
        <w:rPr>
          <w:rFonts w:ascii="Times New Roman" w:hAnsi="Times New Roman" w:cs="Times New Roman"/>
          <w:sz w:val="24"/>
          <w:szCs w:val="24"/>
        </w:rPr>
        <w:t xml:space="preserve">issued in the first and third lockdowns in England. The questionnaires contained the same items designed to measure </w:t>
      </w:r>
      <w:r w:rsidR="00E1234B" w:rsidRPr="00AC3C60">
        <w:rPr>
          <w:rFonts w:ascii="Times New Roman" w:hAnsi="Times New Roman" w:cs="Times New Roman"/>
          <w:sz w:val="24"/>
          <w:szCs w:val="24"/>
        </w:rPr>
        <w:t xml:space="preserve">self-reported </w:t>
      </w:r>
      <w:r w:rsidR="007C7373" w:rsidRPr="00AC3C60">
        <w:rPr>
          <w:rFonts w:ascii="Times New Roman" w:hAnsi="Times New Roman" w:cs="Times New Roman"/>
          <w:sz w:val="24"/>
          <w:szCs w:val="24"/>
        </w:rPr>
        <w:t>changes in psychol</w:t>
      </w:r>
      <w:r w:rsidR="00DA2B59" w:rsidRPr="00AC3C60">
        <w:rPr>
          <w:rFonts w:ascii="Times New Roman" w:hAnsi="Times New Roman" w:cs="Times New Roman"/>
          <w:sz w:val="24"/>
          <w:szCs w:val="24"/>
        </w:rPr>
        <w:t xml:space="preserve">ogical wellbeing since the onset of the pandemic. Changes during the first </w:t>
      </w:r>
      <w:r w:rsidR="00F67806" w:rsidRPr="00AC3C60">
        <w:rPr>
          <w:rFonts w:ascii="Times New Roman" w:hAnsi="Times New Roman" w:cs="Times New Roman"/>
          <w:sz w:val="24"/>
          <w:szCs w:val="24"/>
        </w:rPr>
        <w:t>lockdown</w:t>
      </w:r>
      <w:r w:rsidR="00DA2B59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113634" w:rsidRPr="00AC3C60">
        <w:rPr>
          <w:rFonts w:ascii="Times New Roman" w:hAnsi="Times New Roman" w:cs="Times New Roman"/>
          <w:sz w:val="24"/>
          <w:szCs w:val="24"/>
        </w:rPr>
        <w:t xml:space="preserve">in England </w:t>
      </w:r>
      <w:r w:rsidR="00DA2B59" w:rsidRPr="00AC3C60">
        <w:rPr>
          <w:rFonts w:ascii="Times New Roman" w:hAnsi="Times New Roman" w:cs="Times New Roman"/>
          <w:sz w:val="24"/>
          <w:szCs w:val="24"/>
        </w:rPr>
        <w:t>have been reported elsewhere</w:t>
      </w:r>
      <w:r w:rsidR="00947579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B71689" w:rsidRPr="00AC3C60">
        <w:rPr>
          <w:rFonts w:ascii="Times New Roman" w:hAnsi="Times New Roman" w:cs="Times New Roman"/>
          <w:noProof/>
          <w:sz w:val="24"/>
          <w:szCs w:val="24"/>
        </w:rPr>
        <w:t>(Village &amp; Francis, 2021b, 2021c)</w:t>
      </w:r>
      <w:r w:rsidR="00A32D1A" w:rsidRPr="00AC3C60">
        <w:rPr>
          <w:rFonts w:ascii="Times New Roman" w:hAnsi="Times New Roman" w:cs="Times New Roman"/>
          <w:sz w:val="24"/>
          <w:szCs w:val="24"/>
        </w:rPr>
        <w:t xml:space="preserve">. Here we report on differences in wellbeing between </w:t>
      </w:r>
      <w:r w:rsidR="00F67806" w:rsidRPr="00AC3C60">
        <w:rPr>
          <w:rFonts w:ascii="Times New Roman" w:hAnsi="Times New Roman" w:cs="Times New Roman"/>
          <w:sz w:val="24"/>
          <w:szCs w:val="24"/>
        </w:rPr>
        <w:t xml:space="preserve">that lockdown and the third </w:t>
      </w:r>
      <w:r w:rsidR="00113634" w:rsidRPr="00AC3C60">
        <w:rPr>
          <w:rFonts w:ascii="Times New Roman" w:hAnsi="Times New Roman" w:cs="Times New Roman"/>
          <w:sz w:val="24"/>
          <w:szCs w:val="24"/>
        </w:rPr>
        <w:t>national lockdown in England</w:t>
      </w:r>
      <w:r w:rsidR="00BE6322" w:rsidRPr="00AC3C60">
        <w:rPr>
          <w:rFonts w:ascii="Times New Roman" w:hAnsi="Times New Roman" w:cs="Times New Roman"/>
          <w:sz w:val="24"/>
          <w:szCs w:val="24"/>
        </w:rPr>
        <w:t xml:space="preserve"> among particular groups of clergy and lay people.</w:t>
      </w:r>
    </w:p>
    <w:p w14:paraId="3CFF9AA0" w14:textId="345F73D9" w:rsidR="00A00230" w:rsidRPr="00AC3C60" w:rsidRDefault="00BE545B" w:rsidP="00066E2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3C60">
        <w:rPr>
          <w:rFonts w:ascii="Times New Roman" w:hAnsi="Times New Roman" w:cs="Times New Roman"/>
          <w:b/>
          <w:bCs/>
          <w:sz w:val="24"/>
          <w:szCs w:val="24"/>
        </w:rPr>
        <w:t>Religion and wellbeing in the COVID-19 pandemic</w:t>
      </w:r>
    </w:p>
    <w:p w14:paraId="347C9E2B" w14:textId="4617722B" w:rsidR="001D5C63" w:rsidRPr="00AC3C60" w:rsidRDefault="005973D2" w:rsidP="00066E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t xml:space="preserve">The link between religion and health </w:t>
      </w:r>
      <w:r w:rsidR="004526C2" w:rsidRPr="00AC3C60">
        <w:rPr>
          <w:rFonts w:ascii="Times New Roman" w:hAnsi="Times New Roman" w:cs="Times New Roman"/>
          <w:sz w:val="24"/>
          <w:szCs w:val="24"/>
        </w:rPr>
        <w:t>has been well</w:t>
      </w:r>
      <w:r w:rsidR="00B851EE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4526C2" w:rsidRPr="00AC3C60">
        <w:rPr>
          <w:rFonts w:ascii="Times New Roman" w:hAnsi="Times New Roman" w:cs="Times New Roman"/>
          <w:sz w:val="24"/>
          <w:szCs w:val="24"/>
        </w:rPr>
        <w:t xml:space="preserve">research and widely reported on for many years </w:t>
      </w:r>
      <w:r w:rsidR="005E4E10" w:rsidRPr="00AC3C60">
        <w:rPr>
          <w:rFonts w:ascii="Times New Roman" w:hAnsi="Times New Roman" w:cs="Times New Roman"/>
          <w:noProof/>
          <w:sz w:val="24"/>
          <w:szCs w:val="24"/>
        </w:rPr>
        <w:t>(Koenig et al., 2012)</w:t>
      </w:r>
      <w:r w:rsidR="003840A0" w:rsidRPr="00AC3C60">
        <w:rPr>
          <w:rFonts w:ascii="Times New Roman" w:hAnsi="Times New Roman" w:cs="Times New Roman"/>
          <w:sz w:val="24"/>
          <w:szCs w:val="24"/>
        </w:rPr>
        <w:t xml:space="preserve">, and some have suggested specific ways in which religion might </w:t>
      </w:r>
      <w:r w:rsidR="00370864" w:rsidRPr="00AC3C60">
        <w:rPr>
          <w:rFonts w:ascii="Times New Roman" w:hAnsi="Times New Roman" w:cs="Times New Roman"/>
          <w:sz w:val="24"/>
          <w:szCs w:val="24"/>
        </w:rPr>
        <w:t xml:space="preserve">foster better </w:t>
      </w:r>
      <w:r w:rsidR="00D7302E" w:rsidRPr="00AC3C60">
        <w:rPr>
          <w:rFonts w:ascii="Times New Roman" w:hAnsi="Times New Roman" w:cs="Times New Roman"/>
          <w:sz w:val="24"/>
          <w:szCs w:val="24"/>
        </w:rPr>
        <w:t>health</w:t>
      </w:r>
      <w:r w:rsidR="00370864" w:rsidRPr="00AC3C60">
        <w:rPr>
          <w:rFonts w:ascii="Times New Roman" w:hAnsi="Times New Roman" w:cs="Times New Roman"/>
          <w:sz w:val="24"/>
          <w:szCs w:val="24"/>
        </w:rPr>
        <w:t xml:space="preserve"> during the COVID-19 pandemic </w:t>
      </w:r>
      <w:r w:rsidR="002158FD" w:rsidRPr="00AC3C60">
        <w:rPr>
          <w:rFonts w:ascii="Times New Roman" w:hAnsi="Times New Roman" w:cs="Times New Roman"/>
          <w:noProof/>
          <w:sz w:val="24"/>
          <w:szCs w:val="24"/>
        </w:rPr>
        <w:t>(Koenig, 2020)</w:t>
      </w:r>
      <w:r w:rsidR="00370864" w:rsidRPr="00AC3C60">
        <w:rPr>
          <w:rFonts w:ascii="Times New Roman" w:hAnsi="Times New Roman" w:cs="Times New Roman"/>
          <w:sz w:val="24"/>
          <w:szCs w:val="24"/>
        </w:rPr>
        <w:t>. Despite this, r</w:t>
      </w:r>
      <w:r w:rsidR="00B82CE0" w:rsidRPr="00AC3C60">
        <w:rPr>
          <w:rFonts w:ascii="Times New Roman" w:hAnsi="Times New Roman" w:cs="Times New Roman"/>
          <w:sz w:val="24"/>
          <w:szCs w:val="24"/>
        </w:rPr>
        <w:t xml:space="preserve">eligious adherents </w:t>
      </w:r>
      <w:r w:rsidR="00370864" w:rsidRPr="00AC3C60">
        <w:rPr>
          <w:rFonts w:ascii="Times New Roman" w:hAnsi="Times New Roman" w:cs="Times New Roman"/>
          <w:sz w:val="24"/>
          <w:szCs w:val="24"/>
        </w:rPr>
        <w:t xml:space="preserve">have not been immune from </w:t>
      </w:r>
      <w:r w:rsidR="00E741C8" w:rsidRPr="00AC3C60">
        <w:rPr>
          <w:rFonts w:ascii="Times New Roman" w:hAnsi="Times New Roman" w:cs="Times New Roman"/>
          <w:sz w:val="24"/>
          <w:szCs w:val="24"/>
        </w:rPr>
        <w:t>the effects of the virus</w:t>
      </w:r>
      <w:r w:rsidR="002132A4" w:rsidRPr="00AC3C60">
        <w:rPr>
          <w:rFonts w:ascii="Times New Roman" w:hAnsi="Times New Roman" w:cs="Times New Roman"/>
          <w:sz w:val="24"/>
          <w:szCs w:val="24"/>
        </w:rPr>
        <w:t>, and in a few cases religious groups have been implicated in its spread</w:t>
      </w:r>
      <w:r w:rsidR="006F18ED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AE0851" w:rsidRPr="00AC3C60">
        <w:rPr>
          <w:rFonts w:ascii="Times New Roman" w:hAnsi="Times New Roman" w:cs="Times New Roman"/>
          <w:noProof/>
          <w:sz w:val="24"/>
          <w:szCs w:val="24"/>
        </w:rPr>
        <w:t>(Dein et al., 2020)</w:t>
      </w:r>
      <w:r w:rsidR="005305BD" w:rsidRPr="00AC3C60">
        <w:rPr>
          <w:rFonts w:ascii="Times New Roman" w:hAnsi="Times New Roman" w:cs="Times New Roman"/>
          <w:sz w:val="24"/>
          <w:szCs w:val="24"/>
        </w:rPr>
        <w:t xml:space="preserve">. </w:t>
      </w:r>
      <w:r w:rsidR="00C04F38" w:rsidRPr="00AC3C60">
        <w:rPr>
          <w:rFonts w:ascii="Times New Roman" w:hAnsi="Times New Roman" w:cs="Times New Roman"/>
          <w:sz w:val="24"/>
          <w:szCs w:val="24"/>
        </w:rPr>
        <w:t xml:space="preserve">Religious affiliation </w:t>
      </w:r>
      <w:r w:rsidR="00C53B0E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D3136F" w:rsidRPr="00AC3C60">
        <w:rPr>
          <w:rFonts w:ascii="Times New Roman" w:hAnsi="Times New Roman" w:cs="Times New Roman"/>
          <w:noProof/>
          <w:sz w:val="24"/>
          <w:szCs w:val="24"/>
        </w:rPr>
        <w:t>(Chang et al., 2021; Schnabel &amp; Schieman, 2021)</w:t>
      </w:r>
      <w:r w:rsidR="007102E3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C04F38" w:rsidRPr="00AC3C60">
        <w:rPr>
          <w:rFonts w:ascii="Times New Roman" w:hAnsi="Times New Roman" w:cs="Times New Roman"/>
          <w:sz w:val="24"/>
          <w:szCs w:val="24"/>
        </w:rPr>
        <w:t>or r</w:t>
      </w:r>
      <w:r w:rsidR="00C50E5B" w:rsidRPr="00AC3C60">
        <w:rPr>
          <w:rFonts w:ascii="Times New Roman" w:hAnsi="Times New Roman" w:cs="Times New Roman"/>
          <w:sz w:val="24"/>
          <w:szCs w:val="24"/>
        </w:rPr>
        <w:t>eligious coping</w:t>
      </w:r>
      <w:r w:rsidR="007B3D66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5E4E10" w:rsidRPr="00AC3C60">
        <w:rPr>
          <w:rFonts w:ascii="Times New Roman" w:hAnsi="Times New Roman" w:cs="Times New Roman"/>
          <w:noProof/>
          <w:sz w:val="24"/>
          <w:szCs w:val="24"/>
        </w:rPr>
        <w:t>(Coppola et al., 2021; Counted et al., 2020; Pirutinsky et al., 2020; Thomas &amp; Barbato, 2020)</w:t>
      </w:r>
      <w:r w:rsidR="00D7302E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A85B01" w:rsidRPr="00AC3C60">
        <w:rPr>
          <w:rFonts w:ascii="Times New Roman" w:hAnsi="Times New Roman" w:cs="Times New Roman"/>
          <w:sz w:val="24"/>
          <w:szCs w:val="24"/>
        </w:rPr>
        <w:t>may have helped</w:t>
      </w:r>
      <w:r w:rsidR="00D12BAA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6C631F" w:rsidRPr="00AC3C60">
        <w:rPr>
          <w:rFonts w:ascii="Times New Roman" w:hAnsi="Times New Roman" w:cs="Times New Roman"/>
          <w:sz w:val="24"/>
          <w:szCs w:val="24"/>
        </w:rPr>
        <w:t xml:space="preserve">some groups to </w:t>
      </w:r>
      <w:r w:rsidR="00562436" w:rsidRPr="00AC3C60">
        <w:rPr>
          <w:rFonts w:ascii="Times New Roman" w:hAnsi="Times New Roman" w:cs="Times New Roman"/>
          <w:sz w:val="24"/>
          <w:szCs w:val="24"/>
        </w:rPr>
        <w:t>weather the</w:t>
      </w:r>
      <w:r w:rsidR="0080214E" w:rsidRPr="00AC3C60">
        <w:rPr>
          <w:rFonts w:ascii="Times New Roman" w:hAnsi="Times New Roman" w:cs="Times New Roman"/>
          <w:sz w:val="24"/>
          <w:szCs w:val="24"/>
        </w:rPr>
        <w:t xml:space="preserve"> pandemic </w:t>
      </w:r>
      <w:r w:rsidR="00562436" w:rsidRPr="00AC3C60">
        <w:rPr>
          <w:rFonts w:ascii="Times New Roman" w:hAnsi="Times New Roman" w:cs="Times New Roman"/>
          <w:sz w:val="24"/>
          <w:szCs w:val="24"/>
        </w:rPr>
        <w:t>more successfully</w:t>
      </w:r>
      <w:r w:rsidR="00B40EE4" w:rsidRPr="00AC3C60">
        <w:rPr>
          <w:rFonts w:ascii="Times New Roman" w:hAnsi="Times New Roman" w:cs="Times New Roman"/>
          <w:sz w:val="24"/>
          <w:szCs w:val="24"/>
        </w:rPr>
        <w:t>, at least initially</w:t>
      </w:r>
      <w:r w:rsidR="005634A8" w:rsidRPr="00AC3C60">
        <w:rPr>
          <w:rFonts w:ascii="Times New Roman" w:hAnsi="Times New Roman" w:cs="Times New Roman"/>
          <w:sz w:val="24"/>
          <w:szCs w:val="24"/>
        </w:rPr>
        <w:t xml:space="preserve">, but </w:t>
      </w:r>
      <w:r w:rsidR="007102E3" w:rsidRPr="00AC3C60">
        <w:rPr>
          <w:rFonts w:ascii="Times New Roman" w:hAnsi="Times New Roman" w:cs="Times New Roman"/>
          <w:sz w:val="24"/>
          <w:szCs w:val="24"/>
        </w:rPr>
        <w:t xml:space="preserve">there </w:t>
      </w:r>
      <w:r w:rsidR="00217F49" w:rsidRPr="00AC3C60">
        <w:rPr>
          <w:rFonts w:ascii="Times New Roman" w:hAnsi="Times New Roman" w:cs="Times New Roman"/>
          <w:sz w:val="24"/>
          <w:szCs w:val="24"/>
        </w:rPr>
        <w:t xml:space="preserve">is </w:t>
      </w:r>
      <w:r w:rsidR="007102E3" w:rsidRPr="00AC3C60">
        <w:rPr>
          <w:rFonts w:ascii="Times New Roman" w:hAnsi="Times New Roman" w:cs="Times New Roman"/>
          <w:sz w:val="24"/>
          <w:szCs w:val="24"/>
        </w:rPr>
        <w:t xml:space="preserve">evidence to show </w:t>
      </w:r>
      <w:r w:rsidR="004F4B5B" w:rsidRPr="00AC3C60">
        <w:rPr>
          <w:rFonts w:ascii="Times New Roman" w:hAnsi="Times New Roman" w:cs="Times New Roman"/>
          <w:sz w:val="24"/>
          <w:szCs w:val="24"/>
        </w:rPr>
        <w:t xml:space="preserve">some </w:t>
      </w:r>
      <w:r w:rsidR="007102E3" w:rsidRPr="00AC3C60">
        <w:rPr>
          <w:rFonts w:ascii="Times New Roman" w:hAnsi="Times New Roman" w:cs="Times New Roman"/>
          <w:sz w:val="24"/>
          <w:szCs w:val="24"/>
        </w:rPr>
        <w:t>religious professionals</w:t>
      </w:r>
      <w:r w:rsidR="004F4B5B" w:rsidRPr="00AC3C60">
        <w:rPr>
          <w:rFonts w:ascii="Times New Roman" w:hAnsi="Times New Roman" w:cs="Times New Roman"/>
          <w:sz w:val="24"/>
          <w:szCs w:val="24"/>
        </w:rPr>
        <w:t xml:space="preserve"> suffered </w:t>
      </w:r>
      <w:r w:rsidR="00D21FB3" w:rsidRPr="00AC3C60">
        <w:rPr>
          <w:rFonts w:ascii="Times New Roman" w:hAnsi="Times New Roman" w:cs="Times New Roman"/>
          <w:sz w:val="24"/>
          <w:szCs w:val="24"/>
        </w:rPr>
        <w:t>during the first lockdown in England</w:t>
      </w:r>
      <w:r w:rsidR="00F70092" w:rsidRPr="00AC3C60">
        <w:rPr>
          <w:rFonts w:ascii="Times New Roman" w:hAnsi="Times New Roman" w:cs="Times New Roman"/>
          <w:sz w:val="24"/>
          <w:szCs w:val="24"/>
        </w:rPr>
        <w:t xml:space="preserve">. The </w:t>
      </w:r>
      <w:r w:rsidR="00F70092" w:rsidRPr="00AC3C60">
        <w:rPr>
          <w:rFonts w:ascii="Times New Roman" w:hAnsi="Times New Roman" w:cs="Times New Roman"/>
          <w:i/>
          <w:iCs/>
          <w:sz w:val="24"/>
          <w:szCs w:val="24"/>
        </w:rPr>
        <w:t>Li</w:t>
      </w:r>
      <w:r w:rsidR="0086029F" w:rsidRPr="00AC3C60">
        <w:rPr>
          <w:rFonts w:ascii="Times New Roman" w:hAnsi="Times New Roman" w:cs="Times New Roman"/>
          <w:i/>
          <w:iCs/>
          <w:sz w:val="24"/>
          <w:szCs w:val="24"/>
        </w:rPr>
        <w:t xml:space="preserve">ving Ministry </w:t>
      </w:r>
      <w:r w:rsidR="0086029F" w:rsidRPr="00AC3C60">
        <w:rPr>
          <w:rFonts w:ascii="Times New Roman" w:hAnsi="Times New Roman" w:cs="Times New Roman"/>
          <w:sz w:val="24"/>
          <w:szCs w:val="24"/>
        </w:rPr>
        <w:t xml:space="preserve"> project </w:t>
      </w:r>
      <w:r w:rsidR="00DA6588" w:rsidRPr="00AC3C60">
        <w:rPr>
          <w:rFonts w:ascii="Times New Roman" w:hAnsi="Times New Roman" w:cs="Times New Roman"/>
          <w:sz w:val="24"/>
          <w:szCs w:val="24"/>
        </w:rPr>
        <w:t>in</w:t>
      </w:r>
      <w:r w:rsidR="0086029F" w:rsidRPr="00AC3C60">
        <w:rPr>
          <w:rFonts w:ascii="Times New Roman" w:hAnsi="Times New Roman" w:cs="Times New Roman"/>
          <w:sz w:val="24"/>
          <w:szCs w:val="24"/>
        </w:rPr>
        <w:t xml:space="preserve"> the Church of England has</w:t>
      </w:r>
      <w:r w:rsidR="00A8301D" w:rsidRPr="00AC3C60">
        <w:rPr>
          <w:rFonts w:ascii="Times New Roman" w:hAnsi="Times New Roman" w:cs="Times New Roman"/>
          <w:sz w:val="24"/>
          <w:szCs w:val="24"/>
        </w:rPr>
        <w:t xml:space="preserve"> run panel surveys of clergy ordained since 2006</w:t>
      </w:r>
      <w:r w:rsidR="00253CE9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550EBB" w:rsidRPr="00AC3C60">
        <w:rPr>
          <w:rFonts w:ascii="Times New Roman" w:hAnsi="Times New Roman" w:cs="Times New Roman"/>
          <w:noProof/>
          <w:sz w:val="24"/>
          <w:szCs w:val="24"/>
        </w:rPr>
        <w:t>(Church of England, 2021)</w:t>
      </w:r>
      <w:r w:rsidR="00A8301D" w:rsidRPr="00AC3C60">
        <w:rPr>
          <w:rFonts w:ascii="Times New Roman" w:hAnsi="Times New Roman" w:cs="Times New Roman"/>
          <w:sz w:val="24"/>
          <w:szCs w:val="24"/>
        </w:rPr>
        <w:t xml:space="preserve">. </w:t>
      </w:r>
      <w:r w:rsidR="00550EBB" w:rsidRPr="00AC3C60">
        <w:rPr>
          <w:rFonts w:ascii="Times New Roman" w:hAnsi="Times New Roman" w:cs="Times New Roman"/>
          <w:sz w:val="24"/>
          <w:szCs w:val="24"/>
        </w:rPr>
        <w:t xml:space="preserve">The surveys have included the </w:t>
      </w:r>
      <w:r w:rsidR="00383B1A" w:rsidRPr="00AC3C60">
        <w:rPr>
          <w:rFonts w:ascii="Times New Roman" w:hAnsi="Times New Roman" w:cs="Times New Roman"/>
          <w:sz w:val="24"/>
          <w:szCs w:val="24"/>
        </w:rPr>
        <w:t xml:space="preserve">Warwick Edinburgh Mental </w:t>
      </w:r>
      <w:r w:rsidR="00383B1A" w:rsidRPr="00AC3C60">
        <w:rPr>
          <w:rFonts w:ascii="Times New Roman" w:hAnsi="Times New Roman" w:cs="Times New Roman"/>
          <w:sz w:val="24"/>
          <w:szCs w:val="24"/>
        </w:rPr>
        <w:lastRenderedPageBreak/>
        <w:t>Wellbeing Scale</w:t>
      </w:r>
      <w:r w:rsidR="001F1633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8A6A06" w:rsidRPr="00AC3C60">
        <w:rPr>
          <w:rFonts w:ascii="Times New Roman" w:hAnsi="Times New Roman" w:cs="Times New Roman"/>
          <w:sz w:val="24"/>
          <w:szCs w:val="24"/>
        </w:rPr>
        <w:t>(WE</w:t>
      </w:r>
      <w:r w:rsidR="001F1633" w:rsidRPr="00AC3C60">
        <w:rPr>
          <w:rFonts w:ascii="Times New Roman" w:hAnsi="Times New Roman" w:cs="Times New Roman"/>
          <w:sz w:val="24"/>
          <w:szCs w:val="24"/>
        </w:rPr>
        <w:t>MWBS)</w:t>
      </w:r>
      <w:r w:rsidR="00C6152C" w:rsidRPr="00AC3C60">
        <w:rPr>
          <w:rFonts w:ascii="Times New Roman" w:hAnsi="Times New Roman" w:cs="Times New Roman"/>
          <w:sz w:val="24"/>
          <w:szCs w:val="24"/>
        </w:rPr>
        <w:t xml:space="preserve"> as a measure of mental wellbeing</w:t>
      </w:r>
      <w:r w:rsidR="00CD23F4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CD23F4" w:rsidRPr="00AC3C60">
        <w:rPr>
          <w:rFonts w:ascii="Times New Roman" w:hAnsi="Times New Roman" w:cs="Times New Roman"/>
          <w:noProof/>
          <w:sz w:val="24"/>
          <w:szCs w:val="24"/>
        </w:rPr>
        <w:t>(Tennant et al., 2007)</w:t>
      </w:r>
      <w:r w:rsidR="00C6152C" w:rsidRPr="00AC3C60">
        <w:rPr>
          <w:rFonts w:ascii="Times New Roman" w:hAnsi="Times New Roman" w:cs="Times New Roman"/>
          <w:sz w:val="24"/>
          <w:szCs w:val="24"/>
        </w:rPr>
        <w:t xml:space="preserve">. The Panel 3 survey </w:t>
      </w:r>
      <w:r w:rsidR="00EF65F5" w:rsidRPr="00AC3C60">
        <w:rPr>
          <w:rFonts w:ascii="Times New Roman" w:hAnsi="Times New Roman" w:cs="Times New Roman"/>
          <w:sz w:val="24"/>
          <w:szCs w:val="24"/>
        </w:rPr>
        <w:t xml:space="preserve">ran in 2021 and results were compared with the Panel 2 survey </w:t>
      </w:r>
      <w:r w:rsidR="00DA6588" w:rsidRPr="00AC3C60">
        <w:rPr>
          <w:rFonts w:ascii="Times New Roman" w:hAnsi="Times New Roman" w:cs="Times New Roman"/>
          <w:sz w:val="24"/>
          <w:szCs w:val="24"/>
        </w:rPr>
        <w:t>of</w:t>
      </w:r>
      <w:r w:rsidR="00EF65F5" w:rsidRPr="00AC3C60">
        <w:rPr>
          <w:rFonts w:ascii="Times New Roman" w:hAnsi="Times New Roman" w:cs="Times New Roman"/>
          <w:sz w:val="24"/>
          <w:szCs w:val="24"/>
        </w:rPr>
        <w:t xml:space="preserve"> 2019 for </w:t>
      </w:r>
      <w:r w:rsidR="00B73076" w:rsidRPr="00AC3C60">
        <w:rPr>
          <w:rFonts w:ascii="Times New Roman" w:hAnsi="Times New Roman" w:cs="Times New Roman"/>
          <w:sz w:val="24"/>
          <w:szCs w:val="24"/>
        </w:rPr>
        <w:t xml:space="preserve">340 clergy </w:t>
      </w:r>
      <w:r w:rsidR="00A40411" w:rsidRPr="00AC3C60">
        <w:rPr>
          <w:rFonts w:ascii="Times New Roman" w:hAnsi="Times New Roman" w:cs="Times New Roman"/>
          <w:sz w:val="24"/>
          <w:szCs w:val="24"/>
        </w:rPr>
        <w:t xml:space="preserve">who completed both surveys. Of these, 42% reported </w:t>
      </w:r>
      <w:r w:rsidR="00133A3E" w:rsidRPr="00AC3C60">
        <w:rPr>
          <w:rFonts w:ascii="Times New Roman" w:hAnsi="Times New Roman" w:cs="Times New Roman"/>
          <w:sz w:val="24"/>
          <w:szCs w:val="24"/>
        </w:rPr>
        <w:t>their mental wellbeing to be worse</w:t>
      </w:r>
      <w:r w:rsidR="008A6A06" w:rsidRPr="00AC3C60">
        <w:rPr>
          <w:rFonts w:ascii="Times New Roman" w:hAnsi="Times New Roman" w:cs="Times New Roman"/>
          <w:sz w:val="24"/>
          <w:szCs w:val="24"/>
        </w:rPr>
        <w:t xml:space="preserve">, and average </w:t>
      </w:r>
      <w:r w:rsidR="001F1633" w:rsidRPr="00AC3C60">
        <w:rPr>
          <w:rFonts w:ascii="Times New Roman" w:hAnsi="Times New Roman" w:cs="Times New Roman"/>
          <w:sz w:val="24"/>
          <w:szCs w:val="24"/>
        </w:rPr>
        <w:t xml:space="preserve">WEMWBS scores declined from </w:t>
      </w:r>
      <w:r w:rsidR="00AC32C4" w:rsidRPr="00AC3C60">
        <w:rPr>
          <w:rFonts w:ascii="Times New Roman" w:hAnsi="Times New Roman" w:cs="Times New Roman"/>
          <w:sz w:val="24"/>
          <w:szCs w:val="24"/>
        </w:rPr>
        <w:t>50.0 to 47.5</w:t>
      </w:r>
      <w:r w:rsidR="00133A3E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133A3E" w:rsidRPr="00AC3C60">
        <w:rPr>
          <w:rFonts w:ascii="Times New Roman" w:hAnsi="Times New Roman" w:cs="Times New Roman"/>
          <w:noProof/>
          <w:sz w:val="24"/>
          <w:szCs w:val="24"/>
        </w:rPr>
        <w:t>(McFerran &amp; Graveling, 2021)</w:t>
      </w:r>
      <w:r w:rsidR="00133A3E" w:rsidRPr="00AC3C60">
        <w:rPr>
          <w:rFonts w:ascii="Times New Roman" w:hAnsi="Times New Roman" w:cs="Times New Roman"/>
          <w:sz w:val="24"/>
          <w:szCs w:val="24"/>
        </w:rPr>
        <w:t>.</w:t>
      </w:r>
    </w:p>
    <w:p w14:paraId="590C092A" w14:textId="0979AE66" w:rsidR="00A03135" w:rsidRPr="00AC3C60" w:rsidRDefault="001D5C63" w:rsidP="001D5C6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t>D</w:t>
      </w:r>
      <w:r w:rsidR="00AC5F79" w:rsidRPr="00AC3C60">
        <w:rPr>
          <w:rFonts w:ascii="Times New Roman" w:hAnsi="Times New Roman" w:cs="Times New Roman"/>
          <w:sz w:val="24"/>
          <w:szCs w:val="24"/>
        </w:rPr>
        <w:t xml:space="preserve">uring the first </w:t>
      </w:r>
      <w:r w:rsidR="005B0BB5" w:rsidRPr="00AC3C60">
        <w:rPr>
          <w:rFonts w:ascii="Times New Roman" w:hAnsi="Times New Roman" w:cs="Times New Roman"/>
          <w:sz w:val="24"/>
          <w:szCs w:val="24"/>
        </w:rPr>
        <w:t>U</w:t>
      </w:r>
      <w:r w:rsidR="00AC5F79" w:rsidRPr="00AC3C60">
        <w:rPr>
          <w:rFonts w:ascii="Times New Roman" w:hAnsi="Times New Roman" w:cs="Times New Roman"/>
          <w:sz w:val="24"/>
          <w:szCs w:val="24"/>
        </w:rPr>
        <w:t xml:space="preserve">K lockdown </w:t>
      </w:r>
      <w:r w:rsidR="005B0BB5" w:rsidRPr="00AC3C60">
        <w:rPr>
          <w:rFonts w:ascii="Times New Roman" w:hAnsi="Times New Roman" w:cs="Times New Roman"/>
          <w:sz w:val="24"/>
          <w:szCs w:val="24"/>
        </w:rPr>
        <w:t xml:space="preserve">the </w:t>
      </w:r>
      <w:r w:rsidR="005B0BB5" w:rsidRPr="00AC3C60">
        <w:rPr>
          <w:rFonts w:ascii="Times New Roman" w:hAnsi="Times New Roman" w:cs="Times New Roman"/>
          <w:i/>
          <w:iCs/>
          <w:sz w:val="24"/>
          <w:szCs w:val="24"/>
        </w:rPr>
        <w:t xml:space="preserve">Coronavirus, Church &amp; </w:t>
      </w:r>
      <w:r w:rsidR="00D7302E" w:rsidRPr="00AC3C60">
        <w:rPr>
          <w:rFonts w:ascii="Times New Roman" w:hAnsi="Times New Roman" w:cs="Times New Roman"/>
          <w:i/>
          <w:iCs/>
          <w:sz w:val="24"/>
          <w:szCs w:val="24"/>
        </w:rPr>
        <w:t xml:space="preserve">You </w:t>
      </w:r>
      <w:r w:rsidR="00D7302E" w:rsidRPr="00AC3C60">
        <w:rPr>
          <w:rFonts w:ascii="Times New Roman" w:hAnsi="Times New Roman" w:cs="Times New Roman"/>
          <w:sz w:val="24"/>
          <w:szCs w:val="24"/>
        </w:rPr>
        <w:t>survey</w:t>
      </w:r>
      <w:r w:rsidR="005B0BB5" w:rsidRPr="00AC3C60">
        <w:rPr>
          <w:rFonts w:ascii="Times New Roman" w:hAnsi="Times New Roman" w:cs="Times New Roman"/>
          <w:sz w:val="24"/>
          <w:szCs w:val="24"/>
        </w:rPr>
        <w:t xml:space="preserve"> collected </w:t>
      </w:r>
      <w:r w:rsidR="00C415A1" w:rsidRPr="00AC3C60">
        <w:rPr>
          <w:rFonts w:ascii="Times New Roman" w:hAnsi="Times New Roman" w:cs="Times New Roman"/>
          <w:sz w:val="24"/>
          <w:szCs w:val="24"/>
        </w:rPr>
        <w:t xml:space="preserve">data on psychological wellbeing </w:t>
      </w:r>
      <w:r w:rsidR="00300ED4" w:rsidRPr="00AC3C60">
        <w:rPr>
          <w:rFonts w:ascii="Times New Roman" w:hAnsi="Times New Roman" w:cs="Times New Roman"/>
          <w:sz w:val="24"/>
          <w:szCs w:val="24"/>
        </w:rPr>
        <w:t>from ministers</w:t>
      </w:r>
      <w:r w:rsidR="003C490E" w:rsidRPr="00AC3C60">
        <w:rPr>
          <w:rFonts w:ascii="Times New Roman" w:hAnsi="Times New Roman" w:cs="Times New Roman"/>
          <w:sz w:val="24"/>
          <w:szCs w:val="24"/>
        </w:rPr>
        <w:t xml:space="preserve"> and lay people</w:t>
      </w:r>
      <w:r w:rsidR="00C415A1" w:rsidRPr="00AC3C60">
        <w:rPr>
          <w:rFonts w:ascii="Times New Roman" w:hAnsi="Times New Roman" w:cs="Times New Roman"/>
          <w:sz w:val="24"/>
          <w:szCs w:val="24"/>
        </w:rPr>
        <w:t xml:space="preserve"> in the </w:t>
      </w:r>
      <w:r w:rsidR="0060725A" w:rsidRPr="00AC3C60">
        <w:rPr>
          <w:rFonts w:ascii="Times New Roman" w:hAnsi="Times New Roman" w:cs="Times New Roman"/>
          <w:sz w:val="24"/>
          <w:szCs w:val="24"/>
        </w:rPr>
        <w:t xml:space="preserve">Church of England and other denominations across the UK </w:t>
      </w:r>
      <w:r w:rsidR="00096BCA" w:rsidRPr="00AC3C60">
        <w:rPr>
          <w:rFonts w:ascii="Times New Roman" w:hAnsi="Times New Roman" w:cs="Times New Roman"/>
          <w:noProof/>
          <w:sz w:val="24"/>
          <w:szCs w:val="24"/>
        </w:rPr>
        <w:t>(Francis &amp; Village, 2021b, 2021c; Village &amp; Francis, 2021a, 2021c)</w:t>
      </w:r>
      <w:r w:rsidR="0060725A" w:rsidRPr="00AC3C60">
        <w:rPr>
          <w:rFonts w:ascii="Times New Roman" w:hAnsi="Times New Roman" w:cs="Times New Roman"/>
          <w:sz w:val="24"/>
          <w:szCs w:val="24"/>
        </w:rPr>
        <w:t xml:space="preserve">. </w:t>
      </w:r>
      <w:r w:rsidR="00B16B43" w:rsidRPr="00AC3C60">
        <w:rPr>
          <w:rFonts w:ascii="Times New Roman" w:hAnsi="Times New Roman" w:cs="Times New Roman"/>
          <w:sz w:val="24"/>
          <w:szCs w:val="24"/>
        </w:rPr>
        <w:t>The data distinguished between five aspects of wellbeing</w:t>
      </w:r>
      <w:r w:rsidR="00075BAB" w:rsidRPr="00AC3C60">
        <w:rPr>
          <w:rFonts w:ascii="Times New Roman" w:hAnsi="Times New Roman" w:cs="Times New Roman"/>
          <w:sz w:val="24"/>
          <w:szCs w:val="24"/>
        </w:rPr>
        <w:t xml:space="preserve"> among 1,496 clergy</w:t>
      </w:r>
      <w:r w:rsidR="00B16B43" w:rsidRPr="00AC3C60">
        <w:rPr>
          <w:rFonts w:ascii="Times New Roman" w:hAnsi="Times New Roman" w:cs="Times New Roman"/>
          <w:sz w:val="24"/>
          <w:szCs w:val="24"/>
        </w:rPr>
        <w:t xml:space="preserve">: fatigue, disengagement, positivity, closeness to people, and closeness to God. As a result of lockdown clergy perceived large increases not only in fatigue and disengagement, but also in positivity. </w:t>
      </w:r>
      <w:r w:rsidR="00C770F4" w:rsidRPr="00AC3C60">
        <w:rPr>
          <w:rFonts w:ascii="Times New Roman" w:hAnsi="Times New Roman" w:cs="Times New Roman"/>
          <w:sz w:val="24"/>
          <w:szCs w:val="24"/>
        </w:rPr>
        <w:t xml:space="preserve">For example, although lockdown </w:t>
      </w:r>
      <w:r w:rsidR="00DA6588" w:rsidRPr="00AC3C60">
        <w:rPr>
          <w:rFonts w:ascii="Times New Roman" w:hAnsi="Times New Roman" w:cs="Times New Roman"/>
          <w:sz w:val="24"/>
          <w:szCs w:val="24"/>
        </w:rPr>
        <w:t>meant</w:t>
      </w:r>
      <w:r w:rsidR="00B16B43" w:rsidRPr="00AC3C60">
        <w:rPr>
          <w:rFonts w:ascii="Times New Roman" w:hAnsi="Times New Roman" w:cs="Times New Roman"/>
          <w:sz w:val="24"/>
          <w:szCs w:val="24"/>
        </w:rPr>
        <w:t xml:space="preserve"> clergy felt less close to people, they felt closer to God</w:t>
      </w:r>
      <w:r w:rsidR="00BE797E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B71689" w:rsidRPr="00AC3C60">
        <w:rPr>
          <w:rFonts w:ascii="Times New Roman" w:hAnsi="Times New Roman" w:cs="Times New Roman"/>
          <w:noProof/>
          <w:sz w:val="24"/>
          <w:szCs w:val="24"/>
        </w:rPr>
        <w:t>(Village &amp; Francis, 2021c)</w:t>
      </w:r>
      <w:r w:rsidR="00B16B43" w:rsidRPr="00AC3C60">
        <w:rPr>
          <w:rFonts w:ascii="Times New Roman" w:hAnsi="Times New Roman" w:cs="Times New Roman"/>
          <w:sz w:val="24"/>
          <w:szCs w:val="24"/>
        </w:rPr>
        <w:t xml:space="preserve">. </w:t>
      </w:r>
      <w:r w:rsidR="0060725A" w:rsidRPr="00AC3C60">
        <w:rPr>
          <w:rFonts w:ascii="Times New Roman" w:hAnsi="Times New Roman" w:cs="Times New Roman"/>
          <w:sz w:val="24"/>
          <w:szCs w:val="24"/>
        </w:rPr>
        <w:t xml:space="preserve">We have </w:t>
      </w:r>
      <w:r w:rsidR="00507A2D" w:rsidRPr="00AC3C60">
        <w:rPr>
          <w:rFonts w:ascii="Times New Roman" w:hAnsi="Times New Roman" w:cs="Times New Roman"/>
          <w:sz w:val="24"/>
          <w:szCs w:val="24"/>
        </w:rPr>
        <w:t xml:space="preserve">previously reported on the use of the balanced affect model of psychological wellbeing to </w:t>
      </w:r>
      <w:r w:rsidR="003C490E" w:rsidRPr="00AC3C60">
        <w:rPr>
          <w:rFonts w:ascii="Times New Roman" w:hAnsi="Times New Roman" w:cs="Times New Roman"/>
          <w:sz w:val="24"/>
          <w:szCs w:val="24"/>
        </w:rPr>
        <w:t xml:space="preserve">assess the effects </w:t>
      </w:r>
      <w:r w:rsidR="00380199" w:rsidRPr="00AC3C60">
        <w:rPr>
          <w:rFonts w:ascii="Times New Roman" w:hAnsi="Times New Roman" w:cs="Times New Roman"/>
          <w:sz w:val="24"/>
          <w:szCs w:val="24"/>
        </w:rPr>
        <w:t>on perceived change in wellbeing in the first lockdown</w:t>
      </w:r>
      <w:r w:rsidR="003B32CA" w:rsidRPr="00AC3C60">
        <w:rPr>
          <w:rFonts w:ascii="Times New Roman" w:hAnsi="Times New Roman" w:cs="Times New Roman"/>
          <w:sz w:val="24"/>
          <w:szCs w:val="24"/>
        </w:rPr>
        <w:t xml:space="preserve"> on lay people as well as clergy</w:t>
      </w:r>
      <w:r w:rsidR="00E13C07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B71689" w:rsidRPr="00AC3C60">
        <w:rPr>
          <w:rFonts w:ascii="Times New Roman" w:hAnsi="Times New Roman" w:cs="Times New Roman"/>
          <w:noProof/>
          <w:sz w:val="24"/>
          <w:szCs w:val="24"/>
        </w:rPr>
        <w:t>(Francis &amp; Village, 2021a; Village &amp; Francis, 2021b)</w:t>
      </w:r>
      <w:r w:rsidR="00E47256" w:rsidRPr="00AC3C60">
        <w:rPr>
          <w:rFonts w:ascii="Times New Roman" w:hAnsi="Times New Roman" w:cs="Times New Roman"/>
          <w:sz w:val="24"/>
          <w:szCs w:val="24"/>
        </w:rPr>
        <w:t>.</w:t>
      </w:r>
      <w:r w:rsidR="00905F4D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D1430A" w:rsidRPr="00AC3C60">
        <w:rPr>
          <w:rFonts w:ascii="Times New Roman" w:hAnsi="Times New Roman" w:cs="Times New Roman"/>
          <w:sz w:val="24"/>
          <w:szCs w:val="24"/>
        </w:rPr>
        <w:t>Here we combine this initial survey with comparable data from a secon</w:t>
      </w:r>
      <w:r w:rsidR="00D429B8" w:rsidRPr="00AC3C60">
        <w:rPr>
          <w:rFonts w:ascii="Times New Roman" w:hAnsi="Times New Roman" w:cs="Times New Roman"/>
          <w:sz w:val="24"/>
          <w:szCs w:val="24"/>
        </w:rPr>
        <w:t>d</w:t>
      </w:r>
      <w:r w:rsidR="00D1430A" w:rsidRPr="00AC3C60">
        <w:rPr>
          <w:rFonts w:ascii="Times New Roman" w:hAnsi="Times New Roman" w:cs="Times New Roman"/>
          <w:sz w:val="24"/>
          <w:szCs w:val="24"/>
        </w:rPr>
        <w:t xml:space="preserve"> survey run during the third </w:t>
      </w:r>
      <w:r w:rsidR="00D429B8" w:rsidRPr="00AC3C60">
        <w:rPr>
          <w:rFonts w:ascii="Times New Roman" w:hAnsi="Times New Roman" w:cs="Times New Roman"/>
          <w:sz w:val="24"/>
          <w:szCs w:val="24"/>
        </w:rPr>
        <w:t xml:space="preserve">English </w:t>
      </w:r>
      <w:r w:rsidR="00442E41" w:rsidRPr="00AC3C60">
        <w:rPr>
          <w:rFonts w:ascii="Times New Roman" w:hAnsi="Times New Roman" w:cs="Times New Roman"/>
          <w:sz w:val="24"/>
          <w:szCs w:val="24"/>
        </w:rPr>
        <w:t xml:space="preserve">lockdown to examine whether stipendiary parochial clergy and non-ministering lay people in the Church of England </w:t>
      </w:r>
      <w:r w:rsidR="00170C92" w:rsidRPr="00AC3C60">
        <w:rPr>
          <w:rFonts w:ascii="Times New Roman" w:hAnsi="Times New Roman" w:cs="Times New Roman"/>
          <w:sz w:val="24"/>
          <w:szCs w:val="24"/>
        </w:rPr>
        <w:t xml:space="preserve">showed similar, better, or worse levels of psychological wellbeing at a time when </w:t>
      </w:r>
      <w:r w:rsidR="008D147D" w:rsidRPr="00AC3C60">
        <w:rPr>
          <w:rFonts w:ascii="Times New Roman" w:hAnsi="Times New Roman" w:cs="Times New Roman"/>
          <w:sz w:val="24"/>
          <w:szCs w:val="24"/>
        </w:rPr>
        <w:t xml:space="preserve">the pandemic had caused ongoing restrictions to society for </w:t>
      </w:r>
      <w:r w:rsidR="00332F48" w:rsidRPr="00AC3C60">
        <w:rPr>
          <w:rFonts w:ascii="Times New Roman" w:hAnsi="Times New Roman" w:cs="Times New Roman"/>
          <w:sz w:val="24"/>
          <w:szCs w:val="24"/>
        </w:rPr>
        <w:t>a year or more.</w:t>
      </w:r>
    </w:p>
    <w:p w14:paraId="302E98D8" w14:textId="3272E684" w:rsidR="00385FE7" w:rsidRPr="00AC3C60" w:rsidRDefault="008333C6" w:rsidP="00066E2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3C60">
        <w:rPr>
          <w:rFonts w:ascii="Times New Roman" w:hAnsi="Times New Roman" w:cs="Times New Roman"/>
          <w:b/>
          <w:bCs/>
          <w:sz w:val="24"/>
          <w:szCs w:val="24"/>
        </w:rPr>
        <w:t>The lockdown of the Church of England</w:t>
      </w:r>
    </w:p>
    <w:p w14:paraId="2D38267A" w14:textId="2A7C0FC3" w:rsidR="00466100" w:rsidRPr="00AC3C60" w:rsidRDefault="003B739F" w:rsidP="00827C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t xml:space="preserve">The UK Government </w:t>
      </w:r>
      <w:r w:rsidR="004674DD" w:rsidRPr="00AC3C60">
        <w:rPr>
          <w:rFonts w:ascii="Times New Roman" w:hAnsi="Times New Roman" w:cs="Times New Roman"/>
          <w:sz w:val="24"/>
          <w:szCs w:val="24"/>
        </w:rPr>
        <w:t xml:space="preserve">first </w:t>
      </w:r>
      <w:r w:rsidRPr="00AC3C60">
        <w:rPr>
          <w:rFonts w:ascii="Times New Roman" w:hAnsi="Times New Roman" w:cs="Times New Roman"/>
          <w:sz w:val="24"/>
          <w:szCs w:val="24"/>
        </w:rPr>
        <w:t xml:space="preserve">imposed a lockdown in response to the </w:t>
      </w:r>
      <w:r w:rsidR="000D49C4" w:rsidRPr="00AC3C60">
        <w:rPr>
          <w:rFonts w:ascii="Times New Roman" w:hAnsi="Times New Roman" w:cs="Times New Roman"/>
          <w:sz w:val="24"/>
          <w:szCs w:val="24"/>
        </w:rPr>
        <w:t>COVID-19</w:t>
      </w:r>
      <w:r w:rsidRPr="00AC3C60">
        <w:rPr>
          <w:rFonts w:ascii="Times New Roman" w:hAnsi="Times New Roman" w:cs="Times New Roman"/>
          <w:sz w:val="24"/>
          <w:szCs w:val="24"/>
        </w:rPr>
        <w:t xml:space="preserve"> virus outbreak on 23 March 2020. </w:t>
      </w:r>
      <w:r w:rsidR="0036188F" w:rsidRPr="00AC3C60">
        <w:rPr>
          <w:rFonts w:ascii="Times New Roman" w:hAnsi="Times New Roman" w:cs="Times New Roman"/>
          <w:sz w:val="24"/>
          <w:szCs w:val="24"/>
        </w:rPr>
        <w:t xml:space="preserve">Although the rules permitted access to religious buildings for private prayer, </w:t>
      </w:r>
      <w:r w:rsidR="003C26EB" w:rsidRPr="00AC3C60">
        <w:rPr>
          <w:rFonts w:ascii="Times New Roman" w:hAnsi="Times New Roman" w:cs="Times New Roman"/>
          <w:sz w:val="24"/>
          <w:szCs w:val="24"/>
        </w:rPr>
        <w:t>o</w:t>
      </w:r>
      <w:r w:rsidRPr="00AC3C60">
        <w:rPr>
          <w:rFonts w:ascii="Times New Roman" w:hAnsi="Times New Roman" w:cs="Times New Roman"/>
          <w:sz w:val="24"/>
          <w:szCs w:val="24"/>
        </w:rPr>
        <w:t xml:space="preserve">n the following day, the Church of England closed all its churches completely, to </w:t>
      </w:r>
      <w:r w:rsidR="003C26EB" w:rsidRPr="00AC3C60">
        <w:rPr>
          <w:rFonts w:ascii="Times New Roman" w:hAnsi="Times New Roman" w:cs="Times New Roman"/>
          <w:sz w:val="24"/>
          <w:szCs w:val="24"/>
        </w:rPr>
        <w:t xml:space="preserve">both </w:t>
      </w:r>
      <w:r w:rsidRPr="00AC3C60">
        <w:rPr>
          <w:rFonts w:ascii="Times New Roman" w:hAnsi="Times New Roman" w:cs="Times New Roman"/>
          <w:sz w:val="24"/>
          <w:szCs w:val="24"/>
        </w:rPr>
        <w:t xml:space="preserve">clergy </w:t>
      </w:r>
      <w:r w:rsidR="003C26EB" w:rsidRPr="00AC3C60">
        <w:rPr>
          <w:rFonts w:ascii="Times New Roman" w:hAnsi="Times New Roman" w:cs="Times New Roman"/>
          <w:sz w:val="24"/>
          <w:szCs w:val="24"/>
        </w:rPr>
        <w:t xml:space="preserve">and </w:t>
      </w:r>
      <w:r w:rsidRPr="00AC3C60">
        <w:rPr>
          <w:rFonts w:ascii="Times New Roman" w:hAnsi="Times New Roman" w:cs="Times New Roman"/>
          <w:sz w:val="24"/>
          <w:szCs w:val="24"/>
        </w:rPr>
        <w:t>lay people</w:t>
      </w:r>
      <w:r w:rsidR="000F24FE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0F24FE" w:rsidRPr="00AC3C60">
        <w:rPr>
          <w:rFonts w:ascii="Times New Roman" w:hAnsi="Times New Roman" w:cs="Times New Roman"/>
          <w:noProof/>
          <w:sz w:val="24"/>
          <w:szCs w:val="24"/>
        </w:rPr>
        <w:t>(McGowan, 2020)</w:t>
      </w:r>
      <w:r w:rsidRPr="00AC3C60">
        <w:rPr>
          <w:rFonts w:ascii="Times New Roman" w:hAnsi="Times New Roman" w:cs="Times New Roman"/>
          <w:sz w:val="24"/>
          <w:szCs w:val="24"/>
        </w:rPr>
        <w:t>.</w:t>
      </w:r>
      <w:r w:rsidR="00C06D45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827C05" w:rsidRPr="00AC3C60">
        <w:rPr>
          <w:rFonts w:ascii="Times New Roman" w:hAnsi="Times New Roman" w:cs="Times New Roman"/>
          <w:sz w:val="24"/>
          <w:szCs w:val="24"/>
        </w:rPr>
        <w:t xml:space="preserve"> These restrictions</w:t>
      </w:r>
      <w:r w:rsidR="00F26F58" w:rsidRPr="00AC3C60">
        <w:rPr>
          <w:rFonts w:ascii="Times New Roman" w:hAnsi="Times New Roman" w:cs="Times New Roman"/>
          <w:sz w:val="24"/>
          <w:szCs w:val="24"/>
        </w:rPr>
        <w:t xml:space="preserve"> to church access remained </w:t>
      </w:r>
      <w:r w:rsidR="00F26F58" w:rsidRPr="00AC3C60">
        <w:rPr>
          <w:rFonts w:ascii="Times New Roman" w:hAnsi="Times New Roman" w:cs="Times New Roman"/>
          <w:sz w:val="24"/>
          <w:szCs w:val="24"/>
        </w:rPr>
        <w:lastRenderedPageBreak/>
        <w:t xml:space="preserve">in place until </w:t>
      </w:r>
      <w:r w:rsidR="00330EB8" w:rsidRPr="00AC3C60">
        <w:rPr>
          <w:rFonts w:ascii="Times New Roman" w:hAnsi="Times New Roman" w:cs="Times New Roman"/>
          <w:sz w:val="24"/>
          <w:szCs w:val="24"/>
        </w:rPr>
        <w:t xml:space="preserve">early July, at which time </w:t>
      </w:r>
      <w:r w:rsidR="004674DD" w:rsidRPr="00AC3C60">
        <w:rPr>
          <w:rFonts w:ascii="Times New Roman" w:hAnsi="Times New Roman" w:cs="Times New Roman"/>
          <w:sz w:val="24"/>
          <w:szCs w:val="24"/>
        </w:rPr>
        <w:t>socially distanced</w:t>
      </w:r>
      <w:r w:rsidR="00330EB8" w:rsidRPr="00AC3C60">
        <w:rPr>
          <w:rFonts w:ascii="Times New Roman" w:hAnsi="Times New Roman" w:cs="Times New Roman"/>
          <w:sz w:val="24"/>
          <w:szCs w:val="24"/>
        </w:rPr>
        <w:t xml:space="preserve"> worship was permitted</w:t>
      </w:r>
      <w:r w:rsidR="007A531E" w:rsidRPr="00AC3C60">
        <w:rPr>
          <w:rFonts w:ascii="Times New Roman" w:hAnsi="Times New Roman" w:cs="Times New Roman"/>
          <w:sz w:val="24"/>
          <w:szCs w:val="24"/>
        </w:rPr>
        <w:t>. When the third English lockdown was imposed in January 2021,</w:t>
      </w:r>
      <w:r w:rsidR="00077C02" w:rsidRPr="00AC3C60">
        <w:rPr>
          <w:rFonts w:ascii="Times New Roman" w:hAnsi="Times New Roman" w:cs="Times New Roman"/>
          <w:sz w:val="24"/>
          <w:szCs w:val="24"/>
        </w:rPr>
        <w:t xml:space="preserve"> the UK government allowed churches to remain open on the same</w:t>
      </w:r>
      <w:r w:rsidR="00D01D22" w:rsidRPr="00AC3C60">
        <w:rPr>
          <w:rFonts w:ascii="Times New Roman" w:hAnsi="Times New Roman" w:cs="Times New Roman"/>
          <w:sz w:val="24"/>
          <w:szCs w:val="24"/>
        </w:rPr>
        <w:t xml:space="preserve"> basis as they had since July, and the decision of whether or not to </w:t>
      </w:r>
      <w:r w:rsidR="003B0C7C" w:rsidRPr="00AC3C60">
        <w:rPr>
          <w:rFonts w:ascii="Times New Roman" w:hAnsi="Times New Roman" w:cs="Times New Roman"/>
          <w:sz w:val="24"/>
          <w:szCs w:val="24"/>
        </w:rPr>
        <w:t xml:space="preserve">remain open was left to individual </w:t>
      </w:r>
      <w:r w:rsidR="004674DD" w:rsidRPr="00AC3C60">
        <w:rPr>
          <w:rFonts w:ascii="Times New Roman" w:hAnsi="Times New Roman" w:cs="Times New Roman"/>
          <w:sz w:val="24"/>
          <w:szCs w:val="24"/>
        </w:rPr>
        <w:t xml:space="preserve">clergy and </w:t>
      </w:r>
      <w:r w:rsidR="003B0C7C" w:rsidRPr="00AC3C60">
        <w:rPr>
          <w:rFonts w:ascii="Times New Roman" w:hAnsi="Times New Roman" w:cs="Times New Roman"/>
          <w:sz w:val="24"/>
          <w:szCs w:val="24"/>
        </w:rPr>
        <w:t>congregations. The rapid rise in infection meant that</w:t>
      </w:r>
      <w:r w:rsidR="004154AF" w:rsidRPr="00AC3C60">
        <w:rPr>
          <w:rFonts w:ascii="Times New Roman" w:hAnsi="Times New Roman" w:cs="Times New Roman"/>
          <w:sz w:val="24"/>
          <w:szCs w:val="24"/>
        </w:rPr>
        <w:t xml:space="preserve"> many churches remained closed as in the first lockdown </w:t>
      </w:r>
      <w:r w:rsidR="004154AF" w:rsidRPr="00AC3C60">
        <w:rPr>
          <w:rFonts w:ascii="Times New Roman" w:hAnsi="Times New Roman" w:cs="Times New Roman"/>
          <w:noProof/>
          <w:sz w:val="24"/>
          <w:szCs w:val="24"/>
        </w:rPr>
        <w:t>(Sherwood, 2021)</w:t>
      </w:r>
      <w:r w:rsidR="002C31B0" w:rsidRPr="00AC3C60">
        <w:rPr>
          <w:rFonts w:ascii="Times New Roman" w:hAnsi="Times New Roman" w:cs="Times New Roman"/>
          <w:sz w:val="24"/>
          <w:szCs w:val="24"/>
        </w:rPr>
        <w:t xml:space="preserve">. As in the first lockdown, </w:t>
      </w:r>
      <w:r w:rsidR="0035499A" w:rsidRPr="00AC3C60">
        <w:rPr>
          <w:rFonts w:ascii="Times New Roman" w:hAnsi="Times New Roman" w:cs="Times New Roman"/>
          <w:sz w:val="24"/>
          <w:szCs w:val="24"/>
        </w:rPr>
        <w:t xml:space="preserve">clergy faced problems in providing worship online and pastoral ministry </w:t>
      </w:r>
      <w:r w:rsidR="00131E96" w:rsidRPr="00AC3C60">
        <w:rPr>
          <w:rFonts w:ascii="Times New Roman" w:hAnsi="Times New Roman" w:cs="Times New Roman"/>
          <w:sz w:val="24"/>
          <w:szCs w:val="24"/>
        </w:rPr>
        <w:t xml:space="preserve">in </w:t>
      </w:r>
      <w:r w:rsidR="00061E3C" w:rsidRPr="00AC3C60">
        <w:rPr>
          <w:rFonts w:ascii="Times New Roman" w:hAnsi="Times New Roman" w:cs="Times New Roman"/>
          <w:sz w:val="24"/>
          <w:szCs w:val="24"/>
        </w:rPr>
        <w:t>socially restricted</w:t>
      </w:r>
      <w:r w:rsidR="00131E96" w:rsidRPr="00AC3C60">
        <w:rPr>
          <w:rFonts w:ascii="Times New Roman" w:hAnsi="Times New Roman" w:cs="Times New Roman"/>
          <w:sz w:val="24"/>
          <w:szCs w:val="24"/>
        </w:rPr>
        <w:t xml:space="preserve"> contexts. </w:t>
      </w:r>
    </w:p>
    <w:p w14:paraId="3A543FE2" w14:textId="68AC6C72" w:rsidR="00180C9C" w:rsidRPr="00AC3C60" w:rsidRDefault="00466100" w:rsidP="00466100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t xml:space="preserve">The effects of this </w:t>
      </w:r>
      <w:r w:rsidR="001973E4" w:rsidRPr="00AC3C60">
        <w:rPr>
          <w:rFonts w:ascii="Times New Roman" w:hAnsi="Times New Roman" w:cs="Times New Roman"/>
          <w:sz w:val="24"/>
          <w:szCs w:val="24"/>
        </w:rPr>
        <w:t xml:space="preserve">lockdown could be varied. </w:t>
      </w:r>
      <w:r w:rsidR="0057775F" w:rsidRPr="00AC3C60">
        <w:rPr>
          <w:rFonts w:ascii="Times New Roman" w:hAnsi="Times New Roman" w:cs="Times New Roman"/>
          <w:sz w:val="24"/>
          <w:szCs w:val="24"/>
        </w:rPr>
        <w:t>On one hand, the</w:t>
      </w:r>
      <w:r w:rsidR="00131E96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750C6B" w:rsidRPr="00AC3C60">
        <w:rPr>
          <w:rFonts w:ascii="Times New Roman" w:hAnsi="Times New Roman" w:cs="Times New Roman"/>
          <w:sz w:val="24"/>
          <w:szCs w:val="24"/>
        </w:rPr>
        <w:t>renewed disruption to religious life</w:t>
      </w:r>
      <w:r w:rsidR="00061E3C" w:rsidRPr="00AC3C60">
        <w:rPr>
          <w:rFonts w:ascii="Times New Roman" w:hAnsi="Times New Roman" w:cs="Times New Roman"/>
          <w:sz w:val="24"/>
          <w:szCs w:val="24"/>
        </w:rPr>
        <w:t xml:space="preserve"> could </w:t>
      </w:r>
      <w:r w:rsidR="001973E4" w:rsidRPr="00AC3C60">
        <w:rPr>
          <w:rFonts w:ascii="Times New Roman" w:hAnsi="Times New Roman" w:cs="Times New Roman"/>
          <w:sz w:val="24"/>
          <w:szCs w:val="24"/>
        </w:rPr>
        <w:t xml:space="preserve">have </w:t>
      </w:r>
      <w:r w:rsidRPr="00AC3C60">
        <w:rPr>
          <w:rFonts w:ascii="Times New Roman" w:hAnsi="Times New Roman" w:cs="Times New Roman"/>
          <w:sz w:val="24"/>
          <w:szCs w:val="24"/>
        </w:rPr>
        <w:t>decrease</w:t>
      </w:r>
      <w:r w:rsidR="001973E4" w:rsidRPr="00AC3C60">
        <w:rPr>
          <w:rFonts w:ascii="Times New Roman" w:hAnsi="Times New Roman" w:cs="Times New Roman"/>
          <w:sz w:val="24"/>
          <w:szCs w:val="24"/>
        </w:rPr>
        <w:t>d</w:t>
      </w:r>
      <w:r w:rsidRPr="00AC3C60">
        <w:rPr>
          <w:rFonts w:ascii="Times New Roman" w:hAnsi="Times New Roman" w:cs="Times New Roman"/>
          <w:sz w:val="24"/>
          <w:szCs w:val="24"/>
        </w:rPr>
        <w:t xml:space="preserve"> psychological wellbeing</w:t>
      </w:r>
      <w:r w:rsidR="001973E4" w:rsidRPr="00AC3C60">
        <w:rPr>
          <w:rFonts w:ascii="Times New Roman" w:hAnsi="Times New Roman" w:cs="Times New Roman"/>
          <w:sz w:val="24"/>
          <w:szCs w:val="24"/>
        </w:rPr>
        <w:t>, as it did in the first survey for some people. On</w:t>
      </w:r>
      <w:r w:rsidR="0057775F" w:rsidRPr="00AC3C60">
        <w:rPr>
          <w:rFonts w:ascii="Times New Roman" w:hAnsi="Times New Roman" w:cs="Times New Roman"/>
          <w:sz w:val="24"/>
          <w:szCs w:val="24"/>
        </w:rPr>
        <w:t xml:space="preserve"> the other hand, </w:t>
      </w:r>
      <w:r w:rsidR="0040321E" w:rsidRPr="00AC3C60">
        <w:rPr>
          <w:rFonts w:ascii="Times New Roman" w:hAnsi="Times New Roman" w:cs="Times New Roman"/>
          <w:sz w:val="24"/>
          <w:szCs w:val="24"/>
        </w:rPr>
        <w:t xml:space="preserve">some people may have adjusted to the circumstances of lockdowns, and therefore found it easier to </w:t>
      </w:r>
      <w:r w:rsidR="00593E8C" w:rsidRPr="00AC3C60">
        <w:rPr>
          <w:rFonts w:ascii="Times New Roman" w:hAnsi="Times New Roman" w:cs="Times New Roman"/>
          <w:sz w:val="24"/>
          <w:szCs w:val="24"/>
        </w:rPr>
        <w:t>cope than they had in 2020.</w:t>
      </w:r>
    </w:p>
    <w:p w14:paraId="002340B0" w14:textId="7E4E931E" w:rsidR="00560EEC" w:rsidRPr="00AC3C60" w:rsidRDefault="00F734AC" w:rsidP="00604E4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C3C60">
        <w:rPr>
          <w:rFonts w:ascii="Times New Roman" w:hAnsi="Times New Roman" w:cs="Times New Roman"/>
          <w:b/>
          <w:sz w:val="24"/>
          <w:szCs w:val="24"/>
        </w:rPr>
        <w:t xml:space="preserve">Affect </w:t>
      </w:r>
      <w:r w:rsidR="006D4428" w:rsidRPr="00AC3C60">
        <w:rPr>
          <w:rFonts w:ascii="Times New Roman" w:hAnsi="Times New Roman" w:cs="Times New Roman"/>
          <w:b/>
          <w:sz w:val="24"/>
          <w:szCs w:val="24"/>
        </w:rPr>
        <w:t>balance as a measure of psychological wellbeing</w:t>
      </w:r>
    </w:p>
    <w:p w14:paraId="0018C64C" w14:textId="3ACE9194" w:rsidR="0005000C" w:rsidRPr="00AC3C60" w:rsidRDefault="00604E42" w:rsidP="00604E42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AC3C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791F" w:rsidRPr="00AC3C60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AF4BE9" w:rsidRPr="00AC3C60">
        <w:rPr>
          <w:rFonts w:ascii="Times New Roman" w:hAnsi="Times New Roman" w:cs="Times New Roman"/>
          <w:bCs/>
          <w:sz w:val="24"/>
          <w:szCs w:val="24"/>
        </w:rPr>
        <w:t xml:space="preserve">balanced affect model </w:t>
      </w:r>
      <w:r w:rsidR="00C33625" w:rsidRPr="00AC3C60">
        <w:rPr>
          <w:rFonts w:ascii="Times New Roman" w:hAnsi="Times New Roman" w:cs="Times New Roman"/>
          <w:bCs/>
          <w:sz w:val="24"/>
          <w:szCs w:val="24"/>
        </w:rPr>
        <w:t xml:space="preserve">of psychological wellbeing </w:t>
      </w:r>
      <w:r w:rsidR="00C33625" w:rsidRPr="00AC3C60">
        <w:rPr>
          <w:rFonts w:ascii="Times New Roman" w:hAnsi="Times New Roman" w:cs="Times New Roman"/>
          <w:bCs/>
          <w:noProof/>
          <w:sz w:val="24"/>
          <w:szCs w:val="24"/>
        </w:rPr>
        <w:t>(Bradburn, 1969)</w:t>
      </w:r>
      <w:r w:rsidR="006C08C9" w:rsidRPr="00AC3C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B08" w:rsidRPr="00AC3C60">
        <w:rPr>
          <w:rFonts w:ascii="Times New Roman" w:hAnsi="Times New Roman" w:cs="Times New Roman"/>
          <w:bCs/>
          <w:sz w:val="24"/>
          <w:szCs w:val="24"/>
        </w:rPr>
        <w:t>conceptualises positive and negative affect as two separate continu</w:t>
      </w:r>
      <w:r w:rsidR="00460C61" w:rsidRPr="00AC3C60">
        <w:rPr>
          <w:rFonts w:ascii="Times New Roman" w:hAnsi="Times New Roman" w:cs="Times New Roman"/>
          <w:bCs/>
          <w:sz w:val="24"/>
          <w:szCs w:val="24"/>
        </w:rPr>
        <w:t>a</w:t>
      </w:r>
      <w:r w:rsidR="00BA32B5" w:rsidRPr="00AC3C60">
        <w:rPr>
          <w:rFonts w:ascii="Times New Roman" w:hAnsi="Times New Roman" w:cs="Times New Roman"/>
          <w:bCs/>
          <w:sz w:val="24"/>
          <w:szCs w:val="24"/>
        </w:rPr>
        <w:t>,</w:t>
      </w:r>
      <w:r w:rsidR="00460C61" w:rsidRPr="00AC3C60">
        <w:rPr>
          <w:rFonts w:ascii="Times New Roman" w:hAnsi="Times New Roman" w:cs="Times New Roman"/>
          <w:bCs/>
          <w:sz w:val="24"/>
          <w:szCs w:val="24"/>
        </w:rPr>
        <w:t xml:space="preserve"> and wellbeing as the </w:t>
      </w:r>
      <w:r w:rsidR="00B84860" w:rsidRPr="00AC3C60">
        <w:rPr>
          <w:rFonts w:ascii="Times New Roman" w:hAnsi="Times New Roman" w:cs="Times New Roman"/>
          <w:bCs/>
          <w:sz w:val="24"/>
          <w:szCs w:val="24"/>
        </w:rPr>
        <w:t>function</w:t>
      </w:r>
      <w:r w:rsidR="00D1789A" w:rsidRPr="00AC3C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C61" w:rsidRPr="00AC3C60">
        <w:rPr>
          <w:rFonts w:ascii="Times New Roman" w:hAnsi="Times New Roman" w:cs="Times New Roman"/>
          <w:bCs/>
          <w:sz w:val="24"/>
          <w:szCs w:val="24"/>
        </w:rPr>
        <w:t xml:space="preserve">of these two </w:t>
      </w:r>
      <w:r w:rsidR="00EF74AA" w:rsidRPr="00AC3C60">
        <w:rPr>
          <w:rFonts w:ascii="Times New Roman" w:hAnsi="Times New Roman" w:cs="Times New Roman"/>
          <w:bCs/>
          <w:sz w:val="24"/>
          <w:szCs w:val="24"/>
        </w:rPr>
        <w:t xml:space="preserve">entities. Individuals with high negative affect might </w:t>
      </w:r>
      <w:r w:rsidR="000A62EF" w:rsidRPr="00AC3C60">
        <w:rPr>
          <w:rFonts w:ascii="Times New Roman" w:hAnsi="Times New Roman" w:cs="Times New Roman"/>
          <w:bCs/>
          <w:sz w:val="24"/>
          <w:szCs w:val="24"/>
        </w:rPr>
        <w:t xml:space="preserve">still experience generally good wellbeing if they also have high levels of positive affect. This idea has been tested </w:t>
      </w:r>
      <w:r w:rsidR="00D86CFD" w:rsidRPr="00AC3C60">
        <w:rPr>
          <w:rFonts w:ascii="Times New Roman" w:hAnsi="Times New Roman" w:cs="Times New Roman"/>
          <w:bCs/>
          <w:sz w:val="24"/>
          <w:szCs w:val="24"/>
        </w:rPr>
        <w:t>among clergy using the Francis Burnout Inventory (FBI), which has two scales measuring emotional exhaustion in ministry</w:t>
      </w:r>
      <w:r w:rsidR="0034091C" w:rsidRPr="00AC3C60">
        <w:rPr>
          <w:rFonts w:ascii="Times New Roman" w:hAnsi="Times New Roman" w:cs="Times New Roman"/>
          <w:bCs/>
          <w:sz w:val="24"/>
          <w:szCs w:val="24"/>
        </w:rPr>
        <w:t xml:space="preserve"> and satisfaction in ministry</w:t>
      </w:r>
      <w:r w:rsidR="000204D3" w:rsidRPr="00AC3C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4E10" w:rsidRPr="00AC3C60">
        <w:rPr>
          <w:rFonts w:ascii="Times New Roman" w:hAnsi="Times New Roman" w:cs="Times New Roman"/>
          <w:bCs/>
          <w:noProof/>
          <w:sz w:val="24"/>
          <w:szCs w:val="24"/>
        </w:rPr>
        <w:t>(Francis, Kaldor, et al., 2005)</w:t>
      </w:r>
      <w:r w:rsidR="0034091C" w:rsidRPr="00AC3C6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86CFD" w:rsidRPr="00AC3C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1DAD" w:rsidRPr="00AC3C60">
        <w:rPr>
          <w:rFonts w:ascii="Times New Roman" w:hAnsi="Times New Roman" w:cs="Times New Roman"/>
          <w:bCs/>
          <w:sz w:val="24"/>
          <w:szCs w:val="24"/>
        </w:rPr>
        <w:t>I</w:t>
      </w:r>
      <w:r w:rsidR="00BA32B5" w:rsidRPr="00AC3C60">
        <w:rPr>
          <w:rFonts w:ascii="Times New Roman" w:hAnsi="Times New Roman" w:cs="Times New Roman"/>
          <w:bCs/>
          <w:sz w:val="24"/>
          <w:szCs w:val="24"/>
        </w:rPr>
        <w:t>n</w:t>
      </w:r>
      <w:r w:rsidR="00051DAD" w:rsidRPr="00AC3C60">
        <w:rPr>
          <w:rFonts w:ascii="Times New Roman" w:hAnsi="Times New Roman" w:cs="Times New Roman"/>
          <w:bCs/>
          <w:sz w:val="24"/>
          <w:szCs w:val="24"/>
        </w:rPr>
        <w:t xml:space="preserve"> this study we wanted to assess changes in wellbeing as a result of the lockdown among both clergy and laity, so it was necessary to devise a </w:t>
      </w:r>
      <w:r w:rsidR="0045186F" w:rsidRPr="00AC3C60">
        <w:rPr>
          <w:rFonts w:ascii="Times New Roman" w:hAnsi="Times New Roman" w:cs="Times New Roman"/>
          <w:bCs/>
          <w:sz w:val="24"/>
          <w:szCs w:val="24"/>
        </w:rPr>
        <w:t>different scale</w:t>
      </w:r>
      <w:r w:rsidR="00F95DC8" w:rsidRPr="00AC3C60">
        <w:rPr>
          <w:rFonts w:ascii="Times New Roman" w:hAnsi="Times New Roman" w:cs="Times New Roman"/>
          <w:bCs/>
          <w:sz w:val="24"/>
          <w:szCs w:val="24"/>
        </w:rPr>
        <w:t xml:space="preserve"> to estimate</w:t>
      </w:r>
      <w:r w:rsidR="0045186F" w:rsidRPr="00AC3C60">
        <w:rPr>
          <w:rFonts w:ascii="Times New Roman" w:hAnsi="Times New Roman" w:cs="Times New Roman"/>
          <w:bCs/>
          <w:sz w:val="24"/>
          <w:szCs w:val="24"/>
        </w:rPr>
        <w:t xml:space="preserve"> affect balance</w:t>
      </w:r>
      <w:r w:rsidR="005501E9" w:rsidRPr="00AC3C60">
        <w:rPr>
          <w:rFonts w:ascii="Times New Roman" w:hAnsi="Times New Roman" w:cs="Times New Roman"/>
          <w:bCs/>
          <w:sz w:val="24"/>
          <w:szCs w:val="24"/>
        </w:rPr>
        <w:t xml:space="preserve">, the difference between negative and positive affect. </w:t>
      </w:r>
      <w:r w:rsidR="004B15D7" w:rsidRPr="00AC3C60">
        <w:rPr>
          <w:rFonts w:ascii="Times New Roman" w:hAnsi="Times New Roman" w:cs="Times New Roman"/>
          <w:bCs/>
          <w:sz w:val="24"/>
          <w:szCs w:val="24"/>
        </w:rPr>
        <w:t xml:space="preserve">It was also necessary to </w:t>
      </w:r>
      <w:r w:rsidR="00733916" w:rsidRPr="00AC3C60">
        <w:rPr>
          <w:rFonts w:ascii="Times New Roman" w:hAnsi="Times New Roman" w:cs="Times New Roman"/>
          <w:bCs/>
          <w:sz w:val="24"/>
          <w:szCs w:val="24"/>
        </w:rPr>
        <w:t xml:space="preserve">measure </w:t>
      </w:r>
      <w:r w:rsidR="004F282B" w:rsidRPr="00AC3C60">
        <w:rPr>
          <w:rFonts w:ascii="Times New Roman" w:hAnsi="Times New Roman" w:cs="Times New Roman"/>
          <w:bCs/>
          <w:sz w:val="24"/>
          <w:szCs w:val="24"/>
        </w:rPr>
        <w:t xml:space="preserve">perceived </w:t>
      </w:r>
      <w:r w:rsidR="00733916" w:rsidRPr="00AC3C60">
        <w:rPr>
          <w:rFonts w:ascii="Times New Roman" w:hAnsi="Times New Roman" w:cs="Times New Roman"/>
          <w:bCs/>
          <w:sz w:val="24"/>
          <w:szCs w:val="24"/>
        </w:rPr>
        <w:t>change in wellbeing since lockdown began, rather than absolute wellbeing</w:t>
      </w:r>
      <w:r w:rsidR="0018017F" w:rsidRPr="00AC3C60">
        <w:rPr>
          <w:rFonts w:ascii="Times New Roman" w:hAnsi="Times New Roman" w:cs="Times New Roman"/>
          <w:bCs/>
          <w:sz w:val="24"/>
          <w:szCs w:val="24"/>
        </w:rPr>
        <w:t xml:space="preserve">, as </w:t>
      </w:r>
      <w:r w:rsidR="004F282B" w:rsidRPr="00AC3C60">
        <w:rPr>
          <w:rFonts w:ascii="Times New Roman" w:hAnsi="Times New Roman" w:cs="Times New Roman"/>
          <w:bCs/>
          <w:sz w:val="24"/>
          <w:szCs w:val="24"/>
        </w:rPr>
        <w:t>there</w:t>
      </w:r>
      <w:r w:rsidR="0018017F" w:rsidRPr="00AC3C60">
        <w:rPr>
          <w:rFonts w:ascii="Times New Roman" w:hAnsi="Times New Roman" w:cs="Times New Roman"/>
          <w:bCs/>
          <w:sz w:val="24"/>
          <w:szCs w:val="24"/>
        </w:rPr>
        <w:t xml:space="preserve"> were no prior measures against which this particular population could</w:t>
      </w:r>
      <w:r w:rsidR="00FB01AC" w:rsidRPr="00AC3C60">
        <w:rPr>
          <w:rFonts w:ascii="Times New Roman" w:hAnsi="Times New Roman" w:cs="Times New Roman"/>
          <w:bCs/>
          <w:sz w:val="24"/>
          <w:szCs w:val="24"/>
        </w:rPr>
        <w:t xml:space="preserve"> be</w:t>
      </w:r>
      <w:r w:rsidR="0018017F" w:rsidRPr="00AC3C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282B" w:rsidRPr="00AC3C60">
        <w:rPr>
          <w:rFonts w:ascii="Times New Roman" w:hAnsi="Times New Roman" w:cs="Times New Roman"/>
          <w:bCs/>
          <w:sz w:val="24"/>
          <w:szCs w:val="24"/>
        </w:rPr>
        <w:t xml:space="preserve">assessed. </w:t>
      </w:r>
      <w:r w:rsidR="005501E9" w:rsidRPr="00AC3C60">
        <w:rPr>
          <w:rFonts w:ascii="Times New Roman" w:hAnsi="Times New Roman" w:cs="Times New Roman"/>
          <w:bCs/>
          <w:sz w:val="24"/>
          <w:szCs w:val="24"/>
        </w:rPr>
        <w:t xml:space="preserve">The scale </w:t>
      </w:r>
      <w:r w:rsidR="00D54A61" w:rsidRPr="00AC3C60">
        <w:rPr>
          <w:rFonts w:ascii="Times New Roman" w:hAnsi="Times New Roman" w:cs="Times New Roman"/>
          <w:bCs/>
          <w:sz w:val="24"/>
          <w:szCs w:val="24"/>
        </w:rPr>
        <w:t>development and properties are reported elsewhere</w:t>
      </w:r>
      <w:r w:rsidR="00E13C07" w:rsidRPr="00AC3C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C07" w:rsidRPr="00AC3C60">
        <w:rPr>
          <w:rFonts w:ascii="Times New Roman" w:hAnsi="Times New Roman" w:cs="Times New Roman"/>
          <w:bCs/>
          <w:noProof/>
          <w:sz w:val="24"/>
          <w:szCs w:val="24"/>
        </w:rPr>
        <w:t>(Francis &amp; Village, 2021a)</w:t>
      </w:r>
      <w:r w:rsidR="00D54A61" w:rsidRPr="00AC3C60">
        <w:rPr>
          <w:rFonts w:ascii="Times New Roman" w:hAnsi="Times New Roman" w:cs="Times New Roman"/>
          <w:bCs/>
          <w:sz w:val="24"/>
          <w:szCs w:val="24"/>
        </w:rPr>
        <w:t xml:space="preserve">; here we use the two components of the scale, positive and negative affect, to </w:t>
      </w:r>
      <w:r w:rsidR="00EE0DF3" w:rsidRPr="00AC3C60">
        <w:rPr>
          <w:rFonts w:ascii="Times New Roman" w:hAnsi="Times New Roman" w:cs="Times New Roman"/>
          <w:bCs/>
          <w:sz w:val="24"/>
          <w:szCs w:val="24"/>
        </w:rPr>
        <w:t xml:space="preserve">create a measure of </w:t>
      </w:r>
      <w:r w:rsidR="00BA32B5" w:rsidRPr="00AC3C60">
        <w:rPr>
          <w:rFonts w:ascii="Times New Roman" w:hAnsi="Times New Roman" w:cs="Times New Roman"/>
          <w:bCs/>
          <w:sz w:val="24"/>
          <w:szCs w:val="24"/>
        </w:rPr>
        <w:t>‘</w:t>
      </w:r>
      <w:r w:rsidR="00EE0DF3" w:rsidRPr="00AC3C60">
        <w:rPr>
          <w:rFonts w:ascii="Times New Roman" w:hAnsi="Times New Roman" w:cs="Times New Roman"/>
          <w:bCs/>
          <w:sz w:val="24"/>
          <w:szCs w:val="24"/>
        </w:rPr>
        <w:t xml:space="preserve">affect </w:t>
      </w:r>
      <w:r w:rsidR="00EE0DF3" w:rsidRPr="00AC3C60">
        <w:rPr>
          <w:rFonts w:ascii="Times New Roman" w:hAnsi="Times New Roman" w:cs="Times New Roman"/>
          <w:bCs/>
          <w:sz w:val="24"/>
          <w:szCs w:val="24"/>
        </w:rPr>
        <w:lastRenderedPageBreak/>
        <w:t>balance</w:t>
      </w:r>
      <w:r w:rsidR="00BA32B5" w:rsidRPr="00AC3C60">
        <w:rPr>
          <w:rFonts w:ascii="Times New Roman" w:hAnsi="Times New Roman" w:cs="Times New Roman"/>
          <w:bCs/>
          <w:sz w:val="24"/>
          <w:szCs w:val="24"/>
        </w:rPr>
        <w:t>’</w:t>
      </w:r>
      <w:r w:rsidR="00EE0DF3" w:rsidRPr="00AC3C60">
        <w:rPr>
          <w:rFonts w:ascii="Times New Roman" w:hAnsi="Times New Roman" w:cs="Times New Roman"/>
          <w:bCs/>
          <w:sz w:val="24"/>
          <w:szCs w:val="24"/>
        </w:rPr>
        <w:t>, which we use as a</w:t>
      </w:r>
      <w:r w:rsidR="00A15443" w:rsidRPr="00AC3C60">
        <w:rPr>
          <w:rFonts w:ascii="Times New Roman" w:hAnsi="Times New Roman" w:cs="Times New Roman"/>
          <w:bCs/>
          <w:sz w:val="24"/>
          <w:szCs w:val="24"/>
        </w:rPr>
        <w:t xml:space="preserve"> proxy measure of how individuals perceive</w:t>
      </w:r>
      <w:r w:rsidR="009D32C8" w:rsidRPr="00AC3C60">
        <w:rPr>
          <w:rFonts w:ascii="Times New Roman" w:hAnsi="Times New Roman" w:cs="Times New Roman"/>
          <w:bCs/>
          <w:sz w:val="24"/>
          <w:szCs w:val="24"/>
        </w:rPr>
        <w:t>d</w:t>
      </w:r>
      <w:r w:rsidR="00A15443" w:rsidRPr="00AC3C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253A" w:rsidRPr="00AC3C60">
        <w:rPr>
          <w:rFonts w:ascii="Times New Roman" w:hAnsi="Times New Roman" w:cs="Times New Roman"/>
          <w:bCs/>
          <w:sz w:val="24"/>
          <w:szCs w:val="24"/>
        </w:rPr>
        <w:t xml:space="preserve">overall </w:t>
      </w:r>
      <w:r w:rsidR="003E2BC5" w:rsidRPr="00AC3C60">
        <w:rPr>
          <w:rFonts w:ascii="Times New Roman" w:hAnsi="Times New Roman" w:cs="Times New Roman"/>
          <w:bCs/>
          <w:sz w:val="24"/>
          <w:szCs w:val="24"/>
        </w:rPr>
        <w:t xml:space="preserve">changes in psychological wellbeing during the </w:t>
      </w:r>
      <w:r w:rsidR="0046445C" w:rsidRPr="00AC3C60">
        <w:rPr>
          <w:rFonts w:ascii="Times New Roman" w:hAnsi="Times New Roman" w:cs="Times New Roman"/>
          <w:bCs/>
          <w:sz w:val="24"/>
          <w:szCs w:val="24"/>
        </w:rPr>
        <w:t xml:space="preserve">two </w:t>
      </w:r>
      <w:r w:rsidR="003E2BC5" w:rsidRPr="00AC3C60">
        <w:rPr>
          <w:rFonts w:ascii="Times New Roman" w:hAnsi="Times New Roman" w:cs="Times New Roman"/>
          <w:bCs/>
          <w:sz w:val="24"/>
          <w:szCs w:val="24"/>
        </w:rPr>
        <w:t>lockdown</w:t>
      </w:r>
      <w:r w:rsidR="0046445C" w:rsidRPr="00AC3C60">
        <w:rPr>
          <w:rFonts w:ascii="Times New Roman" w:hAnsi="Times New Roman" w:cs="Times New Roman"/>
          <w:bCs/>
          <w:sz w:val="24"/>
          <w:szCs w:val="24"/>
        </w:rPr>
        <w:t>s</w:t>
      </w:r>
      <w:r w:rsidR="003E2BC5" w:rsidRPr="00AC3C6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EB76F7" w14:textId="2BFB264B" w:rsidR="009C4E28" w:rsidRPr="00AC3C60" w:rsidRDefault="009C4E28" w:rsidP="00604E4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C3C60">
        <w:rPr>
          <w:rFonts w:ascii="Times New Roman" w:hAnsi="Times New Roman" w:cs="Times New Roman"/>
          <w:b/>
          <w:sz w:val="24"/>
          <w:szCs w:val="24"/>
        </w:rPr>
        <w:t>Objectives</w:t>
      </w:r>
    </w:p>
    <w:p w14:paraId="5CF8D593" w14:textId="5E094C60" w:rsidR="009C4E28" w:rsidRPr="00AC3C60" w:rsidRDefault="009C4E28" w:rsidP="00604E42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AC3C60">
        <w:rPr>
          <w:rFonts w:ascii="Times New Roman" w:hAnsi="Times New Roman" w:cs="Times New Roman"/>
          <w:bCs/>
          <w:sz w:val="24"/>
          <w:szCs w:val="24"/>
        </w:rPr>
        <w:t>The aim of this study was to</w:t>
      </w:r>
      <w:r w:rsidR="00330743" w:rsidRPr="00AC3C60">
        <w:rPr>
          <w:rFonts w:ascii="Times New Roman" w:hAnsi="Times New Roman" w:cs="Times New Roman"/>
          <w:bCs/>
          <w:sz w:val="24"/>
          <w:szCs w:val="24"/>
        </w:rPr>
        <w:t xml:space="preserve"> examine whether average levels of positive or negative affect changed </w:t>
      </w:r>
      <w:r w:rsidR="00B42764" w:rsidRPr="00AC3C60">
        <w:rPr>
          <w:rFonts w:ascii="Times New Roman" w:hAnsi="Times New Roman" w:cs="Times New Roman"/>
          <w:bCs/>
          <w:sz w:val="24"/>
          <w:szCs w:val="24"/>
        </w:rPr>
        <w:t xml:space="preserve">within the Church of England between </w:t>
      </w:r>
      <w:r w:rsidR="00C02B64" w:rsidRPr="00AC3C60">
        <w:rPr>
          <w:rFonts w:ascii="Times New Roman" w:hAnsi="Times New Roman" w:cs="Times New Roman"/>
          <w:bCs/>
          <w:sz w:val="24"/>
          <w:szCs w:val="24"/>
        </w:rPr>
        <w:t xml:space="preserve">the first and third national lockdowns. In particular we were interested in whether </w:t>
      </w:r>
      <w:r w:rsidR="001E28CB" w:rsidRPr="00AC3C60">
        <w:rPr>
          <w:rFonts w:ascii="Times New Roman" w:hAnsi="Times New Roman" w:cs="Times New Roman"/>
          <w:bCs/>
          <w:sz w:val="24"/>
          <w:szCs w:val="24"/>
        </w:rPr>
        <w:t xml:space="preserve">there was evidence that people may have adjusted to lockdown life, or whether the </w:t>
      </w:r>
      <w:r w:rsidR="008B4732" w:rsidRPr="00AC3C60">
        <w:rPr>
          <w:rFonts w:ascii="Times New Roman" w:hAnsi="Times New Roman" w:cs="Times New Roman"/>
          <w:bCs/>
          <w:sz w:val="24"/>
          <w:szCs w:val="24"/>
        </w:rPr>
        <w:t xml:space="preserve">persistence of lockdowns caused </w:t>
      </w:r>
      <w:r w:rsidR="007851BD" w:rsidRPr="00AC3C60">
        <w:rPr>
          <w:rFonts w:ascii="Times New Roman" w:hAnsi="Times New Roman" w:cs="Times New Roman"/>
          <w:bCs/>
          <w:sz w:val="24"/>
          <w:szCs w:val="24"/>
        </w:rPr>
        <w:t>deterioration</w:t>
      </w:r>
      <w:r w:rsidR="008B4732" w:rsidRPr="00AC3C60">
        <w:rPr>
          <w:rFonts w:ascii="Times New Roman" w:hAnsi="Times New Roman" w:cs="Times New Roman"/>
          <w:bCs/>
          <w:sz w:val="24"/>
          <w:szCs w:val="24"/>
        </w:rPr>
        <w:t xml:space="preserve"> in psychological wellbeing.</w:t>
      </w:r>
    </w:p>
    <w:p w14:paraId="1995D7B4" w14:textId="77777777" w:rsidR="00E13C07" w:rsidRPr="00AC3C60" w:rsidRDefault="00E13C07" w:rsidP="00604E42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09E9A4A" w14:textId="73C4DD1B" w:rsidR="00C905BF" w:rsidRPr="00AC3C60" w:rsidRDefault="00C905BF" w:rsidP="006D4428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3C60">
        <w:rPr>
          <w:rFonts w:ascii="Times New Roman" w:eastAsia="Times New Roman" w:hAnsi="Times New Roman" w:cs="Times New Roman"/>
          <w:b/>
          <w:bCs/>
          <w:sz w:val="24"/>
          <w:szCs w:val="24"/>
        </w:rPr>
        <w:t>Method</w:t>
      </w:r>
    </w:p>
    <w:p w14:paraId="2147F69E" w14:textId="77777777" w:rsidR="00392F58" w:rsidRPr="00AC3C60" w:rsidRDefault="00392F58" w:rsidP="00392F58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3C60">
        <w:rPr>
          <w:rFonts w:ascii="Times New Roman" w:eastAsia="Times New Roman" w:hAnsi="Times New Roman" w:cs="Times New Roman"/>
          <w:b/>
          <w:sz w:val="24"/>
          <w:szCs w:val="24"/>
        </w:rPr>
        <w:t>Sample profile</w:t>
      </w:r>
    </w:p>
    <w:p w14:paraId="001A654A" w14:textId="1F0DDC57" w:rsidR="00CF3320" w:rsidRPr="00AC3C60" w:rsidRDefault="005A73B5" w:rsidP="00BE55C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C60">
        <w:rPr>
          <w:rFonts w:ascii="Times New Roman" w:eastAsia="Times New Roman" w:hAnsi="Times New Roman" w:cs="Times New Roman"/>
          <w:sz w:val="24"/>
          <w:szCs w:val="24"/>
        </w:rPr>
        <w:t>The first lockdown</w:t>
      </w:r>
      <w:r w:rsidR="009168DE" w:rsidRPr="00AC3C60">
        <w:rPr>
          <w:rFonts w:ascii="Times New Roman" w:eastAsia="Times New Roman" w:hAnsi="Times New Roman" w:cs="Times New Roman"/>
          <w:sz w:val="24"/>
          <w:szCs w:val="24"/>
        </w:rPr>
        <w:t xml:space="preserve"> in England </w:t>
      </w:r>
      <w:r w:rsidR="00D07315" w:rsidRPr="00AC3C60">
        <w:rPr>
          <w:rFonts w:ascii="Times New Roman" w:eastAsia="Times New Roman" w:hAnsi="Times New Roman" w:cs="Times New Roman"/>
          <w:sz w:val="24"/>
          <w:szCs w:val="24"/>
        </w:rPr>
        <w:t xml:space="preserve">began on </w:t>
      </w:r>
      <w:r w:rsidR="003035ED" w:rsidRPr="00AC3C60">
        <w:rPr>
          <w:rFonts w:ascii="Times New Roman" w:eastAsia="Times New Roman" w:hAnsi="Times New Roman" w:cs="Times New Roman"/>
          <w:sz w:val="24"/>
          <w:szCs w:val="24"/>
        </w:rPr>
        <w:t>23 March</w:t>
      </w:r>
      <w:r w:rsidR="00D07315" w:rsidRPr="00AC3C60">
        <w:rPr>
          <w:rFonts w:ascii="Times New Roman" w:eastAsia="Times New Roman" w:hAnsi="Times New Roman" w:cs="Times New Roman"/>
          <w:sz w:val="24"/>
          <w:szCs w:val="24"/>
        </w:rPr>
        <w:t xml:space="preserve"> 2020 </w:t>
      </w:r>
      <w:r w:rsidR="00B75694" w:rsidRPr="00AC3C60">
        <w:rPr>
          <w:rFonts w:ascii="Times New Roman" w:eastAsia="Times New Roman" w:hAnsi="Times New Roman" w:cs="Times New Roman"/>
          <w:sz w:val="24"/>
          <w:szCs w:val="24"/>
        </w:rPr>
        <w:t>and lasted</w:t>
      </w:r>
      <w:r w:rsidR="009168DE" w:rsidRPr="00AC3C60">
        <w:rPr>
          <w:rFonts w:ascii="Times New Roman" w:eastAsia="Times New Roman" w:hAnsi="Times New Roman" w:cs="Times New Roman"/>
          <w:sz w:val="24"/>
          <w:szCs w:val="24"/>
        </w:rPr>
        <w:t xml:space="preserve"> until</w:t>
      </w:r>
      <w:r w:rsidRPr="00AC3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3823" w:rsidRPr="00AC3C60">
        <w:rPr>
          <w:rFonts w:ascii="Times New Roman" w:eastAsia="Times New Roman" w:hAnsi="Times New Roman" w:cs="Times New Roman"/>
          <w:sz w:val="24"/>
          <w:szCs w:val="24"/>
        </w:rPr>
        <w:t>4 July</w:t>
      </w:r>
      <w:r w:rsidR="009168DE" w:rsidRPr="00AC3C60">
        <w:rPr>
          <w:rFonts w:ascii="Times New Roman" w:eastAsia="Times New Roman" w:hAnsi="Times New Roman" w:cs="Times New Roman"/>
          <w:sz w:val="24"/>
          <w:szCs w:val="24"/>
        </w:rPr>
        <w:t>, when restrictions were eased</w:t>
      </w:r>
      <w:r w:rsidR="00330586" w:rsidRPr="00AC3C60">
        <w:rPr>
          <w:rFonts w:ascii="Times New Roman" w:eastAsia="Times New Roman" w:hAnsi="Times New Roman" w:cs="Times New Roman"/>
          <w:sz w:val="24"/>
          <w:szCs w:val="24"/>
        </w:rPr>
        <w:t xml:space="preserve"> but not removed entirely</w:t>
      </w:r>
      <w:r w:rsidR="00F026E7" w:rsidRPr="00AC3C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33823" w:rsidRPr="00AC3C60">
        <w:rPr>
          <w:rFonts w:ascii="Times New Roman" w:eastAsia="Times New Roman" w:hAnsi="Times New Roman" w:cs="Times New Roman"/>
          <w:sz w:val="24"/>
          <w:szCs w:val="24"/>
        </w:rPr>
        <w:t xml:space="preserve">Following </w:t>
      </w:r>
      <w:r w:rsidR="001939FA" w:rsidRPr="00AC3C60">
        <w:rPr>
          <w:rFonts w:ascii="Times New Roman" w:eastAsia="Times New Roman" w:hAnsi="Times New Roman" w:cs="Times New Roman"/>
          <w:sz w:val="24"/>
          <w:szCs w:val="24"/>
        </w:rPr>
        <w:t>a system of tiered restrictions in autumn and early winter</w:t>
      </w:r>
      <w:r w:rsidR="009F2E70" w:rsidRPr="00AC3C60">
        <w:rPr>
          <w:rFonts w:ascii="Times New Roman" w:eastAsia="Times New Roman" w:hAnsi="Times New Roman" w:cs="Times New Roman"/>
          <w:sz w:val="24"/>
          <w:szCs w:val="24"/>
        </w:rPr>
        <w:t xml:space="preserve">, a third </w:t>
      </w:r>
      <w:r w:rsidR="00C905C5" w:rsidRPr="00AC3C60">
        <w:rPr>
          <w:rFonts w:ascii="Times New Roman" w:eastAsia="Times New Roman" w:hAnsi="Times New Roman" w:cs="Times New Roman"/>
          <w:sz w:val="24"/>
          <w:szCs w:val="24"/>
        </w:rPr>
        <w:t xml:space="preserve">national </w:t>
      </w:r>
      <w:r w:rsidR="009F2E70" w:rsidRPr="00AC3C60">
        <w:rPr>
          <w:rFonts w:ascii="Times New Roman" w:eastAsia="Times New Roman" w:hAnsi="Times New Roman" w:cs="Times New Roman"/>
          <w:sz w:val="24"/>
          <w:szCs w:val="24"/>
        </w:rPr>
        <w:t xml:space="preserve">lockdown was imposed </w:t>
      </w:r>
      <w:r w:rsidR="00C905C5" w:rsidRPr="00AC3C60">
        <w:rPr>
          <w:rFonts w:ascii="Times New Roman" w:eastAsia="Times New Roman" w:hAnsi="Times New Roman" w:cs="Times New Roman"/>
          <w:sz w:val="24"/>
          <w:szCs w:val="24"/>
        </w:rPr>
        <w:t>in England on</w:t>
      </w:r>
      <w:r w:rsidR="00065A0A" w:rsidRPr="00AC3C60">
        <w:rPr>
          <w:rFonts w:ascii="Times New Roman" w:eastAsia="Times New Roman" w:hAnsi="Times New Roman" w:cs="Times New Roman"/>
          <w:sz w:val="24"/>
          <w:szCs w:val="24"/>
        </w:rPr>
        <w:t xml:space="preserve"> 6 January 2021 and lasted until 19 July. </w:t>
      </w:r>
      <w:r w:rsidR="00330586" w:rsidRPr="00AC3C60">
        <w:rPr>
          <w:rFonts w:ascii="Times New Roman" w:eastAsia="Times New Roman" w:hAnsi="Times New Roman" w:cs="Times New Roman"/>
          <w:sz w:val="24"/>
          <w:szCs w:val="24"/>
        </w:rPr>
        <w:t xml:space="preserve">During these lockdowns, two </w:t>
      </w:r>
      <w:r w:rsidR="00EB1759" w:rsidRPr="00AC3C60">
        <w:rPr>
          <w:rFonts w:ascii="Times New Roman" w:eastAsia="Times New Roman" w:hAnsi="Times New Roman" w:cs="Times New Roman"/>
          <w:sz w:val="24"/>
          <w:szCs w:val="24"/>
        </w:rPr>
        <w:t>separate</w:t>
      </w:r>
      <w:r w:rsidR="00C14D0C" w:rsidRPr="00AC3C60">
        <w:rPr>
          <w:rFonts w:ascii="Times New Roman" w:eastAsia="Times New Roman" w:hAnsi="Times New Roman" w:cs="Times New Roman"/>
          <w:sz w:val="24"/>
          <w:szCs w:val="24"/>
        </w:rPr>
        <w:t>, anonymous</w:t>
      </w:r>
      <w:r w:rsidR="00EB1759" w:rsidRPr="00AC3C60">
        <w:rPr>
          <w:rFonts w:ascii="Times New Roman" w:eastAsia="Times New Roman" w:hAnsi="Times New Roman" w:cs="Times New Roman"/>
          <w:sz w:val="24"/>
          <w:szCs w:val="24"/>
        </w:rPr>
        <w:t xml:space="preserve"> surveys were developed using </w:t>
      </w:r>
      <w:r w:rsidR="00CF3320" w:rsidRPr="00AC3C60">
        <w:rPr>
          <w:rFonts w:ascii="Times New Roman" w:eastAsia="Times New Roman" w:hAnsi="Times New Roman" w:cs="Times New Roman"/>
          <w:sz w:val="24"/>
          <w:szCs w:val="24"/>
        </w:rPr>
        <w:t>the Qualtrics</w:t>
      </w:r>
      <w:r w:rsidR="00A927D7" w:rsidRPr="00AC3C60">
        <w:rPr>
          <w:rFonts w:ascii="Times New Roman" w:eastAsia="Times New Roman" w:hAnsi="Times New Roman" w:cs="Times New Roman"/>
          <w:sz w:val="24"/>
          <w:szCs w:val="24"/>
        </w:rPr>
        <w:t xml:space="preserve"> XM platform and </w:t>
      </w:r>
      <w:r w:rsidR="00E05ECD" w:rsidRPr="00AC3C60">
        <w:rPr>
          <w:rFonts w:ascii="Times New Roman" w:eastAsia="Times New Roman" w:hAnsi="Times New Roman" w:cs="Times New Roman"/>
          <w:sz w:val="24"/>
          <w:szCs w:val="24"/>
        </w:rPr>
        <w:t>were promoted through the online and paper versions of the</w:t>
      </w:r>
      <w:r w:rsidR="00E05ECD" w:rsidRPr="00AC3C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Church Times</w:t>
      </w:r>
      <w:r w:rsidR="00E05ECD" w:rsidRPr="00AC3C60">
        <w:rPr>
          <w:rFonts w:ascii="Times New Roman" w:eastAsia="Times New Roman" w:hAnsi="Times New Roman" w:cs="Times New Roman"/>
          <w:sz w:val="24"/>
          <w:szCs w:val="24"/>
        </w:rPr>
        <w:t xml:space="preserve">, the main newspaper of the Church of England, as well as through Church of England dioceses and other denominations, including Catholics, </w:t>
      </w:r>
      <w:r w:rsidR="00B75694" w:rsidRPr="00AC3C60">
        <w:rPr>
          <w:rFonts w:ascii="Times New Roman" w:eastAsia="Times New Roman" w:hAnsi="Times New Roman" w:cs="Times New Roman"/>
          <w:sz w:val="24"/>
          <w:szCs w:val="24"/>
        </w:rPr>
        <w:t>Baptists,</w:t>
      </w:r>
      <w:r w:rsidR="00E05ECD" w:rsidRPr="00AC3C60">
        <w:rPr>
          <w:rFonts w:ascii="Times New Roman" w:eastAsia="Times New Roman" w:hAnsi="Times New Roman" w:cs="Times New Roman"/>
          <w:sz w:val="24"/>
          <w:szCs w:val="24"/>
        </w:rPr>
        <w:t xml:space="preserve"> and Methodists</w:t>
      </w:r>
      <w:r w:rsidR="00EB1759" w:rsidRPr="00AC3C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E05ECD" w:rsidRPr="00AC3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7130D5" w14:textId="0A2A11CD" w:rsidR="00C905BF" w:rsidRPr="00AC3C60" w:rsidRDefault="00C905BF" w:rsidP="00A41D12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C3C6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AC3C60">
        <w:rPr>
          <w:rFonts w:ascii="Times New Roman" w:eastAsia="Times New Roman" w:hAnsi="Times New Roman" w:cs="Times New Roman"/>
          <w:i/>
          <w:sz w:val="24"/>
          <w:szCs w:val="24"/>
        </w:rPr>
        <w:t>Coronavirus, Church &amp; You</w:t>
      </w:r>
      <w:r w:rsidRPr="00AC3C60">
        <w:rPr>
          <w:rFonts w:ascii="Times New Roman" w:eastAsia="Times New Roman" w:hAnsi="Times New Roman" w:cs="Times New Roman"/>
          <w:sz w:val="24"/>
          <w:szCs w:val="24"/>
        </w:rPr>
        <w:t xml:space="preserve"> survey </w:t>
      </w:r>
      <w:r w:rsidR="0096492B" w:rsidRPr="00AC3C60">
        <w:rPr>
          <w:rFonts w:ascii="Times New Roman" w:eastAsia="Times New Roman" w:hAnsi="Times New Roman" w:cs="Times New Roman"/>
          <w:sz w:val="24"/>
          <w:szCs w:val="24"/>
        </w:rPr>
        <w:t>ran from</w:t>
      </w:r>
      <w:r w:rsidR="00E05ECD" w:rsidRPr="00AC3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3C60">
        <w:rPr>
          <w:rFonts w:ascii="Times New Roman" w:eastAsia="Times New Roman" w:hAnsi="Times New Roman" w:cs="Times New Roman"/>
          <w:sz w:val="24"/>
          <w:szCs w:val="24"/>
        </w:rPr>
        <w:t>8 May</w:t>
      </w:r>
      <w:r w:rsidR="00520289" w:rsidRPr="00AC3C60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Pr="00AC3C60">
        <w:rPr>
          <w:rFonts w:ascii="Times New Roman" w:eastAsia="Times New Roman" w:hAnsi="Times New Roman" w:cs="Times New Roman"/>
          <w:sz w:val="24"/>
          <w:szCs w:val="24"/>
        </w:rPr>
        <w:t>, when the UK had been in lockdown for over a month</w:t>
      </w:r>
      <w:r w:rsidR="005853A1" w:rsidRPr="00AC3C60">
        <w:rPr>
          <w:rFonts w:ascii="Times New Roman" w:eastAsia="Times New Roman" w:hAnsi="Times New Roman" w:cs="Times New Roman"/>
          <w:sz w:val="24"/>
          <w:szCs w:val="24"/>
        </w:rPr>
        <w:t xml:space="preserve">, until </w:t>
      </w:r>
      <w:r w:rsidRPr="00AC3C60">
        <w:rPr>
          <w:rFonts w:ascii="Times New Roman" w:eastAsia="Times New Roman" w:hAnsi="Times New Roman" w:cs="Times New Roman"/>
          <w:sz w:val="24"/>
          <w:szCs w:val="24"/>
        </w:rPr>
        <w:t>23 July</w:t>
      </w:r>
      <w:r w:rsidR="005853A1" w:rsidRPr="00AC3C60">
        <w:rPr>
          <w:rFonts w:ascii="Times New Roman" w:eastAsia="Times New Roman" w:hAnsi="Times New Roman" w:cs="Times New Roman"/>
          <w:sz w:val="24"/>
          <w:szCs w:val="24"/>
        </w:rPr>
        <w:t xml:space="preserve">, when restrictions </w:t>
      </w:r>
      <w:r w:rsidR="00AA1696" w:rsidRPr="00AC3C60">
        <w:rPr>
          <w:rFonts w:ascii="Times New Roman" w:eastAsia="Times New Roman" w:hAnsi="Times New Roman" w:cs="Times New Roman"/>
          <w:sz w:val="24"/>
          <w:szCs w:val="24"/>
        </w:rPr>
        <w:t>had been relaxed for three weeks.</w:t>
      </w:r>
      <w:r w:rsidRPr="00AC3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696" w:rsidRPr="00AC3C60">
        <w:rPr>
          <w:rFonts w:ascii="Times New Roman" w:eastAsia="Times New Roman" w:hAnsi="Times New Roman" w:cs="Times New Roman"/>
          <w:sz w:val="24"/>
          <w:szCs w:val="24"/>
        </w:rPr>
        <w:t>In all, there were</w:t>
      </w:r>
      <w:r w:rsidR="00F10CF3" w:rsidRPr="00AC3C60">
        <w:rPr>
          <w:rFonts w:ascii="Times New Roman" w:eastAsia="Times New Roman" w:hAnsi="Times New Roman" w:cs="Times New Roman"/>
          <w:sz w:val="24"/>
          <w:szCs w:val="24"/>
        </w:rPr>
        <w:t xml:space="preserve"> over</w:t>
      </w:r>
      <w:r w:rsidRPr="00AC3C60">
        <w:rPr>
          <w:rFonts w:ascii="Times New Roman" w:eastAsia="Times New Roman" w:hAnsi="Times New Roman" w:cs="Times New Roman"/>
          <w:sz w:val="24"/>
          <w:szCs w:val="24"/>
        </w:rPr>
        <w:t xml:space="preserve"> 7,000 replies, 5,347 of which were from </w:t>
      </w:r>
      <w:r w:rsidR="00F8658B" w:rsidRPr="00AC3C60">
        <w:rPr>
          <w:rFonts w:ascii="Times New Roman" w:eastAsia="Times New Roman" w:hAnsi="Times New Roman" w:cs="Times New Roman"/>
          <w:sz w:val="24"/>
          <w:szCs w:val="24"/>
        </w:rPr>
        <w:t>Anglicans living in England.</w:t>
      </w:r>
      <w:r w:rsidRPr="00AC3C6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B1E43" w:rsidRPr="00AC3C60">
        <w:rPr>
          <w:rFonts w:ascii="Times New Roman" w:eastAsia="Times New Roman" w:hAnsi="Times New Roman" w:cs="Times New Roman"/>
          <w:sz w:val="24"/>
          <w:szCs w:val="24"/>
        </w:rPr>
        <w:t>The second survey</w:t>
      </w:r>
      <w:r w:rsidR="009D32C8" w:rsidRPr="00AC3C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D32C8" w:rsidRPr="00AC3C60">
        <w:rPr>
          <w:rFonts w:ascii="Times New Roman" w:eastAsia="Times New Roman" w:hAnsi="Times New Roman" w:cs="Times New Roman"/>
          <w:i/>
          <w:iCs/>
          <w:sz w:val="24"/>
          <w:szCs w:val="24"/>
        </w:rPr>
        <w:t>Covid-19</w:t>
      </w:r>
      <w:r w:rsidR="00500B33" w:rsidRPr="00AC3C60">
        <w:rPr>
          <w:rFonts w:ascii="Times New Roman" w:eastAsia="Times New Roman" w:hAnsi="Times New Roman" w:cs="Times New Roman"/>
          <w:i/>
          <w:iCs/>
          <w:sz w:val="24"/>
          <w:szCs w:val="24"/>
        </w:rPr>
        <w:t>, Church-21,</w:t>
      </w:r>
      <w:r w:rsidR="00AB1E43" w:rsidRPr="00AC3C60">
        <w:rPr>
          <w:rFonts w:ascii="Times New Roman" w:eastAsia="Times New Roman" w:hAnsi="Times New Roman" w:cs="Times New Roman"/>
          <w:sz w:val="24"/>
          <w:szCs w:val="24"/>
        </w:rPr>
        <w:t xml:space="preserve"> was launched </w:t>
      </w:r>
      <w:r w:rsidR="00AF7DF9" w:rsidRPr="00AC3C60">
        <w:rPr>
          <w:rFonts w:ascii="Times New Roman" w:eastAsia="Times New Roman" w:hAnsi="Times New Roman" w:cs="Times New Roman"/>
          <w:sz w:val="24"/>
          <w:szCs w:val="24"/>
        </w:rPr>
        <w:t xml:space="preserve">using similar means to the first on </w:t>
      </w:r>
      <w:r w:rsidR="00B630E4" w:rsidRPr="00AC3C60">
        <w:rPr>
          <w:rFonts w:ascii="Times New Roman" w:eastAsia="Times New Roman" w:hAnsi="Times New Roman" w:cs="Times New Roman"/>
          <w:sz w:val="24"/>
          <w:szCs w:val="24"/>
        </w:rPr>
        <w:t xml:space="preserve">22 January 2021 and closed on </w:t>
      </w:r>
      <w:r w:rsidR="004666AA" w:rsidRPr="00AC3C60">
        <w:rPr>
          <w:rFonts w:ascii="Times New Roman" w:eastAsia="Times New Roman" w:hAnsi="Times New Roman" w:cs="Times New Roman"/>
          <w:sz w:val="24"/>
          <w:szCs w:val="24"/>
        </w:rPr>
        <w:t xml:space="preserve">23 July. It contained a mix of items used in the first survey and new items developed in the light of experience of </w:t>
      </w:r>
      <w:r w:rsidR="00CA0F3C" w:rsidRPr="00AC3C60">
        <w:rPr>
          <w:rFonts w:ascii="Times New Roman" w:eastAsia="Times New Roman" w:hAnsi="Times New Roman" w:cs="Times New Roman"/>
          <w:sz w:val="24"/>
          <w:szCs w:val="24"/>
        </w:rPr>
        <w:t xml:space="preserve">the first survey and </w:t>
      </w:r>
      <w:r w:rsidR="00F10CF3" w:rsidRPr="00AC3C6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F10CF3" w:rsidRPr="00AC3C6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changing circumstances </w:t>
      </w:r>
      <w:r w:rsidR="00857570" w:rsidRPr="00AC3C60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F10CF3" w:rsidRPr="00AC3C60">
        <w:rPr>
          <w:rFonts w:ascii="Times New Roman" w:eastAsia="Times New Roman" w:hAnsi="Times New Roman" w:cs="Times New Roman"/>
          <w:sz w:val="24"/>
          <w:szCs w:val="24"/>
        </w:rPr>
        <w:t xml:space="preserve">churches </w:t>
      </w:r>
      <w:r w:rsidR="00857570" w:rsidRPr="00AC3C60">
        <w:rPr>
          <w:rFonts w:ascii="Times New Roman" w:eastAsia="Times New Roman" w:hAnsi="Times New Roman" w:cs="Times New Roman"/>
          <w:sz w:val="24"/>
          <w:szCs w:val="24"/>
        </w:rPr>
        <w:t>in this particular lockdown</w:t>
      </w:r>
      <w:r w:rsidR="00CA0F3C" w:rsidRPr="00AC3C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C0F35" w:rsidRPr="00AC3C60">
        <w:rPr>
          <w:rFonts w:ascii="Times New Roman" w:eastAsia="Times New Roman" w:hAnsi="Times New Roman" w:cs="Times New Roman"/>
          <w:sz w:val="24"/>
          <w:szCs w:val="24"/>
        </w:rPr>
        <w:t>Th</w:t>
      </w:r>
      <w:r w:rsidR="00857570" w:rsidRPr="00AC3C60">
        <w:rPr>
          <w:rFonts w:ascii="Times New Roman" w:eastAsia="Times New Roman" w:hAnsi="Times New Roman" w:cs="Times New Roman"/>
          <w:sz w:val="24"/>
          <w:szCs w:val="24"/>
        </w:rPr>
        <w:t>e</w:t>
      </w:r>
      <w:r w:rsidR="008C0F35" w:rsidRPr="00AC3C60">
        <w:rPr>
          <w:rFonts w:ascii="Times New Roman" w:eastAsia="Times New Roman" w:hAnsi="Times New Roman" w:cs="Times New Roman"/>
          <w:sz w:val="24"/>
          <w:szCs w:val="24"/>
        </w:rPr>
        <w:t xml:space="preserve"> second survey </w:t>
      </w:r>
      <w:r w:rsidR="00857570" w:rsidRPr="00AC3C60">
        <w:rPr>
          <w:rFonts w:ascii="Times New Roman" w:eastAsia="Times New Roman" w:hAnsi="Times New Roman" w:cs="Times New Roman"/>
          <w:sz w:val="24"/>
          <w:szCs w:val="24"/>
        </w:rPr>
        <w:t xml:space="preserve">was </w:t>
      </w:r>
      <w:r w:rsidR="000F7BE6" w:rsidRPr="00AC3C60">
        <w:rPr>
          <w:rFonts w:ascii="Times New Roman" w:eastAsia="Times New Roman" w:hAnsi="Times New Roman" w:cs="Times New Roman"/>
          <w:sz w:val="24"/>
          <w:szCs w:val="24"/>
        </w:rPr>
        <w:t xml:space="preserve">designed to be used by a range of denominations and there were </w:t>
      </w:r>
      <w:r w:rsidR="008679A2" w:rsidRPr="00AC3C60">
        <w:rPr>
          <w:rFonts w:ascii="Times New Roman" w:eastAsia="Times New Roman" w:hAnsi="Times New Roman" w:cs="Times New Roman"/>
          <w:sz w:val="24"/>
          <w:szCs w:val="24"/>
        </w:rPr>
        <w:t>5,8</w:t>
      </w:r>
      <w:r w:rsidR="00EA7DA4" w:rsidRPr="00AC3C60">
        <w:rPr>
          <w:rFonts w:ascii="Times New Roman" w:eastAsia="Times New Roman" w:hAnsi="Times New Roman" w:cs="Times New Roman"/>
          <w:sz w:val="24"/>
          <w:szCs w:val="24"/>
        </w:rPr>
        <w:t>53 responses, of which 2,328 were from the A</w:t>
      </w:r>
      <w:r w:rsidR="00F8658B" w:rsidRPr="00AC3C60">
        <w:rPr>
          <w:rFonts w:ascii="Times New Roman" w:eastAsia="Times New Roman" w:hAnsi="Times New Roman" w:cs="Times New Roman"/>
          <w:sz w:val="24"/>
          <w:szCs w:val="24"/>
        </w:rPr>
        <w:t>nglicans living in England.</w:t>
      </w:r>
      <w:r w:rsidR="00BF3663" w:rsidRPr="00AC3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91669E" w14:textId="484600EC" w:rsidR="00A41D12" w:rsidRPr="00AC3C60" w:rsidRDefault="004748C9" w:rsidP="00A41D12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C3C60">
        <w:rPr>
          <w:rFonts w:ascii="Times New Roman" w:eastAsia="Times New Roman" w:hAnsi="Times New Roman" w:cs="Times New Roman"/>
          <w:sz w:val="24"/>
          <w:szCs w:val="24"/>
        </w:rPr>
        <w:t>R</w:t>
      </w:r>
      <w:r w:rsidR="009F42FE" w:rsidRPr="00AC3C60">
        <w:rPr>
          <w:rFonts w:ascii="Times New Roman" w:eastAsia="Times New Roman" w:hAnsi="Times New Roman" w:cs="Times New Roman"/>
          <w:sz w:val="24"/>
          <w:szCs w:val="24"/>
        </w:rPr>
        <w:t xml:space="preserve">espondents </w:t>
      </w:r>
      <w:r w:rsidRPr="00AC3C60">
        <w:rPr>
          <w:rFonts w:ascii="Times New Roman" w:eastAsia="Times New Roman" w:hAnsi="Times New Roman" w:cs="Times New Roman"/>
          <w:sz w:val="24"/>
          <w:szCs w:val="24"/>
        </w:rPr>
        <w:t xml:space="preserve">across the two surveys </w:t>
      </w:r>
      <w:r w:rsidR="00EF078F" w:rsidRPr="00AC3C60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="00857570" w:rsidRPr="00AC3C60">
        <w:rPr>
          <w:rFonts w:ascii="Times New Roman" w:eastAsia="Times New Roman" w:hAnsi="Times New Roman" w:cs="Times New Roman"/>
          <w:sz w:val="24"/>
          <w:szCs w:val="24"/>
        </w:rPr>
        <w:t>d</w:t>
      </w:r>
      <w:r w:rsidR="00EF078F" w:rsidRPr="00AC3C60">
        <w:rPr>
          <w:rFonts w:ascii="Times New Roman" w:eastAsia="Times New Roman" w:hAnsi="Times New Roman" w:cs="Times New Roman"/>
          <w:sz w:val="24"/>
          <w:szCs w:val="24"/>
        </w:rPr>
        <w:t xml:space="preserve"> clergy </w:t>
      </w:r>
      <w:r w:rsidR="00826DA0" w:rsidRPr="00AC3C60">
        <w:rPr>
          <w:rFonts w:ascii="Times New Roman" w:eastAsia="Times New Roman" w:hAnsi="Times New Roman" w:cs="Times New Roman"/>
          <w:sz w:val="24"/>
          <w:szCs w:val="24"/>
        </w:rPr>
        <w:t xml:space="preserve">and lay people with a range of ministry statuses. </w:t>
      </w:r>
      <w:r w:rsidR="00565189" w:rsidRPr="00AC3C60">
        <w:rPr>
          <w:rFonts w:ascii="Times New Roman" w:eastAsia="Times New Roman" w:hAnsi="Times New Roman" w:cs="Times New Roman"/>
          <w:sz w:val="24"/>
          <w:szCs w:val="24"/>
        </w:rPr>
        <w:t xml:space="preserve">Just over </w:t>
      </w:r>
      <w:r w:rsidRPr="00AC3C60">
        <w:rPr>
          <w:rFonts w:ascii="Times New Roman" w:eastAsia="Times New Roman" w:hAnsi="Times New Roman" w:cs="Times New Roman"/>
          <w:sz w:val="24"/>
          <w:szCs w:val="24"/>
        </w:rPr>
        <w:t xml:space="preserve">half (54%) </w:t>
      </w:r>
      <w:r w:rsidR="00CA4D07" w:rsidRPr="00AC3C60">
        <w:rPr>
          <w:rFonts w:ascii="Times New Roman" w:eastAsia="Times New Roman" w:hAnsi="Times New Roman" w:cs="Times New Roman"/>
          <w:sz w:val="24"/>
          <w:szCs w:val="24"/>
        </w:rPr>
        <w:t xml:space="preserve">of the ordained sample </w:t>
      </w:r>
      <w:r w:rsidR="00AC3F37" w:rsidRPr="00AC3C60">
        <w:rPr>
          <w:rFonts w:ascii="Times New Roman" w:eastAsia="Times New Roman" w:hAnsi="Times New Roman" w:cs="Times New Roman"/>
          <w:sz w:val="24"/>
          <w:szCs w:val="24"/>
        </w:rPr>
        <w:t xml:space="preserve">(survey 1: </w:t>
      </w:r>
      <w:r w:rsidR="00AC3F37" w:rsidRPr="00AC3C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 </w:t>
      </w:r>
      <w:r w:rsidR="00AC3F37" w:rsidRPr="00AC3C60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70661E" w:rsidRPr="00AC3C60">
        <w:rPr>
          <w:rFonts w:ascii="Times New Roman" w:eastAsia="Times New Roman" w:hAnsi="Times New Roman" w:cs="Times New Roman"/>
          <w:sz w:val="24"/>
          <w:szCs w:val="24"/>
        </w:rPr>
        <w:t>792</w:t>
      </w:r>
      <w:r w:rsidR="00AC3F37" w:rsidRPr="00AC3C60">
        <w:rPr>
          <w:rFonts w:ascii="Times New Roman" w:eastAsia="Times New Roman" w:hAnsi="Times New Roman" w:cs="Times New Roman"/>
          <w:sz w:val="24"/>
          <w:szCs w:val="24"/>
        </w:rPr>
        <w:t xml:space="preserve">; survey 2: </w:t>
      </w:r>
      <w:r w:rsidR="00AC3F37" w:rsidRPr="00AC3C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 </w:t>
      </w:r>
      <w:r w:rsidR="00AC3F37" w:rsidRPr="00AC3C60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70661E" w:rsidRPr="00AC3C60">
        <w:rPr>
          <w:rFonts w:ascii="Times New Roman" w:eastAsia="Times New Roman" w:hAnsi="Times New Roman" w:cs="Times New Roman"/>
          <w:sz w:val="24"/>
          <w:szCs w:val="24"/>
        </w:rPr>
        <w:t>401</w:t>
      </w:r>
      <w:r w:rsidR="00AC3F37" w:rsidRPr="00AC3C60">
        <w:rPr>
          <w:rFonts w:ascii="Times New Roman" w:eastAsia="Times New Roman" w:hAnsi="Times New Roman" w:cs="Times New Roman"/>
          <w:sz w:val="24"/>
          <w:szCs w:val="24"/>
        </w:rPr>
        <w:t>)</w:t>
      </w:r>
      <w:r w:rsidR="00A62982" w:rsidRPr="00AC3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D07" w:rsidRPr="00AC3C60">
        <w:rPr>
          <w:rFonts w:ascii="Times New Roman" w:eastAsia="Times New Roman" w:hAnsi="Times New Roman" w:cs="Times New Roman"/>
          <w:sz w:val="24"/>
          <w:szCs w:val="24"/>
        </w:rPr>
        <w:t>were stipendiary clergy serving in parishes</w:t>
      </w:r>
      <w:r w:rsidRPr="00AC3C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A4D07" w:rsidRPr="00AC3C60">
        <w:rPr>
          <w:rFonts w:ascii="Times New Roman" w:eastAsia="Times New Roman" w:hAnsi="Times New Roman" w:cs="Times New Roman"/>
          <w:sz w:val="24"/>
          <w:szCs w:val="24"/>
        </w:rPr>
        <w:t xml:space="preserve">and this group was used to </w:t>
      </w:r>
      <w:r w:rsidR="001D324A" w:rsidRPr="00AC3C60">
        <w:rPr>
          <w:rFonts w:ascii="Times New Roman" w:eastAsia="Times New Roman" w:hAnsi="Times New Roman" w:cs="Times New Roman"/>
          <w:sz w:val="24"/>
          <w:szCs w:val="24"/>
        </w:rPr>
        <w:t xml:space="preserve">measure changes in clergy wellbeing. Parochial clergy </w:t>
      </w:r>
      <w:r w:rsidR="00844EDB" w:rsidRPr="00AC3C60">
        <w:rPr>
          <w:rFonts w:ascii="Times New Roman" w:eastAsia="Times New Roman" w:hAnsi="Times New Roman" w:cs="Times New Roman"/>
          <w:sz w:val="24"/>
          <w:szCs w:val="24"/>
        </w:rPr>
        <w:t xml:space="preserve">probably faced the most severe difficulties in maintaining liturgical and pastoral ministry during lockdowns. The majority </w:t>
      </w:r>
      <w:r w:rsidRPr="00AC3C60">
        <w:rPr>
          <w:rFonts w:ascii="Times New Roman" w:eastAsia="Times New Roman" w:hAnsi="Times New Roman" w:cs="Times New Roman"/>
          <w:sz w:val="24"/>
          <w:szCs w:val="24"/>
        </w:rPr>
        <w:t xml:space="preserve">(77%) </w:t>
      </w:r>
      <w:r w:rsidR="00844EDB" w:rsidRPr="00AC3C60">
        <w:rPr>
          <w:rFonts w:ascii="Times New Roman" w:eastAsia="Times New Roman" w:hAnsi="Times New Roman" w:cs="Times New Roman"/>
          <w:sz w:val="24"/>
          <w:szCs w:val="24"/>
        </w:rPr>
        <w:t>of the lay sample</w:t>
      </w:r>
      <w:r w:rsidR="002B31D4" w:rsidRPr="00AC3C6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922EB" w:rsidRPr="00AC3C60">
        <w:rPr>
          <w:rFonts w:ascii="Times New Roman" w:eastAsia="Times New Roman" w:hAnsi="Times New Roman" w:cs="Times New Roman"/>
          <w:sz w:val="24"/>
          <w:szCs w:val="24"/>
        </w:rPr>
        <w:t>survey 1:</w:t>
      </w:r>
      <w:r w:rsidR="00286B81" w:rsidRPr="00AC3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22EB" w:rsidRPr="00AC3C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 </w:t>
      </w:r>
      <w:r w:rsidR="002922EB" w:rsidRPr="00AC3C60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286B81" w:rsidRPr="00AC3C60">
        <w:rPr>
          <w:rFonts w:ascii="Times New Roman" w:eastAsia="Times New Roman" w:hAnsi="Times New Roman" w:cs="Times New Roman"/>
          <w:sz w:val="24"/>
          <w:szCs w:val="24"/>
        </w:rPr>
        <w:t>2,815;</w:t>
      </w:r>
      <w:r w:rsidR="002922EB" w:rsidRPr="00AC3C60">
        <w:rPr>
          <w:rFonts w:ascii="Times New Roman" w:eastAsia="Times New Roman" w:hAnsi="Times New Roman" w:cs="Times New Roman"/>
          <w:sz w:val="24"/>
          <w:szCs w:val="24"/>
        </w:rPr>
        <w:t xml:space="preserve"> survey</w:t>
      </w:r>
      <w:r w:rsidR="00AC3F37" w:rsidRPr="00AC3C60">
        <w:rPr>
          <w:rFonts w:ascii="Times New Roman" w:eastAsia="Times New Roman" w:hAnsi="Times New Roman" w:cs="Times New Roman"/>
          <w:sz w:val="24"/>
          <w:szCs w:val="24"/>
        </w:rPr>
        <w:t xml:space="preserve"> 2:</w:t>
      </w:r>
      <w:r w:rsidR="002922EB" w:rsidRPr="00AC3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22EB" w:rsidRPr="00AC3C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 </w:t>
      </w:r>
      <w:r w:rsidR="002922EB" w:rsidRPr="00AC3C60">
        <w:rPr>
          <w:rFonts w:ascii="Times New Roman" w:eastAsia="Times New Roman" w:hAnsi="Times New Roman" w:cs="Times New Roman"/>
          <w:sz w:val="24"/>
          <w:szCs w:val="24"/>
        </w:rPr>
        <w:t>=</w:t>
      </w:r>
      <w:r w:rsidR="00AC3F37" w:rsidRPr="00AC3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1965" w:rsidRPr="00AC3C60">
        <w:rPr>
          <w:rFonts w:ascii="Times New Roman" w:eastAsia="Times New Roman" w:hAnsi="Times New Roman" w:cs="Times New Roman"/>
          <w:sz w:val="24"/>
          <w:szCs w:val="24"/>
        </w:rPr>
        <w:t>1</w:t>
      </w:r>
      <w:r w:rsidR="00C41712" w:rsidRPr="00AC3C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781965" w:rsidRPr="00AC3C60">
        <w:rPr>
          <w:rFonts w:ascii="Times New Roman" w:eastAsia="Times New Roman" w:hAnsi="Times New Roman" w:cs="Times New Roman"/>
          <w:sz w:val="24"/>
          <w:szCs w:val="24"/>
        </w:rPr>
        <w:t>027</w:t>
      </w:r>
      <w:r w:rsidR="002B31D4" w:rsidRPr="00AC3C60">
        <w:rPr>
          <w:rFonts w:ascii="Times New Roman" w:eastAsia="Times New Roman" w:hAnsi="Times New Roman" w:cs="Times New Roman"/>
          <w:sz w:val="24"/>
          <w:szCs w:val="24"/>
        </w:rPr>
        <w:t>)</w:t>
      </w:r>
      <w:r w:rsidR="00844EDB" w:rsidRPr="00AC3C60">
        <w:rPr>
          <w:rFonts w:ascii="Times New Roman" w:eastAsia="Times New Roman" w:hAnsi="Times New Roman" w:cs="Times New Roman"/>
          <w:sz w:val="24"/>
          <w:szCs w:val="24"/>
        </w:rPr>
        <w:t xml:space="preserve"> were not in recognised lay ministries</w:t>
      </w:r>
      <w:r w:rsidR="000028EB" w:rsidRPr="00AC3C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44EDB" w:rsidRPr="00AC3C60">
        <w:rPr>
          <w:rFonts w:ascii="Times New Roman" w:eastAsia="Times New Roman" w:hAnsi="Times New Roman" w:cs="Times New Roman"/>
          <w:sz w:val="24"/>
          <w:szCs w:val="24"/>
        </w:rPr>
        <w:t xml:space="preserve">and they were </w:t>
      </w:r>
      <w:r w:rsidR="004D33AA" w:rsidRPr="00AC3C60">
        <w:rPr>
          <w:rFonts w:ascii="Times New Roman" w:eastAsia="Times New Roman" w:hAnsi="Times New Roman" w:cs="Times New Roman"/>
          <w:sz w:val="24"/>
          <w:szCs w:val="24"/>
        </w:rPr>
        <w:t xml:space="preserve">used to measure changes in lay wellbeing as most of these people would not have </w:t>
      </w:r>
      <w:r w:rsidR="00CD00F6" w:rsidRPr="00AC3C60">
        <w:rPr>
          <w:rFonts w:ascii="Times New Roman" w:eastAsia="Times New Roman" w:hAnsi="Times New Roman" w:cs="Times New Roman"/>
          <w:sz w:val="24"/>
          <w:szCs w:val="24"/>
        </w:rPr>
        <w:t>major liturgical or pastoral responsibilities.</w:t>
      </w:r>
      <w:r w:rsidR="001D324A" w:rsidRPr="00AC3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13F0" w:rsidRPr="00AC3C60">
        <w:rPr>
          <w:rFonts w:ascii="Times New Roman" w:eastAsia="Times New Roman" w:hAnsi="Times New Roman" w:cs="Times New Roman"/>
          <w:sz w:val="24"/>
          <w:szCs w:val="24"/>
        </w:rPr>
        <w:t xml:space="preserve">Anonymity requirements meant we were unable to compare the responses of specific individuals </w:t>
      </w:r>
      <w:r w:rsidR="00BB66D4" w:rsidRPr="00AC3C60">
        <w:rPr>
          <w:rFonts w:ascii="Times New Roman" w:eastAsia="Times New Roman" w:hAnsi="Times New Roman" w:cs="Times New Roman"/>
          <w:sz w:val="24"/>
          <w:szCs w:val="24"/>
        </w:rPr>
        <w:t>in each survey, so we treat</w:t>
      </w:r>
      <w:r w:rsidR="00500B33" w:rsidRPr="00AC3C60">
        <w:rPr>
          <w:rFonts w:ascii="Times New Roman" w:eastAsia="Times New Roman" w:hAnsi="Times New Roman" w:cs="Times New Roman"/>
          <w:sz w:val="24"/>
          <w:szCs w:val="24"/>
        </w:rPr>
        <w:t>ed</w:t>
      </w:r>
      <w:r w:rsidR="00BB66D4" w:rsidRPr="00AC3C60">
        <w:rPr>
          <w:rFonts w:ascii="Times New Roman" w:eastAsia="Times New Roman" w:hAnsi="Times New Roman" w:cs="Times New Roman"/>
          <w:sz w:val="24"/>
          <w:szCs w:val="24"/>
        </w:rPr>
        <w:t xml:space="preserve"> the data as independent samples </w:t>
      </w:r>
      <w:r w:rsidR="00395B31" w:rsidRPr="00AC3C60">
        <w:rPr>
          <w:rFonts w:ascii="Times New Roman" w:eastAsia="Times New Roman" w:hAnsi="Times New Roman" w:cs="Times New Roman"/>
          <w:sz w:val="24"/>
          <w:szCs w:val="24"/>
        </w:rPr>
        <w:t xml:space="preserve">taken at two time points about a year apart. Of the </w:t>
      </w:r>
      <w:r w:rsidR="00E14E8E" w:rsidRPr="00AC3C60">
        <w:rPr>
          <w:rFonts w:ascii="Times New Roman" w:eastAsia="Times New Roman" w:hAnsi="Times New Roman" w:cs="Times New Roman"/>
          <w:sz w:val="24"/>
          <w:szCs w:val="24"/>
        </w:rPr>
        <w:t>1</w:t>
      </w:r>
      <w:r w:rsidR="004A64EB" w:rsidRPr="00AC3C60">
        <w:rPr>
          <w:rFonts w:ascii="Times New Roman" w:eastAsia="Times New Roman" w:hAnsi="Times New Roman" w:cs="Times New Roman"/>
          <w:sz w:val="24"/>
          <w:szCs w:val="24"/>
        </w:rPr>
        <w:t>,428</w:t>
      </w:r>
      <w:r w:rsidR="00395B31" w:rsidRPr="00AC3C60">
        <w:rPr>
          <w:rFonts w:ascii="Times New Roman" w:eastAsia="Times New Roman" w:hAnsi="Times New Roman" w:cs="Times New Roman"/>
          <w:sz w:val="24"/>
          <w:szCs w:val="24"/>
        </w:rPr>
        <w:t xml:space="preserve"> respondents in the second sample, 310 (2</w:t>
      </w:r>
      <w:r w:rsidR="00D07704" w:rsidRPr="00AC3C60">
        <w:rPr>
          <w:rFonts w:ascii="Times New Roman" w:eastAsia="Times New Roman" w:hAnsi="Times New Roman" w:cs="Times New Roman"/>
          <w:sz w:val="24"/>
          <w:szCs w:val="24"/>
        </w:rPr>
        <w:t>2</w:t>
      </w:r>
      <w:r w:rsidR="00395B31" w:rsidRPr="00AC3C60">
        <w:rPr>
          <w:rFonts w:ascii="Times New Roman" w:eastAsia="Times New Roman" w:hAnsi="Times New Roman" w:cs="Times New Roman"/>
          <w:sz w:val="24"/>
          <w:szCs w:val="24"/>
        </w:rPr>
        <w:t xml:space="preserve">%) indicated that they had also taken the first </w:t>
      </w:r>
      <w:r w:rsidR="005474B3" w:rsidRPr="00AC3C60">
        <w:rPr>
          <w:rFonts w:ascii="Times New Roman" w:eastAsia="Times New Roman" w:hAnsi="Times New Roman" w:cs="Times New Roman"/>
          <w:sz w:val="24"/>
          <w:szCs w:val="24"/>
        </w:rPr>
        <w:t>survey</w:t>
      </w:r>
      <w:r w:rsidR="00395B31" w:rsidRPr="00AC3C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561F3" w:rsidRPr="00AC3C60">
        <w:rPr>
          <w:rFonts w:ascii="Times New Roman" w:eastAsia="Times New Roman" w:hAnsi="Times New Roman" w:cs="Times New Roman"/>
          <w:sz w:val="24"/>
          <w:szCs w:val="24"/>
        </w:rPr>
        <w:t>There were no significant differences in results between these groups</w:t>
      </w:r>
      <w:r w:rsidR="00563D7F" w:rsidRPr="00AC3C60">
        <w:rPr>
          <w:rFonts w:ascii="Times New Roman" w:eastAsia="Times New Roman" w:hAnsi="Times New Roman" w:cs="Times New Roman"/>
          <w:sz w:val="24"/>
          <w:szCs w:val="24"/>
        </w:rPr>
        <w:t>, so repeat respondents were included in the second survey sample.</w:t>
      </w:r>
    </w:p>
    <w:p w14:paraId="06D9A084" w14:textId="06F366AC" w:rsidR="00C905BF" w:rsidRPr="00AC3C60" w:rsidRDefault="00312122" w:rsidP="00392F58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C3C6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33C80" w:rsidRPr="00AC3C60">
        <w:rPr>
          <w:rFonts w:ascii="Times New Roman" w:eastAsia="Times New Roman" w:hAnsi="Times New Roman" w:cs="Times New Roman"/>
          <w:sz w:val="24"/>
          <w:szCs w:val="24"/>
        </w:rPr>
        <w:t xml:space="preserve">sample </w:t>
      </w:r>
      <w:r w:rsidR="000A43DE" w:rsidRPr="00AC3C60">
        <w:rPr>
          <w:rFonts w:ascii="Times New Roman" w:eastAsia="Times New Roman" w:hAnsi="Times New Roman" w:cs="Times New Roman"/>
          <w:sz w:val="24"/>
          <w:szCs w:val="24"/>
        </w:rPr>
        <w:t>profile</w:t>
      </w:r>
      <w:r w:rsidR="00F8658B" w:rsidRPr="00AC3C60">
        <w:rPr>
          <w:rFonts w:ascii="Times New Roman" w:eastAsia="Times New Roman" w:hAnsi="Times New Roman" w:cs="Times New Roman"/>
          <w:sz w:val="24"/>
          <w:szCs w:val="24"/>
        </w:rPr>
        <w:t>s</w:t>
      </w:r>
      <w:r w:rsidR="000A43DE" w:rsidRPr="00AC3C60">
        <w:rPr>
          <w:rFonts w:ascii="Times New Roman" w:eastAsia="Times New Roman" w:hAnsi="Times New Roman" w:cs="Times New Roman"/>
          <w:sz w:val="24"/>
          <w:szCs w:val="24"/>
        </w:rPr>
        <w:t xml:space="preserve">  (Table 1) </w:t>
      </w:r>
      <w:r w:rsidRPr="00AC3C60">
        <w:rPr>
          <w:rFonts w:ascii="Times New Roman" w:eastAsia="Times New Roman" w:hAnsi="Times New Roman" w:cs="Times New Roman"/>
          <w:sz w:val="24"/>
          <w:szCs w:val="24"/>
        </w:rPr>
        <w:t>were</w:t>
      </w:r>
      <w:r w:rsidR="0086675B" w:rsidRPr="00AC3C60">
        <w:rPr>
          <w:rFonts w:ascii="Times New Roman" w:eastAsia="Times New Roman" w:hAnsi="Times New Roman" w:cs="Times New Roman"/>
          <w:sz w:val="24"/>
          <w:szCs w:val="24"/>
        </w:rPr>
        <w:t xml:space="preserve"> similar to other surveys of the Church of England</w:t>
      </w:r>
      <w:r w:rsidR="00D4077E" w:rsidRPr="00AC3C60">
        <w:rPr>
          <w:rFonts w:ascii="Times New Roman" w:eastAsia="Times New Roman" w:hAnsi="Times New Roman" w:cs="Times New Roman"/>
          <w:sz w:val="24"/>
          <w:szCs w:val="24"/>
        </w:rPr>
        <w:t xml:space="preserve"> where data were collected </w:t>
      </w:r>
      <w:r w:rsidR="00671A09" w:rsidRPr="00AC3C60">
        <w:rPr>
          <w:rFonts w:ascii="Times New Roman" w:eastAsia="Times New Roman" w:hAnsi="Times New Roman" w:cs="Times New Roman"/>
          <w:sz w:val="24"/>
          <w:szCs w:val="24"/>
        </w:rPr>
        <w:t>through the</w:t>
      </w:r>
      <w:r w:rsidR="00671A09" w:rsidRPr="00AC3C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Church Times</w:t>
      </w:r>
      <w:r w:rsidR="00671A09" w:rsidRPr="00AC3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E10" w:rsidRPr="00AC3C60">
        <w:rPr>
          <w:rFonts w:ascii="Times New Roman" w:eastAsia="Times New Roman" w:hAnsi="Times New Roman" w:cs="Times New Roman"/>
          <w:noProof/>
          <w:sz w:val="24"/>
          <w:szCs w:val="24"/>
        </w:rPr>
        <w:t>(Francis, Robbins, et al., 2005; Village, 2018)</w:t>
      </w:r>
      <w:r w:rsidR="00671A09" w:rsidRPr="00AC3C60">
        <w:rPr>
          <w:rFonts w:ascii="Times New Roman" w:eastAsia="Times New Roman" w:hAnsi="Times New Roman" w:cs="Times New Roman"/>
          <w:sz w:val="24"/>
          <w:szCs w:val="24"/>
        </w:rPr>
        <w:t xml:space="preserve">. Although not wholly </w:t>
      </w:r>
      <w:r w:rsidR="00BF3C07" w:rsidRPr="00AC3C60">
        <w:rPr>
          <w:rFonts w:ascii="Times New Roman" w:eastAsia="Times New Roman" w:hAnsi="Times New Roman" w:cs="Times New Roman"/>
          <w:sz w:val="24"/>
          <w:szCs w:val="24"/>
        </w:rPr>
        <w:t xml:space="preserve">representative of the Church at large, it did include </w:t>
      </w:r>
      <w:r w:rsidR="00D84B29" w:rsidRPr="00AC3C60">
        <w:rPr>
          <w:rFonts w:ascii="Times New Roman" w:eastAsia="Times New Roman" w:hAnsi="Times New Roman" w:cs="Times New Roman"/>
          <w:sz w:val="24"/>
          <w:szCs w:val="24"/>
        </w:rPr>
        <w:t xml:space="preserve">good proportions of </w:t>
      </w:r>
      <w:r w:rsidR="00C905BF" w:rsidRPr="00AC3C60">
        <w:rPr>
          <w:rFonts w:ascii="Times New Roman" w:eastAsia="Times New Roman" w:hAnsi="Times New Roman" w:cs="Times New Roman"/>
          <w:sz w:val="24"/>
          <w:szCs w:val="24"/>
        </w:rPr>
        <w:t>clergy</w:t>
      </w:r>
      <w:r w:rsidR="00D84B29" w:rsidRPr="00AC3C60">
        <w:rPr>
          <w:rFonts w:ascii="Times New Roman" w:eastAsia="Times New Roman" w:hAnsi="Times New Roman" w:cs="Times New Roman"/>
          <w:sz w:val="24"/>
          <w:szCs w:val="24"/>
        </w:rPr>
        <w:t xml:space="preserve"> (2</w:t>
      </w:r>
      <w:r w:rsidR="0041130C" w:rsidRPr="00AC3C60">
        <w:rPr>
          <w:rFonts w:ascii="Times New Roman" w:eastAsia="Times New Roman" w:hAnsi="Times New Roman" w:cs="Times New Roman"/>
          <w:sz w:val="24"/>
          <w:szCs w:val="24"/>
        </w:rPr>
        <w:t>4</w:t>
      </w:r>
      <w:r w:rsidR="00D84B29" w:rsidRPr="00AC3C60">
        <w:rPr>
          <w:rFonts w:ascii="Times New Roman" w:eastAsia="Times New Roman" w:hAnsi="Times New Roman" w:cs="Times New Roman"/>
          <w:sz w:val="24"/>
          <w:szCs w:val="24"/>
        </w:rPr>
        <w:t>%)</w:t>
      </w:r>
      <w:r w:rsidR="00C905BF" w:rsidRPr="00AC3C60">
        <w:rPr>
          <w:rFonts w:ascii="Times New Roman" w:eastAsia="Times New Roman" w:hAnsi="Times New Roman" w:cs="Times New Roman"/>
          <w:sz w:val="24"/>
          <w:szCs w:val="24"/>
        </w:rPr>
        <w:t xml:space="preserve"> and lay people</w:t>
      </w:r>
      <w:r w:rsidR="00D84B29" w:rsidRPr="00AC3C60">
        <w:rPr>
          <w:rFonts w:ascii="Times New Roman" w:eastAsia="Times New Roman" w:hAnsi="Times New Roman" w:cs="Times New Roman"/>
          <w:sz w:val="24"/>
          <w:szCs w:val="24"/>
        </w:rPr>
        <w:t xml:space="preserve"> (7</w:t>
      </w:r>
      <w:r w:rsidR="0041130C" w:rsidRPr="00AC3C60">
        <w:rPr>
          <w:rFonts w:ascii="Times New Roman" w:eastAsia="Times New Roman" w:hAnsi="Times New Roman" w:cs="Times New Roman"/>
          <w:sz w:val="24"/>
          <w:szCs w:val="24"/>
        </w:rPr>
        <w:t>6</w:t>
      </w:r>
      <w:r w:rsidR="00D84B29" w:rsidRPr="00AC3C60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03E57" w:rsidRPr="00AC3C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C905BF" w:rsidRPr="00AC3C60">
        <w:rPr>
          <w:rFonts w:ascii="Times New Roman" w:eastAsia="Times New Roman" w:hAnsi="Times New Roman" w:cs="Times New Roman"/>
          <w:sz w:val="24"/>
          <w:szCs w:val="24"/>
        </w:rPr>
        <w:t xml:space="preserve"> men</w:t>
      </w:r>
      <w:r w:rsidR="00D84B29" w:rsidRPr="00AC3C60">
        <w:rPr>
          <w:rFonts w:ascii="Times New Roman" w:eastAsia="Times New Roman" w:hAnsi="Times New Roman" w:cs="Times New Roman"/>
          <w:sz w:val="24"/>
          <w:szCs w:val="24"/>
        </w:rPr>
        <w:t xml:space="preserve"> (40%)</w:t>
      </w:r>
      <w:r w:rsidR="00C905BF" w:rsidRPr="00AC3C60">
        <w:rPr>
          <w:rFonts w:ascii="Times New Roman" w:eastAsia="Times New Roman" w:hAnsi="Times New Roman" w:cs="Times New Roman"/>
          <w:sz w:val="24"/>
          <w:szCs w:val="24"/>
        </w:rPr>
        <w:t xml:space="preserve"> and women</w:t>
      </w:r>
      <w:r w:rsidR="00D84B29" w:rsidRPr="00AC3C6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03E57" w:rsidRPr="00AC3C60">
        <w:rPr>
          <w:rFonts w:ascii="Times New Roman" w:eastAsia="Times New Roman" w:hAnsi="Times New Roman" w:cs="Times New Roman"/>
          <w:sz w:val="24"/>
          <w:szCs w:val="24"/>
        </w:rPr>
        <w:t xml:space="preserve">60%), and those from the three main church traditions. </w:t>
      </w:r>
      <w:r w:rsidR="00EB7D88" w:rsidRPr="00AC3C60">
        <w:rPr>
          <w:rFonts w:ascii="Times New Roman" w:eastAsia="Times New Roman" w:hAnsi="Times New Roman" w:cs="Times New Roman"/>
          <w:sz w:val="24"/>
          <w:szCs w:val="24"/>
        </w:rPr>
        <w:t>There was an over-sampling of clergy</w:t>
      </w:r>
      <w:r w:rsidR="008E24E9" w:rsidRPr="00AC3C60">
        <w:rPr>
          <w:rFonts w:ascii="Times New Roman" w:eastAsia="Times New Roman" w:hAnsi="Times New Roman" w:cs="Times New Roman"/>
          <w:sz w:val="24"/>
          <w:szCs w:val="24"/>
        </w:rPr>
        <w:t xml:space="preserve">, and an underrepresentation of younger adults and Evangelicals, which </w:t>
      </w:r>
      <w:r w:rsidR="00371008" w:rsidRPr="00AC3C60">
        <w:rPr>
          <w:rFonts w:ascii="Times New Roman" w:eastAsia="Times New Roman" w:hAnsi="Times New Roman" w:cs="Times New Roman"/>
          <w:sz w:val="24"/>
          <w:szCs w:val="24"/>
        </w:rPr>
        <w:t xml:space="preserve">reflects the readership of the </w:t>
      </w:r>
      <w:r w:rsidR="00C61AC2" w:rsidRPr="00AC3C60">
        <w:rPr>
          <w:rFonts w:ascii="Times New Roman" w:eastAsia="Times New Roman" w:hAnsi="Times New Roman" w:cs="Times New Roman"/>
          <w:sz w:val="24"/>
          <w:szCs w:val="24"/>
        </w:rPr>
        <w:t>newspaper.</w:t>
      </w:r>
      <w:r w:rsidR="0022283B" w:rsidRPr="00AC3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72C4" w:rsidRPr="00AC3C60">
        <w:rPr>
          <w:rFonts w:ascii="Times New Roman" w:eastAsia="Times New Roman" w:hAnsi="Times New Roman" w:cs="Times New Roman"/>
          <w:sz w:val="24"/>
          <w:szCs w:val="24"/>
        </w:rPr>
        <w:t>Despite this, the sample include</w:t>
      </w:r>
      <w:r w:rsidR="0088700B" w:rsidRPr="00AC3C60">
        <w:rPr>
          <w:rFonts w:ascii="Times New Roman" w:eastAsia="Times New Roman" w:hAnsi="Times New Roman" w:cs="Times New Roman"/>
          <w:sz w:val="24"/>
          <w:szCs w:val="24"/>
        </w:rPr>
        <w:t>d</w:t>
      </w:r>
      <w:r w:rsidR="007A72C4" w:rsidRPr="00AC3C60">
        <w:rPr>
          <w:rFonts w:ascii="Times New Roman" w:eastAsia="Times New Roman" w:hAnsi="Times New Roman" w:cs="Times New Roman"/>
          <w:sz w:val="24"/>
          <w:szCs w:val="24"/>
        </w:rPr>
        <w:t xml:space="preserve"> a wide spectrum of members of the Church of England</w:t>
      </w:r>
      <w:r w:rsidR="00E71A7E" w:rsidRPr="00AC3C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563C79" w14:textId="36596101" w:rsidR="00785FCC" w:rsidRPr="00AC3C60" w:rsidRDefault="009C0F29" w:rsidP="009C0F29">
      <w:pPr>
        <w:pStyle w:val="ListParagraph"/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3C60">
        <w:rPr>
          <w:rFonts w:ascii="Times New Roman" w:eastAsia="Times New Roman" w:hAnsi="Times New Roman" w:cs="Times New Roman"/>
          <w:sz w:val="24"/>
          <w:szCs w:val="24"/>
        </w:rPr>
        <w:t>-</w:t>
      </w:r>
      <w:r w:rsidR="00891E46" w:rsidRPr="00AC3C60">
        <w:rPr>
          <w:rFonts w:ascii="Times New Roman" w:eastAsia="Times New Roman" w:hAnsi="Times New Roman" w:cs="Times New Roman"/>
          <w:sz w:val="24"/>
          <w:szCs w:val="24"/>
        </w:rPr>
        <w:t>Insert Table 1 about here</w:t>
      </w:r>
      <w:r w:rsidRPr="00AC3C60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65EFA6D1" w14:textId="77777777" w:rsidR="00C905BF" w:rsidRPr="00AC3C60" w:rsidRDefault="00C905BF" w:rsidP="00C905BF">
      <w:pPr>
        <w:spacing w:line="48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C3C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Instruments</w:t>
      </w:r>
    </w:p>
    <w:p w14:paraId="1B0B8288" w14:textId="345A6FC9" w:rsidR="000C29B9" w:rsidRPr="00AC3C60" w:rsidRDefault="000C29B9" w:rsidP="00BE55C5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AC3C6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Affect Items</w:t>
      </w:r>
    </w:p>
    <w:p w14:paraId="0C7F421F" w14:textId="58AB7730" w:rsidR="000C29B9" w:rsidRPr="00AC3C60" w:rsidRDefault="000C29B9" w:rsidP="00BE55C5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both surveys</w:t>
      </w:r>
      <w:r w:rsidR="001F363C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there were 20 items that measured a range of positive and negative affect. </w:t>
      </w:r>
      <w:r w:rsidR="00034F80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="00844F33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="00034F80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were introduced with the statement ‘</w:t>
      </w:r>
      <w:r w:rsidR="001C0F80" w:rsidRPr="00AC3C6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How would you rate how you are now compared with before the pandemic started?’.</w:t>
      </w:r>
      <w:r w:rsidR="001C0F80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F363C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Respondents were asked to </w:t>
      </w:r>
      <w:r w:rsidR="00B67DC0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indicate if affect such as happiness, stress, </w:t>
      </w:r>
      <w:r w:rsidR="00B86644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 </w:t>
      </w:r>
      <w:r w:rsidR="00B67DC0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anxiety</w:t>
      </w:r>
      <w:r w:rsidR="00B86644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had increased, stayed the same, or decreased. </w:t>
      </w:r>
      <w:r w:rsidR="00824533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survey 1 there was a three-point response scale, but this was changed to a five-point scale in survey </w:t>
      </w:r>
      <w:r w:rsidR="00B66744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2 in order to accommodate more extreme changes. For these analyse</w:t>
      </w:r>
      <w:r w:rsidR="00AB2CD4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s, the </w:t>
      </w:r>
      <w:r w:rsidR="00D6052D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two </w:t>
      </w:r>
      <w:r w:rsidR="00AB2CD4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responses at either end </w:t>
      </w:r>
      <w:r w:rsidR="00D6052D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 the </w:t>
      </w:r>
      <w:r w:rsidR="00AB2CD4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five-point scale </w:t>
      </w:r>
      <w:r w:rsidR="00D6052D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in survey 2 were collapsed</w:t>
      </w:r>
      <w:r w:rsidR="00AB2CD4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r w:rsidR="00D6052D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produce a </w:t>
      </w:r>
      <w:r w:rsidR="00AB2CD4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three</w:t>
      </w:r>
      <w:r w:rsidR="00D6052D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AB2CD4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point</w:t>
      </w:r>
      <w:r w:rsidR="00D6052D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scale </w:t>
      </w:r>
      <w:r w:rsidR="00864EED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comparable</w:t>
      </w:r>
      <w:r w:rsidR="00D6052D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that used in survey 1.</w:t>
      </w:r>
      <w:r w:rsidR="001D3F38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item pool was </w:t>
      </w:r>
      <w:r w:rsidR="00500B33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slightly </w:t>
      </w:r>
      <w:r w:rsidR="001D3F38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different in the two surveys, but there were 1</w:t>
      </w:r>
      <w:r w:rsidR="00E61AFD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1D3F38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items common to both, and these are used </w:t>
      </w:r>
      <w:r w:rsidR="00864EED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in the initial analyses that compare frequencies of responses</w:t>
      </w:r>
      <w:r w:rsidR="00F039E1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to cal</w:t>
      </w:r>
      <w:r w:rsidR="00C25AD9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culate overall measures of affect change.</w:t>
      </w:r>
      <w:r w:rsidR="00AB2CD4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23C32AC" w14:textId="56F1F331" w:rsidR="00490F38" w:rsidRPr="00AC3C60" w:rsidRDefault="008F3B8F" w:rsidP="00BE55C5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AC3C6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Psychological w</w:t>
      </w:r>
      <w:r w:rsidR="00490F38" w:rsidRPr="00AC3C6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ellbeing</w:t>
      </w:r>
    </w:p>
    <w:p w14:paraId="35DF88FA" w14:textId="71006939" w:rsidR="00C905BF" w:rsidRPr="00AC3C60" w:rsidRDefault="00C905BF" w:rsidP="00BE55C5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Affect balance</w:t>
      </w:r>
      <w:r w:rsidRPr="00AC3C6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was used as proxy measure of overall wellbeing. It was based on two five-item scales </w:t>
      </w:r>
      <w:r w:rsidR="008002BE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developed </w:t>
      </w:r>
      <w:r w:rsidR="00567DFF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initially from the item pool </w:t>
      </w:r>
      <w:r w:rsidR="008002BE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the first survey </w:t>
      </w:r>
      <w:r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examined changes in Positive Affect, PA, (Happiness, Excitement, Thankfulness, Hopefulness, and Trust) and Negative Affect, NA, (Exhaustion, Anxiety, Stress, Fatigue, and </w:t>
      </w:r>
      <w:r w:rsidR="00281BD1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Frustration) since</w:t>
      </w:r>
      <w:r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r w:rsidR="00500B33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first </w:t>
      </w:r>
      <w:r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lockdown began</w:t>
      </w:r>
      <w:r w:rsidR="006B2593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2593" w:rsidRPr="00AC3C60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(Francis &amp; Village, 2021a)</w:t>
      </w:r>
      <w:r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567DFF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The same items were used in survey 2</w:t>
      </w:r>
      <w:r w:rsidR="00B4619D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apart from the PA item ‘Trust’ that had a rather low correlation with other </w:t>
      </w:r>
      <w:r w:rsidR="0042122A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items in the scale and was replaced by ‘Confidence’ in survey 2</w:t>
      </w:r>
      <w:r w:rsidR="00327340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(see Appendix)</w:t>
      </w:r>
      <w:r w:rsidR="0042122A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The scales had good internal reliability as measured by Cronbach’s alpha (</w:t>
      </w:r>
      <w:r w:rsidR="008F676F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survey 1: </w:t>
      </w:r>
      <w:r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PA = .70, NA = .8</w:t>
      </w:r>
      <w:r w:rsidR="00345724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8D5B49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7E1D51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survey 2: PA = .7</w:t>
      </w:r>
      <w:r w:rsidR="0046329D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7E1D51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, NA = .82;</w:t>
      </w:r>
      <w:r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), and the difference between scores (PA minus NA) gave</w:t>
      </w:r>
      <w:r w:rsidR="00A236EB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 indication of </w:t>
      </w:r>
      <w:r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‘</w:t>
      </w:r>
      <w:r w:rsidR="00EC01EE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ffect </w:t>
      </w:r>
      <w:r w:rsidR="00EC01EE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alance’, an overall measure of </w:t>
      </w:r>
      <w:r w:rsidR="00BF7964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changes in </w:t>
      </w:r>
      <w:r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psychological wellbeing. For ease of interpretability, ten was added to scores, to produce the final </w:t>
      </w:r>
      <w:r w:rsidR="007142C7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ffect </w:t>
      </w:r>
      <w:r w:rsidR="007142C7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alance </w:t>
      </w:r>
      <w:r w:rsidR="00E36F7F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variable</w:t>
      </w:r>
      <w:r w:rsidR="00CA3F77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214E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BD214E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Index of Balanced Affect Change (</w:t>
      </w:r>
      <w:r w:rsidR="00BD214E" w:rsidRPr="00AC3C60">
        <w:rPr>
          <w:rFonts w:ascii="Times New Roman" w:eastAsia="Times New Roman" w:hAnsi="Times New Roman" w:cs="Times New Roman"/>
          <w:bCs/>
          <w:sz w:val="24"/>
          <w:szCs w:val="24"/>
        </w:rPr>
        <w:t>TIBACh)</w:t>
      </w:r>
      <w:r w:rsidR="001A4D53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with </w:t>
      </w:r>
      <w:r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larger scores </w:t>
      </w:r>
      <w:r w:rsidR="00FF3CE6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indicating </w:t>
      </w:r>
      <w:r w:rsidR="004338D1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greater increases in positive than negative affect, and therefore better wellbeing.</w:t>
      </w:r>
    </w:p>
    <w:p w14:paraId="58622E28" w14:textId="53A10818" w:rsidR="002C5A74" w:rsidRPr="00AC3C60" w:rsidRDefault="002C5A74" w:rsidP="00BE55C5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The </w:t>
      </w:r>
      <w:r w:rsidR="00990624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summated rating scales </w:t>
      </w:r>
      <w:r w:rsidR="00E80C18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were a</w:t>
      </w:r>
      <w:r w:rsidR="00990624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3725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general </w:t>
      </w:r>
      <w:r w:rsidR="00990624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measure of </w:t>
      </w:r>
      <w:r w:rsidR="001C4FBF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self-reported </w:t>
      </w:r>
      <w:r w:rsidR="00990624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affect </w:t>
      </w:r>
      <w:r w:rsidR="0076078C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change </w:t>
      </w:r>
      <w:r w:rsidR="00553725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each survey </w:t>
      </w:r>
      <w:r w:rsidR="0076078C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since the start of the lockdowns.</w:t>
      </w:r>
      <w:r w:rsidR="00CC759C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Comparing scale scores between surveys was there</w:t>
      </w:r>
      <w:r w:rsidR="001C4FBF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fore</w:t>
      </w:r>
      <w:r w:rsidR="00CC759C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measuring the </w:t>
      </w:r>
      <w:r w:rsidR="001C4FBF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differences in </w:t>
      </w:r>
      <w:r w:rsidR="00CC759C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perceived change</w:t>
      </w:r>
      <w:r w:rsidR="00500B33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since the pandemic began</w:t>
      </w:r>
      <w:r w:rsidR="00622EF7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0B33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during</w:t>
      </w:r>
      <w:r w:rsidR="006178BC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first and third </w:t>
      </w:r>
      <w:r w:rsidR="00500B33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English</w:t>
      </w:r>
      <w:r w:rsidR="006178BC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lock</w:t>
      </w:r>
      <w:r w:rsidR="00B6547C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>downs.</w:t>
      </w:r>
      <w:r w:rsidR="001C4FBF" w:rsidRPr="00AC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11A50FC" w14:textId="34D8F3AD" w:rsidR="00C86117" w:rsidRPr="00AC3C60" w:rsidRDefault="00175F85" w:rsidP="00175F85">
      <w:pPr>
        <w:spacing w:line="480" w:lineRule="auto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  <w:r w:rsidRPr="00AC3C60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Analysis</w:t>
      </w:r>
    </w:p>
    <w:p w14:paraId="5C56BDE0" w14:textId="7DE8E8E8" w:rsidR="00446541" w:rsidRPr="00AC3C60" w:rsidRDefault="008A6857" w:rsidP="00175F85">
      <w:pPr>
        <w:spacing w:line="48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AC3C6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The first stage of analysis was to </w:t>
      </w:r>
      <w:r w:rsidR="001A4D53" w:rsidRPr="00AC3C6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compare the </w:t>
      </w:r>
      <w:r w:rsidR="004A5B90" w:rsidRPr="00AC3C6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response frequencies for the 1</w:t>
      </w:r>
      <w:r w:rsidR="00E61AFD" w:rsidRPr="00AC3C6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0</w:t>
      </w:r>
      <w:r w:rsidR="004A5B90" w:rsidRPr="00AC3C6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affect items common to both surveys</w:t>
      </w:r>
      <w:r w:rsidR="005F2942" w:rsidRPr="00AC3C6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 Changes in laity and clergy between survey 1 and survey 2 were tested </w:t>
      </w:r>
      <w:r w:rsidR="00E61AFD" w:rsidRPr="00AC3C6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using 2</w:t>
      </w:r>
      <w:r w:rsidR="008933F6" w:rsidRPr="00AC3C6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x 3 contingency tables, with </w:t>
      </w:r>
      <w:r w:rsidR="00500B33" w:rsidRPr="00AC3C6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</w:t>
      </w:r>
      <w:r w:rsidR="008933F6" w:rsidRPr="00AC3C6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hi-squared values indicating the </w:t>
      </w:r>
      <w:r w:rsidR="00902509" w:rsidRPr="00AC3C6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level of difference in each group. </w:t>
      </w:r>
      <w:r w:rsidR="008E0372" w:rsidRPr="00AC3C6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To get an overall assessment of wellbeing, c</w:t>
      </w:r>
      <w:r w:rsidR="00902509" w:rsidRPr="00AC3C6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hanges in </w:t>
      </w:r>
      <w:r w:rsidR="00F66731" w:rsidRPr="00AC3C6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mean </w:t>
      </w:r>
      <w:r w:rsidR="00500B33" w:rsidRPr="00AC3C6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PA, NA, and </w:t>
      </w:r>
      <w:r w:rsidR="00C62B3B" w:rsidRPr="00AC3C60">
        <w:rPr>
          <w:rFonts w:ascii="Times New Roman" w:eastAsia="Times New Roman" w:hAnsi="Times New Roman" w:cs="Times New Roman"/>
          <w:bCs/>
          <w:sz w:val="24"/>
          <w:szCs w:val="24"/>
        </w:rPr>
        <w:t>TIBACh</w:t>
      </w:r>
      <w:r w:rsidR="008E0372" w:rsidRPr="00AC3C6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scores between surveys were tested</w:t>
      </w:r>
      <w:r w:rsidR="00F66731" w:rsidRPr="00AC3C6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for laity and clergy using</w:t>
      </w:r>
      <w:r w:rsidR="004236FE" w:rsidRPr="00AC3C6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univariate </w:t>
      </w:r>
      <w:r w:rsidR="00F66731" w:rsidRPr="00AC3C6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F66731" w:rsidRPr="00AC3C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</w:t>
      </w:r>
      <w:r w:rsidR="00F66731" w:rsidRPr="00AC3C6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-tests.</w:t>
      </w:r>
      <w:r w:rsidR="00995CC5" w:rsidRPr="00AC3C6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3E191B" w:rsidRPr="00AC3C6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We also ran a multiple regression </w:t>
      </w:r>
      <w:r w:rsidR="00995CC5" w:rsidRPr="00AC3C6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using a Generalized Linear Model (GLM) to control </w:t>
      </w:r>
      <w:r w:rsidR="00BD0A63" w:rsidRPr="00AC3C6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differences in the sample profiles</w:t>
      </w:r>
      <w:r w:rsidR="004B3935" w:rsidRPr="00AC3C6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using variables in Table 1. This made no difference to the overall results, so we have reported </w:t>
      </w:r>
      <w:r w:rsidR="00BE7AF5" w:rsidRPr="00AC3C6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univariate results for the sake of simplicity.</w:t>
      </w:r>
    </w:p>
    <w:p w14:paraId="33577810" w14:textId="18C155F4" w:rsidR="003530B6" w:rsidRPr="00AC3C60" w:rsidRDefault="003530B6" w:rsidP="000A2498">
      <w:pPr>
        <w:spacing w:line="48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  <w:r w:rsidRPr="00AC3C60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Results</w:t>
      </w:r>
    </w:p>
    <w:p w14:paraId="1D2A5625" w14:textId="7277ED39" w:rsidR="00FE23A3" w:rsidRPr="00AC3C60" w:rsidRDefault="00F66731" w:rsidP="000A249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3C60">
        <w:rPr>
          <w:rFonts w:ascii="Times New Roman" w:hAnsi="Times New Roman" w:cs="Times New Roman"/>
          <w:b/>
          <w:bCs/>
          <w:sz w:val="24"/>
          <w:szCs w:val="24"/>
        </w:rPr>
        <w:t>Changes in</w:t>
      </w:r>
      <w:r w:rsidR="003319D6" w:rsidRPr="00AC3C60">
        <w:rPr>
          <w:rFonts w:ascii="Times New Roman" w:hAnsi="Times New Roman" w:cs="Times New Roman"/>
          <w:b/>
          <w:bCs/>
          <w:sz w:val="24"/>
          <w:szCs w:val="24"/>
        </w:rPr>
        <w:t xml:space="preserve"> individual items</w:t>
      </w:r>
    </w:p>
    <w:p w14:paraId="27AD1B07" w14:textId="0ACB7252" w:rsidR="00F6133C" w:rsidRPr="00AC3C60" w:rsidRDefault="0070368C" w:rsidP="000A24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Hlk80625598"/>
      <w:r w:rsidRPr="00AC3C60">
        <w:rPr>
          <w:rFonts w:ascii="Times New Roman" w:hAnsi="Times New Roman" w:cs="Times New Roman"/>
          <w:sz w:val="24"/>
          <w:szCs w:val="24"/>
        </w:rPr>
        <w:t>For both lay people (Table 2)</w:t>
      </w:r>
      <w:r w:rsidR="005F30E5" w:rsidRPr="00AC3C60">
        <w:rPr>
          <w:rFonts w:ascii="Times New Roman" w:hAnsi="Times New Roman" w:cs="Times New Roman"/>
          <w:sz w:val="24"/>
          <w:szCs w:val="24"/>
        </w:rPr>
        <w:t xml:space="preserve"> and clergy (Table 3), </w:t>
      </w:r>
      <w:r w:rsidR="004E19C6" w:rsidRPr="00AC3C60">
        <w:rPr>
          <w:rFonts w:ascii="Times New Roman" w:hAnsi="Times New Roman" w:cs="Times New Roman"/>
          <w:sz w:val="24"/>
          <w:szCs w:val="24"/>
        </w:rPr>
        <w:t xml:space="preserve">the trend was for </w:t>
      </w:r>
      <w:r w:rsidR="00C24AA8" w:rsidRPr="00AC3C60">
        <w:rPr>
          <w:rFonts w:ascii="Times New Roman" w:hAnsi="Times New Roman" w:cs="Times New Roman"/>
          <w:sz w:val="24"/>
          <w:szCs w:val="24"/>
        </w:rPr>
        <w:t>reductions in positive affect and increase</w:t>
      </w:r>
      <w:r w:rsidR="00664CDE" w:rsidRPr="00AC3C60">
        <w:rPr>
          <w:rFonts w:ascii="Times New Roman" w:hAnsi="Times New Roman" w:cs="Times New Roman"/>
          <w:sz w:val="24"/>
          <w:szCs w:val="24"/>
        </w:rPr>
        <w:t>s</w:t>
      </w:r>
      <w:r w:rsidR="00C24AA8" w:rsidRPr="00AC3C60">
        <w:rPr>
          <w:rFonts w:ascii="Times New Roman" w:hAnsi="Times New Roman" w:cs="Times New Roman"/>
          <w:sz w:val="24"/>
          <w:szCs w:val="24"/>
        </w:rPr>
        <w:t xml:space="preserve"> in negative affect between the two surveys.</w:t>
      </w:r>
    </w:p>
    <w:bookmarkEnd w:id="0"/>
    <w:p w14:paraId="7DD4930C" w14:textId="1C2AA397" w:rsidR="003319D6" w:rsidRPr="00AC3C60" w:rsidRDefault="00C7793D" w:rsidP="00F6133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t>For positive affect a</w:t>
      </w:r>
      <w:r w:rsidR="00C24AA8" w:rsidRPr="00AC3C60">
        <w:rPr>
          <w:rFonts w:ascii="Times New Roman" w:hAnsi="Times New Roman" w:cs="Times New Roman"/>
          <w:sz w:val="24"/>
          <w:szCs w:val="24"/>
        </w:rPr>
        <w:t>mong lay people</w:t>
      </w:r>
      <w:r w:rsidR="007C236F" w:rsidRPr="00AC3C60">
        <w:rPr>
          <w:rFonts w:ascii="Times New Roman" w:hAnsi="Times New Roman" w:cs="Times New Roman"/>
          <w:sz w:val="24"/>
          <w:szCs w:val="24"/>
        </w:rPr>
        <w:t xml:space="preserve">, </w:t>
      </w:r>
      <w:r w:rsidR="00B22213" w:rsidRPr="00AC3C60">
        <w:rPr>
          <w:rFonts w:ascii="Times New Roman" w:hAnsi="Times New Roman" w:cs="Times New Roman"/>
          <w:sz w:val="24"/>
          <w:szCs w:val="24"/>
        </w:rPr>
        <w:t>58</w:t>
      </w:r>
      <w:r w:rsidR="007C236F" w:rsidRPr="00AC3C60">
        <w:rPr>
          <w:rFonts w:ascii="Times New Roman" w:hAnsi="Times New Roman" w:cs="Times New Roman"/>
          <w:sz w:val="24"/>
          <w:szCs w:val="24"/>
        </w:rPr>
        <w:t xml:space="preserve">% reported feeling </w:t>
      </w:r>
      <w:r w:rsidR="007C236F" w:rsidRPr="00AC3C60">
        <w:rPr>
          <w:rFonts w:ascii="Times New Roman" w:hAnsi="Times New Roman" w:cs="Times New Roman"/>
          <w:i/>
          <w:iCs/>
          <w:sz w:val="24"/>
          <w:szCs w:val="24"/>
        </w:rPr>
        <w:t>less</w:t>
      </w:r>
      <w:r w:rsidR="007C236F" w:rsidRPr="00AC3C60">
        <w:rPr>
          <w:rFonts w:ascii="Times New Roman" w:hAnsi="Times New Roman" w:cs="Times New Roman"/>
          <w:sz w:val="24"/>
          <w:szCs w:val="24"/>
        </w:rPr>
        <w:t xml:space="preserve"> excited in survey </w:t>
      </w:r>
      <w:r w:rsidR="00B22213" w:rsidRPr="00AC3C60">
        <w:rPr>
          <w:rFonts w:ascii="Times New Roman" w:hAnsi="Times New Roman" w:cs="Times New Roman"/>
          <w:sz w:val="24"/>
          <w:szCs w:val="24"/>
        </w:rPr>
        <w:t xml:space="preserve">2 </w:t>
      </w:r>
      <w:r w:rsidR="007C236F" w:rsidRPr="00AC3C60">
        <w:rPr>
          <w:rFonts w:ascii="Times New Roman" w:hAnsi="Times New Roman" w:cs="Times New Roman"/>
          <w:sz w:val="24"/>
          <w:szCs w:val="24"/>
        </w:rPr>
        <w:t xml:space="preserve">compared to </w:t>
      </w:r>
      <w:r w:rsidR="00DF6007" w:rsidRPr="00AC3C60">
        <w:rPr>
          <w:rFonts w:ascii="Times New Roman" w:hAnsi="Times New Roman" w:cs="Times New Roman"/>
          <w:sz w:val="24"/>
          <w:szCs w:val="24"/>
        </w:rPr>
        <w:t>35</w:t>
      </w:r>
      <w:r w:rsidR="00330A74" w:rsidRPr="00AC3C60">
        <w:rPr>
          <w:rFonts w:ascii="Times New Roman" w:hAnsi="Times New Roman" w:cs="Times New Roman"/>
          <w:sz w:val="24"/>
          <w:szCs w:val="24"/>
        </w:rPr>
        <w:t xml:space="preserve">% in survey </w:t>
      </w:r>
      <w:r w:rsidR="007D6C30" w:rsidRPr="00AC3C60">
        <w:rPr>
          <w:rFonts w:ascii="Times New Roman" w:hAnsi="Times New Roman" w:cs="Times New Roman"/>
          <w:sz w:val="24"/>
          <w:szCs w:val="24"/>
        </w:rPr>
        <w:t>1</w:t>
      </w:r>
      <w:r w:rsidR="00330A74" w:rsidRPr="00AC3C60">
        <w:rPr>
          <w:rFonts w:ascii="Times New Roman" w:hAnsi="Times New Roman" w:cs="Times New Roman"/>
          <w:sz w:val="24"/>
          <w:szCs w:val="24"/>
        </w:rPr>
        <w:t xml:space="preserve">, with </w:t>
      </w:r>
      <w:r w:rsidR="00CB25C7" w:rsidRPr="00AC3C60">
        <w:rPr>
          <w:rFonts w:ascii="Times New Roman" w:hAnsi="Times New Roman" w:cs="Times New Roman"/>
          <w:sz w:val="24"/>
          <w:szCs w:val="24"/>
        </w:rPr>
        <w:t>similar changes in happiness (</w:t>
      </w:r>
      <w:r w:rsidR="00DF6007" w:rsidRPr="00AC3C60">
        <w:rPr>
          <w:rFonts w:ascii="Times New Roman" w:hAnsi="Times New Roman" w:cs="Times New Roman"/>
          <w:sz w:val="24"/>
          <w:szCs w:val="24"/>
        </w:rPr>
        <w:t>40</w:t>
      </w:r>
      <w:r w:rsidR="00367A78" w:rsidRPr="00AC3C60">
        <w:rPr>
          <w:rFonts w:ascii="Times New Roman" w:hAnsi="Times New Roman" w:cs="Times New Roman"/>
          <w:sz w:val="24"/>
          <w:szCs w:val="24"/>
        </w:rPr>
        <w:t xml:space="preserve">% versus </w:t>
      </w:r>
      <w:r w:rsidR="00DF6007" w:rsidRPr="00AC3C60">
        <w:rPr>
          <w:rFonts w:ascii="Times New Roman" w:hAnsi="Times New Roman" w:cs="Times New Roman"/>
          <w:sz w:val="24"/>
          <w:szCs w:val="24"/>
        </w:rPr>
        <w:t>25</w:t>
      </w:r>
      <w:r w:rsidR="00367A78" w:rsidRPr="00AC3C60">
        <w:rPr>
          <w:rFonts w:ascii="Times New Roman" w:hAnsi="Times New Roman" w:cs="Times New Roman"/>
          <w:sz w:val="24"/>
          <w:szCs w:val="24"/>
        </w:rPr>
        <w:t>%)</w:t>
      </w:r>
      <w:r w:rsidRPr="00AC3C60">
        <w:rPr>
          <w:rFonts w:ascii="Times New Roman" w:hAnsi="Times New Roman" w:cs="Times New Roman"/>
          <w:sz w:val="24"/>
          <w:szCs w:val="24"/>
        </w:rPr>
        <w:t xml:space="preserve"> and </w:t>
      </w:r>
      <w:r w:rsidR="00551DA0" w:rsidRPr="00AC3C60">
        <w:rPr>
          <w:rFonts w:ascii="Times New Roman" w:hAnsi="Times New Roman" w:cs="Times New Roman"/>
          <w:sz w:val="24"/>
          <w:szCs w:val="24"/>
        </w:rPr>
        <w:t>confidence</w:t>
      </w:r>
      <w:r w:rsidR="003D1175" w:rsidRPr="00AC3C60">
        <w:rPr>
          <w:rFonts w:ascii="Times New Roman" w:hAnsi="Times New Roman" w:cs="Times New Roman"/>
          <w:sz w:val="24"/>
          <w:szCs w:val="24"/>
        </w:rPr>
        <w:t xml:space="preserve"> (</w:t>
      </w:r>
      <w:r w:rsidR="00DF6007" w:rsidRPr="00AC3C60">
        <w:rPr>
          <w:rFonts w:ascii="Times New Roman" w:hAnsi="Times New Roman" w:cs="Times New Roman"/>
          <w:sz w:val="24"/>
          <w:szCs w:val="24"/>
        </w:rPr>
        <w:t>2</w:t>
      </w:r>
      <w:r w:rsidR="00551DA0" w:rsidRPr="00AC3C60">
        <w:rPr>
          <w:rFonts w:ascii="Times New Roman" w:hAnsi="Times New Roman" w:cs="Times New Roman"/>
          <w:sz w:val="24"/>
          <w:szCs w:val="24"/>
        </w:rPr>
        <w:t>7</w:t>
      </w:r>
      <w:r w:rsidR="009C7736" w:rsidRPr="00AC3C60">
        <w:rPr>
          <w:rFonts w:ascii="Times New Roman" w:hAnsi="Times New Roman" w:cs="Times New Roman"/>
          <w:sz w:val="24"/>
          <w:szCs w:val="24"/>
        </w:rPr>
        <w:t xml:space="preserve">% versus </w:t>
      </w:r>
      <w:r w:rsidR="00DF6007" w:rsidRPr="00AC3C60">
        <w:rPr>
          <w:rFonts w:ascii="Times New Roman" w:hAnsi="Times New Roman" w:cs="Times New Roman"/>
          <w:sz w:val="24"/>
          <w:szCs w:val="24"/>
        </w:rPr>
        <w:t>1</w:t>
      </w:r>
      <w:r w:rsidR="00551DA0" w:rsidRPr="00AC3C60">
        <w:rPr>
          <w:rFonts w:ascii="Times New Roman" w:hAnsi="Times New Roman" w:cs="Times New Roman"/>
          <w:sz w:val="24"/>
          <w:szCs w:val="24"/>
        </w:rPr>
        <w:t>3</w:t>
      </w:r>
      <w:r w:rsidR="009C7736" w:rsidRPr="00AC3C60">
        <w:rPr>
          <w:rFonts w:ascii="Times New Roman" w:hAnsi="Times New Roman" w:cs="Times New Roman"/>
          <w:sz w:val="24"/>
          <w:szCs w:val="24"/>
        </w:rPr>
        <w:t xml:space="preserve">%). Change </w:t>
      </w:r>
      <w:r w:rsidR="005A57D0" w:rsidRPr="00AC3C60">
        <w:rPr>
          <w:rFonts w:ascii="Times New Roman" w:hAnsi="Times New Roman" w:cs="Times New Roman"/>
          <w:sz w:val="24"/>
          <w:szCs w:val="24"/>
        </w:rPr>
        <w:t xml:space="preserve">in hope </w:t>
      </w:r>
      <w:r w:rsidR="00DD4AC1" w:rsidRPr="00AC3C60">
        <w:rPr>
          <w:rFonts w:ascii="Times New Roman" w:hAnsi="Times New Roman" w:cs="Times New Roman"/>
          <w:sz w:val="24"/>
          <w:szCs w:val="24"/>
        </w:rPr>
        <w:t xml:space="preserve">suggested more </w:t>
      </w:r>
      <w:r w:rsidR="008755FE" w:rsidRPr="00AC3C60">
        <w:rPr>
          <w:rFonts w:ascii="Times New Roman" w:hAnsi="Times New Roman" w:cs="Times New Roman"/>
          <w:sz w:val="24"/>
          <w:szCs w:val="24"/>
        </w:rPr>
        <w:t xml:space="preserve">divided response </w:t>
      </w:r>
      <w:r w:rsidR="00E90A81" w:rsidRPr="00AC3C60">
        <w:rPr>
          <w:rFonts w:ascii="Times New Roman" w:hAnsi="Times New Roman" w:cs="Times New Roman"/>
          <w:sz w:val="24"/>
          <w:szCs w:val="24"/>
        </w:rPr>
        <w:t xml:space="preserve">in the second survey: whereas 24% </w:t>
      </w:r>
      <w:r w:rsidR="007D5554" w:rsidRPr="00AC3C60">
        <w:rPr>
          <w:rFonts w:ascii="Times New Roman" w:hAnsi="Times New Roman" w:cs="Times New Roman"/>
          <w:sz w:val="24"/>
          <w:szCs w:val="24"/>
        </w:rPr>
        <w:t xml:space="preserve">were less hopeful in survey 2 (compared </w:t>
      </w:r>
      <w:r w:rsidR="00780EF6" w:rsidRPr="00AC3C60">
        <w:rPr>
          <w:rFonts w:ascii="Times New Roman" w:hAnsi="Times New Roman" w:cs="Times New Roman"/>
          <w:sz w:val="24"/>
          <w:szCs w:val="24"/>
        </w:rPr>
        <w:t>to</w:t>
      </w:r>
      <w:r w:rsidR="007D5554" w:rsidRPr="00AC3C60">
        <w:rPr>
          <w:rFonts w:ascii="Times New Roman" w:hAnsi="Times New Roman" w:cs="Times New Roman"/>
          <w:sz w:val="24"/>
          <w:szCs w:val="24"/>
        </w:rPr>
        <w:t xml:space="preserve"> 21% in survey 1), 33% were more hopeful (compared to</w:t>
      </w:r>
      <w:r w:rsidR="00330A74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780EF6" w:rsidRPr="00AC3C60">
        <w:rPr>
          <w:rFonts w:ascii="Times New Roman" w:hAnsi="Times New Roman" w:cs="Times New Roman"/>
          <w:sz w:val="24"/>
          <w:szCs w:val="24"/>
        </w:rPr>
        <w:t xml:space="preserve">25% in survey 1). Thankfulness </w:t>
      </w:r>
      <w:r w:rsidR="00584635" w:rsidRPr="00AC3C60">
        <w:rPr>
          <w:rFonts w:ascii="Times New Roman" w:hAnsi="Times New Roman" w:cs="Times New Roman"/>
          <w:sz w:val="24"/>
          <w:szCs w:val="24"/>
        </w:rPr>
        <w:t xml:space="preserve">was generally high and unchanged in both surveys, </w:t>
      </w:r>
      <w:r w:rsidR="00BC7548" w:rsidRPr="00AC3C60">
        <w:rPr>
          <w:rFonts w:ascii="Times New Roman" w:hAnsi="Times New Roman" w:cs="Times New Roman"/>
          <w:sz w:val="24"/>
          <w:szCs w:val="24"/>
        </w:rPr>
        <w:t>with 56% feeling more t</w:t>
      </w:r>
      <w:r w:rsidR="00DF6007" w:rsidRPr="00AC3C60">
        <w:rPr>
          <w:rFonts w:ascii="Times New Roman" w:hAnsi="Times New Roman" w:cs="Times New Roman"/>
          <w:sz w:val="24"/>
          <w:szCs w:val="24"/>
        </w:rPr>
        <w:t>h</w:t>
      </w:r>
      <w:r w:rsidR="00BC7548" w:rsidRPr="00AC3C60">
        <w:rPr>
          <w:rFonts w:ascii="Times New Roman" w:hAnsi="Times New Roman" w:cs="Times New Roman"/>
          <w:sz w:val="24"/>
          <w:szCs w:val="24"/>
        </w:rPr>
        <w:t xml:space="preserve">ankful in survey 1 and 57% in </w:t>
      </w:r>
      <w:r w:rsidR="00BC7548" w:rsidRPr="00AC3C60">
        <w:rPr>
          <w:rFonts w:ascii="Times New Roman" w:hAnsi="Times New Roman" w:cs="Times New Roman"/>
          <w:sz w:val="24"/>
          <w:szCs w:val="24"/>
        </w:rPr>
        <w:lastRenderedPageBreak/>
        <w:t xml:space="preserve">survey 2. </w:t>
      </w:r>
      <w:r w:rsidR="00F6133C" w:rsidRPr="00AC3C60">
        <w:rPr>
          <w:rFonts w:ascii="Times New Roman" w:hAnsi="Times New Roman" w:cs="Times New Roman"/>
          <w:sz w:val="24"/>
          <w:szCs w:val="24"/>
        </w:rPr>
        <w:t xml:space="preserve">For negative affect among lay people, </w:t>
      </w:r>
      <w:r w:rsidR="00DF6007" w:rsidRPr="00AC3C60">
        <w:rPr>
          <w:rFonts w:ascii="Times New Roman" w:hAnsi="Times New Roman" w:cs="Times New Roman"/>
          <w:sz w:val="24"/>
          <w:szCs w:val="24"/>
        </w:rPr>
        <w:t>6</w:t>
      </w:r>
      <w:r w:rsidR="000B2A11" w:rsidRPr="00AC3C60">
        <w:rPr>
          <w:rFonts w:ascii="Times New Roman" w:hAnsi="Times New Roman" w:cs="Times New Roman"/>
          <w:sz w:val="24"/>
          <w:szCs w:val="24"/>
        </w:rPr>
        <w:t xml:space="preserve">1% reported feeling </w:t>
      </w:r>
      <w:r w:rsidR="000B2A11" w:rsidRPr="00AC3C60">
        <w:rPr>
          <w:rFonts w:ascii="Times New Roman" w:hAnsi="Times New Roman" w:cs="Times New Roman"/>
          <w:i/>
          <w:iCs/>
          <w:sz w:val="24"/>
          <w:szCs w:val="24"/>
        </w:rPr>
        <w:t>more</w:t>
      </w:r>
      <w:r w:rsidR="000B2A11" w:rsidRPr="00AC3C60">
        <w:rPr>
          <w:rFonts w:ascii="Times New Roman" w:hAnsi="Times New Roman" w:cs="Times New Roman"/>
          <w:sz w:val="24"/>
          <w:szCs w:val="24"/>
        </w:rPr>
        <w:t xml:space="preserve"> frustrated in survey </w:t>
      </w:r>
      <w:r w:rsidR="00DF6007" w:rsidRPr="00AC3C60">
        <w:rPr>
          <w:rFonts w:ascii="Times New Roman" w:hAnsi="Times New Roman" w:cs="Times New Roman"/>
          <w:sz w:val="24"/>
          <w:szCs w:val="24"/>
        </w:rPr>
        <w:t>2</w:t>
      </w:r>
      <w:r w:rsidR="000B2A11" w:rsidRPr="00AC3C60">
        <w:rPr>
          <w:rFonts w:ascii="Times New Roman" w:hAnsi="Times New Roman" w:cs="Times New Roman"/>
          <w:sz w:val="24"/>
          <w:szCs w:val="24"/>
        </w:rPr>
        <w:t xml:space="preserve"> compared to </w:t>
      </w:r>
      <w:r w:rsidR="00DF6007" w:rsidRPr="00AC3C60">
        <w:rPr>
          <w:rFonts w:ascii="Times New Roman" w:hAnsi="Times New Roman" w:cs="Times New Roman"/>
          <w:sz w:val="24"/>
          <w:szCs w:val="24"/>
        </w:rPr>
        <w:t>4</w:t>
      </w:r>
      <w:r w:rsidR="000B2A11" w:rsidRPr="00AC3C60">
        <w:rPr>
          <w:rFonts w:ascii="Times New Roman" w:hAnsi="Times New Roman" w:cs="Times New Roman"/>
          <w:sz w:val="24"/>
          <w:szCs w:val="24"/>
        </w:rPr>
        <w:t xml:space="preserve">1% in survey </w:t>
      </w:r>
      <w:r w:rsidR="00DF6007" w:rsidRPr="00AC3C60">
        <w:rPr>
          <w:rFonts w:ascii="Times New Roman" w:hAnsi="Times New Roman" w:cs="Times New Roman"/>
          <w:sz w:val="24"/>
          <w:szCs w:val="24"/>
        </w:rPr>
        <w:t>1</w:t>
      </w:r>
      <w:r w:rsidR="00BD4577" w:rsidRPr="00AC3C60">
        <w:rPr>
          <w:rFonts w:ascii="Times New Roman" w:hAnsi="Times New Roman" w:cs="Times New Roman"/>
          <w:sz w:val="24"/>
          <w:szCs w:val="24"/>
        </w:rPr>
        <w:t xml:space="preserve">, with similar changes for </w:t>
      </w:r>
      <w:r w:rsidR="00945E6E" w:rsidRPr="00AC3C60">
        <w:rPr>
          <w:rFonts w:ascii="Times New Roman" w:hAnsi="Times New Roman" w:cs="Times New Roman"/>
          <w:sz w:val="24"/>
          <w:szCs w:val="24"/>
        </w:rPr>
        <w:t>a</w:t>
      </w:r>
      <w:r w:rsidR="00BD4577" w:rsidRPr="00AC3C60">
        <w:rPr>
          <w:rFonts w:ascii="Times New Roman" w:hAnsi="Times New Roman" w:cs="Times New Roman"/>
          <w:sz w:val="24"/>
          <w:szCs w:val="24"/>
        </w:rPr>
        <w:t>nxiety (</w:t>
      </w:r>
      <w:r w:rsidR="00DF6007" w:rsidRPr="00AC3C60">
        <w:rPr>
          <w:rFonts w:ascii="Times New Roman" w:hAnsi="Times New Roman" w:cs="Times New Roman"/>
          <w:sz w:val="24"/>
          <w:szCs w:val="24"/>
        </w:rPr>
        <w:t>51</w:t>
      </w:r>
      <w:r w:rsidR="00BD4577" w:rsidRPr="00AC3C60">
        <w:rPr>
          <w:rFonts w:ascii="Times New Roman" w:hAnsi="Times New Roman" w:cs="Times New Roman"/>
          <w:sz w:val="24"/>
          <w:szCs w:val="24"/>
        </w:rPr>
        <w:t xml:space="preserve">% versus </w:t>
      </w:r>
      <w:r w:rsidR="00DF6007" w:rsidRPr="00AC3C60">
        <w:rPr>
          <w:rFonts w:ascii="Times New Roman" w:hAnsi="Times New Roman" w:cs="Times New Roman"/>
          <w:sz w:val="24"/>
          <w:szCs w:val="24"/>
        </w:rPr>
        <w:t>37</w:t>
      </w:r>
      <w:r w:rsidR="00BD4577" w:rsidRPr="00AC3C60">
        <w:rPr>
          <w:rFonts w:ascii="Times New Roman" w:hAnsi="Times New Roman" w:cs="Times New Roman"/>
          <w:sz w:val="24"/>
          <w:szCs w:val="24"/>
        </w:rPr>
        <w:t>%)</w:t>
      </w:r>
      <w:r w:rsidR="00945E6E" w:rsidRPr="00AC3C60">
        <w:rPr>
          <w:rFonts w:ascii="Times New Roman" w:hAnsi="Times New Roman" w:cs="Times New Roman"/>
          <w:sz w:val="24"/>
          <w:szCs w:val="24"/>
        </w:rPr>
        <w:t>, exhaustion (</w:t>
      </w:r>
      <w:r w:rsidR="00DF6007" w:rsidRPr="00AC3C60">
        <w:rPr>
          <w:rFonts w:ascii="Times New Roman" w:hAnsi="Times New Roman" w:cs="Times New Roman"/>
          <w:sz w:val="24"/>
          <w:szCs w:val="24"/>
        </w:rPr>
        <w:t>3</w:t>
      </w:r>
      <w:r w:rsidR="00945E6E" w:rsidRPr="00AC3C60">
        <w:rPr>
          <w:rFonts w:ascii="Times New Roman" w:hAnsi="Times New Roman" w:cs="Times New Roman"/>
          <w:sz w:val="24"/>
          <w:szCs w:val="24"/>
        </w:rPr>
        <w:t xml:space="preserve">9% versus </w:t>
      </w:r>
      <w:r w:rsidR="00DF6007" w:rsidRPr="00AC3C60">
        <w:rPr>
          <w:rFonts w:ascii="Times New Roman" w:hAnsi="Times New Roman" w:cs="Times New Roman"/>
          <w:sz w:val="24"/>
          <w:szCs w:val="24"/>
        </w:rPr>
        <w:t>2</w:t>
      </w:r>
      <w:r w:rsidR="00945E6E" w:rsidRPr="00AC3C60">
        <w:rPr>
          <w:rFonts w:ascii="Times New Roman" w:hAnsi="Times New Roman" w:cs="Times New Roman"/>
          <w:sz w:val="24"/>
          <w:szCs w:val="24"/>
        </w:rPr>
        <w:t>9%</w:t>
      </w:r>
      <w:r w:rsidR="00C62B3B" w:rsidRPr="00AC3C60">
        <w:rPr>
          <w:rFonts w:ascii="Times New Roman" w:hAnsi="Times New Roman" w:cs="Times New Roman"/>
          <w:sz w:val="24"/>
          <w:szCs w:val="24"/>
        </w:rPr>
        <w:t>), stress</w:t>
      </w:r>
      <w:r w:rsidR="003456FF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977D68" w:rsidRPr="00AC3C60">
        <w:rPr>
          <w:rFonts w:ascii="Times New Roman" w:hAnsi="Times New Roman" w:cs="Times New Roman"/>
          <w:sz w:val="24"/>
          <w:szCs w:val="24"/>
        </w:rPr>
        <w:t>(</w:t>
      </w:r>
      <w:r w:rsidR="00DF6007" w:rsidRPr="00AC3C60">
        <w:rPr>
          <w:rFonts w:ascii="Times New Roman" w:hAnsi="Times New Roman" w:cs="Times New Roman"/>
          <w:sz w:val="24"/>
          <w:szCs w:val="24"/>
        </w:rPr>
        <w:t>4</w:t>
      </w:r>
      <w:r w:rsidR="00977D68" w:rsidRPr="00AC3C60">
        <w:rPr>
          <w:rFonts w:ascii="Times New Roman" w:hAnsi="Times New Roman" w:cs="Times New Roman"/>
          <w:sz w:val="24"/>
          <w:szCs w:val="24"/>
        </w:rPr>
        <w:t xml:space="preserve">3% versus </w:t>
      </w:r>
      <w:r w:rsidR="00DF6007" w:rsidRPr="00AC3C60">
        <w:rPr>
          <w:rFonts w:ascii="Times New Roman" w:hAnsi="Times New Roman" w:cs="Times New Roman"/>
          <w:sz w:val="24"/>
          <w:szCs w:val="24"/>
        </w:rPr>
        <w:t>3</w:t>
      </w:r>
      <w:r w:rsidR="00977D68" w:rsidRPr="00AC3C60">
        <w:rPr>
          <w:rFonts w:ascii="Times New Roman" w:hAnsi="Times New Roman" w:cs="Times New Roman"/>
          <w:sz w:val="24"/>
          <w:szCs w:val="24"/>
        </w:rPr>
        <w:t>3%) and fatigue (</w:t>
      </w:r>
      <w:r w:rsidR="00530E2B" w:rsidRPr="00AC3C60">
        <w:rPr>
          <w:rFonts w:ascii="Times New Roman" w:hAnsi="Times New Roman" w:cs="Times New Roman"/>
          <w:sz w:val="24"/>
          <w:szCs w:val="24"/>
        </w:rPr>
        <w:t>4</w:t>
      </w:r>
      <w:r w:rsidR="00DF6007" w:rsidRPr="00AC3C60">
        <w:rPr>
          <w:rFonts w:ascii="Times New Roman" w:hAnsi="Times New Roman" w:cs="Times New Roman"/>
          <w:sz w:val="24"/>
          <w:szCs w:val="24"/>
        </w:rPr>
        <w:t>6</w:t>
      </w:r>
      <w:r w:rsidR="00530E2B" w:rsidRPr="00AC3C60">
        <w:rPr>
          <w:rFonts w:ascii="Times New Roman" w:hAnsi="Times New Roman" w:cs="Times New Roman"/>
          <w:sz w:val="24"/>
          <w:szCs w:val="24"/>
        </w:rPr>
        <w:t>% versus 4</w:t>
      </w:r>
      <w:r w:rsidR="00DF6007" w:rsidRPr="00AC3C60">
        <w:rPr>
          <w:rFonts w:ascii="Times New Roman" w:hAnsi="Times New Roman" w:cs="Times New Roman"/>
          <w:sz w:val="24"/>
          <w:szCs w:val="24"/>
        </w:rPr>
        <w:t>0</w:t>
      </w:r>
      <w:r w:rsidR="00530E2B" w:rsidRPr="00AC3C60">
        <w:rPr>
          <w:rFonts w:ascii="Times New Roman" w:hAnsi="Times New Roman" w:cs="Times New Roman"/>
          <w:sz w:val="24"/>
          <w:szCs w:val="24"/>
        </w:rPr>
        <w:t>%).</w:t>
      </w:r>
    </w:p>
    <w:p w14:paraId="55471C89" w14:textId="065FAB47" w:rsidR="00926A93" w:rsidRPr="00AC3C60" w:rsidRDefault="00021DC9" w:rsidP="00F6133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t xml:space="preserve">For positive affect among clergy, </w:t>
      </w:r>
      <w:r w:rsidR="00DF6007" w:rsidRPr="00AC3C60">
        <w:rPr>
          <w:rFonts w:ascii="Times New Roman" w:hAnsi="Times New Roman" w:cs="Times New Roman"/>
          <w:sz w:val="24"/>
          <w:szCs w:val="24"/>
        </w:rPr>
        <w:t>56</w:t>
      </w:r>
      <w:r w:rsidR="00E67D6E" w:rsidRPr="00AC3C60">
        <w:rPr>
          <w:rFonts w:ascii="Times New Roman" w:hAnsi="Times New Roman" w:cs="Times New Roman"/>
          <w:sz w:val="24"/>
          <w:szCs w:val="24"/>
        </w:rPr>
        <w:t xml:space="preserve">% reported feeling </w:t>
      </w:r>
      <w:r w:rsidR="00E67D6E" w:rsidRPr="00AC3C60">
        <w:rPr>
          <w:rFonts w:ascii="Times New Roman" w:hAnsi="Times New Roman" w:cs="Times New Roman"/>
          <w:i/>
          <w:iCs/>
          <w:sz w:val="24"/>
          <w:szCs w:val="24"/>
        </w:rPr>
        <w:t>less</w:t>
      </w:r>
      <w:r w:rsidR="00E67D6E" w:rsidRPr="00AC3C60">
        <w:rPr>
          <w:rFonts w:ascii="Times New Roman" w:hAnsi="Times New Roman" w:cs="Times New Roman"/>
          <w:sz w:val="24"/>
          <w:szCs w:val="24"/>
        </w:rPr>
        <w:t xml:space="preserve"> excited </w:t>
      </w:r>
      <w:r w:rsidR="00804239" w:rsidRPr="00AC3C60">
        <w:rPr>
          <w:rFonts w:ascii="Times New Roman" w:hAnsi="Times New Roman" w:cs="Times New Roman"/>
          <w:sz w:val="24"/>
          <w:szCs w:val="24"/>
        </w:rPr>
        <w:t xml:space="preserve">in survey </w:t>
      </w:r>
      <w:r w:rsidR="00DF6007" w:rsidRPr="00AC3C60">
        <w:rPr>
          <w:rFonts w:ascii="Times New Roman" w:hAnsi="Times New Roman" w:cs="Times New Roman"/>
          <w:sz w:val="24"/>
          <w:szCs w:val="24"/>
        </w:rPr>
        <w:t>2</w:t>
      </w:r>
      <w:r w:rsidR="00804239" w:rsidRPr="00AC3C60">
        <w:rPr>
          <w:rFonts w:ascii="Times New Roman" w:hAnsi="Times New Roman" w:cs="Times New Roman"/>
          <w:sz w:val="24"/>
          <w:szCs w:val="24"/>
        </w:rPr>
        <w:t xml:space="preserve"> compared with </w:t>
      </w:r>
      <w:r w:rsidR="00DF6007" w:rsidRPr="00AC3C60">
        <w:rPr>
          <w:rFonts w:ascii="Times New Roman" w:hAnsi="Times New Roman" w:cs="Times New Roman"/>
          <w:sz w:val="24"/>
          <w:szCs w:val="24"/>
        </w:rPr>
        <w:t>34</w:t>
      </w:r>
      <w:r w:rsidR="007F0FF3" w:rsidRPr="00AC3C60">
        <w:rPr>
          <w:rFonts w:ascii="Times New Roman" w:hAnsi="Times New Roman" w:cs="Times New Roman"/>
          <w:sz w:val="24"/>
          <w:szCs w:val="24"/>
        </w:rPr>
        <w:t xml:space="preserve">% in survey </w:t>
      </w:r>
      <w:r w:rsidR="00DF6007" w:rsidRPr="00AC3C60">
        <w:rPr>
          <w:rFonts w:ascii="Times New Roman" w:hAnsi="Times New Roman" w:cs="Times New Roman"/>
          <w:sz w:val="24"/>
          <w:szCs w:val="24"/>
        </w:rPr>
        <w:t>1</w:t>
      </w:r>
      <w:r w:rsidR="007F0FF3" w:rsidRPr="00AC3C60">
        <w:rPr>
          <w:rFonts w:ascii="Times New Roman" w:hAnsi="Times New Roman" w:cs="Times New Roman"/>
          <w:sz w:val="24"/>
          <w:szCs w:val="24"/>
        </w:rPr>
        <w:t xml:space="preserve">, with similar changes for </w:t>
      </w:r>
      <w:r w:rsidR="00814670" w:rsidRPr="00AC3C60">
        <w:rPr>
          <w:rFonts w:ascii="Times New Roman" w:hAnsi="Times New Roman" w:cs="Times New Roman"/>
          <w:sz w:val="24"/>
          <w:szCs w:val="24"/>
        </w:rPr>
        <w:t xml:space="preserve">happiness (41% versus 26%), </w:t>
      </w:r>
      <w:r w:rsidR="002C270F" w:rsidRPr="00AC3C60">
        <w:rPr>
          <w:rFonts w:ascii="Times New Roman" w:hAnsi="Times New Roman" w:cs="Times New Roman"/>
          <w:sz w:val="24"/>
          <w:szCs w:val="24"/>
        </w:rPr>
        <w:t xml:space="preserve">and </w:t>
      </w:r>
      <w:r w:rsidR="001E149D" w:rsidRPr="00AC3C60">
        <w:rPr>
          <w:rFonts w:ascii="Times New Roman" w:hAnsi="Times New Roman" w:cs="Times New Roman"/>
          <w:sz w:val="24"/>
          <w:szCs w:val="24"/>
        </w:rPr>
        <w:t>confidence</w:t>
      </w:r>
      <w:r w:rsidR="00814670" w:rsidRPr="00AC3C60">
        <w:rPr>
          <w:rFonts w:ascii="Times New Roman" w:hAnsi="Times New Roman" w:cs="Times New Roman"/>
          <w:sz w:val="24"/>
          <w:szCs w:val="24"/>
        </w:rPr>
        <w:t xml:space="preserve"> (</w:t>
      </w:r>
      <w:r w:rsidR="001E149D" w:rsidRPr="00AC3C60">
        <w:rPr>
          <w:rFonts w:ascii="Times New Roman" w:hAnsi="Times New Roman" w:cs="Times New Roman"/>
          <w:sz w:val="24"/>
          <w:szCs w:val="24"/>
        </w:rPr>
        <w:t>27</w:t>
      </w:r>
      <w:r w:rsidR="00814670" w:rsidRPr="00AC3C60">
        <w:rPr>
          <w:rFonts w:ascii="Times New Roman" w:hAnsi="Times New Roman" w:cs="Times New Roman"/>
          <w:sz w:val="24"/>
          <w:szCs w:val="24"/>
        </w:rPr>
        <w:t xml:space="preserve">% versus </w:t>
      </w:r>
      <w:r w:rsidR="004F06F8" w:rsidRPr="00AC3C60">
        <w:rPr>
          <w:rFonts w:ascii="Times New Roman" w:hAnsi="Times New Roman" w:cs="Times New Roman"/>
          <w:sz w:val="24"/>
          <w:szCs w:val="24"/>
        </w:rPr>
        <w:t>1</w:t>
      </w:r>
      <w:r w:rsidR="001E149D" w:rsidRPr="00AC3C60">
        <w:rPr>
          <w:rFonts w:ascii="Times New Roman" w:hAnsi="Times New Roman" w:cs="Times New Roman"/>
          <w:sz w:val="24"/>
          <w:szCs w:val="24"/>
        </w:rPr>
        <w:t>1</w:t>
      </w:r>
      <w:r w:rsidR="004F06F8" w:rsidRPr="00AC3C60">
        <w:rPr>
          <w:rFonts w:ascii="Times New Roman" w:hAnsi="Times New Roman" w:cs="Times New Roman"/>
          <w:sz w:val="24"/>
          <w:szCs w:val="24"/>
        </w:rPr>
        <w:t>%)</w:t>
      </w:r>
      <w:r w:rsidR="002C270F" w:rsidRPr="00AC3C60">
        <w:rPr>
          <w:rFonts w:ascii="Times New Roman" w:hAnsi="Times New Roman" w:cs="Times New Roman"/>
          <w:sz w:val="24"/>
          <w:szCs w:val="24"/>
        </w:rPr>
        <w:t>.</w:t>
      </w:r>
      <w:r w:rsidR="002C1F05" w:rsidRPr="00AC3C60">
        <w:rPr>
          <w:rFonts w:ascii="Times New Roman" w:hAnsi="Times New Roman" w:cs="Times New Roman"/>
          <w:sz w:val="24"/>
          <w:szCs w:val="24"/>
        </w:rPr>
        <w:t xml:space="preserve"> As with laity, change in hope suggested </w:t>
      </w:r>
      <w:r w:rsidR="00664CDE" w:rsidRPr="00AC3C60">
        <w:rPr>
          <w:rFonts w:ascii="Times New Roman" w:hAnsi="Times New Roman" w:cs="Times New Roman"/>
          <w:sz w:val="24"/>
          <w:szCs w:val="24"/>
        </w:rPr>
        <w:t xml:space="preserve">a </w:t>
      </w:r>
      <w:r w:rsidR="002C1F05" w:rsidRPr="00AC3C60">
        <w:rPr>
          <w:rFonts w:ascii="Times New Roman" w:hAnsi="Times New Roman" w:cs="Times New Roman"/>
          <w:sz w:val="24"/>
          <w:szCs w:val="24"/>
        </w:rPr>
        <w:t>more divided response in the second survey: whereas 2</w:t>
      </w:r>
      <w:r w:rsidR="002247E7" w:rsidRPr="00AC3C60">
        <w:rPr>
          <w:rFonts w:ascii="Times New Roman" w:hAnsi="Times New Roman" w:cs="Times New Roman"/>
          <w:sz w:val="24"/>
          <w:szCs w:val="24"/>
        </w:rPr>
        <w:t>2</w:t>
      </w:r>
      <w:r w:rsidR="002C1F05" w:rsidRPr="00AC3C60">
        <w:rPr>
          <w:rFonts w:ascii="Times New Roman" w:hAnsi="Times New Roman" w:cs="Times New Roman"/>
          <w:sz w:val="24"/>
          <w:szCs w:val="24"/>
        </w:rPr>
        <w:t xml:space="preserve">% were less hopeful in survey 2 (compared to </w:t>
      </w:r>
      <w:r w:rsidR="002247E7" w:rsidRPr="00AC3C60">
        <w:rPr>
          <w:rFonts w:ascii="Times New Roman" w:hAnsi="Times New Roman" w:cs="Times New Roman"/>
          <w:sz w:val="24"/>
          <w:szCs w:val="24"/>
        </w:rPr>
        <w:t>16</w:t>
      </w:r>
      <w:r w:rsidR="002C1F05" w:rsidRPr="00AC3C60">
        <w:rPr>
          <w:rFonts w:ascii="Times New Roman" w:hAnsi="Times New Roman" w:cs="Times New Roman"/>
          <w:sz w:val="24"/>
          <w:szCs w:val="24"/>
        </w:rPr>
        <w:t xml:space="preserve">% in survey 1), </w:t>
      </w:r>
      <w:r w:rsidR="002247E7" w:rsidRPr="00AC3C60">
        <w:rPr>
          <w:rFonts w:ascii="Times New Roman" w:hAnsi="Times New Roman" w:cs="Times New Roman"/>
          <w:sz w:val="24"/>
          <w:szCs w:val="24"/>
        </w:rPr>
        <w:t>40</w:t>
      </w:r>
      <w:r w:rsidR="002C1F05" w:rsidRPr="00AC3C60">
        <w:rPr>
          <w:rFonts w:ascii="Times New Roman" w:hAnsi="Times New Roman" w:cs="Times New Roman"/>
          <w:sz w:val="24"/>
          <w:szCs w:val="24"/>
        </w:rPr>
        <w:t xml:space="preserve">% were more hopeful (compared to </w:t>
      </w:r>
      <w:r w:rsidR="00926A93" w:rsidRPr="00AC3C60">
        <w:rPr>
          <w:rFonts w:ascii="Times New Roman" w:hAnsi="Times New Roman" w:cs="Times New Roman"/>
          <w:sz w:val="24"/>
          <w:szCs w:val="24"/>
        </w:rPr>
        <w:t>34</w:t>
      </w:r>
      <w:r w:rsidR="002C1F05" w:rsidRPr="00AC3C60">
        <w:rPr>
          <w:rFonts w:ascii="Times New Roman" w:hAnsi="Times New Roman" w:cs="Times New Roman"/>
          <w:sz w:val="24"/>
          <w:szCs w:val="24"/>
        </w:rPr>
        <w:t>% in survey 1).</w:t>
      </w:r>
      <w:r w:rsidR="00926A93" w:rsidRPr="00AC3C60">
        <w:rPr>
          <w:rFonts w:ascii="Times New Roman" w:hAnsi="Times New Roman" w:cs="Times New Roman"/>
          <w:sz w:val="24"/>
          <w:szCs w:val="24"/>
        </w:rPr>
        <w:t xml:space="preserve"> Thankfulness was again high and unchanged between surveys.</w:t>
      </w:r>
      <w:r w:rsidR="00270F7F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926A93" w:rsidRPr="00AC3C60">
        <w:rPr>
          <w:rFonts w:ascii="Times New Roman" w:hAnsi="Times New Roman" w:cs="Times New Roman"/>
          <w:sz w:val="24"/>
          <w:szCs w:val="24"/>
        </w:rPr>
        <w:t xml:space="preserve">For negative affect among clergy, </w:t>
      </w:r>
      <w:r w:rsidR="009A5EA9" w:rsidRPr="00AC3C60">
        <w:rPr>
          <w:rFonts w:ascii="Times New Roman" w:hAnsi="Times New Roman" w:cs="Times New Roman"/>
          <w:sz w:val="24"/>
          <w:szCs w:val="24"/>
        </w:rPr>
        <w:t>67</w:t>
      </w:r>
      <w:r w:rsidR="000148C7" w:rsidRPr="00AC3C60">
        <w:rPr>
          <w:rFonts w:ascii="Times New Roman" w:hAnsi="Times New Roman" w:cs="Times New Roman"/>
          <w:sz w:val="24"/>
          <w:szCs w:val="24"/>
        </w:rPr>
        <w:t xml:space="preserve">% reported feeling </w:t>
      </w:r>
      <w:r w:rsidR="000148C7" w:rsidRPr="00AC3C60">
        <w:rPr>
          <w:rFonts w:ascii="Times New Roman" w:hAnsi="Times New Roman" w:cs="Times New Roman"/>
          <w:i/>
          <w:iCs/>
          <w:sz w:val="24"/>
          <w:szCs w:val="24"/>
        </w:rPr>
        <w:t>more</w:t>
      </w:r>
      <w:r w:rsidR="000148C7" w:rsidRPr="00AC3C60">
        <w:rPr>
          <w:rFonts w:ascii="Times New Roman" w:hAnsi="Times New Roman" w:cs="Times New Roman"/>
          <w:sz w:val="24"/>
          <w:szCs w:val="24"/>
        </w:rPr>
        <w:t xml:space="preserve"> frustrated in </w:t>
      </w:r>
      <w:r w:rsidR="009A5EA9" w:rsidRPr="00AC3C60">
        <w:rPr>
          <w:rFonts w:ascii="Times New Roman" w:hAnsi="Times New Roman" w:cs="Times New Roman"/>
          <w:sz w:val="24"/>
          <w:szCs w:val="24"/>
        </w:rPr>
        <w:t>survey 2 (compared to 51% in survey 1)</w:t>
      </w:r>
      <w:r w:rsidR="002B3B97" w:rsidRPr="00AC3C60">
        <w:rPr>
          <w:rFonts w:ascii="Times New Roman" w:hAnsi="Times New Roman" w:cs="Times New Roman"/>
          <w:sz w:val="24"/>
          <w:szCs w:val="24"/>
        </w:rPr>
        <w:t xml:space="preserve">, with similar figures </w:t>
      </w:r>
      <w:r w:rsidR="00565CC3" w:rsidRPr="00AC3C60">
        <w:rPr>
          <w:rFonts w:ascii="Times New Roman" w:hAnsi="Times New Roman" w:cs="Times New Roman"/>
          <w:sz w:val="24"/>
          <w:szCs w:val="24"/>
        </w:rPr>
        <w:t xml:space="preserve">for </w:t>
      </w:r>
      <w:r w:rsidR="00746B6B" w:rsidRPr="00AC3C60">
        <w:rPr>
          <w:rFonts w:ascii="Times New Roman" w:hAnsi="Times New Roman" w:cs="Times New Roman"/>
          <w:sz w:val="24"/>
          <w:szCs w:val="24"/>
        </w:rPr>
        <w:t xml:space="preserve">anxiety (57% versus 41%), exhaustion (73% versus </w:t>
      </w:r>
      <w:r w:rsidR="00F73BEE" w:rsidRPr="00AC3C60">
        <w:rPr>
          <w:rFonts w:ascii="Times New Roman" w:hAnsi="Times New Roman" w:cs="Times New Roman"/>
          <w:sz w:val="24"/>
          <w:szCs w:val="24"/>
        </w:rPr>
        <w:t xml:space="preserve">58%), stress (60% versus 45%, and fatigue (82% versus 65%). </w:t>
      </w:r>
    </w:p>
    <w:p w14:paraId="7A2AA8A0" w14:textId="06F34164" w:rsidR="0055471B" w:rsidRPr="00AC3C60" w:rsidRDefault="0055471B" w:rsidP="0055471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3C60">
        <w:rPr>
          <w:rFonts w:ascii="Times New Roman" w:hAnsi="Times New Roman" w:cs="Times New Roman"/>
          <w:b/>
          <w:bCs/>
          <w:sz w:val="24"/>
          <w:szCs w:val="24"/>
        </w:rPr>
        <w:t>Changes in affect balance</w:t>
      </w:r>
    </w:p>
    <w:p w14:paraId="2CA838DD" w14:textId="0278CDD8" w:rsidR="000A0D4B" w:rsidRPr="00AC3C60" w:rsidRDefault="00E33A81" w:rsidP="00E95D6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t>In both laity and clergy</w:t>
      </w:r>
      <w:r w:rsidR="009F1E9D" w:rsidRPr="00AC3C60">
        <w:rPr>
          <w:rFonts w:ascii="Times New Roman" w:hAnsi="Times New Roman" w:cs="Times New Roman"/>
          <w:sz w:val="24"/>
          <w:szCs w:val="24"/>
        </w:rPr>
        <w:t xml:space="preserve">, </w:t>
      </w:r>
      <w:r w:rsidR="007C27DF" w:rsidRPr="00AC3C60">
        <w:rPr>
          <w:rFonts w:ascii="Times New Roman" w:hAnsi="Times New Roman" w:cs="Times New Roman"/>
          <w:sz w:val="24"/>
          <w:szCs w:val="24"/>
        </w:rPr>
        <w:t xml:space="preserve">perceived levels of </w:t>
      </w:r>
      <w:r w:rsidR="009F1E9D" w:rsidRPr="00AC3C60">
        <w:rPr>
          <w:rFonts w:ascii="Times New Roman" w:hAnsi="Times New Roman" w:cs="Times New Roman"/>
          <w:sz w:val="24"/>
          <w:szCs w:val="24"/>
        </w:rPr>
        <w:t>positive affect declined</w:t>
      </w:r>
      <w:r w:rsidR="00664CDE" w:rsidRPr="00AC3C60">
        <w:rPr>
          <w:rFonts w:ascii="Times New Roman" w:hAnsi="Times New Roman" w:cs="Times New Roman"/>
          <w:sz w:val="24"/>
          <w:szCs w:val="24"/>
        </w:rPr>
        <w:t>,</w:t>
      </w:r>
      <w:r w:rsidR="009F1E9D" w:rsidRPr="00AC3C60">
        <w:rPr>
          <w:rFonts w:ascii="Times New Roman" w:hAnsi="Times New Roman" w:cs="Times New Roman"/>
          <w:sz w:val="24"/>
          <w:szCs w:val="24"/>
        </w:rPr>
        <w:t xml:space="preserve"> and negative affect increased</w:t>
      </w:r>
      <w:r w:rsidR="00664CDE" w:rsidRPr="00AC3C60">
        <w:rPr>
          <w:rFonts w:ascii="Times New Roman" w:hAnsi="Times New Roman" w:cs="Times New Roman"/>
          <w:sz w:val="24"/>
          <w:szCs w:val="24"/>
        </w:rPr>
        <w:t>,</w:t>
      </w:r>
      <w:r w:rsidR="009F1E9D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7C27DF" w:rsidRPr="00AC3C60">
        <w:rPr>
          <w:rFonts w:ascii="Times New Roman" w:hAnsi="Times New Roman" w:cs="Times New Roman"/>
          <w:sz w:val="24"/>
          <w:szCs w:val="24"/>
        </w:rPr>
        <w:t>between survey 1 and survey 2</w:t>
      </w:r>
      <w:r w:rsidR="00AA109B" w:rsidRPr="00AC3C60">
        <w:rPr>
          <w:rFonts w:ascii="Times New Roman" w:hAnsi="Times New Roman" w:cs="Times New Roman"/>
          <w:sz w:val="24"/>
          <w:szCs w:val="24"/>
        </w:rPr>
        <w:t xml:space="preserve"> (Table 4 a &amp; b). </w:t>
      </w:r>
      <w:r w:rsidR="003A43FF" w:rsidRPr="00AC3C60">
        <w:rPr>
          <w:rFonts w:ascii="Times New Roman" w:hAnsi="Times New Roman" w:cs="Times New Roman"/>
          <w:sz w:val="24"/>
          <w:szCs w:val="24"/>
        </w:rPr>
        <w:t>Mean</w:t>
      </w:r>
      <w:r w:rsidR="00B51E23" w:rsidRPr="00AC3C60">
        <w:rPr>
          <w:rFonts w:ascii="Times New Roman" w:hAnsi="Times New Roman" w:cs="Times New Roman"/>
          <w:sz w:val="24"/>
          <w:szCs w:val="24"/>
        </w:rPr>
        <w:t xml:space="preserve"> TIBACh scores declined from 9.33 </w:t>
      </w:r>
      <w:r w:rsidR="003A43FF" w:rsidRPr="00AC3C60">
        <w:rPr>
          <w:rFonts w:ascii="Times New Roman" w:hAnsi="Times New Roman" w:cs="Times New Roman"/>
          <w:sz w:val="24"/>
          <w:szCs w:val="24"/>
        </w:rPr>
        <w:t xml:space="preserve">to 7.88 among laity and from 8.81 to 6.91 </w:t>
      </w:r>
      <w:r w:rsidR="00521007" w:rsidRPr="00AC3C60">
        <w:rPr>
          <w:rFonts w:ascii="Times New Roman" w:hAnsi="Times New Roman" w:cs="Times New Roman"/>
          <w:sz w:val="24"/>
          <w:szCs w:val="24"/>
        </w:rPr>
        <w:t>among</w:t>
      </w:r>
      <w:r w:rsidR="003A43FF" w:rsidRPr="00AC3C60">
        <w:rPr>
          <w:rFonts w:ascii="Times New Roman" w:hAnsi="Times New Roman" w:cs="Times New Roman"/>
          <w:sz w:val="24"/>
          <w:szCs w:val="24"/>
        </w:rPr>
        <w:t xml:space="preserve"> clergy</w:t>
      </w:r>
      <w:r w:rsidR="00521007" w:rsidRPr="00AC3C60">
        <w:rPr>
          <w:rFonts w:ascii="Times New Roman" w:hAnsi="Times New Roman" w:cs="Times New Roman"/>
          <w:sz w:val="24"/>
          <w:szCs w:val="24"/>
        </w:rPr>
        <w:t>, a highly statistically significant change in each case. Clergy sco</w:t>
      </w:r>
      <w:r w:rsidR="00C117DC" w:rsidRPr="00AC3C60">
        <w:rPr>
          <w:rFonts w:ascii="Times New Roman" w:hAnsi="Times New Roman" w:cs="Times New Roman"/>
          <w:sz w:val="24"/>
          <w:szCs w:val="24"/>
        </w:rPr>
        <w:t>res were lower tha</w:t>
      </w:r>
      <w:r w:rsidR="00097B7A" w:rsidRPr="00AC3C60">
        <w:rPr>
          <w:rFonts w:ascii="Times New Roman" w:hAnsi="Times New Roman" w:cs="Times New Roman"/>
          <w:sz w:val="24"/>
          <w:szCs w:val="24"/>
        </w:rPr>
        <w:t>n</w:t>
      </w:r>
      <w:r w:rsidR="00C117DC" w:rsidRPr="00AC3C60">
        <w:rPr>
          <w:rFonts w:ascii="Times New Roman" w:hAnsi="Times New Roman" w:cs="Times New Roman"/>
          <w:sz w:val="24"/>
          <w:szCs w:val="24"/>
        </w:rPr>
        <w:t xml:space="preserve"> laity scores, and we have shown elsewhere in the first survey that this difference</w:t>
      </w:r>
      <w:r w:rsidR="00CC0217" w:rsidRPr="00AC3C60">
        <w:rPr>
          <w:rFonts w:ascii="Times New Roman" w:hAnsi="Times New Roman" w:cs="Times New Roman"/>
          <w:sz w:val="24"/>
          <w:szCs w:val="24"/>
        </w:rPr>
        <w:t xml:space="preserve"> persists after controlling </w:t>
      </w:r>
      <w:r w:rsidR="002A262C" w:rsidRPr="00AC3C60">
        <w:rPr>
          <w:rFonts w:ascii="Times New Roman" w:hAnsi="Times New Roman" w:cs="Times New Roman"/>
          <w:sz w:val="24"/>
          <w:szCs w:val="24"/>
        </w:rPr>
        <w:t xml:space="preserve">for profile variations </w:t>
      </w:r>
      <w:r w:rsidR="005E16FD" w:rsidRPr="00AC3C60">
        <w:rPr>
          <w:rFonts w:ascii="Times New Roman" w:hAnsi="Times New Roman" w:cs="Times New Roman"/>
          <w:sz w:val="24"/>
          <w:szCs w:val="24"/>
        </w:rPr>
        <w:t>between these two groups in the Church of England</w:t>
      </w:r>
      <w:r w:rsidR="006B2593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B71689" w:rsidRPr="00AC3C60">
        <w:rPr>
          <w:rFonts w:ascii="Times New Roman" w:hAnsi="Times New Roman" w:cs="Times New Roman"/>
          <w:noProof/>
          <w:sz w:val="24"/>
          <w:szCs w:val="24"/>
        </w:rPr>
        <w:t>(Village &amp; Francis, 2021b)</w:t>
      </w:r>
      <w:r w:rsidR="00D45962" w:rsidRPr="00AC3C60">
        <w:rPr>
          <w:rFonts w:ascii="Times New Roman" w:hAnsi="Times New Roman" w:cs="Times New Roman"/>
          <w:sz w:val="24"/>
          <w:szCs w:val="24"/>
        </w:rPr>
        <w:t>.</w:t>
      </w:r>
    </w:p>
    <w:p w14:paraId="15E33DEE" w14:textId="148F53E2" w:rsidR="002D2133" w:rsidRPr="00AC3C60" w:rsidRDefault="002D2133" w:rsidP="002D213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C60"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14:paraId="77EA4CDC" w14:textId="12F4383C" w:rsidR="00E95D60" w:rsidRPr="00AC3C60" w:rsidRDefault="00E95D60" w:rsidP="006540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t xml:space="preserve">This </w:t>
      </w:r>
      <w:r w:rsidR="00381A64" w:rsidRPr="00AC3C60">
        <w:rPr>
          <w:rFonts w:ascii="Times New Roman" w:hAnsi="Times New Roman" w:cs="Times New Roman"/>
          <w:sz w:val="24"/>
          <w:szCs w:val="24"/>
        </w:rPr>
        <w:t xml:space="preserve">study of a large sample of clergy and lay people in the Church of England at two crucial periods of the COVID-19 pandemic in England has demonstrated </w:t>
      </w:r>
      <w:r w:rsidR="008C26E0" w:rsidRPr="00AC3C60">
        <w:rPr>
          <w:rFonts w:ascii="Times New Roman" w:hAnsi="Times New Roman" w:cs="Times New Roman"/>
          <w:sz w:val="24"/>
          <w:szCs w:val="24"/>
        </w:rPr>
        <w:t xml:space="preserve">in a </w:t>
      </w:r>
      <w:r w:rsidR="005E16FD" w:rsidRPr="00AC3C60">
        <w:rPr>
          <w:rFonts w:ascii="Times New Roman" w:hAnsi="Times New Roman" w:cs="Times New Roman"/>
          <w:sz w:val="24"/>
          <w:szCs w:val="24"/>
        </w:rPr>
        <w:t>religiously committed</w:t>
      </w:r>
      <w:r w:rsidR="008C26E0" w:rsidRPr="00AC3C60">
        <w:rPr>
          <w:rFonts w:ascii="Times New Roman" w:hAnsi="Times New Roman" w:cs="Times New Roman"/>
          <w:sz w:val="24"/>
          <w:szCs w:val="24"/>
        </w:rPr>
        <w:t xml:space="preserve"> population the </w:t>
      </w:r>
      <w:r w:rsidR="00613EDE" w:rsidRPr="00AC3C60">
        <w:rPr>
          <w:rFonts w:ascii="Times New Roman" w:hAnsi="Times New Roman" w:cs="Times New Roman"/>
          <w:sz w:val="24"/>
          <w:szCs w:val="24"/>
        </w:rPr>
        <w:t>ongoing deleterious effects of lockdown on psychological well</w:t>
      </w:r>
      <w:r w:rsidR="00A36675" w:rsidRPr="00AC3C60">
        <w:rPr>
          <w:rFonts w:ascii="Times New Roman" w:hAnsi="Times New Roman" w:cs="Times New Roman"/>
          <w:sz w:val="24"/>
          <w:szCs w:val="24"/>
        </w:rPr>
        <w:t xml:space="preserve">being. </w:t>
      </w:r>
      <w:r w:rsidR="00A36B1D" w:rsidRPr="00AC3C60">
        <w:rPr>
          <w:rFonts w:ascii="Times New Roman" w:hAnsi="Times New Roman" w:cs="Times New Roman"/>
          <w:sz w:val="24"/>
          <w:szCs w:val="24"/>
        </w:rPr>
        <w:t xml:space="preserve">The measure of wellbeing </w:t>
      </w:r>
      <w:r w:rsidR="007B2B7B" w:rsidRPr="00AC3C60">
        <w:rPr>
          <w:rFonts w:ascii="Times New Roman" w:hAnsi="Times New Roman" w:cs="Times New Roman"/>
          <w:sz w:val="24"/>
          <w:szCs w:val="24"/>
        </w:rPr>
        <w:t>develop</w:t>
      </w:r>
      <w:r w:rsidR="005E16FD" w:rsidRPr="00AC3C60">
        <w:rPr>
          <w:rFonts w:ascii="Times New Roman" w:hAnsi="Times New Roman" w:cs="Times New Roman"/>
          <w:sz w:val="24"/>
          <w:szCs w:val="24"/>
        </w:rPr>
        <w:t>ed</w:t>
      </w:r>
      <w:r w:rsidR="007B2B7B" w:rsidRPr="00AC3C60">
        <w:rPr>
          <w:rFonts w:ascii="Times New Roman" w:hAnsi="Times New Roman" w:cs="Times New Roman"/>
          <w:sz w:val="24"/>
          <w:szCs w:val="24"/>
        </w:rPr>
        <w:t xml:space="preserve"> in </w:t>
      </w:r>
      <w:r w:rsidR="003A4D6B" w:rsidRPr="00AC3C60">
        <w:rPr>
          <w:rFonts w:ascii="Times New Roman" w:hAnsi="Times New Roman" w:cs="Times New Roman"/>
          <w:sz w:val="24"/>
          <w:szCs w:val="24"/>
        </w:rPr>
        <w:t>survey1</w:t>
      </w:r>
      <w:r w:rsidR="00A36B1D" w:rsidRPr="00AC3C60">
        <w:rPr>
          <w:rFonts w:ascii="Times New Roman" w:hAnsi="Times New Roman" w:cs="Times New Roman"/>
          <w:sz w:val="24"/>
          <w:szCs w:val="24"/>
        </w:rPr>
        <w:t xml:space="preserve">, the TIBACh, </w:t>
      </w:r>
      <w:r w:rsidR="007B2B7B" w:rsidRPr="00AC3C60">
        <w:rPr>
          <w:rFonts w:ascii="Times New Roman" w:hAnsi="Times New Roman" w:cs="Times New Roman"/>
          <w:sz w:val="24"/>
          <w:szCs w:val="24"/>
        </w:rPr>
        <w:t>proved</w:t>
      </w:r>
      <w:r w:rsidR="00A36B1D" w:rsidRPr="00AC3C60">
        <w:rPr>
          <w:rFonts w:ascii="Times New Roman" w:hAnsi="Times New Roman" w:cs="Times New Roman"/>
          <w:sz w:val="24"/>
          <w:szCs w:val="24"/>
        </w:rPr>
        <w:t xml:space="preserve"> to be a </w:t>
      </w:r>
      <w:r w:rsidR="00686CA5" w:rsidRPr="00AC3C60">
        <w:rPr>
          <w:rFonts w:ascii="Times New Roman" w:hAnsi="Times New Roman" w:cs="Times New Roman"/>
          <w:sz w:val="24"/>
          <w:szCs w:val="24"/>
        </w:rPr>
        <w:t>useful wa</w:t>
      </w:r>
      <w:r w:rsidR="003A4D6B" w:rsidRPr="00AC3C60">
        <w:rPr>
          <w:rFonts w:ascii="Times New Roman" w:hAnsi="Times New Roman" w:cs="Times New Roman"/>
          <w:sz w:val="24"/>
          <w:szCs w:val="24"/>
        </w:rPr>
        <w:t>y</w:t>
      </w:r>
      <w:r w:rsidR="00686CA5" w:rsidRPr="00AC3C60">
        <w:rPr>
          <w:rFonts w:ascii="Times New Roman" w:hAnsi="Times New Roman" w:cs="Times New Roman"/>
          <w:sz w:val="24"/>
          <w:szCs w:val="24"/>
        </w:rPr>
        <w:t xml:space="preserve"> of </w:t>
      </w:r>
      <w:r w:rsidR="00686CA5" w:rsidRPr="00AC3C60">
        <w:rPr>
          <w:rFonts w:ascii="Times New Roman" w:hAnsi="Times New Roman" w:cs="Times New Roman"/>
          <w:sz w:val="24"/>
          <w:szCs w:val="24"/>
        </w:rPr>
        <w:lastRenderedPageBreak/>
        <w:t>assessing changes</w:t>
      </w:r>
      <w:r w:rsidR="005E16FD" w:rsidRPr="00AC3C60">
        <w:rPr>
          <w:rFonts w:ascii="Times New Roman" w:hAnsi="Times New Roman" w:cs="Times New Roman"/>
          <w:sz w:val="24"/>
          <w:szCs w:val="24"/>
        </w:rPr>
        <w:t xml:space="preserve"> between lockdowns</w:t>
      </w:r>
      <w:r w:rsidR="00686CA5" w:rsidRPr="00AC3C60">
        <w:rPr>
          <w:rFonts w:ascii="Times New Roman" w:hAnsi="Times New Roman" w:cs="Times New Roman"/>
          <w:sz w:val="24"/>
          <w:szCs w:val="24"/>
        </w:rPr>
        <w:t xml:space="preserve"> in balanced affect </w:t>
      </w:r>
      <w:r w:rsidR="00A737DB" w:rsidRPr="00AC3C60">
        <w:rPr>
          <w:rFonts w:ascii="Times New Roman" w:hAnsi="Times New Roman" w:cs="Times New Roman"/>
          <w:sz w:val="24"/>
          <w:szCs w:val="24"/>
        </w:rPr>
        <w:t xml:space="preserve">levels of </w:t>
      </w:r>
      <w:r w:rsidR="00686CA5" w:rsidRPr="00AC3C60">
        <w:rPr>
          <w:rFonts w:ascii="Times New Roman" w:hAnsi="Times New Roman" w:cs="Times New Roman"/>
          <w:sz w:val="24"/>
          <w:szCs w:val="24"/>
        </w:rPr>
        <w:t>clergy and lay people.</w:t>
      </w:r>
      <w:r w:rsidR="003A4D6B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B00773" w:rsidRPr="00AC3C60">
        <w:rPr>
          <w:rFonts w:ascii="Times New Roman" w:hAnsi="Times New Roman" w:cs="Times New Roman"/>
          <w:sz w:val="24"/>
          <w:szCs w:val="24"/>
        </w:rPr>
        <w:t>Two issues arise that warrant attention:</w:t>
      </w:r>
    </w:p>
    <w:p w14:paraId="50D6E42C" w14:textId="3D98DF7A" w:rsidR="00B00773" w:rsidRPr="00AC3C60" w:rsidRDefault="00493EB8" w:rsidP="006540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tab/>
        <w:t xml:space="preserve">First, the poorer psychological wellbeing of clergy </w:t>
      </w:r>
      <w:r w:rsidR="004A3BF3" w:rsidRPr="00AC3C60">
        <w:rPr>
          <w:rFonts w:ascii="Times New Roman" w:hAnsi="Times New Roman" w:cs="Times New Roman"/>
          <w:sz w:val="24"/>
          <w:szCs w:val="24"/>
        </w:rPr>
        <w:t>than laity, first reported from survey 1</w:t>
      </w:r>
      <w:r w:rsidR="00D45962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B71689" w:rsidRPr="00AC3C60">
        <w:rPr>
          <w:rFonts w:ascii="Times New Roman" w:hAnsi="Times New Roman" w:cs="Times New Roman"/>
          <w:noProof/>
          <w:sz w:val="24"/>
          <w:szCs w:val="24"/>
        </w:rPr>
        <w:t>(Village &amp; Francis, 2021b)</w:t>
      </w:r>
      <w:r w:rsidR="0009386E" w:rsidRPr="00AC3C60">
        <w:rPr>
          <w:rFonts w:ascii="Times New Roman" w:hAnsi="Times New Roman" w:cs="Times New Roman"/>
          <w:sz w:val="24"/>
          <w:szCs w:val="24"/>
        </w:rPr>
        <w:t>, persisted in the third lockdown.</w:t>
      </w:r>
      <w:r w:rsidR="00957467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B17972" w:rsidRPr="00AC3C60">
        <w:rPr>
          <w:rFonts w:ascii="Times New Roman" w:hAnsi="Times New Roman" w:cs="Times New Roman"/>
          <w:sz w:val="24"/>
          <w:szCs w:val="24"/>
        </w:rPr>
        <w:t xml:space="preserve">In this study we have compared only stipendiary parochial clergy, the group that seemed to be most seriously affected by the lockdown. </w:t>
      </w:r>
      <w:r w:rsidR="00846825" w:rsidRPr="00AC3C60">
        <w:rPr>
          <w:rFonts w:ascii="Times New Roman" w:hAnsi="Times New Roman" w:cs="Times New Roman"/>
          <w:sz w:val="24"/>
          <w:szCs w:val="24"/>
        </w:rPr>
        <w:t xml:space="preserve">It was these clergy who carried the most direct responsibility for maintaining </w:t>
      </w:r>
      <w:r w:rsidR="000A1C12" w:rsidRPr="00AC3C60">
        <w:rPr>
          <w:rFonts w:ascii="Times New Roman" w:hAnsi="Times New Roman" w:cs="Times New Roman"/>
          <w:sz w:val="24"/>
          <w:szCs w:val="24"/>
        </w:rPr>
        <w:t xml:space="preserve">Christian ministry within their parishes, and they may have felt the weight of this responsibility </w:t>
      </w:r>
      <w:r w:rsidR="0009698B" w:rsidRPr="00AC3C60">
        <w:rPr>
          <w:rFonts w:ascii="Times New Roman" w:hAnsi="Times New Roman" w:cs="Times New Roman"/>
          <w:sz w:val="24"/>
          <w:szCs w:val="24"/>
        </w:rPr>
        <w:t xml:space="preserve">bearing down on them. Support </w:t>
      </w:r>
      <w:r w:rsidR="00874068" w:rsidRPr="00AC3C60">
        <w:rPr>
          <w:rFonts w:ascii="Times New Roman" w:hAnsi="Times New Roman" w:cs="Times New Roman"/>
          <w:sz w:val="24"/>
          <w:szCs w:val="24"/>
        </w:rPr>
        <w:t>from a range of sources did mitigate some of the declines in wellbeing during the first lockdown</w:t>
      </w:r>
      <w:r w:rsidR="00083B02" w:rsidRPr="00AC3C60">
        <w:rPr>
          <w:rFonts w:ascii="Times New Roman" w:hAnsi="Times New Roman" w:cs="Times New Roman"/>
          <w:sz w:val="24"/>
          <w:szCs w:val="24"/>
        </w:rPr>
        <w:t xml:space="preserve">, but more research on the second survey data is needed to show </w:t>
      </w:r>
      <w:r w:rsidR="005575FF" w:rsidRPr="00AC3C60">
        <w:rPr>
          <w:rFonts w:ascii="Times New Roman" w:hAnsi="Times New Roman" w:cs="Times New Roman"/>
          <w:sz w:val="24"/>
          <w:szCs w:val="24"/>
        </w:rPr>
        <w:t>if support continued to be important as lockdown life dragged on.</w:t>
      </w:r>
    </w:p>
    <w:p w14:paraId="0AFD3777" w14:textId="2FE75E42" w:rsidR="00EA6934" w:rsidRPr="00AC3C60" w:rsidRDefault="00EA6934" w:rsidP="006540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tab/>
        <w:t xml:space="preserve">Second, and most importantly, the </w:t>
      </w:r>
      <w:r w:rsidR="00F043C1" w:rsidRPr="00AC3C60">
        <w:rPr>
          <w:rFonts w:ascii="Times New Roman" w:hAnsi="Times New Roman" w:cs="Times New Roman"/>
          <w:sz w:val="24"/>
          <w:szCs w:val="24"/>
        </w:rPr>
        <w:t xml:space="preserve">worsening effects of a year or more of pandemic life were apparent in </w:t>
      </w:r>
      <w:r w:rsidR="00D65666" w:rsidRPr="00AC3C60">
        <w:rPr>
          <w:rFonts w:ascii="Times New Roman" w:hAnsi="Times New Roman" w:cs="Times New Roman"/>
          <w:sz w:val="24"/>
          <w:szCs w:val="24"/>
        </w:rPr>
        <w:t>both clergy and lay people.</w:t>
      </w:r>
      <w:r w:rsidR="00E719DC" w:rsidRPr="00AC3C60">
        <w:rPr>
          <w:rFonts w:ascii="Times New Roman" w:hAnsi="Times New Roman" w:cs="Times New Roman"/>
          <w:sz w:val="24"/>
          <w:szCs w:val="24"/>
        </w:rPr>
        <w:t xml:space="preserve"> These were partly due to declines in positive affect</w:t>
      </w:r>
      <w:r w:rsidR="00FE689A" w:rsidRPr="00AC3C60">
        <w:rPr>
          <w:rFonts w:ascii="Times New Roman" w:hAnsi="Times New Roman" w:cs="Times New Roman"/>
          <w:sz w:val="24"/>
          <w:szCs w:val="24"/>
        </w:rPr>
        <w:t xml:space="preserve">, and partly due to increases in negative affect. </w:t>
      </w:r>
      <w:r w:rsidR="00D62D77" w:rsidRPr="00AC3C60">
        <w:rPr>
          <w:rFonts w:ascii="Times New Roman" w:hAnsi="Times New Roman" w:cs="Times New Roman"/>
          <w:sz w:val="24"/>
          <w:szCs w:val="24"/>
        </w:rPr>
        <w:t xml:space="preserve"> Increasing proportions of respondents reported </w:t>
      </w:r>
      <w:r w:rsidR="004B5851" w:rsidRPr="00AC3C60">
        <w:rPr>
          <w:rFonts w:ascii="Times New Roman" w:hAnsi="Times New Roman" w:cs="Times New Roman"/>
          <w:sz w:val="24"/>
          <w:szCs w:val="24"/>
        </w:rPr>
        <w:t xml:space="preserve">declines </w:t>
      </w:r>
      <w:r w:rsidR="00FE689A" w:rsidRPr="00AC3C60">
        <w:rPr>
          <w:rFonts w:ascii="Times New Roman" w:hAnsi="Times New Roman" w:cs="Times New Roman"/>
          <w:sz w:val="24"/>
          <w:szCs w:val="24"/>
        </w:rPr>
        <w:t xml:space="preserve">in </w:t>
      </w:r>
      <w:r w:rsidR="004B5851" w:rsidRPr="00AC3C60">
        <w:rPr>
          <w:rFonts w:ascii="Times New Roman" w:hAnsi="Times New Roman" w:cs="Times New Roman"/>
          <w:sz w:val="24"/>
          <w:szCs w:val="24"/>
        </w:rPr>
        <w:t xml:space="preserve">excitement, happiness, and </w:t>
      </w:r>
      <w:r w:rsidR="00854898" w:rsidRPr="00AC3C60">
        <w:rPr>
          <w:rFonts w:ascii="Times New Roman" w:hAnsi="Times New Roman" w:cs="Times New Roman"/>
          <w:sz w:val="24"/>
          <w:szCs w:val="24"/>
        </w:rPr>
        <w:t>confidence</w:t>
      </w:r>
      <w:r w:rsidR="004B5851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E719DC" w:rsidRPr="00AC3C60">
        <w:rPr>
          <w:rFonts w:ascii="Times New Roman" w:hAnsi="Times New Roman" w:cs="Times New Roman"/>
          <w:sz w:val="24"/>
          <w:szCs w:val="24"/>
        </w:rPr>
        <w:t>in the third lockdown compared with the first.</w:t>
      </w:r>
      <w:r w:rsidR="00D93B8C" w:rsidRPr="00AC3C60">
        <w:rPr>
          <w:rFonts w:ascii="Times New Roman" w:hAnsi="Times New Roman" w:cs="Times New Roman"/>
          <w:sz w:val="24"/>
          <w:szCs w:val="24"/>
        </w:rPr>
        <w:t xml:space="preserve"> Declines in a sense of excitement seemed to be a noticeable change in both groups.</w:t>
      </w:r>
      <w:r w:rsidR="00FE689A" w:rsidRPr="00AC3C60">
        <w:rPr>
          <w:rFonts w:ascii="Times New Roman" w:hAnsi="Times New Roman" w:cs="Times New Roman"/>
          <w:sz w:val="24"/>
          <w:szCs w:val="24"/>
        </w:rPr>
        <w:t xml:space="preserve"> At the same time </w:t>
      </w:r>
      <w:r w:rsidR="009D178D" w:rsidRPr="00AC3C60">
        <w:rPr>
          <w:rFonts w:ascii="Times New Roman" w:hAnsi="Times New Roman" w:cs="Times New Roman"/>
          <w:sz w:val="24"/>
          <w:szCs w:val="24"/>
        </w:rPr>
        <w:t>higher</w:t>
      </w:r>
      <w:r w:rsidR="00FE689A" w:rsidRPr="00AC3C60">
        <w:rPr>
          <w:rFonts w:ascii="Times New Roman" w:hAnsi="Times New Roman" w:cs="Times New Roman"/>
          <w:sz w:val="24"/>
          <w:szCs w:val="24"/>
        </w:rPr>
        <w:t xml:space="preserve"> proportions reported increase</w:t>
      </w:r>
      <w:r w:rsidR="009D178D" w:rsidRPr="00AC3C60">
        <w:rPr>
          <w:rFonts w:ascii="Times New Roman" w:hAnsi="Times New Roman" w:cs="Times New Roman"/>
          <w:sz w:val="24"/>
          <w:szCs w:val="24"/>
        </w:rPr>
        <w:t>s</w:t>
      </w:r>
      <w:r w:rsidR="00FE689A" w:rsidRPr="00AC3C60">
        <w:rPr>
          <w:rFonts w:ascii="Times New Roman" w:hAnsi="Times New Roman" w:cs="Times New Roman"/>
          <w:sz w:val="24"/>
          <w:szCs w:val="24"/>
        </w:rPr>
        <w:t xml:space="preserve"> in frustration, anxiety, exhaustion</w:t>
      </w:r>
      <w:r w:rsidR="006A59E9" w:rsidRPr="00AC3C60">
        <w:rPr>
          <w:rFonts w:ascii="Times New Roman" w:hAnsi="Times New Roman" w:cs="Times New Roman"/>
          <w:sz w:val="24"/>
          <w:szCs w:val="24"/>
        </w:rPr>
        <w:t xml:space="preserve">, stress and fatigued. </w:t>
      </w:r>
      <w:r w:rsidR="00845570" w:rsidRPr="00AC3C60">
        <w:rPr>
          <w:rFonts w:ascii="Times New Roman" w:hAnsi="Times New Roman" w:cs="Times New Roman"/>
          <w:sz w:val="24"/>
          <w:szCs w:val="24"/>
        </w:rPr>
        <w:t>For lay people the biggest changes seemed to be in levels of frustration</w:t>
      </w:r>
      <w:r w:rsidR="00A743B7" w:rsidRPr="00AC3C60">
        <w:rPr>
          <w:rFonts w:ascii="Times New Roman" w:hAnsi="Times New Roman" w:cs="Times New Roman"/>
          <w:sz w:val="24"/>
          <w:szCs w:val="24"/>
        </w:rPr>
        <w:t xml:space="preserve"> and anxiety, while for clergy the effects were </w:t>
      </w:r>
      <w:r w:rsidR="00FA4DF3" w:rsidRPr="00AC3C60">
        <w:rPr>
          <w:rFonts w:ascii="Times New Roman" w:hAnsi="Times New Roman" w:cs="Times New Roman"/>
          <w:sz w:val="24"/>
          <w:szCs w:val="24"/>
        </w:rPr>
        <w:t xml:space="preserve">most apparent in fatigue, anxiety, and </w:t>
      </w:r>
      <w:r w:rsidR="00F254FB" w:rsidRPr="00AC3C60">
        <w:rPr>
          <w:rFonts w:ascii="Times New Roman" w:hAnsi="Times New Roman" w:cs="Times New Roman"/>
          <w:sz w:val="24"/>
          <w:szCs w:val="24"/>
        </w:rPr>
        <w:t>frustration.</w:t>
      </w:r>
      <w:r w:rsidR="004D0997" w:rsidRPr="00AC3C60">
        <w:rPr>
          <w:rFonts w:ascii="Times New Roman" w:hAnsi="Times New Roman" w:cs="Times New Roman"/>
          <w:sz w:val="24"/>
          <w:szCs w:val="24"/>
        </w:rPr>
        <w:t xml:space="preserve"> In both groups, levels of thankfulness seemed to remain constant and fairly high</w:t>
      </w:r>
      <w:r w:rsidR="0077645C" w:rsidRPr="00AC3C60">
        <w:rPr>
          <w:rFonts w:ascii="Times New Roman" w:hAnsi="Times New Roman" w:cs="Times New Roman"/>
          <w:sz w:val="24"/>
          <w:szCs w:val="24"/>
        </w:rPr>
        <w:t>, and this may have helped to mitigate some of the changes in negative affect</w:t>
      </w:r>
      <w:r w:rsidR="009204AF" w:rsidRPr="00AC3C60">
        <w:rPr>
          <w:rFonts w:ascii="Times New Roman" w:hAnsi="Times New Roman" w:cs="Times New Roman"/>
          <w:sz w:val="24"/>
          <w:szCs w:val="24"/>
        </w:rPr>
        <w:t xml:space="preserve">. Results from survey 1 indicate that there </w:t>
      </w:r>
      <w:r w:rsidR="008D7486" w:rsidRPr="00AC3C60">
        <w:rPr>
          <w:rFonts w:ascii="Times New Roman" w:hAnsi="Times New Roman" w:cs="Times New Roman"/>
          <w:sz w:val="24"/>
          <w:szCs w:val="24"/>
        </w:rPr>
        <w:t>were,</w:t>
      </w:r>
      <w:r w:rsidR="009204AF" w:rsidRPr="00AC3C60">
        <w:rPr>
          <w:rFonts w:ascii="Times New Roman" w:hAnsi="Times New Roman" w:cs="Times New Roman"/>
          <w:sz w:val="24"/>
          <w:szCs w:val="24"/>
        </w:rPr>
        <w:t xml:space="preserve"> among some people</w:t>
      </w:r>
      <w:r w:rsidR="008D7486" w:rsidRPr="00AC3C60">
        <w:rPr>
          <w:rFonts w:ascii="Times New Roman" w:hAnsi="Times New Roman" w:cs="Times New Roman"/>
          <w:sz w:val="24"/>
          <w:szCs w:val="24"/>
        </w:rPr>
        <w:t xml:space="preserve">, signs of ‘spiritual awakening’, with increased prayerfulness and </w:t>
      </w:r>
      <w:r w:rsidR="007268B2" w:rsidRPr="00AC3C60">
        <w:rPr>
          <w:rFonts w:ascii="Times New Roman" w:hAnsi="Times New Roman" w:cs="Times New Roman"/>
          <w:sz w:val="24"/>
          <w:szCs w:val="24"/>
        </w:rPr>
        <w:t>feeling closer to God during the first lockdown</w:t>
      </w:r>
      <w:r w:rsidR="00CD23F4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B71689" w:rsidRPr="00AC3C60">
        <w:rPr>
          <w:rFonts w:ascii="Times New Roman" w:hAnsi="Times New Roman" w:cs="Times New Roman"/>
          <w:noProof/>
          <w:sz w:val="24"/>
          <w:szCs w:val="24"/>
        </w:rPr>
        <w:t>(Francis et al., In Press)</w:t>
      </w:r>
      <w:r w:rsidR="007268B2" w:rsidRPr="00AC3C60">
        <w:rPr>
          <w:rFonts w:ascii="Times New Roman" w:hAnsi="Times New Roman" w:cs="Times New Roman"/>
          <w:sz w:val="24"/>
          <w:szCs w:val="24"/>
        </w:rPr>
        <w:t>.</w:t>
      </w:r>
      <w:r w:rsidR="00C10809" w:rsidRPr="00AC3C60">
        <w:rPr>
          <w:rFonts w:ascii="Times New Roman" w:hAnsi="Times New Roman" w:cs="Times New Roman"/>
          <w:sz w:val="24"/>
          <w:szCs w:val="24"/>
        </w:rPr>
        <w:t xml:space="preserve"> This too may have helped people to cope, but there was little sense from the results reported here that </w:t>
      </w:r>
      <w:r w:rsidR="00301F0F" w:rsidRPr="00AC3C60">
        <w:rPr>
          <w:rFonts w:ascii="Times New Roman" w:hAnsi="Times New Roman" w:cs="Times New Roman"/>
          <w:sz w:val="24"/>
          <w:szCs w:val="24"/>
        </w:rPr>
        <w:t xml:space="preserve">the membership of the Church of England had managed to learn to live in lockdown in ways that returned them to pre-pandemic levels of psychological </w:t>
      </w:r>
      <w:r w:rsidR="00301F0F" w:rsidRPr="00AC3C60">
        <w:rPr>
          <w:rFonts w:ascii="Times New Roman" w:hAnsi="Times New Roman" w:cs="Times New Roman"/>
          <w:sz w:val="24"/>
          <w:szCs w:val="24"/>
        </w:rPr>
        <w:lastRenderedPageBreak/>
        <w:t>wellbeing.</w:t>
      </w:r>
      <w:r w:rsidR="00417AD5" w:rsidRPr="00AC3C60">
        <w:rPr>
          <w:rFonts w:ascii="Times New Roman" w:hAnsi="Times New Roman" w:cs="Times New Roman"/>
          <w:sz w:val="24"/>
          <w:szCs w:val="24"/>
        </w:rPr>
        <w:t xml:space="preserve"> </w:t>
      </w:r>
      <w:r w:rsidR="00FA6286" w:rsidRPr="00AC3C60">
        <w:rPr>
          <w:rFonts w:ascii="Times New Roman" w:hAnsi="Times New Roman" w:cs="Times New Roman"/>
          <w:sz w:val="24"/>
          <w:szCs w:val="24"/>
        </w:rPr>
        <w:t xml:space="preserve">Further work would be needed </w:t>
      </w:r>
      <w:r w:rsidR="004575DA" w:rsidRPr="00AC3C60">
        <w:rPr>
          <w:rFonts w:ascii="Times New Roman" w:hAnsi="Times New Roman" w:cs="Times New Roman"/>
          <w:sz w:val="24"/>
          <w:szCs w:val="24"/>
        </w:rPr>
        <w:t xml:space="preserve">with these instruments in the future to see if there is eventually a perception of returning to </w:t>
      </w:r>
      <w:r w:rsidR="00C45579" w:rsidRPr="00AC3C60">
        <w:rPr>
          <w:rFonts w:ascii="Times New Roman" w:hAnsi="Times New Roman" w:cs="Times New Roman"/>
          <w:sz w:val="24"/>
          <w:szCs w:val="24"/>
        </w:rPr>
        <w:t xml:space="preserve">pre-COVID affect levels. </w:t>
      </w:r>
    </w:p>
    <w:p w14:paraId="1B5C17F8" w14:textId="5F8B23D3" w:rsidR="006540F7" w:rsidRPr="00AC3C60" w:rsidRDefault="006540F7" w:rsidP="006540F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3C60">
        <w:rPr>
          <w:rFonts w:ascii="Times New Roman" w:hAnsi="Times New Roman" w:cs="Times New Roman"/>
          <w:b/>
          <w:bCs/>
          <w:sz w:val="24"/>
          <w:szCs w:val="24"/>
        </w:rPr>
        <w:t>Limitations of the study</w:t>
      </w:r>
    </w:p>
    <w:p w14:paraId="67DA6D53" w14:textId="7C814EAB" w:rsidR="006540F7" w:rsidRPr="00AC3C60" w:rsidRDefault="009E54B8" w:rsidP="006540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t xml:space="preserve">The study was based on a </w:t>
      </w:r>
      <w:r w:rsidR="00563968" w:rsidRPr="00AC3C60">
        <w:rPr>
          <w:rFonts w:ascii="Times New Roman" w:hAnsi="Times New Roman" w:cs="Times New Roman"/>
          <w:sz w:val="24"/>
          <w:szCs w:val="24"/>
        </w:rPr>
        <w:t xml:space="preserve">large </w:t>
      </w:r>
      <w:r w:rsidRPr="00AC3C60">
        <w:rPr>
          <w:rFonts w:ascii="Times New Roman" w:hAnsi="Times New Roman" w:cs="Times New Roman"/>
          <w:sz w:val="24"/>
          <w:szCs w:val="24"/>
        </w:rPr>
        <w:t xml:space="preserve">convenience </w:t>
      </w:r>
      <w:r w:rsidR="00417AD5" w:rsidRPr="00AC3C60">
        <w:rPr>
          <w:rFonts w:ascii="Times New Roman" w:hAnsi="Times New Roman" w:cs="Times New Roman"/>
          <w:sz w:val="24"/>
          <w:szCs w:val="24"/>
        </w:rPr>
        <w:t>sample,</w:t>
      </w:r>
      <w:r w:rsidR="00D43912" w:rsidRPr="00AC3C60">
        <w:rPr>
          <w:rFonts w:ascii="Times New Roman" w:hAnsi="Times New Roman" w:cs="Times New Roman"/>
          <w:sz w:val="24"/>
          <w:szCs w:val="24"/>
        </w:rPr>
        <w:t xml:space="preserve"> and</w:t>
      </w:r>
      <w:r w:rsidRPr="00AC3C60">
        <w:rPr>
          <w:rFonts w:ascii="Times New Roman" w:hAnsi="Times New Roman" w:cs="Times New Roman"/>
          <w:sz w:val="24"/>
          <w:szCs w:val="24"/>
        </w:rPr>
        <w:t xml:space="preserve"> it </w:t>
      </w:r>
      <w:r w:rsidR="00563968" w:rsidRPr="00AC3C60">
        <w:rPr>
          <w:rFonts w:ascii="Times New Roman" w:hAnsi="Times New Roman" w:cs="Times New Roman"/>
          <w:sz w:val="24"/>
          <w:szCs w:val="24"/>
        </w:rPr>
        <w:t>was</w:t>
      </w:r>
      <w:r w:rsidRPr="00AC3C60">
        <w:rPr>
          <w:rFonts w:ascii="Times New Roman" w:hAnsi="Times New Roman" w:cs="Times New Roman"/>
          <w:sz w:val="24"/>
          <w:szCs w:val="24"/>
        </w:rPr>
        <w:t xml:space="preserve"> not possible to tell </w:t>
      </w:r>
      <w:r w:rsidR="00034633" w:rsidRPr="00AC3C60">
        <w:rPr>
          <w:rFonts w:ascii="Times New Roman" w:hAnsi="Times New Roman" w:cs="Times New Roman"/>
          <w:sz w:val="24"/>
          <w:szCs w:val="24"/>
        </w:rPr>
        <w:t xml:space="preserve">accurately </w:t>
      </w:r>
      <w:r w:rsidR="00AD323C" w:rsidRPr="00AC3C60">
        <w:rPr>
          <w:rFonts w:ascii="Times New Roman" w:hAnsi="Times New Roman" w:cs="Times New Roman"/>
          <w:sz w:val="24"/>
          <w:szCs w:val="24"/>
        </w:rPr>
        <w:t xml:space="preserve">how representative it was of the Church of England as a whole. </w:t>
      </w:r>
      <w:r w:rsidR="00A60B00" w:rsidRPr="00AC3C60">
        <w:rPr>
          <w:rFonts w:ascii="Times New Roman" w:hAnsi="Times New Roman" w:cs="Times New Roman"/>
          <w:sz w:val="24"/>
          <w:szCs w:val="24"/>
        </w:rPr>
        <w:t xml:space="preserve">Future studies </w:t>
      </w:r>
      <w:r w:rsidR="00D714DF" w:rsidRPr="00AC3C60">
        <w:rPr>
          <w:rFonts w:ascii="Times New Roman" w:hAnsi="Times New Roman" w:cs="Times New Roman"/>
          <w:sz w:val="24"/>
          <w:szCs w:val="24"/>
        </w:rPr>
        <w:t xml:space="preserve">would benefit from more sensitive and robust instruments. </w:t>
      </w:r>
      <w:r w:rsidR="00D867B1" w:rsidRPr="00AC3C60">
        <w:rPr>
          <w:rFonts w:ascii="Times New Roman" w:hAnsi="Times New Roman" w:cs="Times New Roman"/>
          <w:sz w:val="24"/>
          <w:szCs w:val="24"/>
        </w:rPr>
        <w:t xml:space="preserve">There was no comparable </w:t>
      </w:r>
      <w:r w:rsidR="00030F93" w:rsidRPr="00AC3C60">
        <w:rPr>
          <w:rFonts w:ascii="Times New Roman" w:hAnsi="Times New Roman" w:cs="Times New Roman"/>
          <w:sz w:val="24"/>
          <w:szCs w:val="24"/>
        </w:rPr>
        <w:t>measure of wellbeing prior to the pandemic, so the measure used here was of perceived change in wellbeing</w:t>
      </w:r>
      <w:r w:rsidR="004D051A" w:rsidRPr="00AC3C60">
        <w:rPr>
          <w:rFonts w:ascii="Times New Roman" w:hAnsi="Times New Roman" w:cs="Times New Roman"/>
          <w:sz w:val="24"/>
          <w:szCs w:val="24"/>
        </w:rPr>
        <w:t xml:space="preserve">, rather than an absolute measure. </w:t>
      </w:r>
      <w:r w:rsidR="00C7358E" w:rsidRPr="00AC3C60">
        <w:rPr>
          <w:rFonts w:ascii="Times New Roman" w:hAnsi="Times New Roman" w:cs="Times New Roman"/>
          <w:sz w:val="24"/>
          <w:szCs w:val="24"/>
        </w:rPr>
        <w:t xml:space="preserve">Future studies </w:t>
      </w:r>
      <w:r w:rsidR="00874F1C" w:rsidRPr="00AC3C60">
        <w:rPr>
          <w:rFonts w:ascii="Times New Roman" w:hAnsi="Times New Roman" w:cs="Times New Roman"/>
          <w:sz w:val="24"/>
          <w:szCs w:val="24"/>
        </w:rPr>
        <w:t xml:space="preserve">of the effects of pandemics or other crises on churchgoers </w:t>
      </w:r>
      <w:r w:rsidR="00C7358E" w:rsidRPr="00AC3C60">
        <w:rPr>
          <w:rFonts w:ascii="Times New Roman" w:hAnsi="Times New Roman" w:cs="Times New Roman"/>
          <w:sz w:val="24"/>
          <w:szCs w:val="24"/>
        </w:rPr>
        <w:t xml:space="preserve">would benefit </w:t>
      </w:r>
      <w:r w:rsidR="00A267A7" w:rsidRPr="00AC3C60">
        <w:rPr>
          <w:rFonts w:ascii="Times New Roman" w:hAnsi="Times New Roman" w:cs="Times New Roman"/>
          <w:sz w:val="24"/>
          <w:szCs w:val="24"/>
        </w:rPr>
        <w:t>from panel</w:t>
      </w:r>
      <w:r w:rsidR="004E5D5B" w:rsidRPr="00AC3C60">
        <w:rPr>
          <w:rFonts w:ascii="Times New Roman" w:hAnsi="Times New Roman" w:cs="Times New Roman"/>
          <w:sz w:val="24"/>
          <w:szCs w:val="24"/>
        </w:rPr>
        <w:t xml:space="preserve"> surveys that would allow wellbeing to be measured </w:t>
      </w:r>
      <w:r w:rsidR="00874F1C" w:rsidRPr="00AC3C60">
        <w:rPr>
          <w:rFonts w:ascii="Times New Roman" w:hAnsi="Times New Roman" w:cs="Times New Roman"/>
          <w:sz w:val="24"/>
          <w:szCs w:val="24"/>
        </w:rPr>
        <w:t xml:space="preserve">in the same subjects </w:t>
      </w:r>
      <w:r w:rsidR="00367279" w:rsidRPr="00AC3C60">
        <w:rPr>
          <w:rFonts w:ascii="Times New Roman" w:hAnsi="Times New Roman" w:cs="Times New Roman"/>
          <w:sz w:val="24"/>
          <w:szCs w:val="24"/>
        </w:rPr>
        <w:t xml:space="preserve">before and after the onset of a crisis. </w:t>
      </w:r>
    </w:p>
    <w:p w14:paraId="2D7E5CCE" w14:textId="22625923" w:rsidR="00FE23A3" w:rsidRPr="00AC3C60" w:rsidRDefault="00967365" w:rsidP="00967365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C60">
        <w:rPr>
          <w:rFonts w:ascii="Times New Roman" w:hAnsi="Times New Roman" w:cs="Times New Roman"/>
          <w:b/>
          <w:bCs/>
          <w:sz w:val="24"/>
          <w:szCs w:val="24"/>
        </w:rPr>
        <w:t>Conclusion</w:t>
      </w:r>
      <w:r w:rsidR="000D45E8" w:rsidRPr="00AC3C60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6E2F8FAD" w14:textId="0C260745" w:rsidR="00967365" w:rsidRPr="00AC3C60" w:rsidRDefault="000D45E8" w:rsidP="00C455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t xml:space="preserve">This study has demonstrated that </w:t>
      </w:r>
      <w:r w:rsidR="00DB2A9E" w:rsidRPr="00AC3C60">
        <w:rPr>
          <w:rFonts w:ascii="Times New Roman" w:hAnsi="Times New Roman" w:cs="Times New Roman"/>
          <w:sz w:val="24"/>
          <w:szCs w:val="24"/>
        </w:rPr>
        <w:t xml:space="preserve">self-perceived changes in </w:t>
      </w:r>
      <w:r w:rsidRPr="00AC3C60">
        <w:rPr>
          <w:rFonts w:ascii="Times New Roman" w:hAnsi="Times New Roman" w:cs="Times New Roman"/>
          <w:sz w:val="24"/>
          <w:szCs w:val="24"/>
        </w:rPr>
        <w:t xml:space="preserve">psychological wellbeing, as assessed by </w:t>
      </w:r>
      <w:r w:rsidR="0090556C" w:rsidRPr="00AC3C60">
        <w:rPr>
          <w:rFonts w:ascii="Times New Roman" w:hAnsi="Times New Roman" w:cs="Times New Roman"/>
          <w:sz w:val="24"/>
          <w:szCs w:val="24"/>
        </w:rPr>
        <w:t xml:space="preserve">affect balance, </w:t>
      </w:r>
      <w:r w:rsidR="003D6BA2" w:rsidRPr="00AC3C60">
        <w:rPr>
          <w:rFonts w:ascii="Times New Roman" w:hAnsi="Times New Roman" w:cs="Times New Roman"/>
          <w:sz w:val="24"/>
          <w:szCs w:val="24"/>
        </w:rPr>
        <w:t xml:space="preserve">declined among Church of England laity and clergy between the first and third national </w:t>
      </w:r>
      <w:r w:rsidR="006978B3" w:rsidRPr="00AC3C60">
        <w:rPr>
          <w:rFonts w:ascii="Times New Roman" w:hAnsi="Times New Roman" w:cs="Times New Roman"/>
          <w:sz w:val="24"/>
          <w:szCs w:val="24"/>
        </w:rPr>
        <w:t>COVID-19 lockdowns in 2020 and 2021.</w:t>
      </w:r>
      <w:r w:rsidR="00145795" w:rsidRPr="00AC3C60">
        <w:rPr>
          <w:rFonts w:ascii="Times New Roman" w:hAnsi="Times New Roman" w:cs="Times New Roman"/>
          <w:sz w:val="24"/>
          <w:szCs w:val="24"/>
        </w:rPr>
        <w:t xml:space="preserve">This was due to both decline in positive affect, and increase in negative affect, with the latter being particularly marked in </w:t>
      </w:r>
      <w:r w:rsidR="00A26466" w:rsidRPr="00AC3C60">
        <w:rPr>
          <w:rFonts w:ascii="Times New Roman" w:hAnsi="Times New Roman" w:cs="Times New Roman"/>
          <w:sz w:val="24"/>
          <w:szCs w:val="24"/>
        </w:rPr>
        <w:t>some areas such as frustration, anxiety and fatigue. Stipendiary parochial clergy had lower levels of wellbeing than lay people at both time points</w:t>
      </w:r>
      <w:r w:rsidR="00081C19" w:rsidRPr="00AC3C60">
        <w:rPr>
          <w:rFonts w:ascii="Times New Roman" w:hAnsi="Times New Roman" w:cs="Times New Roman"/>
          <w:sz w:val="24"/>
          <w:szCs w:val="24"/>
        </w:rPr>
        <w:t xml:space="preserve">. There was no evidence to suggest that </w:t>
      </w:r>
      <w:r w:rsidR="0063222C" w:rsidRPr="00AC3C60">
        <w:rPr>
          <w:rFonts w:ascii="Times New Roman" w:hAnsi="Times New Roman" w:cs="Times New Roman"/>
          <w:sz w:val="24"/>
          <w:szCs w:val="24"/>
        </w:rPr>
        <w:t xml:space="preserve">coping might have improved with greater experience of lockdowns, nor that the church as a whole had </w:t>
      </w:r>
      <w:r w:rsidR="00DC2497" w:rsidRPr="00AC3C60">
        <w:rPr>
          <w:rFonts w:ascii="Times New Roman" w:hAnsi="Times New Roman" w:cs="Times New Roman"/>
          <w:sz w:val="24"/>
          <w:szCs w:val="24"/>
        </w:rPr>
        <w:t xml:space="preserve">learnt how to mitigate the effects of lockdown on its clergy or laity. </w:t>
      </w:r>
      <w:r w:rsidR="00E93D14" w:rsidRPr="00AC3C60">
        <w:rPr>
          <w:rFonts w:ascii="Times New Roman" w:hAnsi="Times New Roman" w:cs="Times New Roman"/>
          <w:sz w:val="24"/>
          <w:szCs w:val="24"/>
        </w:rPr>
        <w:t xml:space="preserve">Given the increasing likelihood of similar pandemics in the future, it would be good to embed </w:t>
      </w:r>
      <w:r w:rsidR="00F860C4" w:rsidRPr="00AC3C60">
        <w:rPr>
          <w:rFonts w:ascii="Times New Roman" w:hAnsi="Times New Roman" w:cs="Times New Roman"/>
          <w:sz w:val="24"/>
          <w:szCs w:val="24"/>
        </w:rPr>
        <w:t xml:space="preserve">knowledge and practice of support mechanisms in the ongoing life of the </w:t>
      </w:r>
      <w:r w:rsidR="00417AD5" w:rsidRPr="00AC3C60">
        <w:rPr>
          <w:rFonts w:ascii="Times New Roman" w:hAnsi="Times New Roman" w:cs="Times New Roman"/>
          <w:sz w:val="24"/>
          <w:szCs w:val="24"/>
        </w:rPr>
        <w:t>C</w:t>
      </w:r>
      <w:r w:rsidR="00F860C4" w:rsidRPr="00AC3C60">
        <w:rPr>
          <w:rFonts w:ascii="Times New Roman" w:hAnsi="Times New Roman" w:cs="Times New Roman"/>
          <w:sz w:val="24"/>
          <w:szCs w:val="24"/>
        </w:rPr>
        <w:t>hurch</w:t>
      </w:r>
      <w:r w:rsidR="00737736" w:rsidRPr="00AC3C60">
        <w:rPr>
          <w:rFonts w:ascii="Times New Roman" w:hAnsi="Times New Roman" w:cs="Times New Roman"/>
          <w:sz w:val="24"/>
          <w:szCs w:val="24"/>
        </w:rPr>
        <w:t>.</w:t>
      </w:r>
    </w:p>
    <w:p w14:paraId="0C0AF9E4" w14:textId="77777777" w:rsidR="00737736" w:rsidRPr="00AC3C60" w:rsidRDefault="00737736" w:rsidP="00C455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4486036" w14:textId="23098345" w:rsidR="00F50ADC" w:rsidRPr="00AC3C60" w:rsidRDefault="00C02744" w:rsidP="00F50ADC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3C60">
        <w:rPr>
          <w:rFonts w:ascii="Times New Roman" w:hAnsi="Times New Roman" w:cs="Times New Roman"/>
          <w:b/>
          <w:bCs/>
          <w:sz w:val="24"/>
          <w:szCs w:val="24"/>
        </w:rPr>
        <w:t>Notes</w:t>
      </w:r>
    </w:p>
    <w:p w14:paraId="5DD71031" w14:textId="77777777" w:rsidR="00436568" w:rsidRPr="00AC3C60" w:rsidRDefault="00F50ADC" w:rsidP="001F5CC4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t>Ethical approval was granted by the Research Ethics Committee for the School of Humanities, Religion and Philosophy ay York St John University (approval code: HRP-RS-</w:t>
      </w:r>
      <w:r w:rsidRPr="00AC3C60">
        <w:rPr>
          <w:rFonts w:ascii="Times New Roman" w:hAnsi="Times New Roman" w:cs="Times New Roman"/>
          <w:sz w:val="24"/>
          <w:szCs w:val="24"/>
        </w:rPr>
        <w:lastRenderedPageBreak/>
        <w:t>AV-04-20-01). All participants had to affirm they were 18 or over and give their informed consent by ticking a box that gave access to the rest of the survey.</w:t>
      </w:r>
    </w:p>
    <w:p w14:paraId="251F9270" w14:textId="4E2E370F" w:rsidR="006A6FE7" w:rsidRPr="00AC3C60" w:rsidRDefault="00436568" w:rsidP="001F5CC4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t>No conflicts of interest were reported by the authors.</w:t>
      </w:r>
      <w:r w:rsidR="006A6FE7" w:rsidRPr="00AC3C60">
        <w:rPr>
          <w:rFonts w:ascii="Times New Roman" w:hAnsi="Times New Roman" w:cs="Times New Roman"/>
          <w:sz w:val="24"/>
          <w:szCs w:val="24"/>
        </w:rPr>
        <w:br w:type="page"/>
      </w:r>
    </w:p>
    <w:p w14:paraId="0EFD8D78" w14:textId="77777777" w:rsidR="00967365" w:rsidRPr="00AC3C60" w:rsidRDefault="0096736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48EBD703" w14:textId="77777777" w:rsidR="00967365" w:rsidRPr="00AC3C60" w:rsidRDefault="00967365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DC37116" w14:textId="4375B9C2" w:rsidR="00097B7A" w:rsidRPr="00AC3C60" w:rsidRDefault="00097B7A" w:rsidP="00097B7A">
      <w:pPr>
        <w:pStyle w:val="EndNoteBibliographyTitle"/>
      </w:pPr>
      <w:r w:rsidRPr="00AC3C60">
        <w:t>References</w:t>
      </w:r>
    </w:p>
    <w:p w14:paraId="0F1813A8" w14:textId="77777777" w:rsidR="00097B7A" w:rsidRPr="00AC3C60" w:rsidRDefault="00097B7A" w:rsidP="00097B7A">
      <w:pPr>
        <w:pStyle w:val="EndNoteBibliographyTitle"/>
      </w:pPr>
    </w:p>
    <w:p w14:paraId="488E7135" w14:textId="503AAD71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Ammar, A., Trabelsi, K., Brach, M., Chtourou, H., Boukhris, O., Masmoudi, L., Bouaziz, B., Bentlage, E., How, D., Ahmed, M., Mueller, P., Mueller, N., Hammouda, O., Paineiras-Domingos, L. L., Braakman-Jansen, A., Wrede, C., Bastoni, S., Pernambuco, C. S., Mataruna, L., Taheri, M., Irandoust, K., Khacharem, A., Bragazzi, N. L., Strahler, J., Adrian, J., Andreeva, A., Glenn, J. M., Bott, N. T., Gargouri, F., Chaari, L., Batatia, H., Khoshnami, S. C., Samara, E., Zisi, V., Sankar, P., Ahmed, W. N., Ali, G. M., Abdelkarim, O., Jarraya, M., Abed, K. E., Moalla, W., Romdhani, M., Aloui, A., Souissi, N., Lisette Van Gemert, P., Riemann, B. L., Riemann, L., Delhey, J., Gómez-Raja, J., Epstein, M., Sanderman, R., Schulz, S., Jerg, A., Al-Horani, R., Mansi, T., Jmail, M., Barbosa, F., Ferreira-Santos, F., Šimunič, B., Pišot, R., Pišot, S., Gaggioli, A., Zmijewski, P., Bailey, S. J., Steinacker, J., Chamari, K., Driss, T., &amp; Hoekelmann, A. (2021). Effects of home confinement on mental health and lifestyle behaviours during the COVID-19 outbreak: insights from the ECLB-COVID19 multicentre study. </w:t>
      </w:r>
      <w:r w:rsidRPr="00AC3C60">
        <w:rPr>
          <w:i/>
        </w:rPr>
        <w:t>Biology of sport</w:t>
      </w:r>
      <w:r w:rsidRPr="00AC3C60">
        <w:t>,</w:t>
      </w:r>
      <w:r w:rsidRPr="00AC3C60">
        <w:rPr>
          <w:i/>
        </w:rPr>
        <w:t xml:space="preserve"> 38</w:t>
      </w:r>
      <w:r w:rsidRPr="00AC3C60">
        <w:t xml:space="preserve">(1), 9-21. </w:t>
      </w:r>
      <w:r w:rsidRPr="006B3147">
        <w:t>https://doi.org/10.5114/biolsport.2020.96857</w:t>
      </w:r>
      <w:r w:rsidRPr="00AC3C60">
        <w:t xml:space="preserve"> </w:t>
      </w:r>
    </w:p>
    <w:p w14:paraId="24BCE09C" w14:textId="19849C34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Appleby, L., Richards, N., Ibrahim, S., Turnbull, P., Rodway, C., &amp; Kapur, N. (2021). Suicide in England in the COVID-19 pandemic: Early observational data from real time surveillance. </w:t>
      </w:r>
      <w:r w:rsidRPr="00AC3C60">
        <w:rPr>
          <w:i/>
        </w:rPr>
        <w:t>The Lancet Regional Health – Europe</w:t>
      </w:r>
      <w:r w:rsidRPr="00AC3C60">
        <w:t>,</w:t>
      </w:r>
      <w:r w:rsidRPr="00AC3C60">
        <w:rPr>
          <w:i/>
        </w:rPr>
        <w:t xml:space="preserve"> 4</w:t>
      </w:r>
      <w:r w:rsidRPr="00AC3C60">
        <w:t xml:space="preserve">. </w:t>
      </w:r>
      <w:r w:rsidRPr="006B3147">
        <w:t>https://doi.org/10.1016/j.lanepe.2021.100110</w:t>
      </w:r>
      <w:r w:rsidRPr="00AC3C60">
        <w:t xml:space="preserve"> </w:t>
      </w:r>
    </w:p>
    <w:p w14:paraId="3C5021C9" w14:textId="77777777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Bradburn, N. M. (1969). </w:t>
      </w:r>
      <w:r w:rsidRPr="00AC3C60">
        <w:rPr>
          <w:i/>
        </w:rPr>
        <w:t>The structure of psychological well-being</w:t>
      </w:r>
      <w:r w:rsidRPr="00AC3C60">
        <w:t xml:space="preserve">. Aldine. </w:t>
      </w:r>
    </w:p>
    <w:p w14:paraId="6C3143BC" w14:textId="4861D4F6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Brodeur, A., Clark, A. E., Fleche, S., &amp; Powdthavee, N. (2021). COVID-19, lockdowns and well-being: Evidence from Google Trends. </w:t>
      </w:r>
      <w:r w:rsidRPr="00AC3C60">
        <w:rPr>
          <w:i/>
        </w:rPr>
        <w:t>Journal of Public Economics</w:t>
      </w:r>
      <w:r w:rsidRPr="00AC3C60">
        <w:t>,</w:t>
      </w:r>
      <w:r w:rsidRPr="00AC3C60">
        <w:rPr>
          <w:i/>
        </w:rPr>
        <w:t xml:space="preserve"> 193</w:t>
      </w:r>
      <w:r w:rsidRPr="00AC3C60">
        <w:t xml:space="preserve">, 104346. </w:t>
      </w:r>
      <w:r w:rsidRPr="006B3147">
        <w:t>https://doi.org/10.1016/j.jpubeco.2020.104346</w:t>
      </w:r>
      <w:r w:rsidRPr="00AC3C60">
        <w:t xml:space="preserve"> </w:t>
      </w:r>
    </w:p>
    <w:p w14:paraId="58DE99D4" w14:textId="1512D695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Chang, M.-C., Chen, P.-F., Lee, T.-H., Lin, C.-C., Chiang, K.-T., Tsai, M.-F., Kuo, H.-F., &amp; Lung, F.-W. (2021). The effect of religion on psychological resilience in healthcare </w:t>
      </w:r>
      <w:r w:rsidRPr="00AC3C60">
        <w:lastRenderedPageBreak/>
        <w:t xml:space="preserve">workers during the coronavirus disease 2019 pandemic. </w:t>
      </w:r>
      <w:r w:rsidRPr="00AC3C60">
        <w:rPr>
          <w:i/>
        </w:rPr>
        <w:t>Frontiers in Psychology</w:t>
      </w:r>
      <w:r w:rsidRPr="00AC3C60">
        <w:t>,</w:t>
      </w:r>
      <w:r w:rsidRPr="00AC3C60">
        <w:rPr>
          <w:i/>
        </w:rPr>
        <w:t xml:space="preserve"> 12</w:t>
      </w:r>
      <w:r w:rsidRPr="00AC3C60">
        <w:t xml:space="preserve">(616). </w:t>
      </w:r>
      <w:r w:rsidRPr="006B3147">
        <w:t>https://doi.org/10.3389/fpsyg.2021.628894</w:t>
      </w:r>
      <w:r w:rsidRPr="00AC3C60">
        <w:t xml:space="preserve"> </w:t>
      </w:r>
    </w:p>
    <w:p w14:paraId="60A03290" w14:textId="650DAF4D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Church of England. (2021). </w:t>
      </w:r>
      <w:r w:rsidRPr="00AC3C60">
        <w:rPr>
          <w:i/>
        </w:rPr>
        <w:t>Living Ministry Research</w:t>
      </w:r>
      <w:r w:rsidRPr="00AC3C60">
        <w:t xml:space="preserve">. Church of England. Retrieved 27 August from </w:t>
      </w:r>
      <w:r w:rsidRPr="006B3147">
        <w:t>https://www.churchofengland.org/resources/diocesan-resources/ministry/ministry-development/living-ministry/living-ministry-research</w:t>
      </w:r>
    </w:p>
    <w:p w14:paraId="7C3C1FE8" w14:textId="4A164CBC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Coppola, I., Rania, N., Parisi, R., &amp; Lagomarsino, F. (2021). Spiritual well-being and mental health during the COVID-19 pandemic in Italy. </w:t>
      </w:r>
      <w:r w:rsidRPr="00AC3C60">
        <w:rPr>
          <w:i/>
        </w:rPr>
        <w:t>Frontiers in psychiatry</w:t>
      </w:r>
      <w:r w:rsidRPr="00AC3C60">
        <w:t>,</w:t>
      </w:r>
      <w:r w:rsidRPr="00AC3C60">
        <w:rPr>
          <w:i/>
        </w:rPr>
        <w:t xml:space="preserve"> 12</w:t>
      </w:r>
      <w:r w:rsidRPr="00AC3C60">
        <w:t xml:space="preserve">(296). </w:t>
      </w:r>
      <w:r w:rsidRPr="006B3147">
        <w:t>https://doi.org/10.3389/fpsyt.2021.626944</w:t>
      </w:r>
      <w:r w:rsidRPr="00AC3C60">
        <w:t xml:space="preserve"> </w:t>
      </w:r>
    </w:p>
    <w:p w14:paraId="30D5A2F3" w14:textId="35CA2606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Counted, V., Pargament, K. I., Bechara, A. O., Joynt, S., &amp; Cowden, R. G. (2020). Hope and well-being in vulnerable contexts during the COVID-19 pandemic: Does religious coping matter? </w:t>
      </w:r>
      <w:r w:rsidRPr="00AC3C60">
        <w:rPr>
          <w:i/>
        </w:rPr>
        <w:t>The Journal of Positive Psychology</w:t>
      </w:r>
      <w:r w:rsidRPr="00AC3C60">
        <w:t xml:space="preserve">, 1-12. </w:t>
      </w:r>
      <w:r w:rsidRPr="006B3147">
        <w:t>https://doi.org/10.1080/17439760.2020.1832247</w:t>
      </w:r>
      <w:r w:rsidRPr="00AC3C60">
        <w:t xml:space="preserve"> </w:t>
      </w:r>
    </w:p>
    <w:p w14:paraId="3D0CA552" w14:textId="74DA6E22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Dein, S., Loewenthal, K., Lewis, C. A., &amp; Pargament, K. I. (2020). COVID-19, mental health and religion: An agenda for future research. </w:t>
      </w:r>
      <w:r w:rsidRPr="00AC3C60">
        <w:rPr>
          <w:i/>
        </w:rPr>
        <w:t>Mental Health, Religion &amp; Culture</w:t>
      </w:r>
      <w:r w:rsidRPr="00AC3C60">
        <w:t>,</w:t>
      </w:r>
      <w:r w:rsidRPr="00AC3C60">
        <w:rPr>
          <w:i/>
        </w:rPr>
        <w:t xml:space="preserve"> 23</w:t>
      </w:r>
      <w:r w:rsidRPr="00AC3C60">
        <w:t xml:space="preserve">(1), 1-9. </w:t>
      </w:r>
      <w:r w:rsidRPr="006B3147">
        <w:t>https://doi.org/10.1080/13674676.2020.1768725</w:t>
      </w:r>
      <w:r w:rsidRPr="00AC3C60">
        <w:t xml:space="preserve"> </w:t>
      </w:r>
    </w:p>
    <w:p w14:paraId="5F791FC5" w14:textId="77777777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Francis, L. J., Kaldor, P., Robbins, M., &amp; Castle, K. (2005). Happy but exhausted? Work-related psychological health among clergy. </w:t>
      </w:r>
      <w:r w:rsidRPr="00AC3C60">
        <w:rPr>
          <w:i/>
        </w:rPr>
        <w:t>Pastoral Sciences</w:t>
      </w:r>
      <w:r w:rsidRPr="00AC3C60">
        <w:t>,</w:t>
      </w:r>
      <w:r w:rsidRPr="00AC3C60">
        <w:rPr>
          <w:i/>
        </w:rPr>
        <w:t xml:space="preserve"> 24</w:t>
      </w:r>
      <w:r w:rsidRPr="00AC3C60">
        <w:t xml:space="preserve">(2), 101-120. </w:t>
      </w:r>
    </w:p>
    <w:p w14:paraId="462446A0" w14:textId="77777777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Francis, L. J., Robbins, M., &amp; Astley, J. (2005). </w:t>
      </w:r>
      <w:r w:rsidRPr="00AC3C60">
        <w:rPr>
          <w:i/>
        </w:rPr>
        <w:t>Fragmented faith? Exposing the fault-lines in the Church of England</w:t>
      </w:r>
      <w:r w:rsidRPr="00AC3C60">
        <w:t xml:space="preserve">. Paternoster Press. </w:t>
      </w:r>
    </w:p>
    <w:p w14:paraId="1A1316D9" w14:textId="2B85AC83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Francis, L. J., &amp; Village, A. (2021a). Introducing The Index of Balanced Affect Change (TIBACh): A study among Church of England clergy and laity. </w:t>
      </w:r>
      <w:r w:rsidRPr="00AC3C60">
        <w:rPr>
          <w:i/>
        </w:rPr>
        <w:t>Mental Health Religion &amp; Culture</w:t>
      </w:r>
      <w:r w:rsidRPr="00AC3C60">
        <w:t>,</w:t>
      </w:r>
      <w:r w:rsidRPr="00AC3C60">
        <w:rPr>
          <w:i/>
        </w:rPr>
        <w:t xml:space="preserve"> 24</w:t>
      </w:r>
      <w:r w:rsidRPr="00AC3C60">
        <w:t xml:space="preserve">(8), 770-779. </w:t>
      </w:r>
      <w:r w:rsidRPr="006B3147">
        <w:t>https://doi.org/10.1080/13674676.2021.1923679</w:t>
      </w:r>
      <w:r w:rsidRPr="00AC3C60">
        <w:t xml:space="preserve"> </w:t>
      </w:r>
    </w:p>
    <w:p w14:paraId="4DBC9303" w14:textId="408D113B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Francis, L. J., &amp; Village, A. (2021b). The pandemic and the feminisation of the Church? How male and female churchgoers experienced the Church of England’s response to </w:t>
      </w:r>
      <w:r w:rsidRPr="00AC3C60">
        <w:lastRenderedPageBreak/>
        <w:t xml:space="preserve">Covid-19. </w:t>
      </w:r>
      <w:r w:rsidRPr="00AC3C60">
        <w:rPr>
          <w:i/>
        </w:rPr>
        <w:t>Journal of Beliefs &amp; Values</w:t>
      </w:r>
      <w:r w:rsidRPr="00AC3C60">
        <w:t xml:space="preserve">, 1-10. </w:t>
      </w:r>
      <w:r w:rsidRPr="006B3147">
        <w:t>https://doi.org/10.1080/13617672.2021.1933304</w:t>
      </w:r>
      <w:r w:rsidRPr="00AC3C60">
        <w:t xml:space="preserve"> </w:t>
      </w:r>
    </w:p>
    <w:p w14:paraId="5D2CB73F" w14:textId="3F5C1501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Francis, L. J., &amp; Village, A. (2021c). Reading the Church of England’s response to the Covid-19 crisis: The diverging views of Anglo-Catholic and Evangelical clergy. </w:t>
      </w:r>
      <w:r w:rsidRPr="00AC3C60">
        <w:rPr>
          <w:i/>
        </w:rPr>
        <w:t>Journal of Anglican Studies</w:t>
      </w:r>
      <w:r w:rsidRPr="00AC3C60">
        <w:t xml:space="preserve">, 1-13. </w:t>
      </w:r>
      <w:r w:rsidRPr="006B3147">
        <w:t>https://doi.org/10.1017/S1740355321000267</w:t>
      </w:r>
      <w:r w:rsidRPr="00AC3C60">
        <w:t xml:space="preserve"> </w:t>
      </w:r>
    </w:p>
    <w:p w14:paraId="52B3215F" w14:textId="77777777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Francis, L. J., Village, A., &amp; Lewis, C. A. (In Press). Spiritual awakening among church members during the pandemic: An empirical study in England and Wales. </w:t>
      </w:r>
      <w:r w:rsidRPr="00AC3C60">
        <w:rPr>
          <w:i/>
        </w:rPr>
        <w:t>Journal of Empirical Theology</w:t>
      </w:r>
      <w:r w:rsidRPr="00AC3C60">
        <w:t xml:space="preserve">. </w:t>
      </w:r>
    </w:p>
    <w:p w14:paraId="4F07308A" w14:textId="22044AAB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Ipsos MORI. (2021). </w:t>
      </w:r>
      <w:r w:rsidRPr="00AC3C60">
        <w:rPr>
          <w:i/>
        </w:rPr>
        <w:t>Cornonavirus polling 130221</w:t>
      </w:r>
      <w:r w:rsidRPr="00AC3C60">
        <w:t xml:space="preserve">. Retrieved 23 August 2021 from </w:t>
      </w:r>
      <w:r w:rsidRPr="006B3147">
        <w:t>https://www.ipsos.com/sites/default/files/ct/news/documents/2021-01/ipsos_mori_january_2021_coronavirus_polling_130121_public.pdf</w:t>
      </w:r>
    </w:p>
    <w:p w14:paraId="2853F754" w14:textId="6026A63F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Koenig, H. G. (2020). Maintaining health and well-being by putting faith into action during the COVID-19 pandemic. </w:t>
      </w:r>
      <w:r w:rsidRPr="00AC3C60">
        <w:rPr>
          <w:i/>
        </w:rPr>
        <w:t>Journal of Religion and Health</w:t>
      </w:r>
      <w:r w:rsidRPr="00AC3C60">
        <w:t>,</w:t>
      </w:r>
      <w:r w:rsidRPr="00AC3C60">
        <w:rPr>
          <w:i/>
        </w:rPr>
        <w:t xml:space="preserve"> 59</w:t>
      </w:r>
      <w:r w:rsidRPr="00AC3C60">
        <w:t xml:space="preserve">(5), 2205-2214. </w:t>
      </w:r>
      <w:r w:rsidRPr="006B3147">
        <w:t>https://doi.org/10.1007/s10943-020-01035-2</w:t>
      </w:r>
      <w:r w:rsidRPr="00AC3C60">
        <w:t xml:space="preserve"> </w:t>
      </w:r>
    </w:p>
    <w:p w14:paraId="258E89CA" w14:textId="77777777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Koenig, H. G., King, D., &amp; Carson, V. B. (2012). </w:t>
      </w:r>
      <w:r w:rsidRPr="00AC3C60">
        <w:rPr>
          <w:i/>
        </w:rPr>
        <w:t>Handbook of religion and health</w:t>
      </w:r>
      <w:r w:rsidRPr="00AC3C60">
        <w:t xml:space="preserve"> (2nd ed.). Oxford University Press. </w:t>
      </w:r>
    </w:p>
    <w:p w14:paraId="602FAD5B" w14:textId="34D72469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Kwong, A. S. F., Pearson, R. M., Adams, M. J., Northstone, K., Tilling, K., Smith, D., Fawns-Ritchie, C., Bould, H., Warne, N., Zammit, S., Gunnell, D. J., Moran, P. A., Micali, N., Reichenberg, A., Hickman, M., Rai, D., Haworth, S., Campbell, A., Altschul, D., Flaig, R., McIntosh, A. M., Lawlor, D. A., Porteous, D., &amp; Timpson, N. J. (2021). Mental health before and during the COVID-19 pandemic in two longitudinal UK population cohorts. </w:t>
      </w:r>
      <w:r w:rsidRPr="00AC3C60">
        <w:rPr>
          <w:i/>
        </w:rPr>
        <w:t>The British Journal of Psychiatry</w:t>
      </w:r>
      <w:r w:rsidRPr="00AC3C60">
        <w:t>,</w:t>
      </w:r>
      <w:r w:rsidRPr="00AC3C60">
        <w:rPr>
          <w:i/>
        </w:rPr>
        <w:t xml:space="preserve"> 218</w:t>
      </w:r>
      <w:r w:rsidRPr="00AC3C60">
        <w:t xml:space="preserve">(6), 334-343. </w:t>
      </w:r>
      <w:r w:rsidRPr="006B3147">
        <w:t>https://doi.org/10.1192/bjp.2020.242</w:t>
      </w:r>
      <w:r w:rsidRPr="00AC3C60">
        <w:t xml:space="preserve"> </w:t>
      </w:r>
    </w:p>
    <w:p w14:paraId="2572992A" w14:textId="16F22E64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lastRenderedPageBreak/>
        <w:t xml:space="preserve">Marshall, L., Bibby, J., &amp; Abbs, I. (2020, 18 June). Emerging evidence on COVID-19’s impact on mental health and health inequalities.  </w:t>
      </w:r>
      <w:r w:rsidRPr="006B3147">
        <w:t>https://www.health.org.uk/news-and-comment/blogs/emerging-evidence-on-covid-19s-impact-on-mental-health-and-health</w:t>
      </w:r>
    </w:p>
    <w:p w14:paraId="3355E1E3" w14:textId="07FA166E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McFerran, L., &amp; Graveling, L. (2021). </w:t>
      </w:r>
      <w:r w:rsidRPr="00AC3C60">
        <w:rPr>
          <w:i/>
        </w:rPr>
        <w:t>Clergy wellbeing changes during the COVID-19 pandemic</w:t>
      </w:r>
      <w:r w:rsidRPr="00AC3C60">
        <w:t xml:space="preserve">. </w:t>
      </w:r>
      <w:r w:rsidRPr="006B3147">
        <w:t>https://www.churchofengland.org/sites/default/files/2021-08/Living%20Ministry%20Wave%203%20-%20clergy%20wellbeing%20and%20the%20pandemic.pdf</w:t>
      </w:r>
    </w:p>
    <w:p w14:paraId="1A4B25CC" w14:textId="768A46D5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McGowan, A. (2020). Communion and pandemic. </w:t>
      </w:r>
      <w:r w:rsidRPr="00AC3C60">
        <w:rPr>
          <w:i/>
        </w:rPr>
        <w:t>Journal of Anglican Studies</w:t>
      </w:r>
      <w:r w:rsidRPr="00AC3C60">
        <w:t>,</w:t>
      </w:r>
      <w:r w:rsidRPr="00AC3C60">
        <w:rPr>
          <w:i/>
        </w:rPr>
        <w:t xml:space="preserve"> 18</w:t>
      </w:r>
      <w:r w:rsidRPr="00AC3C60">
        <w:t xml:space="preserve">(1), 2-8. </w:t>
      </w:r>
      <w:r w:rsidRPr="006B3147">
        <w:t>https://doi.org/10.1017/S1740355320000285</w:t>
      </w:r>
      <w:r w:rsidRPr="00AC3C60">
        <w:t xml:space="preserve"> </w:t>
      </w:r>
    </w:p>
    <w:p w14:paraId="238644EE" w14:textId="6DDEC928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Mental Health Foundation. (2020). </w:t>
      </w:r>
      <w:r w:rsidRPr="00AC3C60">
        <w:rPr>
          <w:i/>
        </w:rPr>
        <w:t>Coronavirus: Mental Health in the Pandemic</w:t>
      </w:r>
      <w:r w:rsidRPr="00AC3C60">
        <w:t xml:space="preserve">. The Mental health Foundation. Retrieved 14 December from </w:t>
      </w:r>
      <w:r w:rsidRPr="006B3147">
        <w:t>https://www.mentalhealth.org.uk/our-work/research/coronavirus-mental-health-pandemic</w:t>
      </w:r>
    </w:p>
    <w:p w14:paraId="622AE553" w14:textId="61D3BCD1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O'Connor, D. B., Aggleton, J. P., Chakrabarti, B., Cooper, C. L., Creswell, C., Dunsmuir, S., Fiske, S. T., Gathercole, S., Gough, B., Ireland, J. L., Jones, M. V., Jowett, A., Kagan, C., Karanika-Murray, M., Kaye, L. K., Kumari, V., Lewandowsky, S., Lightman, S., Malpass, D., Meins, E., Morgan, B. P., Morrison Coulthard, L. J., Reicher, S. D., Schacter, D. L., Sherman, S. M., Simms, V., Williams, A., Wykes, T., &amp; Armitage, C. J. (2020). Research priorities for the COVID-19 pandemic and beyond: A call to action for psychological science. </w:t>
      </w:r>
      <w:r w:rsidRPr="00AC3C60">
        <w:rPr>
          <w:i/>
        </w:rPr>
        <w:t>British Journal of Psychology</w:t>
      </w:r>
      <w:r w:rsidRPr="00AC3C60">
        <w:t>,</w:t>
      </w:r>
      <w:r w:rsidRPr="00AC3C60">
        <w:rPr>
          <w:i/>
        </w:rPr>
        <w:t xml:space="preserve"> 111</w:t>
      </w:r>
      <w:r w:rsidRPr="00AC3C60">
        <w:t xml:space="preserve">(4), e12468. </w:t>
      </w:r>
      <w:r w:rsidRPr="006B3147">
        <w:t>https://doi.org/https://doi.org/10.1111/bjop.12468</w:t>
      </w:r>
      <w:r w:rsidRPr="00AC3C60">
        <w:t xml:space="preserve"> </w:t>
      </w:r>
    </w:p>
    <w:p w14:paraId="3B091D20" w14:textId="65BB1632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O'Connor, R. C., Wetherall, K., Cleare, S., McClelland, H., Melson, A. J., Niedzwiedz, C. L., O'Carroll, R. E., O'Connor, D. B., Platt, S., Scowcroft, E., Watson, B., Zortea, T., Ferguson, E., &amp; Robb, K. A. (2021). Mental health and well-being during the COVID-19 pandemic: Longitudinal analyses of adults in the UK COVID-19 Mental Health &amp; Wellbeing study. </w:t>
      </w:r>
      <w:r w:rsidRPr="00AC3C60">
        <w:rPr>
          <w:i/>
        </w:rPr>
        <w:t>The British Journal of Psychiatry</w:t>
      </w:r>
      <w:r w:rsidRPr="00AC3C60">
        <w:t>,</w:t>
      </w:r>
      <w:r w:rsidRPr="00AC3C60">
        <w:rPr>
          <w:i/>
        </w:rPr>
        <w:t xml:space="preserve"> 218</w:t>
      </w:r>
      <w:r w:rsidRPr="00AC3C60">
        <w:t xml:space="preserve">(6), 326-333. </w:t>
      </w:r>
      <w:r w:rsidRPr="006B3147">
        <w:t>https://doi.org/10.1192/bjp.2020.212</w:t>
      </w:r>
      <w:r w:rsidRPr="00AC3C60">
        <w:t xml:space="preserve"> </w:t>
      </w:r>
    </w:p>
    <w:p w14:paraId="7C2DBF48" w14:textId="6FD3F679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lastRenderedPageBreak/>
        <w:t xml:space="preserve">ONS. (2020). </w:t>
      </w:r>
      <w:r w:rsidRPr="00AC3C60">
        <w:rPr>
          <w:i/>
        </w:rPr>
        <w:t>Coronavirus and the social impacts on Great Britain: 11 December 2020</w:t>
      </w:r>
      <w:r w:rsidRPr="00AC3C60">
        <w:t xml:space="preserve">. </w:t>
      </w:r>
      <w:r w:rsidRPr="006B3147">
        <w:t>https://www.ons.gov.uk/peoplepopulationandcommunity/healthandsocialcare/healthandwellbeing/bulletins/coronavirusandthesocialimpactsongreatbritain/11december2020#impacts-on-life-and-well-being-of-adults-experiencing-some-form-of-depression-or-anxiety</w:t>
      </w:r>
    </w:p>
    <w:p w14:paraId="647DE3B6" w14:textId="341AB3AF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ONS. (2021a). </w:t>
      </w:r>
      <w:r w:rsidRPr="00AC3C60">
        <w:rPr>
          <w:i/>
        </w:rPr>
        <w:t>Coronavirus and the social impacts on behaviours during different lockdown periods, Great Britain: up to February 2021</w:t>
      </w:r>
      <w:r w:rsidRPr="00AC3C60">
        <w:t xml:space="preserve">. </w:t>
      </w:r>
      <w:r w:rsidRPr="006B3147">
        <w:t>https://www.ons.gov.uk/peoplepopulationandcommunity/healthandsocialcare/healthandwellbeing/articles/coronavirusandthesocialimpactsonbehavioursduringdifferentlockdownperiodsgreatbritain/uptofebruary2021#well-being-and-mental-health</w:t>
      </w:r>
    </w:p>
    <w:p w14:paraId="3EF29261" w14:textId="583C323B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ONS. (2021b). </w:t>
      </w:r>
      <w:r w:rsidRPr="00AC3C60">
        <w:rPr>
          <w:i/>
        </w:rPr>
        <w:t>Deaths from suicide that occurred in England and Wales: April to July 2020</w:t>
      </w:r>
      <w:r w:rsidRPr="00AC3C60">
        <w:t xml:space="preserve">. </w:t>
      </w:r>
      <w:r w:rsidRPr="006B3147">
        <w:t>https://www.ons.gov.uk/peoplepopulationandcommunity/birthsdeathsandmarriages/deaths/articles/deathsfromsuicidethatoccurredinenglandandwales/aprilandjuly2020</w:t>
      </w:r>
    </w:p>
    <w:p w14:paraId="75D0BFFA" w14:textId="7FF173B1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PHE. (2021). </w:t>
      </w:r>
      <w:r w:rsidRPr="00AC3C60">
        <w:rPr>
          <w:i/>
        </w:rPr>
        <w:t>Variants of concern or under investigation: Data up to 16 June 2021</w:t>
      </w:r>
      <w:r w:rsidRPr="00AC3C60">
        <w:t xml:space="preserve">. </w:t>
      </w:r>
      <w:r w:rsidRPr="006B3147">
        <w:t>https://www.gov.uk/government/publications/covid-19-variants-genomically-confirmed-case-numbers/variants-distribution-of-case-data-18-june-2021</w:t>
      </w:r>
    </w:p>
    <w:p w14:paraId="4CB67A69" w14:textId="480DC556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Pierce, M., Hope, H., Ford, T., Hatch, S., Hotopf, M., John, A., Kontopantelis, E., Webb, R., Wessely, S., McManus, S., &amp; Abel, K. M. (2020). Mental health before and during the COVID-19 pandemic: a longitudinal probability sample survey of the UK population. </w:t>
      </w:r>
      <w:r w:rsidRPr="00AC3C60">
        <w:rPr>
          <w:i/>
        </w:rPr>
        <w:t>The Lancet Psychiatry</w:t>
      </w:r>
      <w:r w:rsidRPr="00AC3C60">
        <w:t>,</w:t>
      </w:r>
      <w:r w:rsidRPr="00AC3C60">
        <w:rPr>
          <w:i/>
        </w:rPr>
        <w:t xml:space="preserve"> 7</w:t>
      </w:r>
      <w:r w:rsidRPr="00AC3C60">
        <w:t xml:space="preserve">(10), 883-892. </w:t>
      </w:r>
      <w:r w:rsidRPr="006B3147">
        <w:t>https://doi.org/10.1016/S2215-0366(20)30308-4</w:t>
      </w:r>
      <w:r w:rsidRPr="00AC3C60">
        <w:t xml:space="preserve"> </w:t>
      </w:r>
    </w:p>
    <w:p w14:paraId="145E5F80" w14:textId="545A87CF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Pirutinsky, S., Cherniak, A. D., &amp; Rosmarin, D. H. (2020). COVID-19, mental health, and religious coping among American Orthodox Jews. </w:t>
      </w:r>
      <w:r w:rsidRPr="00AC3C60">
        <w:rPr>
          <w:i/>
        </w:rPr>
        <w:t>Journal of Religion and Health</w:t>
      </w:r>
      <w:r w:rsidRPr="00AC3C60">
        <w:t>,</w:t>
      </w:r>
      <w:r w:rsidRPr="00AC3C60">
        <w:rPr>
          <w:i/>
        </w:rPr>
        <w:t xml:space="preserve"> 59</w:t>
      </w:r>
      <w:r w:rsidRPr="00AC3C60">
        <w:t xml:space="preserve">(5), 2288-2301. </w:t>
      </w:r>
      <w:r w:rsidRPr="006B3147">
        <w:t>https://doi.org/10.1007/s10943-020-01070-z</w:t>
      </w:r>
      <w:r w:rsidRPr="00AC3C60">
        <w:t xml:space="preserve"> </w:t>
      </w:r>
    </w:p>
    <w:p w14:paraId="70D53AF1" w14:textId="2434436F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Schnabel, L., &amp; Schieman, S. (2021). Religion protected mental health but constrained crisis response during crucial early days of the COVID-19 pandemic. </w:t>
      </w:r>
      <w:r w:rsidRPr="00AC3C60">
        <w:rPr>
          <w:i/>
        </w:rPr>
        <w:t>Journal for the Scientific Study of Religion</w:t>
      </w:r>
      <w:r w:rsidRPr="00AC3C60">
        <w:t xml:space="preserve">. </w:t>
      </w:r>
      <w:r w:rsidRPr="006B3147">
        <w:t>https://doi.org/10.1111/jssr.12720</w:t>
      </w:r>
      <w:r w:rsidRPr="00AC3C60">
        <w:t xml:space="preserve"> </w:t>
      </w:r>
    </w:p>
    <w:p w14:paraId="0BF94E02" w14:textId="63AB3052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lastRenderedPageBreak/>
        <w:t>Sherwood, H. (2021, 17 January). Thousands of churches in England opt to close over Covid fears.</w:t>
      </w:r>
      <w:r w:rsidRPr="00AC3C60">
        <w:rPr>
          <w:i/>
        </w:rPr>
        <w:t xml:space="preserve"> The Guardian</w:t>
      </w:r>
      <w:r w:rsidRPr="00AC3C60">
        <w:t xml:space="preserve">. </w:t>
      </w:r>
      <w:r w:rsidRPr="006B3147">
        <w:t>https://www.theguardian.com/world/2021/jan/17/thousands-of-churches-in-england-opt-to-close-over-covid-fears</w:t>
      </w:r>
    </w:p>
    <w:p w14:paraId="4724AFFC" w14:textId="4DEC479A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Tennant, R., Hiller, L., Fishwick, R., Platt, S., Joseph, S., Weich, S., Parkinson, J., Secker, J., &amp; Stewart-Brown, S. (2007). The Warwick-Edinburgh Mental Well-being Scale (WEMWBS): Development and UK validation. </w:t>
      </w:r>
      <w:r w:rsidRPr="00AC3C60">
        <w:rPr>
          <w:i/>
        </w:rPr>
        <w:t>Health and Quality of Life Outcomes</w:t>
      </w:r>
      <w:r w:rsidRPr="00AC3C60">
        <w:t>,</w:t>
      </w:r>
      <w:r w:rsidRPr="00AC3C60">
        <w:rPr>
          <w:i/>
        </w:rPr>
        <w:t xml:space="preserve"> 5</w:t>
      </w:r>
      <w:r w:rsidRPr="00AC3C60">
        <w:t xml:space="preserve">(1), 63. </w:t>
      </w:r>
      <w:r w:rsidRPr="006B3147">
        <w:t>https://doi.org/10.1186/1477-7525-5-63</w:t>
      </w:r>
      <w:r w:rsidRPr="00AC3C60">
        <w:t xml:space="preserve"> </w:t>
      </w:r>
    </w:p>
    <w:p w14:paraId="2A30D5F7" w14:textId="5593C640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Thomas, J., &amp; Barbato, M. (2020). Positive religious coping and mental health among Christians and Muslims in response to the COVID-19 pandemic. </w:t>
      </w:r>
      <w:r w:rsidRPr="00AC3C60">
        <w:rPr>
          <w:i/>
        </w:rPr>
        <w:t>Religions</w:t>
      </w:r>
      <w:r w:rsidRPr="00AC3C60">
        <w:t>,</w:t>
      </w:r>
      <w:r w:rsidRPr="00AC3C60">
        <w:rPr>
          <w:i/>
        </w:rPr>
        <w:t xml:space="preserve"> 11</w:t>
      </w:r>
      <w:r w:rsidRPr="00AC3C60">
        <w:t xml:space="preserve">(10), 498. </w:t>
      </w:r>
      <w:r w:rsidRPr="006B3147">
        <w:t>https://doi.org/10.3390/rel11100498</w:t>
      </w:r>
      <w:r w:rsidRPr="00AC3C60">
        <w:t xml:space="preserve"> </w:t>
      </w:r>
    </w:p>
    <w:p w14:paraId="7AC05A0F" w14:textId="08CC8C33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Village, A. (2018). </w:t>
      </w:r>
      <w:r w:rsidRPr="00AC3C60">
        <w:rPr>
          <w:i/>
        </w:rPr>
        <w:t>The Church of England in the first decade of the 21st century: The Church Times Surveys</w:t>
      </w:r>
      <w:r w:rsidRPr="00AC3C60">
        <w:t xml:space="preserve">. Palgrave Macmillan. </w:t>
      </w:r>
      <w:r w:rsidRPr="006B3147">
        <w:t>https://www.palgrave.com/gb/book/9783030045272</w:t>
      </w:r>
      <w:r w:rsidRPr="00AC3C60">
        <w:t xml:space="preserve"> </w:t>
      </w:r>
    </w:p>
    <w:p w14:paraId="235202A0" w14:textId="7D4F53EC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Village, A., &amp; Francis, L. J. (2021a). Churches and faith: Attitude towards church buildings during the 2020 Covid-19 lockdown among churchgoers in England. </w:t>
      </w:r>
      <w:r w:rsidRPr="00AC3C60">
        <w:rPr>
          <w:i/>
        </w:rPr>
        <w:t>Ecclesial Practices</w:t>
      </w:r>
      <w:r w:rsidRPr="00AC3C60">
        <w:t>,</w:t>
      </w:r>
      <w:r w:rsidRPr="00AC3C60">
        <w:rPr>
          <w:i/>
        </w:rPr>
        <w:t xml:space="preserve"> 8</w:t>
      </w:r>
      <w:r w:rsidRPr="00AC3C60">
        <w:t xml:space="preserve">(2), 216-232. </w:t>
      </w:r>
      <w:r w:rsidRPr="006B3147">
        <w:t>https://doi.org/10.1163/22144417-bja10025</w:t>
      </w:r>
      <w:r w:rsidRPr="00AC3C60">
        <w:t xml:space="preserve"> </w:t>
      </w:r>
    </w:p>
    <w:p w14:paraId="11D1C2F5" w14:textId="313D833C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Village, A., &amp; Francis, L. J. (2021b). Exploring affect balance: Psychological wellbeing of Church of England clergy and laity during the Covid-19 pandemic. </w:t>
      </w:r>
      <w:r w:rsidRPr="00AC3C60">
        <w:rPr>
          <w:i/>
        </w:rPr>
        <w:t>Journal of Religion &amp; Health</w:t>
      </w:r>
      <w:r w:rsidRPr="00AC3C60">
        <w:t>,</w:t>
      </w:r>
      <w:r w:rsidRPr="00AC3C60">
        <w:rPr>
          <w:i/>
        </w:rPr>
        <w:t xml:space="preserve"> 60</w:t>
      </w:r>
      <w:r w:rsidRPr="00AC3C60">
        <w:t xml:space="preserve">, 1556–1575. </w:t>
      </w:r>
      <w:r w:rsidRPr="006B3147">
        <w:t>https://doi.org/10.1007/s10943-021-01225-6</w:t>
      </w:r>
      <w:r w:rsidRPr="00AC3C60">
        <w:t xml:space="preserve"> </w:t>
      </w:r>
    </w:p>
    <w:p w14:paraId="4C30F02E" w14:textId="68034939" w:rsidR="00097B7A" w:rsidRPr="00AC3C60" w:rsidRDefault="00097B7A" w:rsidP="00097B7A">
      <w:pPr>
        <w:pStyle w:val="EndNoteBibliography"/>
        <w:spacing w:after="480"/>
        <w:ind w:left="720" w:hanging="720"/>
      </w:pPr>
      <w:r w:rsidRPr="00AC3C60">
        <w:t xml:space="preserve">Village, A., &amp; Francis, L. J. (2021c). Wellbeing and perceptions of receiving support among Church of England clergy during the 2020 COVID-19 pandemic. </w:t>
      </w:r>
      <w:r w:rsidRPr="00AC3C60">
        <w:rPr>
          <w:i/>
        </w:rPr>
        <w:t>Mental Health Religion &amp; Culture</w:t>
      </w:r>
      <w:r w:rsidRPr="00AC3C60">
        <w:t>,</w:t>
      </w:r>
      <w:r w:rsidRPr="00AC3C60">
        <w:rPr>
          <w:i/>
        </w:rPr>
        <w:t xml:space="preserve"> 24</w:t>
      </w:r>
      <w:r w:rsidRPr="00AC3C60">
        <w:t xml:space="preserve">(5), 463-477. </w:t>
      </w:r>
      <w:r w:rsidRPr="006B3147">
        <w:t>https://doi.org/10.1080/13674676.2021.1906214</w:t>
      </w:r>
      <w:r w:rsidRPr="00AC3C60">
        <w:t xml:space="preserve"> </w:t>
      </w:r>
    </w:p>
    <w:p w14:paraId="38768C34" w14:textId="5D418C00" w:rsidR="00097B7A" w:rsidRPr="00AC3C60" w:rsidRDefault="00097B7A" w:rsidP="00097B7A">
      <w:pPr>
        <w:pStyle w:val="EndNoteBibliography"/>
        <w:ind w:left="720" w:hanging="720"/>
      </w:pPr>
      <w:r w:rsidRPr="00AC3C60">
        <w:t xml:space="preserve">White, R. G., &amp; Van Der Boor, C. (2020). Impact of the COVID-19 pandemic and initial period of lockdown on the mental health and well-being of adults in the UK. </w:t>
      </w:r>
      <w:r w:rsidRPr="00AC3C60">
        <w:rPr>
          <w:i/>
        </w:rPr>
        <w:t>BJPsych Open</w:t>
      </w:r>
      <w:r w:rsidRPr="00AC3C60">
        <w:t>,</w:t>
      </w:r>
      <w:r w:rsidRPr="00AC3C60">
        <w:rPr>
          <w:i/>
        </w:rPr>
        <w:t xml:space="preserve"> 6</w:t>
      </w:r>
      <w:r w:rsidRPr="00AC3C60">
        <w:t xml:space="preserve">(5), e90, Article e90. </w:t>
      </w:r>
      <w:r w:rsidRPr="006B3147">
        <w:t>https://doi.org/10.1192/bjo.2020.79</w:t>
      </w:r>
      <w:r w:rsidRPr="00AC3C60">
        <w:t xml:space="preserve"> </w:t>
      </w:r>
    </w:p>
    <w:p w14:paraId="6B62036F" w14:textId="761CA1BD" w:rsidR="00272E37" w:rsidRPr="00AC3C60" w:rsidRDefault="00272E37" w:rsidP="00A267A7">
      <w:pPr>
        <w:pStyle w:val="EndNoteBibliography"/>
        <w:ind w:left="720" w:hanging="720"/>
        <w:rPr>
          <w:szCs w:val="24"/>
        </w:rPr>
      </w:pPr>
      <w:r w:rsidRPr="00AC3C60">
        <w:rPr>
          <w:szCs w:val="24"/>
        </w:rPr>
        <w:lastRenderedPageBreak/>
        <w:br w:type="page"/>
      </w:r>
    </w:p>
    <w:p w14:paraId="7BC0E823" w14:textId="1AD4A8F2" w:rsidR="00C905BF" w:rsidRPr="00AC3C60" w:rsidRDefault="00E67DC7" w:rsidP="00C905BF">
      <w:pPr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lastRenderedPageBreak/>
        <w:t>Table 1</w:t>
      </w:r>
    </w:p>
    <w:p w14:paraId="5EE023B5" w14:textId="6C306815" w:rsidR="003D461F" w:rsidRPr="00AC3C60" w:rsidRDefault="005054E7" w:rsidP="00C905B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C3C60">
        <w:rPr>
          <w:rFonts w:ascii="Times New Roman" w:hAnsi="Times New Roman" w:cs="Times New Roman"/>
          <w:i/>
          <w:iCs/>
          <w:sz w:val="24"/>
          <w:szCs w:val="24"/>
        </w:rPr>
        <w:t>Profile of Church of England pa</w:t>
      </w:r>
      <w:r w:rsidR="004221B1" w:rsidRPr="00AC3C60">
        <w:rPr>
          <w:rFonts w:ascii="Times New Roman" w:hAnsi="Times New Roman" w:cs="Times New Roman"/>
          <w:i/>
          <w:iCs/>
          <w:sz w:val="24"/>
          <w:szCs w:val="24"/>
        </w:rPr>
        <w:t>rticipants in the survey</w:t>
      </w:r>
      <w:r w:rsidR="00A50B9A" w:rsidRPr="00AC3C60">
        <w:rPr>
          <w:rFonts w:ascii="Times New Roman" w:hAnsi="Times New Roman" w:cs="Times New Roman"/>
          <w:i/>
          <w:iCs/>
          <w:sz w:val="24"/>
          <w:szCs w:val="24"/>
        </w:rPr>
        <w:t>s</w:t>
      </w:r>
    </w:p>
    <w:p w14:paraId="09BA8E20" w14:textId="54EB19AC" w:rsidR="00484BEE" w:rsidRPr="00AC3C60" w:rsidRDefault="00484BEE" w:rsidP="00C905B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107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1"/>
        <w:gridCol w:w="2324"/>
        <w:gridCol w:w="236"/>
        <w:gridCol w:w="1020"/>
        <w:gridCol w:w="1020"/>
        <w:gridCol w:w="1020"/>
        <w:gridCol w:w="236"/>
        <w:gridCol w:w="1020"/>
        <w:gridCol w:w="1020"/>
        <w:gridCol w:w="1020"/>
      </w:tblGrid>
      <w:tr w:rsidR="00AC3C60" w:rsidRPr="00AC3C60" w14:paraId="3E0F752F" w14:textId="77777777" w:rsidTr="00564356">
        <w:trPr>
          <w:trHeight w:val="300"/>
          <w:jc w:val="center"/>
        </w:trPr>
        <w:tc>
          <w:tcPr>
            <w:tcW w:w="11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AD7C1" w14:textId="77777777" w:rsidR="00564356" w:rsidRPr="00AC3C60" w:rsidRDefault="00564356" w:rsidP="00446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3C382" w14:textId="77777777" w:rsidR="00564356" w:rsidRPr="00AC3C60" w:rsidRDefault="00564356" w:rsidP="005250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01524" w14:textId="77777777" w:rsidR="00564356" w:rsidRPr="00AC3C60" w:rsidRDefault="00564356" w:rsidP="00446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3681E2" w14:textId="37AD8772" w:rsidR="00564356" w:rsidRPr="00AC3C60" w:rsidRDefault="00564356" w:rsidP="00446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Survey 1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921B0A9" w14:textId="77777777" w:rsidR="00564356" w:rsidRPr="00AC3C60" w:rsidRDefault="00564356" w:rsidP="00446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66C138" w14:textId="093DBEAD" w:rsidR="00564356" w:rsidRPr="00AC3C60" w:rsidRDefault="00564356" w:rsidP="00446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Survey 2</w:t>
            </w:r>
          </w:p>
        </w:tc>
      </w:tr>
      <w:tr w:rsidR="00AC3C60" w:rsidRPr="00AC3C60" w14:paraId="1FE71EE3" w14:textId="77777777" w:rsidTr="00564356">
        <w:trPr>
          <w:trHeight w:val="300"/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C27F6" w14:textId="77777777" w:rsidR="00E83ADF" w:rsidRPr="00AC3C60" w:rsidRDefault="00E83ADF" w:rsidP="00446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DE29" w14:textId="77777777" w:rsidR="00E83ADF" w:rsidRPr="00AC3C60" w:rsidRDefault="00E83ADF" w:rsidP="005250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A3E9" w14:textId="77777777" w:rsidR="00E83ADF" w:rsidRPr="00AC3C60" w:rsidRDefault="00E83ADF" w:rsidP="00446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4F364" w14:textId="77777777" w:rsidR="00E83ADF" w:rsidRPr="00AC3C60" w:rsidRDefault="00E83ADF" w:rsidP="00446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Lay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A23AF" w14:textId="77777777" w:rsidR="00E83ADF" w:rsidRPr="00AC3C60" w:rsidRDefault="00E83ADF" w:rsidP="00446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Ordained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7E10C" w14:textId="77777777" w:rsidR="00E83ADF" w:rsidRPr="00AC3C60" w:rsidRDefault="00E83ADF" w:rsidP="00446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636E1" w14:textId="77777777" w:rsidR="00E83ADF" w:rsidRPr="00AC3C60" w:rsidRDefault="00E83ADF" w:rsidP="00446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9A715" w14:textId="7B511457" w:rsidR="00E83ADF" w:rsidRPr="00AC3C60" w:rsidRDefault="00E83ADF" w:rsidP="00446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Lay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B9CE8" w14:textId="77777777" w:rsidR="00E83ADF" w:rsidRPr="00AC3C60" w:rsidRDefault="00E83ADF" w:rsidP="00446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Ordained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F46AC" w14:textId="77777777" w:rsidR="00E83ADF" w:rsidRPr="00AC3C60" w:rsidRDefault="00E83ADF" w:rsidP="00446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</w:tr>
      <w:tr w:rsidR="00AC3C60" w:rsidRPr="00AC3C60" w14:paraId="7685048B" w14:textId="77777777" w:rsidTr="00564356">
        <w:trPr>
          <w:trHeight w:val="300"/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9B3F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7CE0" w14:textId="4CFF0AFB" w:rsidR="003F7EC6" w:rsidRPr="00AC3C60" w:rsidRDefault="003F7EC6" w:rsidP="005250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 </w:t>
            </w: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B980A" w14:textId="50B3AD94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5DA0" w14:textId="77777777" w:rsidR="003F7EC6" w:rsidRPr="00AC3C60" w:rsidRDefault="003F7EC6" w:rsidP="003F7E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2815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7A1F" w14:textId="77777777" w:rsidR="003F7EC6" w:rsidRPr="00AC3C60" w:rsidRDefault="003F7EC6" w:rsidP="003F7E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DD8B" w14:textId="77777777" w:rsidR="003F7EC6" w:rsidRPr="00AC3C60" w:rsidRDefault="003F7EC6" w:rsidP="003F7E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3607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968E1" w14:textId="77777777" w:rsidR="003F7EC6" w:rsidRPr="00AC3C60" w:rsidRDefault="003F7EC6" w:rsidP="003F7E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09624" w14:textId="5EF07C22" w:rsidR="003F7EC6" w:rsidRPr="00AC3C60" w:rsidRDefault="00B37B00" w:rsidP="003F7E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A2C5" w14:textId="77777777" w:rsidR="003F7EC6" w:rsidRPr="00AC3C60" w:rsidRDefault="003F7EC6" w:rsidP="003F7E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222D" w14:textId="012B3AF0" w:rsidR="003F7EC6" w:rsidRPr="00AC3C60" w:rsidRDefault="00B37B00" w:rsidP="003F7E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1428</w:t>
            </w:r>
          </w:p>
        </w:tc>
      </w:tr>
      <w:tr w:rsidR="00AC3C60" w:rsidRPr="00AC3C60" w14:paraId="27198D42" w14:textId="77777777" w:rsidTr="00564356">
        <w:trPr>
          <w:trHeight w:val="300"/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2D6C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7BDA" w14:textId="77777777" w:rsidR="003F7EC6" w:rsidRPr="00AC3C60" w:rsidRDefault="003F7EC6" w:rsidP="005250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71817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DF2F" w14:textId="64557221" w:rsidR="003F7EC6" w:rsidRPr="00AC3C60" w:rsidRDefault="003F7EC6" w:rsidP="003F7E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C3B9" w14:textId="0F117485" w:rsidR="003F7EC6" w:rsidRPr="00AC3C60" w:rsidRDefault="003F7EC6" w:rsidP="003F7E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6C25" w14:textId="02DC0BEB" w:rsidR="003F7EC6" w:rsidRPr="00AC3C60" w:rsidRDefault="003F7EC6" w:rsidP="003F7E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91A8D" w14:textId="77777777" w:rsidR="003F7EC6" w:rsidRPr="00AC3C60" w:rsidRDefault="003F7EC6" w:rsidP="003F7E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413B" w14:textId="69AFE5F8" w:rsidR="003F7EC6" w:rsidRPr="00AC3C60" w:rsidRDefault="003F7EC6" w:rsidP="003F7E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7396" w14:textId="029A9AB0" w:rsidR="003F7EC6" w:rsidRPr="00AC3C60" w:rsidRDefault="003F7EC6" w:rsidP="003F7E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24C5" w14:textId="01CB05CC" w:rsidR="003F7EC6" w:rsidRPr="00AC3C60" w:rsidRDefault="003F7EC6" w:rsidP="003F7E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3C60" w:rsidRPr="00AC3C60" w14:paraId="476B8FD7" w14:textId="77777777" w:rsidTr="00564356">
        <w:trPr>
          <w:trHeight w:val="300"/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E1D7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A5D0" w14:textId="77777777" w:rsidR="003F7EC6" w:rsidRPr="00AC3C60" w:rsidRDefault="003F7EC6" w:rsidP="005250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5D295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9CE9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66.1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5702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46.7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C2B0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61.9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DF462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5C916" w14:textId="0C68E483" w:rsidR="003F7EC6" w:rsidRPr="00AC3C60" w:rsidRDefault="00B37B00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60.6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FFE79" w14:textId="24BE8811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  <w:r w:rsidR="00B37B00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4B9D" w14:textId="7FAA54B3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  <w:r w:rsidR="00B37B00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3C60" w:rsidRPr="00AC3C60" w14:paraId="4BBA5E97" w14:textId="77777777" w:rsidTr="00564356">
        <w:trPr>
          <w:trHeight w:val="300"/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01BA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EF25" w14:textId="77777777" w:rsidR="003F7EC6" w:rsidRPr="00AC3C60" w:rsidRDefault="003F7EC6" w:rsidP="005250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4F95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EB9C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33.9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B8968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0411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45405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378F" w14:textId="725A8FAA" w:rsidR="003F7EC6" w:rsidRPr="00AC3C60" w:rsidRDefault="00B37B00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7764" w14:textId="013F889B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  <w:r w:rsidR="00B37B00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F658" w14:textId="3412496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  <w:r w:rsidR="00B37B00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3C60" w:rsidRPr="00AC3C60" w14:paraId="752C1C2A" w14:textId="77777777" w:rsidTr="00564356">
        <w:trPr>
          <w:trHeight w:val="300"/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B1C7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00D9" w14:textId="77777777" w:rsidR="003F7EC6" w:rsidRPr="00AC3C60" w:rsidRDefault="003F7EC6" w:rsidP="005250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71B5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FDD63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CE05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725B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0EB35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23D8" w14:textId="0DB2E46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F12E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5824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C60" w:rsidRPr="00AC3C60" w14:paraId="67CF6A44" w14:textId="77777777" w:rsidTr="00564356">
        <w:trPr>
          <w:trHeight w:val="300"/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7537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7F7E" w14:textId="77777777" w:rsidR="003F7EC6" w:rsidRPr="00AC3C60" w:rsidRDefault="003F7EC6" w:rsidP="005250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20s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EDAC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C4B7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632A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B356C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0C517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E08B" w14:textId="499D7E8C" w:rsidR="003F7EC6" w:rsidRPr="00AC3C60" w:rsidRDefault="00B37B00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349F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A8FA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AC3C60" w:rsidRPr="00AC3C60" w14:paraId="2CAF548A" w14:textId="77777777" w:rsidTr="00564356">
        <w:trPr>
          <w:trHeight w:val="300"/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C9EAD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22E0" w14:textId="77777777" w:rsidR="003F7EC6" w:rsidRPr="00AC3C60" w:rsidRDefault="003F7EC6" w:rsidP="005250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30s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9E8D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6363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9079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650B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4A12F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81146" w14:textId="16049BFE" w:rsidR="003F7EC6" w:rsidRPr="00AC3C60" w:rsidRDefault="00B37B00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B8AC9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317D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</w:tr>
      <w:tr w:rsidR="00AC3C60" w:rsidRPr="00AC3C60" w14:paraId="7117F10A" w14:textId="77777777" w:rsidTr="00564356">
        <w:trPr>
          <w:trHeight w:val="300"/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FA96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3F22" w14:textId="77777777" w:rsidR="003F7EC6" w:rsidRPr="00AC3C60" w:rsidRDefault="003F7EC6" w:rsidP="005250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40s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D1BE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506C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1660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24.9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2443C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14.9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575A8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49AD" w14:textId="35F49B03" w:rsidR="003F7EC6" w:rsidRPr="00AC3C60" w:rsidRDefault="00B37B00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22ED" w14:textId="147BE067" w:rsidR="003F7EC6" w:rsidRPr="00AC3C60" w:rsidRDefault="00B37B00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19.7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B6F7" w14:textId="5BB7C8CA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="00B37B00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3C60" w:rsidRPr="00AC3C60" w14:paraId="01B19AA5" w14:textId="77777777" w:rsidTr="00564356">
        <w:trPr>
          <w:trHeight w:val="300"/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703EB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2ECD" w14:textId="77777777" w:rsidR="003F7EC6" w:rsidRPr="00AC3C60" w:rsidRDefault="003F7EC6" w:rsidP="005250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50s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65E9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63A7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18.8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C681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35.6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E541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C377D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E31C" w14:textId="7D4EB338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="00B37B00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59525" w14:textId="1F5842D0" w:rsidR="003F7EC6" w:rsidRPr="00AC3C60" w:rsidRDefault="00B37B00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36.2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7C8B" w14:textId="420E5623" w:rsidR="003F7EC6" w:rsidRPr="00AC3C60" w:rsidRDefault="00B37B00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21.7</w:t>
            </w:r>
          </w:p>
        </w:tc>
      </w:tr>
      <w:tr w:rsidR="00AC3C60" w:rsidRPr="00AC3C60" w14:paraId="6C723A82" w14:textId="77777777" w:rsidTr="00564356">
        <w:trPr>
          <w:trHeight w:val="300"/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5D9F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60A6" w14:textId="77777777" w:rsidR="003F7EC6" w:rsidRPr="00AC3C60" w:rsidRDefault="003F7EC6" w:rsidP="005250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60s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A083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4A420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0DA2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23.9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C78F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26.3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FC749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20C4F" w14:textId="006EA2B0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  <w:r w:rsidR="00B37B00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F2FD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33.4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A7E8" w14:textId="3A18F8E2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  <w:r w:rsidR="00B37B00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C60" w:rsidRPr="00AC3C60" w14:paraId="2A08236B" w14:textId="77777777" w:rsidTr="00564356">
        <w:trPr>
          <w:trHeight w:val="300"/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7526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A309D" w14:textId="77777777" w:rsidR="003F7EC6" w:rsidRPr="00AC3C60" w:rsidRDefault="003F7EC6" w:rsidP="005250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70s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A99C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B6D1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25.7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2E32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E578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36A07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481CF" w14:textId="277B0E7A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  <w:r w:rsidR="00B37B00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4CBEC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01F6" w14:textId="7E8D67A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  <w:r w:rsidR="00B37B00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3C60" w:rsidRPr="00AC3C60" w14:paraId="47D54B94" w14:textId="77777777" w:rsidTr="00564356">
        <w:trPr>
          <w:trHeight w:val="300"/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8CD3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4308" w14:textId="77777777" w:rsidR="003F7EC6" w:rsidRPr="00AC3C60" w:rsidRDefault="003F7EC6" w:rsidP="005250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80s+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7595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8948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52D1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F697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E2924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C491" w14:textId="697F14CF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9AA8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10C7" w14:textId="35136ADE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B37B00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3C60" w:rsidRPr="00AC3C60" w14:paraId="2C9654AD" w14:textId="77777777" w:rsidTr="00564356">
        <w:trPr>
          <w:trHeight w:val="300"/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149D3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146A" w14:textId="77777777" w:rsidR="003F7EC6" w:rsidRPr="00AC3C60" w:rsidRDefault="003F7EC6" w:rsidP="005250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34E0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2D59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7D1B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637B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E7A49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D8D0" w14:textId="78CF7BD4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8D36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2ECD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C60" w:rsidRPr="00AC3C60" w14:paraId="7EE1233E" w14:textId="77777777" w:rsidTr="00564356">
        <w:trPr>
          <w:trHeight w:val="300"/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B4166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Tradition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A3A5" w14:textId="77777777" w:rsidR="003F7EC6" w:rsidRPr="00AC3C60" w:rsidRDefault="003F7EC6" w:rsidP="005250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Anglo-Catholic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D69F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857E4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C6A2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34.9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F19E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28.7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79A61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4545" w14:textId="68EEE2F0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="00B37B00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63E61" w14:textId="77DD0311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  <w:r w:rsidR="00B37B00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1908" w14:textId="1D5143BC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="00B37B00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C3C60" w:rsidRPr="00AC3C60" w14:paraId="133EE455" w14:textId="77777777" w:rsidTr="00564356">
        <w:trPr>
          <w:trHeight w:val="300"/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EB79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354CE" w14:textId="77777777" w:rsidR="003F7EC6" w:rsidRPr="00AC3C60" w:rsidRDefault="003F7EC6" w:rsidP="005250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Broad Church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2021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25BCB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53.7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515D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35B9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52.0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FAF04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99CF" w14:textId="1A0B13C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  <w:r w:rsidR="00B37B00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8A4A" w14:textId="400BB73B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  <w:r w:rsidR="00B37B00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2EE4" w14:textId="0B4AF121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  <w:r w:rsidR="00B37B00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C60" w:rsidRPr="00AC3C60" w14:paraId="79C69011" w14:textId="77777777" w:rsidTr="00564356">
        <w:trPr>
          <w:trHeight w:val="300"/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3BF6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3737" w14:textId="77777777" w:rsidR="003F7EC6" w:rsidRPr="00AC3C60" w:rsidRDefault="003F7EC6" w:rsidP="005250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Evangelical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213B8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5269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5472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6C22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A568A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BC4C" w14:textId="16517735" w:rsidR="003F7EC6" w:rsidRPr="00AC3C60" w:rsidRDefault="00B37B00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4809B" w14:textId="0D88BA83" w:rsidR="003F7EC6" w:rsidRPr="00AC3C60" w:rsidRDefault="00B37B00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A1B6" w14:textId="11705DE5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 w:rsidR="00B37B00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3C60" w:rsidRPr="00AC3C60" w14:paraId="7E83A1E6" w14:textId="77777777" w:rsidTr="00564356">
        <w:trPr>
          <w:trHeight w:val="300"/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CAEB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8531" w14:textId="77777777" w:rsidR="003F7EC6" w:rsidRPr="00AC3C60" w:rsidRDefault="003F7EC6" w:rsidP="005250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9141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2607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DC52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0059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C6CDF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E4D96" w14:textId="6D7D045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6875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18D0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C60" w:rsidRPr="00AC3C60" w14:paraId="0CA8A16F" w14:textId="77777777" w:rsidTr="00564356">
        <w:trPr>
          <w:trHeight w:val="300"/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F98E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7FF3" w14:textId="77777777" w:rsidR="003F7EC6" w:rsidRPr="00AC3C60" w:rsidRDefault="003F7EC6" w:rsidP="005250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Rural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4C11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0A41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E56F9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35.2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75DC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34.3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9E665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6AC2" w14:textId="7FD73DBA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  <w:r w:rsidR="00B37B00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59C9" w14:textId="1116B868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  <w:r w:rsidR="00B37B00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34E89" w14:textId="6F75D282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  <w:r w:rsidR="00B37B00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3C60" w:rsidRPr="00AC3C60" w14:paraId="2E9294E1" w14:textId="77777777" w:rsidTr="00564356">
        <w:trPr>
          <w:trHeight w:val="300"/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D3A0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472B8" w14:textId="77777777" w:rsidR="003F7EC6" w:rsidRPr="00AC3C60" w:rsidRDefault="003F7EC6" w:rsidP="005250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Town/suburb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F5A1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F3D6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56.7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241F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52.9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88C2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51A61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2960" w14:textId="63FC0984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37B00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37B00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42F33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52.6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3A3DF" w14:textId="5906BC74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  <w:r w:rsidR="00B37B00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C3C60" w:rsidRPr="00AC3C60" w14:paraId="14C1DFE7" w14:textId="77777777" w:rsidTr="00564356">
        <w:trPr>
          <w:trHeight w:val="300"/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640AC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E486" w14:textId="77777777" w:rsidR="003F7EC6" w:rsidRPr="00AC3C60" w:rsidRDefault="003F7EC6" w:rsidP="005250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Inner city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9A95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1EEC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0094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F41F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FCBAA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6901" w14:textId="189C099C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B37B00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04E8" w14:textId="21E15BA1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="00B37B00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254E" w14:textId="4196AE44" w:rsidR="003F7EC6" w:rsidRPr="00AC3C60" w:rsidRDefault="00B37B00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</w:tr>
      <w:tr w:rsidR="00AC3C60" w:rsidRPr="00AC3C60" w14:paraId="69846676" w14:textId="77777777" w:rsidTr="00564356">
        <w:trPr>
          <w:trHeight w:val="300"/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6E17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6C01" w14:textId="77777777" w:rsidR="003F7EC6" w:rsidRPr="00AC3C60" w:rsidRDefault="003F7EC6" w:rsidP="005250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41BF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21EFE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D19D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379F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33DB7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383A" w14:textId="5522F6CF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B4C2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3CFC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C60" w:rsidRPr="00AC3C60" w14:paraId="5184AE53" w14:textId="77777777" w:rsidTr="00564356">
        <w:trPr>
          <w:trHeight w:val="300"/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B1AF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Others in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C40DF" w14:textId="77777777" w:rsidR="003F7EC6" w:rsidRPr="00AC3C60" w:rsidRDefault="003F7EC6" w:rsidP="005250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Live alone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6AA0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5E22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084F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7CE3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FBC2F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91A5" w14:textId="4A96DB1C" w:rsidR="003F7EC6" w:rsidRPr="00AC3C60" w:rsidRDefault="000B78FC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4B6B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19.0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380A" w14:textId="14E37B55" w:rsidR="003F7EC6" w:rsidRPr="00AC3C60" w:rsidRDefault="000B78FC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22.0</w:t>
            </w:r>
          </w:p>
        </w:tc>
      </w:tr>
      <w:tr w:rsidR="00AC3C60" w:rsidRPr="00AC3C60" w14:paraId="10C543EB" w14:textId="77777777" w:rsidTr="00564356">
        <w:trPr>
          <w:trHeight w:val="300"/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860F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household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DA77" w14:textId="77777777" w:rsidR="003F7EC6" w:rsidRPr="00AC3C60" w:rsidRDefault="003F7EC6" w:rsidP="005250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Children (&lt;13)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1274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8C23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E3B2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22.9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05D2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86BA4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BE05" w14:textId="5ACC906A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="000B78FC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BDA1" w14:textId="5BF3998D" w:rsidR="003F7EC6" w:rsidRPr="00AC3C60" w:rsidRDefault="000B78FC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22.9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B8E0D" w14:textId="34E41056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="000B78FC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3C60" w:rsidRPr="00AC3C60" w14:paraId="4998E7AE" w14:textId="77777777" w:rsidTr="00564356">
        <w:trPr>
          <w:trHeight w:val="300"/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54E0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12A7" w14:textId="77777777" w:rsidR="003F7EC6" w:rsidRPr="00AC3C60" w:rsidRDefault="003F7EC6" w:rsidP="005250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Teenagers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857C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A057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0F95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19.9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A922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10082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1DC0" w14:textId="0F16622D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E266A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9E47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9.9</w:t>
            </w:r>
          </w:p>
        </w:tc>
      </w:tr>
      <w:tr w:rsidR="00AC3C60" w:rsidRPr="00AC3C60" w14:paraId="569F46E5" w14:textId="77777777" w:rsidTr="00564356">
        <w:trPr>
          <w:trHeight w:val="300"/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CC88B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372A" w14:textId="77777777" w:rsidR="003F7EC6" w:rsidRPr="00AC3C60" w:rsidRDefault="003F7EC6" w:rsidP="005250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Other adults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F28B7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C1E2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82.7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C6ED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88.0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6B68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83.9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1D23F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1664" w14:textId="6415001A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75.8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CC74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77.8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349D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76.4</w:t>
            </w:r>
          </w:p>
        </w:tc>
      </w:tr>
      <w:tr w:rsidR="00AC3C60" w:rsidRPr="00AC3C60" w14:paraId="516F9B29" w14:textId="77777777" w:rsidTr="00564356">
        <w:trPr>
          <w:trHeight w:val="300"/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B38E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2BCC" w14:textId="77777777" w:rsidR="003F7EC6" w:rsidRPr="00AC3C60" w:rsidRDefault="003F7EC6" w:rsidP="005250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0974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608A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46DA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7064A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89FD2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51D7" w14:textId="5AC28C99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86E3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18DF4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C60" w:rsidRPr="00AC3C60" w14:paraId="7CFBF9E9" w14:textId="77777777" w:rsidTr="00564356">
        <w:trPr>
          <w:trHeight w:val="300"/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65B6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COVID-19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CD96" w14:textId="77777777" w:rsidR="003F7EC6" w:rsidRPr="00AC3C60" w:rsidRDefault="003F7EC6" w:rsidP="005250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Had virus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BE7F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E128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79F43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59E1C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6A017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B93A" w14:textId="28ABDC12" w:rsidR="003F7EC6" w:rsidRPr="00AC3C60" w:rsidRDefault="000B78FC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86F7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819B" w14:textId="3274EEF5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0B78FC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7EC6" w:rsidRPr="00AC3C60" w14:paraId="6FDBF6D7" w14:textId="77777777" w:rsidTr="00564356">
        <w:trPr>
          <w:trHeight w:val="300"/>
          <w:jc w:val="center"/>
        </w:trPr>
        <w:tc>
          <w:tcPr>
            <w:tcW w:w="11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F6158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656FF" w14:textId="77777777" w:rsidR="003F7EC6" w:rsidRPr="00AC3C60" w:rsidRDefault="003F7EC6" w:rsidP="005250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Self-isolated/ Shielded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428F0" w14:textId="77777777" w:rsidR="003F7EC6" w:rsidRPr="00AC3C60" w:rsidRDefault="003F7EC6" w:rsidP="003F7E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350C9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F0171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24.9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71E65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32.7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B2B241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543FA" w14:textId="0D11DF5D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33.6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D8485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36.2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1ACB7" w14:textId="77777777" w:rsidR="003F7EC6" w:rsidRPr="00AC3C60" w:rsidRDefault="003F7EC6" w:rsidP="003F7EC6">
            <w:pPr>
              <w:tabs>
                <w:tab w:val="decimal" w:pos="4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34.4</w:t>
            </w:r>
          </w:p>
        </w:tc>
      </w:tr>
    </w:tbl>
    <w:p w14:paraId="5A44B03A" w14:textId="77777777" w:rsidR="00484BEE" w:rsidRPr="00AC3C60" w:rsidRDefault="00484BEE" w:rsidP="00C905BF">
      <w:pPr>
        <w:rPr>
          <w:rFonts w:ascii="Times New Roman" w:hAnsi="Times New Roman" w:cs="Times New Roman"/>
          <w:sz w:val="24"/>
          <w:szCs w:val="24"/>
        </w:rPr>
      </w:pPr>
    </w:p>
    <w:p w14:paraId="459EFC99" w14:textId="6664DB5C" w:rsidR="008E32A0" w:rsidRPr="00AC3C60" w:rsidRDefault="008E32A0" w:rsidP="00C905BF">
      <w:pPr>
        <w:rPr>
          <w:rFonts w:ascii="Times New Roman" w:hAnsi="Times New Roman" w:cs="Times New Roman"/>
          <w:sz w:val="24"/>
          <w:szCs w:val="24"/>
        </w:rPr>
      </w:pPr>
    </w:p>
    <w:p w14:paraId="012DB342" w14:textId="77777777" w:rsidR="00C36027" w:rsidRPr="00AC3C60" w:rsidRDefault="005054E7" w:rsidP="00C36027">
      <w:pPr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t xml:space="preserve">Note. </w:t>
      </w:r>
      <w:r w:rsidR="00DE53AA" w:rsidRPr="00AC3C60">
        <w:rPr>
          <w:rFonts w:ascii="Times New Roman" w:hAnsi="Times New Roman" w:cs="Times New Roman"/>
          <w:sz w:val="24"/>
          <w:szCs w:val="24"/>
        </w:rPr>
        <w:t xml:space="preserve">The lay samples excluded those in authorised lay </w:t>
      </w:r>
      <w:r w:rsidR="000677DE" w:rsidRPr="00AC3C60">
        <w:rPr>
          <w:rFonts w:ascii="Times New Roman" w:hAnsi="Times New Roman" w:cs="Times New Roman"/>
          <w:sz w:val="24"/>
          <w:szCs w:val="24"/>
        </w:rPr>
        <w:t xml:space="preserve">ministries, the </w:t>
      </w:r>
      <w:r w:rsidR="00357C2B" w:rsidRPr="00AC3C60">
        <w:rPr>
          <w:rFonts w:ascii="Times New Roman" w:hAnsi="Times New Roman" w:cs="Times New Roman"/>
          <w:sz w:val="24"/>
          <w:szCs w:val="24"/>
        </w:rPr>
        <w:t>ordained</w:t>
      </w:r>
      <w:r w:rsidR="000677DE" w:rsidRPr="00AC3C60">
        <w:rPr>
          <w:rFonts w:ascii="Times New Roman" w:hAnsi="Times New Roman" w:cs="Times New Roman"/>
          <w:sz w:val="24"/>
          <w:szCs w:val="24"/>
        </w:rPr>
        <w:t xml:space="preserve"> sample</w:t>
      </w:r>
      <w:r w:rsidR="00357C2B" w:rsidRPr="00AC3C60">
        <w:rPr>
          <w:rFonts w:ascii="Times New Roman" w:hAnsi="Times New Roman" w:cs="Times New Roman"/>
          <w:sz w:val="24"/>
          <w:szCs w:val="24"/>
        </w:rPr>
        <w:t>s</w:t>
      </w:r>
      <w:r w:rsidR="000677DE" w:rsidRPr="00AC3C60">
        <w:rPr>
          <w:rFonts w:ascii="Times New Roman" w:hAnsi="Times New Roman" w:cs="Times New Roman"/>
          <w:sz w:val="24"/>
          <w:szCs w:val="24"/>
        </w:rPr>
        <w:t xml:space="preserve"> were stipendiary parochial </w:t>
      </w:r>
      <w:r w:rsidR="002C1E50" w:rsidRPr="00AC3C60">
        <w:rPr>
          <w:rFonts w:ascii="Times New Roman" w:hAnsi="Times New Roman" w:cs="Times New Roman"/>
          <w:sz w:val="24"/>
          <w:szCs w:val="24"/>
        </w:rPr>
        <w:t>clergy.</w:t>
      </w:r>
    </w:p>
    <w:p w14:paraId="021C2CF5" w14:textId="77777777" w:rsidR="00C36027" w:rsidRPr="00AC3C60" w:rsidRDefault="00C3602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br w:type="page"/>
      </w:r>
    </w:p>
    <w:p w14:paraId="1A4D239B" w14:textId="5142935D" w:rsidR="00D0722F" w:rsidRPr="00AC3C60" w:rsidRDefault="00D0722F" w:rsidP="00C36027">
      <w:pPr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lastRenderedPageBreak/>
        <w:t>Table 2</w:t>
      </w:r>
    </w:p>
    <w:p w14:paraId="06CA6B7B" w14:textId="31F365A6" w:rsidR="00C36027" w:rsidRPr="00AC3C60" w:rsidRDefault="0015333A" w:rsidP="00447F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C3C60">
        <w:rPr>
          <w:rFonts w:ascii="Times New Roman" w:hAnsi="Times New Roman" w:cs="Times New Roman"/>
          <w:i/>
          <w:iCs/>
          <w:sz w:val="24"/>
          <w:szCs w:val="24"/>
        </w:rPr>
        <w:t xml:space="preserve">Changes in affect item responses between surveys for </w:t>
      </w:r>
      <w:r w:rsidR="00B93DD8" w:rsidRPr="00AC3C60">
        <w:rPr>
          <w:rFonts w:ascii="Times New Roman" w:hAnsi="Times New Roman" w:cs="Times New Roman"/>
          <w:i/>
          <w:iCs/>
          <w:sz w:val="24"/>
          <w:szCs w:val="24"/>
        </w:rPr>
        <w:t>Church of England laity</w:t>
      </w:r>
    </w:p>
    <w:p w14:paraId="2E026316" w14:textId="77777777" w:rsidR="00C36027" w:rsidRPr="00AC3C60" w:rsidRDefault="00C36027" w:rsidP="00447F6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61" w:type="dxa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40"/>
        <w:gridCol w:w="960"/>
        <w:gridCol w:w="960"/>
        <w:gridCol w:w="960"/>
        <w:gridCol w:w="283"/>
        <w:gridCol w:w="960"/>
        <w:gridCol w:w="960"/>
        <w:gridCol w:w="960"/>
        <w:gridCol w:w="236"/>
        <w:gridCol w:w="1142"/>
      </w:tblGrid>
      <w:tr w:rsidR="00AC3C60" w:rsidRPr="00AC3C60" w14:paraId="0AF4B14F" w14:textId="77777777" w:rsidTr="00897463">
        <w:trPr>
          <w:trHeight w:val="300"/>
          <w:jc w:val="center"/>
        </w:trPr>
        <w:tc>
          <w:tcPr>
            <w:tcW w:w="1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ABD3C" w14:textId="77777777" w:rsidR="000577B7" w:rsidRPr="00AC3C60" w:rsidRDefault="000577B7" w:rsidP="00057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52F0B" w14:textId="77777777" w:rsidR="000577B7" w:rsidRPr="00AC3C60" w:rsidRDefault="000577B7" w:rsidP="00CF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Survey 1</w:t>
            </w:r>
          </w:p>
          <w:p w14:paraId="2C742E4C" w14:textId="4AD21655" w:rsidR="000577B7" w:rsidRPr="00AC3C60" w:rsidRDefault="000577B7" w:rsidP="00CF483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C3C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 </w:t>
            </w: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="00CF483E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281</w:t>
            </w:r>
            <w:r w:rsidR="00897463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F483E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0EFEE" w14:textId="77777777" w:rsidR="000577B7" w:rsidRPr="00AC3C60" w:rsidRDefault="000577B7" w:rsidP="00CF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273C8" w14:textId="5DF5C550" w:rsidR="00CF483E" w:rsidRPr="00AC3C60" w:rsidRDefault="00CF483E" w:rsidP="00CF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Survey 2</w:t>
            </w:r>
          </w:p>
          <w:p w14:paraId="05CA29B2" w14:textId="00192B53" w:rsidR="000577B7" w:rsidRPr="00AC3C60" w:rsidRDefault="00CF483E" w:rsidP="00CF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C3C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 </w:t>
            </w: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="00897463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1027</w:t>
            </w: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E5566" w14:textId="77777777" w:rsidR="000577B7" w:rsidRPr="00AC3C60" w:rsidRDefault="000577B7" w:rsidP="00057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F0BB0" w14:textId="77777777" w:rsidR="000577B7" w:rsidRPr="00AC3C60" w:rsidRDefault="000577B7" w:rsidP="00057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C60" w:rsidRPr="00AC3C60" w14:paraId="3165772E" w14:textId="77777777" w:rsidTr="00897463">
        <w:trPr>
          <w:trHeight w:val="300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7D41" w14:textId="77777777" w:rsidR="000577B7" w:rsidRPr="00AC3C60" w:rsidRDefault="000577B7" w:rsidP="00057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6F55D" w14:textId="77777777" w:rsidR="000577B7" w:rsidRPr="00AC3C60" w:rsidRDefault="000577B7" w:rsidP="009B7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Less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FC6F5" w14:textId="77777777" w:rsidR="000577B7" w:rsidRPr="00AC3C60" w:rsidRDefault="000577B7" w:rsidP="009B7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Same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05422" w14:textId="77777777" w:rsidR="000577B7" w:rsidRPr="00AC3C60" w:rsidRDefault="000577B7" w:rsidP="009B7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More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7FDD" w14:textId="77777777" w:rsidR="000577B7" w:rsidRPr="00AC3C60" w:rsidRDefault="000577B7" w:rsidP="009B7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63925" w14:textId="77777777" w:rsidR="000577B7" w:rsidRPr="00AC3C60" w:rsidRDefault="000577B7" w:rsidP="009B7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Less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B388D" w14:textId="77777777" w:rsidR="000577B7" w:rsidRPr="00AC3C60" w:rsidRDefault="000577B7" w:rsidP="009B7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Same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559A9" w14:textId="77777777" w:rsidR="000577B7" w:rsidRPr="00AC3C60" w:rsidRDefault="000577B7" w:rsidP="009B7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More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531A" w14:textId="77777777" w:rsidR="000577B7" w:rsidRPr="00AC3C60" w:rsidRDefault="000577B7" w:rsidP="00057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9FAD0" w14:textId="6896A7DC" w:rsidR="000577B7" w:rsidRPr="00AC3C60" w:rsidRDefault="000577B7" w:rsidP="00CF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C3C60" w:rsidRPr="00AC3C60" w14:paraId="3AC45BA4" w14:textId="77777777" w:rsidTr="00897463">
        <w:trPr>
          <w:trHeight w:val="300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DC48F" w14:textId="77777777" w:rsidR="000577B7" w:rsidRPr="00AC3C60" w:rsidRDefault="000577B7" w:rsidP="00057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EA56A0" w14:textId="30BB22AD" w:rsidR="000577B7" w:rsidRPr="00AC3C60" w:rsidRDefault="000577B7" w:rsidP="009B7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0A0634" w14:textId="5C7EB2B0" w:rsidR="000577B7" w:rsidRPr="00AC3C60" w:rsidRDefault="000577B7" w:rsidP="009B7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9CB6B5" w14:textId="0399E728" w:rsidR="000577B7" w:rsidRPr="00AC3C60" w:rsidRDefault="000577B7" w:rsidP="009B7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A11F9" w14:textId="77777777" w:rsidR="000577B7" w:rsidRPr="00AC3C60" w:rsidRDefault="000577B7" w:rsidP="009B7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305D97" w14:textId="42458C26" w:rsidR="000577B7" w:rsidRPr="00AC3C60" w:rsidRDefault="000577B7" w:rsidP="009B7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83456A" w14:textId="011E6480" w:rsidR="000577B7" w:rsidRPr="00AC3C60" w:rsidRDefault="000577B7" w:rsidP="009B7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0AF25D" w14:textId="06023C0C" w:rsidR="000577B7" w:rsidRPr="00AC3C60" w:rsidRDefault="000577B7" w:rsidP="009B7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0A11E" w14:textId="77777777" w:rsidR="000577B7" w:rsidRPr="00AC3C60" w:rsidRDefault="000577B7" w:rsidP="00057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31D2BD" w14:textId="76B28A2C" w:rsidR="000577B7" w:rsidRPr="00AC3C60" w:rsidRDefault="009B765D" w:rsidP="009B7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χ</w:t>
            </w: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AC3C60" w:rsidRPr="00AC3C60" w14:paraId="42A5C3E2" w14:textId="77777777" w:rsidTr="00897463">
        <w:trPr>
          <w:trHeight w:val="300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74E0B" w14:textId="1A72AB17" w:rsidR="009B765D" w:rsidRPr="00AC3C60" w:rsidRDefault="009B765D" w:rsidP="00057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Positive affect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9FB9A" w14:textId="77777777" w:rsidR="009B765D" w:rsidRPr="00AC3C60" w:rsidRDefault="009B765D" w:rsidP="00057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6034E" w14:textId="77777777" w:rsidR="009B765D" w:rsidRPr="00AC3C60" w:rsidRDefault="009B765D" w:rsidP="00057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9C8AA" w14:textId="77777777" w:rsidR="009B765D" w:rsidRPr="00AC3C60" w:rsidRDefault="009B765D" w:rsidP="00057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3E905" w14:textId="77777777" w:rsidR="009B765D" w:rsidRPr="00AC3C60" w:rsidRDefault="009B765D" w:rsidP="00057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F0E54" w14:textId="77777777" w:rsidR="009B765D" w:rsidRPr="00AC3C60" w:rsidRDefault="009B765D" w:rsidP="00057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5781E" w14:textId="77777777" w:rsidR="009B765D" w:rsidRPr="00AC3C60" w:rsidRDefault="009B765D" w:rsidP="00057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DFB4D" w14:textId="77777777" w:rsidR="009B765D" w:rsidRPr="00AC3C60" w:rsidRDefault="009B765D" w:rsidP="00057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EA21A" w14:textId="77777777" w:rsidR="009B765D" w:rsidRPr="00AC3C60" w:rsidRDefault="009B765D" w:rsidP="00057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D6CDA" w14:textId="77777777" w:rsidR="009B765D" w:rsidRPr="00AC3C60" w:rsidRDefault="009B765D" w:rsidP="00057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C60" w:rsidRPr="00AC3C60" w14:paraId="58DE3A30" w14:textId="77777777" w:rsidTr="00897463">
        <w:trPr>
          <w:trHeight w:val="300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E46C" w14:textId="77777777" w:rsidR="00897463" w:rsidRPr="00AC3C60" w:rsidRDefault="00897463" w:rsidP="0089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Excited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CCC5D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F069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EA2C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87E7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4D0F" w14:textId="5564FBB6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39D9" w14:textId="4CE573F1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2E45" w14:textId="54082F3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F13E" w14:textId="77777777" w:rsidR="00897463" w:rsidRPr="00AC3C60" w:rsidRDefault="00897463" w:rsidP="0089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D21B" w14:textId="26743BF9" w:rsidR="00897463" w:rsidRPr="00AC3C60" w:rsidRDefault="00897463" w:rsidP="00897463">
            <w:pPr>
              <w:tabs>
                <w:tab w:val="decimal" w:pos="430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151.6</w:t>
            </w:r>
            <w:r w:rsidRPr="00AC3C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AC3C60" w:rsidRPr="00AC3C60" w14:paraId="49F2E98D" w14:textId="77777777" w:rsidTr="00897463">
        <w:trPr>
          <w:trHeight w:val="300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35AA3" w14:textId="77777777" w:rsidR="00897463" w:rsidRPr="00AC3C60" w:rsidRDefault="00897463" w:rsidP="0089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Happy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1FA4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BD27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748F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614D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8828" w14:textId="2973AB0F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67C9" w14:textId="2EF6531F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4A3B" w14:textId="30E5A5C4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3ACD2" w14:textId="77777777" w:rsidR="00897463" w:rsidRPr="00AC3C60" w:rsidRDefault="00897463" w:rsidP="0089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EA01" w14:textId="08FED7B8" w:rsidR="00897463" w:rsidRPr="00AC3C60" w:rsidRDefault="00897463" w:rsidP="00897463">
            <w:pPr>
              <w:tabs>
                <w:tab w:val="decimal" w:pos="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76.4</w:t>
            </w:r>
            <w:r w:rsidRPr="00AC3C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AC3C60" w:rsidRPr="00AC3C60" w14:paraId="2DEFCA60" w14:textId="77777777" w:rsidTr="00897463">
        <w:trPr>
          <w:trHeight w:val="300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0C89" w14:textId="77777777" w:rsidR="00897463" w:rsidRPr="00AC3C60" w:rsidRDefault="00897463" w:rsidP="0089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Confident</w:t>
            </w:r>
            <w:bookmarkStart w:id="1" w:name="_Hlk80862370"/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†</w:t>
            </w:r>
            <w:bookmarkEnd w:id="1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8B43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3240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A1D6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4764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8718" w14:textId="45403918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6D4C" w14:textId="3213646A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E4AF" w14:textId="7588C31F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F2E0" w14:textId="77777777" w:rsidR="00897463" w:rsidRPr="00AC3C60" w:rsidRDefault="00897463" w:rsidP="0089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6B64" w14:textId="44BC2878" w:rsidR="00897463" w:rsidRPr="00AC3C60" w:rsidRDefault="00897463" w:rsidP="00897463">
            <w:pPr>
              <w:tabs>
                <w:tab w:val="decimal" w:pos="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114.4</w:t>
            </w:r>
            <w:r w:rsidRPr="00AC3C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AC3C60" w:rsidRPr="00AC3C60" w14:paraId="669F6226" w14:textId="77777777" w:rsidTr="00897463">
        <w:trPr>
          <w:trHeight w:val="300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6596" w14:textId="77777777" w:rsidR="00897463" w:rsidRPr="00AC3C60" w:rsidRDefault="00897463" w:rsidP="0089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Hopeful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E603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E3FB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F48A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4299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DA12" w14:textId="4DAB23FA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D35B" w14:textId="63D66356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3CC5" w14:textId="4CD9BBB0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554B" w14:textId="77777777" w:rsidR="00897463" w:rsidRPr="00AC3C60" w:rsidRDefault="00897463" w:rsidP="0089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DE4F" w14:textId="4D097C2B" w:rsidR="00897463" w:rsidRPr="00AC3C60" w:rsidRDefault="00897463" w:rsidP="00897463">
            <w:pPr>
              <w:tabs>
                <w:tab w:val="decimal" w:pos="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37.5</w:t>
            </w:r>
            <w:r w:rsidRPr="00AC3C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AC3C60" w:rsidRPr="00AC3C60" w14:paraId="747E5360" w14:textId="77777777" w:rsidTr="00897463">
        <w:trPr>
          <w:trHeight w:val="300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6656B" w14:textId="77777777" w:rsidR="00897463" w:rsidRPr="00AC3C60" w:rsidRDefault="00897463" w:rsidP="0089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Thankful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AC37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74A7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E6C2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943D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DA59" w14:textId="67AC3766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81A3" w14:textId="3A7E4FBA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4D58" w14:textId="2313675C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D7A6" w14:textId="77777777" w:rsidR="00897463" w:rsidRPr="00AC3C60" w:rsidRDefault="00897463" w:rsidP="0089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DB5D" w14:textId="34790484" w:rsidR="00897463" w:rsidRPr="00AC3C60" w:rsidRDefault="00897463" w:rsidP="00897463">
            <w:pPr>
              <w:tabs>
                <w:tab w:val="decimal" w:pos="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</w:tr>
      <w:tr w:rsidR="00AC3C60" w:rsidRPr="00AC3C60" w14:paraId="32E92410" w14:textId="77777777" w:rsidTr="00897463">
        <w:trPr>
          <w:trHeight w:val="300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ECC93" w14:textId="77777777" w:rsidR="009B765D" w:rsidRPr="00AC3C60" w:rsidRDefault="009B765D" w:rsidP="00DA2B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AFD8A" w14:textId="77777777" w:rsidR="009B765D" w:rsidRPr="00AC3C60" w:rsidRDefault="009B765D" w:rsidP="00DA2B38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D84AE" w14:textId="77777777" w:rsidR="009B765D" w:rsidRPr="00AC3C60" w:rsidRDefault="009B765D" w:rsidP="00DA2B38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7D045" w14:textId="77777777" w:rsidR="009B765D" w:rsidRPr="00AC3C60" w:rsidRDefault="009B765D" w:rsidP="00DA2B38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D9E5D" w14:textId="77777777" w:rsidR="009B765D" w:rsidRPr="00AC3C60" w:rsidRDefault="009B765D" w:rsidP="00DA2B38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13192" w14:textId="77777777" w:rsidR="009B765D" w:rsidRPr="00AC3C60" w:rsidRDefault="009B765D" w:rsidP="00DA2B38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79B70" w14:textId="77777777" w:rsidR="009B765D" w:rsidRPr="00AC3C60" w:rsidRDefault="009B765D" w:rsidP="00DA2B38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2D2A7" w14:textId="77777777" w:rsidR="009B765D" w:rsidRPr="00AC3C60" w:rsidRDefault="009B765D" w:rsidP="00DA2B38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84EFF" w14:textId="77777777" w:rsidR="009B765D" w:rsidRPr="00AC3C60" w:rsidRDefault="009B765D" w:rsidP="00DA2B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B7B62" w14:textId="77777777" w:rsidR="009B765D" w:rsidRPr="00AC3C60" w:rsidRDefault="009B765D" w:rsidP="00DA2B38">
            <w:pPr>
              <w:tabs>
                <w:tab w:val="decimal" w:pos="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C60" w:rsidRPr="00AC3C60" w14:paraId="798195F8" w14:textId="77777777" w:rsidTr="00897463">
        <w:trPr>
          <w:trHeight w:val="300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F7111" w14:textId="492EBD25" w:rsidR="009B765D" w:rsidRPr="00AC3C60" w:rsidRDefault="009B765D" w:rsidP="00DA2B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Negative affect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17950" w14:textId="77777777" w:rsidR="009B765D" w:rsidRPr="00AC3C60" w:rsidRDefault="009B765D" w:rsidP="00DA2B38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7A743" w14:textId="77777777" w:rsidR="009B765D" w:rsidRPr="00AC3C60" w:rsidRDefault="009B765D" w:rsidP="00DA2B38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88DD5" w14:textId="77777777" w:rsidR="009B765D" w:rsidRPr="00AC3C60" w:rsidRDefault="009B765D" w:rsidP="00DA2B38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5EBB5" w14:textId="77777777" w:rsidR="009B765D" w:rsidRPr="00AC3C60" w:rsidRDefault="009B765D" w:rsidP="00DA2B38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07BF5" w14:textId="77777777" w:rsidR="009B765D" w:rsidRPr="00AC3C60" w:rsidRDefault="009B765D" w:rsidP="00DA2B38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053DA" w14:textId="77777777" w:rsidR="009B765D" w:rsidRPr="00AC3C60" w:rsidRDefault="009B765D" w:rsidP="00DA2B38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D90C2" w14:textId="77777777" w:rsidR="009B765D" w:rsidRPr="00AC3C60" w:rsidRDefault="009B765D" w:rsidP="00DA2B38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75605" w14:textId="77777777" w:rsidR="009B765D" w:rsidRPr="00AC3C60" w:rsidRDefault="009B765D" w:rsidP="00DA2B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BB4BC" w14:textId="77777777" w:rsidR="009B765D" w:rsidRPr="00AC3C60" w:rsidRDefault="009B765D" w:rsidP="00DA2B38">
            <w:pPr>
              <w:tabs>
                <w:tab w:val="decimal" w:pos="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C60" w:rsidRPr="00AC3C60" w14:paraId="28B0EBBF" w14:textId="77777777" w:rsidTr="00897463">
        <w:trPr>
          <w:trHeight w:val="300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B22E5" w14:textId="77777777" w:rsidR="00897463" w:rsidRPr="00AC3C60" w:rsidRDefault="00897463" w:rsidP="0089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Frustrated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94C5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5FA6C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C532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DDF56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2676" w14:textId="654802F1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68FD" w14:textId="71840D9B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8FDE" w14:textId="250DC9BA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2F50" w14:textId="77777777" w:rsidR="00897463" w:rsidRPr="00AC3C60" w:rsidRDefault="00897463" w:rsidP="0089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C69D" w14:textId="40CF361E" w:rsidR="00897463" w:rsidRPr="00AC3C60" w:rsidRDefault="00897463" w:rsidP="00897463">
            <w:pPr>
              <w:tabs>
                <w:tab w:val="decimal" w:pos="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107.1</w:t>
            </w:r>
            <w:r w:rsidRPr="00AC3C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AC3C60" w:rsidRPr="00AC3C60" w14:paraId="2D0AD7ED" w14:textId="77777777" w:rsidTr="00897463">
        <w:trPr>
          <w:trHeight w:val="300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A323" w14:textId="77777777" w:rsidR="00897463" w:rsidRPr="00AC3C60" w:rsidRDefault="00897463" w:rsidP="0089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Anxious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E5087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42A93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239F1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CC03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5902" w14:textId="3D373A9D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9E42" w14:textId="7B0FFED1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1F79" w14:textId="7F68F05A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221A" w14:textId="77777777" w:rsidR="00897463" w:rsidRPr="00AC3C60" w:rsidRDefault="00897463" w:rsidP="0089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FB51" w14:textId="083E8A85" w:rsidR="00897463" w:rsidRPr="00AC3C60" w:rsidRDefault="00897463" w:rsidP="00897463">
            <w:pPr>
              <w:tabs>
                <w:tab w:val="decimal" w:pos="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61.2</w:t>
            </w:r>
            <w:r w:rsidRPr="00AC3C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AC3C60" w:rsidRPr="00AC3C60" w14:paraId="7D0F67F7" w14:textId="77777777" w:rsidTr="00897463">
        <w:trPr>
          <w:trHeight w:val="300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70EC" w14:textId="77777777" w:rsidR="00897463" w:rsidRPr="00AC3C60" w:rsidRDefault="00897463" w:rsidP="0089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Exhausted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ACEB2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86F03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92BD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555E6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64D8" w14:textId="7329F820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6D36" w14:textId="0469926C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9A0B" w14:textId="14167156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6147" w14:textId="77777777" w:rsidR="00897463" w:rsidRPr="00AC3C60" w:rsidRDefault="00897463" w:rsidP="0089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AD00" w14:textId="68602F8C" w:rsidR="00897463" w:rsidRPr="00AC3C60" w:rsidRDefault="00897463" w:rsidP="00897463">
            <w:pPr>
              <w:tabs>
                <w:tab w:val="decimal" w:pos="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49.7</w:t>
            </w:r>
            <w:r w:rsidRPr="00AC3C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AC3C60" w:rsidRPr="00AC3C60" w14:paraId="0CCC7F4C" w14:textId="77777777" w:rsidTr="00897463">
        <w:trPr>
          <w:trHeight w:val="300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D8D1" w14:textId="77777777" w:rsidR="00897463" w:rsidRPr="00AC3C60" w:rsidRDefault="00897463" w:rsidP="0089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Stressed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B5AC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3691D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7160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E42D2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D185" w14:textId="6575FF01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B827" w14:textId="69D1B8B8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8C09" w14:textId="2C0677BF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DCE8" w14:textId="77777777" w:rsidR="00897463" w:rsidRPr="00AC3C60" w:rsidRDefault="00897463" w:rsidP="0089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8D7E" w14:textId="70222BB1" w:rsidR="00897463" w:rsidRPr="00AC3C60" w:rsidRDefault="00897463" w:rsidP="00897463">
            <w:pPr>
              <w:tabs>
                <w:tab w:val="decimal" w:pos="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32.2</w:t>
            </w:r>
            <w:r w:rsidRPr="00AC3C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897463" w:rsidRPr="00AC3C60" w14:paraId="316A8D68" w14:textId="77777777" w:rsidTr="00897463">
        <w:trPr>
          <w:trHeight w:val="300"/>
          <w:jc w:val="center"/>
        </w:trPr>
        <w:tc>
          <w:tcPr>
            <w:tcW w:w="17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B96DD" w14:textId="2A26A4E4" w:rsidR="00897463" w:rsidRPr="00AC3C60" w:rsidRDefault="00897463" w:rsidP="0089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Fatigued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7645E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239F2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5E3EA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54A2B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1ACC4" w14:textId="3FA676C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DA742" w14:textId="39B1379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65076" w14:textId="65FCFE4D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9B5A2" w14:textId="77777777" w:rsidR="00897463" w:rsidRPr="00AC3C60" w:rsidRDefault="00897463" w:rsidP="0089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9B782" w14:textId="70966CFD" w:rsidR="00897463" w:rsidRPr="00AC3C60" w:rsidRDefault="00897463" w:rsidP="00897463">
            <w:pPr>
              <w:tabs>
                <w:tab w:val="decimal" w:pos="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  <w:r w:rsidRPr="00AC3C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</w:tr>
    </w:tbl>
    <w:p w14:paraId="14CCB112" w14:textId="77777777" w:rsidR="00C36027" w:rsidRPr="00AC3C60" w:rsidRDefault="00C36027" w:rsidP="00447F6C">
      <w:pPr>
        <w:rPr>
          <w:rFonts w:ascii="Times New Roman" w:hAnsi="Times New Roman" w:cs="Times New Roman"/>
          <w:sz w:val="24"/>
          <w:szCs w:val="24"/>
        </w:rPr>
      </w:pPr>
    </w:p>
    <w:p w14:paraId="3EE7C730" w14:textId="77777777" w:rsidR="00C36027" w:rsidRPr="00AC3C60" w:rsidRDefault="00C36027" w:rsidP="00447F6C">
      <w:pPr>
        <w:rPr>
          <w:rFonts w:ascii="Times New Roman" w:hAnsi="Times New Roman" w:cs="Times New Roman"/>
          <w:sz w:val="24"/>
          <w:szCs w:val="24"/>
        </w:rPr>
      </w:pPr>
    </w:p>
    <w:p w14:paraId="67C4DDFF" w14:textId="77777777" w:rsidR="00C36027" w:rsidRPr="00AC3C60" w:rsidRDefault="00C36027" w:rsidP="00447F6C">
      <w:pPr>
        <w:rPr>
          <w:rFonts w:ascii="Times New Roman" w:hAnsi="Times New Roman" w:cs="Times New Roman"/>
          <w:sz w:val="24"/>
          <w:szCs w:val="24"/>
        </w:rPr>
      </w:pPr>
    </w:p>
    <w:p w14:paraId="45AC64A5" w14:textId="77777777" w:rsidR="00C36027" w:rsidRPr="00AC3C60" w:rsidRDefault="00C36027" w:rsidP="00447F6C">
      <w:pPr>
        <w:rPr>
          <w:rFonts w:ascii="Times New Roman" w:hAnsi="Times New Roman" w:cs="Times New Roman"/>
          <w:sz w:val="24"/>
          <w:szCs w:val="24"/>
        </w:rPr>
      </w:pPr>
    </w:p>
    <w:p w14:paraId="277F465F" w14:textId="196947C6" w:rsidR="00447F6C" w:rsidRPr="00AC3C60" w:rsidRDefault="00447F6C" w:rsidP="00447F6C">
      <w:pPr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t xml:space="preserve">Note. </w:t>
      </w:r>
      <w:r w:rsidRPr="00AC3C60">
        <w:rPr>
          <w:rFonts w:ascii="Times New Roman" w:hAnsi="Times New Roman" w:cs="Times New Roman"/>
          <w:sz w:val="24"/>
          <w:szCs w:val="24"/>
          <w:vertAlign w:val="superscript"/>
        </w:rPr>
        <w:t xml:space="preserve">** </w:t>
      </w:r>
      <w:r w:rsidRPr="00AC3C60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AC3C60">
        <w:rPr>
          <w:rFonts w:ascii="Times New Roman" w:hAnsi="Times New Roman" w:cs="Times New Roman"/>
          <w:sz w:val="24"/>
          <w:szCs w:val="24"/>
        </w:rPr>
        <w:t xml:space="preserve">&lt; .01; </w:t>
      </w:r>
      <w:r w:rsidRPr="00AC3C60">
        <w:rPr>
          <w:rFonts w:ascii="Times New Roman" w:hAnsi="Times New Roman" w:cs="Times New Roman"/>
          <w:sz w:val="24"/>
          <w:szCs w:val="24"/>
          <w:vertAlign w:val="superscript"/>
        </w:rPr>
        <w:t xml:space="preserve">*** </w:t>
      </w:r>
      <w:r w:rsidRPr="00AC3C60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AC3C60">
        <w:rPr>
          <w:rFonts w:ascii="Times New Roman" w:hAnsi="Times New Roman" w:cs="Times New Roman"/>
          <w:sz w:val="24"/>
          <w:szCs w:val="24"/>
        </w:rPr>
        <w:t>&lt; .001</w:t>
      </w:r>
      <w:r w:rsidR="00594522" w:rsidRPr="00AC3C60">
        <w:rPr>
          <w:rFonts w:ascii="Times New Roman" w:hAnsi="Times New Roman" w:cs="Times New Roman"/>
          <w:sz w:val="24"/>
          <w:szCs w:val="24"/>
        </w:rPr>
        <w:t xml:space="preserve">. </w:t>
      </w:r>
      <w:r w:rsidR="00594522" w:rsidRPr="00AC3C60">
        <w:rPr>
          <w:rFonts w:ascii="Times New Roman" w:hAnsi="Times New Roman" w:cs="Times New Roman"/>
          <w:sz w:val="24"/>
          <w:szCs w:val="24"/>
          <w:vertAlign w:val="superscript"/>
        </w:rPr>
        <w:t xml:space="preserve">† </w:t>
      </w:r>
      <w:r w:rsidR="00594522" w:rsidRPr="00AC3C60">
        <w:rPr>
          <w:rFonts w:ascii="Times New Roman" w:hAnsi="Times New Roman" w:cs="Times New Roman"/>
          <w:sz w:val="24"/>
          <w:szCs w:val="24"/>
        </w:rPr>
        <w:t>The term ‘Trust’ was used in survey 1.</w:t>
      </w:r>
    </w:p>
    <w:p w14:paraId="2CD35019" w14:textId="41B4AB65" w:rsidR="009B55E1" w:rsidRPr="00AC3C60" w:rsidRDefault="009B55E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7E840D58" w14:textId="77777777" w:rsidR="00C42B09" w:rsidRPr="00AC3C60" w:rsidRDefault="00C42B0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br w:type="page"/>
      </w:r>
    </w:p>
    <w:p w14:paraId="152DF783" w14:textId="0EA29650" w:rsidR="00C42B09" w:rsidRPr="00AC3C60" w:rsidRDefault="00C42B09" w:rsidP="00C42B09">
      <w:pPr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lastRenderedPageBreak/>
        <w:t>Table 3</w:t>
      </w:r>
    </w:p>
    <w:p w14:paraId="1F7D0F52" w14:textId="6DFFFA7F" w:rsidR="00C42B09" w:rsidRPr="00AC3C60" w:rsidRDefault="00C42B09" w:rsidP="00C42B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C3C60">
        <w:rPr>
          <w:rFonts w:ascii="Times New Roman" w:hAnsi="Times New Roman" w:cs="Times New Roman"/>
          <w:i/>
          <w:iCs/>
          <w:sz w:val="24"/>
          <w:szCs w:val="24"/>
        </w:rPr>
        <w:t xml:space="preserve">Changes in affect item responses between surveys for Church of England </w:t>
      </w:r>
      <w:r w:rsidR="001E0536" w:rsidRPr="00AC3C60">
        <w:rPr>
          <w:rFonts w:ascii="Times New Roman" w:hAnsi="Times New Roman" w:cs="Times New Roman"/>
          <w:i/>
          <w:iCs/>
          <w:sz w:val="24"/>
          <w:szCs w:val="24"/>
        </w:rPr>
        <w:t>clergy</w:t>
      </w:r>
    </w:p>
    <w:p w14:paraId="1BC16F25" w14:textId="77777777" w:rsidR="00C42B09" w:rsidRPr="00AC3C60" w:rsidRDefault="00C42B09" w:rsidP="00C42B0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61" w:type="dxa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40"/>
        <w:gridCol w:w="960"/>
        <w:gridCol w:w="960"/>
        <w:gridCol w:w="960"/>
        <w:gridCol w:w="283"/>
        <w:gridCol w:w="960"/>
        <w:gridCol w:w="960"/>
        <w:gridCol w:w="960"/>
        <w:gridCol w:w="236"/>
        <w:gridCol w:w="1142"/>
      </w:tblGrid>
      <w:tr w:rsidR="00AC3C60" w:rsidRPr="00AC3C60" w14:paraId="02D25EAF" w14:textId="77777777" w:rsidTr="00897463">
        <w:trPr>
          <w:trHeight w:val="300"/>
          <w:jc w:val="center"/>
        </w:trPr>
        <w:tc>
          <w:tcPr>
            <w:tcW w:w="1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19450" w14:textId="77777777" w:rsidR="00C42B09" w:rsidRPr="00AC3C60" w:rsidRDefault="00C42B09" w:rsidP="00DA2B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3B1E8" w14:textId="77777777" w:rsidR="00C42B09" w:rsidRPr="00AC3C60" w:rsidRDefault="00C42B09" w:rsidP="00DA2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Survey 1</w:t>
            </w:r>
          </w:p>
          <w:p w14:paraId="073CD9E4" w14:textId="6A0C0267" w:rsidR="00C42B09" w:rsidRPr="00AC3C60" w:rsidRDefault="00C42B09" w:rsidP="00DA2B3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C3C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 </w:t>
            </w: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="00305C0F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="00897463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FB3AE" w14:textId="77777777" w:rsidR="00C42B09" w:rsidRPr="00AC3C60" w:rsidRDefault="00C42B09" w:rsidP="00DA2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CE85C" w14:textId="77777777" w:rsidR="00C42B09" w:rsidRPr="00AC3C60" w:rsidRDefault="00C42B09" w:rsidP="00DA2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Survey 2</w:t>
            </w:r>
          </w:p>
          <w:p w14:paraId="5A0AFC91" w14:textId="227FC568" w:rsidR="00C42B09" w:rsidRPr="00AC3C60" w:rsidRDefault="00C42B09" w:rsidP="00DA2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C3C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 </w:t>
            </w: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="00305C0F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401</w:t>
            </w: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83D49" w14:textId="77777777" w:rsidR="00C42B09" w:rsidRPr="00AC3C60" w:rsidRDefault="00C42B09" w:rsidP="00DA2B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407F6" w14:textId="77777777" w:rsidR="00C42B09" w:rsidRPr="00AC3C60" w:rsidRDefault="00C42B09" w:rsidP="00DA2B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C60" w:rsidRPr="00AC3C60" w14:paraId="3CFDA583" w14:textId="77777777" w:rsidTr="00897463">
        <w:trPr>
          <w:trHeight w:val="300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0BDB" w14:textId="77777777" w:rsidR="00C42B09" w:rsidRPr="00AC3C60" w:rsidRDefault="00C42B09" w:rsidP="00DA2B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EB7CF" w14:textId="77777777" w:rsidR="00C42B09" w:rsidRPr="00AC3C60" w:rsidRDefault="00C42B09" w:rsidP="00DA2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Less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E7C95" w14:textId="77777777" w:rsidR="00C42B09" w:rsidRPr="00AC3C60" w:rsidRDefault="00C42B09" w:rsidP="00DA2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Same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E27B0" w14:textId="77777777" w:rsidR="00C42B09" w:rsidRPr="00AC3C60" w:rsidRDefault="00C42B09" w:rsidP="00DA2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More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5053" w14:textId="77777777" w:rsidR="00C42B09" w:rsidRPr="00AC3C60" w:rsidRDefault="00C42B09" w:rsidP="00DA2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73B45" w14:textId="77777777" w:rsidR="00C42B09" w:rsidRPr="00AC3C60" w:rsidRDefault="00C42B09" w:rsidP="00DA2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Less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9ABF7" w14:textId="77777777" w:rsidR="00C42B09" w:rsidRPr="00AC3C60" w:rsidRDefault="00C42B09" w:rsidP="00DA2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Same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72421" w14:textId="77777777" w:rsidR="00C42B09" w:rsidRPr="00AC3C60" w:rsidRDefault="00C42B09" w:rsidP="00DA2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More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FA6E" w14:textId="77777777" w:rsidR="00C42B09" w:rsidRPr="00AC3C60" w:rsidRDefault="00C42B09" w:rsidP="00DA2B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10BC7" w14:textId="77777777" w:rsidR="00C42B09" w:rsidRPr="00AC3C60" w:rsidRDefault="00C42B09" w:rsidP="00DA2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C3C60" w:rsidRPr="00AC3C60" w14:paraId="1DE06279" w14:textId="77777777" w:rsidTr="00897463">
        <w:trPr>
          <w:trHeight w:val="300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372B8" w14:textId="77777777" w:rsidR="00C42B09" w:rsidRPr="00AC3C60" w:rsidRDefault="00C42B09" w:rsidP="00DA2B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14FEC6" w14:textId="77777777" w:rsidR="00C42B09" w:rsidRPr="00AC3C60" w:rsidRDefault="00C42B09" w:rsidP="00DA2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7EA40E" w14:textId="77777777" w:rsidR="00C42B09" w:rsidRPr="00AC3C60" w:rsidRDefault="00C42B09" w:rsidP="00DA2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689AC8" w14:textId="77777777" w:rsidR="00C42B09" w:rsidRPr="00AC3C60" w:rsidRDefault="00C42B09" w:rsidP="00DA2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6C17F" w14:textId="77777777" w:rsidR="00C42B09" w:rsidRPr="00AC3C60" w:rsidRDefault="00C42B09" w:rsidP="00DA2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3A12FC" w14:textId="77777777" w:rsidR="00C42B09" w:rsidRPr="00AC3C60" w:rsidRDefault="00C42B09" w:rsidP="00DA2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F70BF7" w14:textId="77777777" w:rsidR="00C42B09" w:rsidRPr="00AC3C60" w:rsidRDefault="00C42B09" w:rsidP="00DA2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92C1F8" w14:textId="77777777" w:rsidR="00C42B09" w:rsidRPr="00AC3C60" w:rsidRDefault="00C42B09" w:rsidP="00DA2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82C9F" w14:textId="77777777" w:rsidR="00C42B09" w:rsidRPr="00AC3C60" w:rsidRDefault="00C42B09" w:rsidP="00DA2B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44AE53" w14:textId="77777777" w:rsidR="00C42B09" w:rsidRPr="00AC3C60" w:rsidRDefault="00C42B09" w:rsidP="00DA2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χ</w:t>
            </w: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AC3C60" w:rsidRPr="00AC3C60" w14:paraId="41F4CDA1" w14:textId="77777777" w:rsidTr="00897463">
        <w:trPr>
          <w:trHeight w:val="300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E77E6" w14:textId="77777777" w:rsidR="00C42B09" w:rsidRPr="00AC3C60" w:rsidRDefault="00C42B09" w:rsidP="00DA2B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Positive affect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A9862" w14:textId="77777777" w:rsidR="00C42B09" w:rsidRPr="00AC3C60" w:rsidRDefault="00C42B09" w:rsidP="00DA2B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4BBAC" w14:textId="77777777" w:rsidR="00C42B09" w:rsidRPr="00AC3C60" w:rsidRDefault="00C42B09" w:rsidP="00DA2B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087AE" w14:textId="77777777" w:rsidR="00C42B09" w:rsidRPr="00AC3C60" w:rsidRDefault="00C42B09" w:rsidP="00DA2B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20203" w14:textId="77777777" w:rsidR="00C42B09" w:rsidRPr="00AC3C60" w:rsidRDefault="00C42B09" w:rsidP="00DA2B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42B31" w14:textId="77777777" w:rsidR="00C42B09" w:rsidRPr="00AC3C60" w:rsidRDefault="00C42B09" w:rsidP="00DA2B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9EB9D" w14:textId="77777777" w:rsidR="00C42B09" w:rsidRPr="00AC3C60" w:rsidRDefault="00C42B09" w:rsidP="00DA2B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0C6C4" w14:textId="77777777" w:rsidR="00C42B09" w:rsidRPr="00AC3C60" w:rsidRDefault="00C42B09" w:rsidP="00DA2B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63A26" w14:textId="77777777" w:rsidR="00C42B09" w:rsidRPr="00AC3C60" w:rsidRDefault="00C42B09" w:rsidP="00DA2B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1A1B0" w14:textId="77777777" w:rsidR="00C42B09" w:rsidRPr="00AC3C60" w:rsidRDefault="00C42B09" w:rsidP="00DA2B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C60" w:rsidRPr="00AC3C60" w14:paraId="23ABCBB2" w14:textId="77777777" w:rsidTr="00897463">
        <w:trPr>
          <w:trHeight w:val="300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7A85" w14:textId="143F889A" w:rsidR="00897463" w:rsidRPr="00AC3C60" w:rsidRDefault="00897463" w:rsidP="0089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Excited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22C5" w14:textId="0D0CA71B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D355" w14:textId="1DC98CC9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2FC8" w14:textId="7B970BB9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E592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EAAF" w14:textId="19B9F8B1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EA7A" w14:textId="516C576E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3F49" w14:textId="24CDA25A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9BD3" w14:textId="77777777" w:rsidR="00897463" w:rsidRPr="00AC3C60" w:rsidRDefault="00897463" w:rsidP="0089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D25C" w14:textId="4008C696" w:rsidR="00897463" w:rsidRPr="00AC3C60" w:rsidRDefault="00897463" w:rsidP="00897463">
            <w:pPr>
              <w:tabs>
                <w:tab w:val="decimal" w:pos="430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54.5</w:t>
            </w:r>
            <w:r w:rsidR="00F510B5" w:rsidRPr="00AC3C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AC3C60" w:rsidRPr="00AC3C60" w14:paraId="428363F3" w14:textId="77777777" w:rsidTr="00897463">
        <w:trPr>
          <w:trHeight w:val="300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C94A" w14:textId="77777777" w:rsidR="00897463" w:rsidRPr="00AC3C60" w:rsidRDefault="00897463" w:rsidP="0089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Happy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1305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794F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CB60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0F7E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4B15" w14:textId="6C0CBCE9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5DA3" w14:textId="17A185A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1D78" w14:textId="1B67E4F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43C2" w14:textId="77777777" w:rsidR="00897463" w:rsidRPr="00AC3C60" w:rsidRDefault="00897463" w:rsidP="0089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480A" w14:textId="52C2D2B5" w:rsidR="00897463" w:rsidRPr="00AC3C60" w:rsidRDefault="00897463" w:rsidP="00897463">
            <w:pPr>
              <w:tabs>
                <w:tab w:val="decimal" w:pos="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34.2</w:t>
            </w:r>
            <w:r w:rsidR="00F510B5" w:rsidRPr="00AC3C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AC3C60" w:rsidRPr="00AC3C60" w14:paraId="2F56C0C5" w14:textId="77777777" w:rsidTr="00897463">
        <w:trPr>
          <w:trHeight w:val="300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A862" w14:textId="77777777" w:rsidR="00897463" w:rsidRPr="00AC3C60" w:rsidRDefault="00897463" w:rsidP="0089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Confident</w:t>
            </w:r>
            <w:r w:rsidRPr="00AC3C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A273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F05D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10C8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78D5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7BB8" w14:textId="35926F9E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EA61" w14:textId="617C1A61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6F58" w14:textId="1908BBE2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5039" w14:textId="77777777" w:rsidR="00897463" w:rsidRPr="00AC3C60" w:rsidRDefault="00897463" w:rsidP="0089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5899" w14:textId="233CABB1" w:rsidR="00897463" w:rsidRPr="00AC3C60" w:rsidRDefault="00897463" w:rsidP="00897463">
            <w:pPr>
              <w:tabs>
                <w:tab w:val="decimal" w:pos="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52.1</w:t>
            </w:r>
            <w:r w:rsidR="00F510B5" w:rsidRPr="00AC3C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AC3C60" w:rsidRPr="00AC3C60" w14:paraId="5FB2A952" w14:textId="77777777" w:rsidTr="00897463">
        <w:trPr>
          <w:trHeight w:val="300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B9FD" w14:textId="77777777" w:rsidR="00897463" w:rsidRPr="00AC3C60" w:rsidRDefault="00897463" w:rsidP="0089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Hopeful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0F60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C85D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869B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B4A9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94C2" w14:textId="03FBF9C0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9665" w14:textId="114EE728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51D8" w14:textId="69F58E0C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AB4D" w14:textId="77777777" w:rsidR="00897463" w:rsidRPr="00AC3C60" w:rsidRDefault="00897463" w:rsidP="0089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9D6A" w14:textId="0976BAF1" w:rsidR="00897463" w:rsidRPr="00AC3C60" w:rsidRDefault="00897463" w:rsidP="00897463">
            <w:pPr>
              <w:tabs>
                <w:tab w:val="decimal" w:pos="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17.7</w:t>
            </w:r>
            <w:r w:rsidR="00F510B5" w:rsidRPr="00AC3C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AC3C60" w:rsidRPr="00AC3C60" w14:paraId="6ED117A1" w14:textId="77777777" w:rsidTr="00897463">
        <w:trPr>
          <w:trHeight w:val="300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A95F" w14:textId="77777777" w:rsidR="00897463" w:rsidRPr="00AC3C60" w:rsidRDefault="00897463" w:rsidP="0089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Thankful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81A5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7281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975B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4564" w14:textId="77777777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E42B" w14:textId="0F0B4462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3378" w14:textId="65700184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4102" w14:textId="66EF117F" w:rsidR="00897463" w:rsidRPr="00AC3C60" w:rsidRDefault="00897463" w:rsidP="00897463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CF53" w14:textId="77777777" w:rsidR="00897463" w:rsidRPr="00AC3C60" w:rsidRDefault="00897463" w:rsidP="0089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AF0B" w14:textId="17C404EC" w:rsidR="00897463" w:rsidRPr="00AC3C60" w:rsidRDefault="00897463" w:rsidP="00897463">
            <w:pPr>
              <w:tabs>
                <w:tab w:val="decimal" w:pos="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  <w:r w:rsidR="00F510B5" w:rsidRPr="00AC3C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AC3C60" w:rsidRPr="00AC3C60" w14:paraId="1F6C6A8F" w14:textId="77777777" w:rsidTr="00897463">
        <w:trPr>
          <w:trHeight w:val="300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54D60" w14:textId="77777777" w:rsidR="00590080" w:rsidRPr="00AC3C60" w:rsidRDefault="00590080" w:rsidP="00DA2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635A4" w14:textId="77777777" w:rsidR="00590080" w:rsidRPr="00AC3C60" w:rsidRDefault="00590080" w:rsidP="00DA2B38">
            <w:pPr>
              <w:tabs>
                <w:tab w:val="decimal" w:pos="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49F49" w14:textId="77777777" w:rsidR="00590080" w:rsidRPr="00AC3C60" w:rsidRDefault="00590080" w:rsidP="00DA2B38">
            <w:pPr>
              <w:tabs>
                <w:tab w:val="decimal" w:pos="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F6AAB" w14:textId="77777777" w:rsidR="00590080" w:rsidRPr="00AC3C60" w:rsidRDefault="00590080" w:rsidP="00DA2B38">
            <w:pPr>
              <w:tabs>
                <w:tab w:val="decimal" w:pos="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BEFF9" w14:textId="77777777" w:rsidR="00590080" w:rsidRPr="00AC3C60" w:rsidRDefault="00590080" w:rsidP="00DA2B38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1F2BB" w14:textId="77777777" w:rsidR="00590080" w:rsidRPr="00AC3C60" w:rsidRDefault="00590080" w:rsidP="00DA2B38">
            <w:pPr>
              <w:tabs>
                <w:tab w:val="decimal" w:pos="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9D084" w14:textId="77777777" w:rsidR="00590080" w:rsidRPr="00AC3C60" w:rsidRDefault="00590080" w:rsidP="00DA2B38">
            <w:pPr>
              <w:tabs>
                <w:tab w:val="decimal" w:pos="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136F6" w14:textId="77777777" w:rsidR="00590080" w:rsidRPr="00AC3C60" w:rsidRDefault="00590080" w:rsidP="00DA2B38">
            <w:pPr>
              <w:tabs>
                <w:tab w:val="decimal" w:pos="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6617E" w14:textId="77777777" w:rsidR="00590080" w:rsidRPr="00AC3C60" w:rsidRDefault="00590080" w:rsidP="00DA2B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70EB8" w14:textId="77777777" w:rsidR="00590080" w:rsidRPr="00AC3C60" w:rsidRDefault="00590080" w:rsidP="00DA2B38">
            <w:pPr>
              <w:tabs>
                <w:tab w:val="decimal" w:pos="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C60" w:rsidRPr="00AC3C60" w14:paraId="65A891FA" w14:textId="77777777" w:rsidTr="00897463">
        <w:trPr>
          <w:trHeight w:val="300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0BD6A" w14:textId="7D127DC3" w:rsidR="00CD5AE9" w:rsidRPr="00AC3C60" w:rsidRDefault="00CD5AE9" w:rsidP="00DA2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Negative affect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F83FF" w14:textId="77777777" w:rsidR="00CD5AE9" w:rsidRPr="00AC3C60" w:rsidRDefault="00CD5AE9" w:rsidP="00DA2B38">
            <w:pPr>
              <w:tabs>
                <w:tab w:val="decimal" w:pos="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7841B" w14:textId="77777777" w:rsidR="00CD5AE9" w:rsidRPr="00AC3C60" w:rsidRDefault="00CD5AE9" w:rsidP="00DA2B38">
            <w:pPr>
              <w:tabs>
                <w:tab w:val="decimal" w:pos="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40209" w14:textId="77777777" w:rsidR="00CD5AE9" w:rsidRPr="00AC3C60" w:rsidRDefault="00CD5AE9" w:rsidP="00DA2B38">
            <w:pPr>
              <w:tabs>
                <w:tab w:val="decimal" w:pos="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EE16B" w14:textId="77777777" w:rsidR="00CD5AE9" w:rsidRPr="00AC3C60" w:rsidRDefault="00CD5AE9" w:rsidP="00DA2B38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AB104" w14:textId="77777777" w:rsidR="00CD5AE9" w:rsidRPr="00AC3C60" w:rsidRDefault="00CD5AE9" w:rsidP="00DA2B38">
            <w:pPr>
              <w:tabs>
                <w:tab w:val="decimal" w:pos="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5DCEA" w14:textId="77777777" w:rsidR="00CD5AE9" w:rsidRPr="00AC3C60" w:rsidRDefault="00CD5AE9" w:rsidP="00DA2B38">
            <w:pPr>
              <w:tabs>
                <w:tab w:val="decimal" w:pos="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8DD98" w14:textId="77777777" w:rsidR="00CD5AE9" w:rsidRPr="00AC3C60" w:rsidRDefault="00CD5AE9" w:rsidP="00DA2B38">
            <w:pPr>
              <w:tabs>
                <w:tab w:val="decimal" w:pos="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9C8F2" w14:textId="77777777" w:rsidR="00CD5AE9" w:rsidRPr="00AC3C60" w:rsidRDefault="00CD5AE9" w:rsidP="00DA2B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E8C48" w14:textId="77777777" w:rsidR="00CD5AE9" w:rsidRPr="00AC3C60" w:rsidRDefault="00CD5AE9" w:rsidP="00DA2B38">
            <w:pPr>
              <w:tabs>
                <w:tab w:val="decimal" w:pos="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C60" w:rsidRPr="00AC3C60" w14:paraId="12B74C5E" w14:textId="77777777" w:rsidTr="00897463">
        <w:trPr>
          <w:trHeight w:val="300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CF17" w14:textId="77777777" w:rsidR="00F510B5" w:rsidRPr="00AC3C60" w:rsidRDefault="00F510B5" w:rsidP="00F510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Frustrated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5529" w14:textId="77777777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DB62" w14:textId="77777777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4877" w14:textId="77777777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05D4" w14:textId="77777777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4E97" w14:textId="2F887D85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AFA8" w14:textId="288F91B6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675F" w14:textId="70DA3F0E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68D8" w14:textId="77777777" w:rsidR="00F510B5" w:rsidRPr="00AC3C60" w:rsidRDefault="00F510B5" w:rsidP="00F510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35A7" w14:textId="728AFC2E" w:rsidR="00F510B5" w:rsidRPr="00AC3C60" w:rsidRDefault="00F510B5" w:rsidP="00F510B5">
            <w:pPr>
              <w:tabs>
                <w:tab w:val="decimal" w:pos="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29.3</w:t>
            </w:r>
            <w:r w:rsidRPr="00AC3C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AC3C60" w:rsidRPr="00AC3C60" w14:paraId="01DF9289" w14:textId="77777777" w:rsidTr="00897463">
        <w:trPr>
          <w:trHeight w:val="300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1314" w14:textId="3DA1ACAA" w:rsidR="00F510B5" w:rsidRPr="00AC3C60" w:rsidRDefault="00F510B5" w:rsidP="00F510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Anxious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BF94" w14:textId="3B1D3FF7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7E62" w14:textId="61EF9C18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6BD7" w14:textId="12718D50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E2B6" w14:textId="77777777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1E28" w14:textId="6998BB18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CDA9" w14:textId="142098AC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79CD" w14:textId="74A8F3C2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8A29" w14:textId="77777777" w:rsidR="00F510B5" w:rsidRPr="00AC3C60" w:rsidRDefault="00F510B5" w:rsidP="00F510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14D2" w14:textId="3431D014" w:rsidR="00F510B5" w:rsidRPr="00AC3C60" w:rsidRDefault="00F510B5" w:rsidP="00F510B5">
            <w:pPr>
              <w:tabs>
                <w:tab w:val="decimal" w:pos="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32.7</w:t>
            </w:r>
            <w:r w:rsidRPr="00AC3C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AC3C60" w:rsidRPr="00AC3C60" w14:paraId="38C5CFD9" w14:textId="77777777" w:rsidTr="00897463">
        <w:trPr>
          <w:trHeight w:val="300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6847" w14:textId="77777777" w:rsidR="00F510B5" w:rsidRPr="00AC3C60" w:rsidRDefault="00F510B5" w:rsidP="00F510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Exhausted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1D78" w14:textId="77777777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6ED8" w14:textId="77777777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1DAD" w14:textId="77777777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03B15" w14:textId="77777777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682D" w14:textId="59CFF275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4E20" w14:textId="0F4581A7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2247" w14:textId="2006C309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D2FC" w14:textId="77777777" w:rsidR="00F510B5" w:rsidRPr="00AC3C60" w:rsidRDefault="00F510B5" w:rsidP="00F510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FB8A" w14:textId="28EF9E41" w:rsidR="00F510B5" w:rsidRPr="00AC3C60" w:rsidRDefault="00F510B5" w:rsidP="00F510B5">
            <w:pPr>
              <w:tabs>
                <w:tab w:val="decimal" w:pos="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25.6</w:t>
            </w:r>
            <w:r w:rsidRPr="00AC3C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AC3C60" w:rsidRPr="00AC3C60" w14:paraId="5A393EE5" w14:textId="77777777" w:rsidTr="00897463">
        <w:trPr>
          <w:trHeight w:val="300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D435" w14:textId="40449F19" w:rsidR="00F510B5" w:rsidRPr="00AC3C60" w:rsidRDefault="00F510B5" w:rsidP="00F510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Stressed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C7F9" w14:textId="288F4CF3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89AE" w14:textId="20B9B296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932E" w14:textId="493FA6DC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23AD" w14:textId="77777777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8720" w14:textId="2815083F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CA51" w14:textId="3624F836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4A48" w14:textId="63E95BD0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A997" w14:textId="77777777" w:rsidR="00F510B5" w:rsidRPr="00AC3C60" w:rsidRDefault="00F510B5" w:rsidP="00F510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BC08" w14:textId="782061B1" w:rsidR="00F510B5" w:rsidRPr="00AC3C60" w:rsidRDefault="00F510B5" w:rsidP="00F510B5">
            <w:pPr>
              <w:tabs>
                <w:tab w:val="decimal" w:pos="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25.5</w:t>
            </w:r>
            <w:r w:rsidRPr="00AC3C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F510B5" w:rsidRPr="00AC3C60" w14:paraId="27F16C67" w14:textId="77777777" w:rsidTr="00F510B5">
        <w:trPr>
          <w:trHeight w:val="300"/>
          <w:jc w:val="center"/>
        </w:trPr>
        <w:tc>
          <w:tcPr>
            <w:tcW w:w="17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7F375" w14:textId="77777777" w:rsidR="00F510B5" w:rsidRPr="00AC3C60" w:rsidRDefault="00F510B5" w:rsidP="00F510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Fatigued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3B7CF" w14:textId="77777777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F2DAE" w14:textId="77777777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84FDE" w14:textId="77777777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CC175" w14:textId="77777777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655C2" w14:textId="235EF829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4CC6A" w14:textId="29166DE4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2EFA7" w14:textId="16C29F02" w:rsidR="00F510B5" w:rsidRPr="00AC3C60" w:rsidRDefault="00F510B5" w:rsidP="00F510B5">
            <w:pPr>
              <w:tabs>
                <w:tab w:val="decimal" w:pos="4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097C9" w14:textId="77777777" w:rsidR="00F510B5" w:rsidRPr="00AC3C60" w:rsidRDefault="00F510B5" w:rsidP="00F510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BC3C0" w14:textId="2ABE6963" w:rsidR="00F510B5" w:rsidRPr="00AC3C60" w:rsidRDefault="00F510B5" w:rsidP="00F510B5">
            <w:pPr>
              <w:tabs>
                <w:tab w:val="decimal" w:pos="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35.4</w:t>
            </w:r>
            <w:r w:rsidRPr="00AC3C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</w:tbl>
    <w:p w14:paraId="24627B25" w14:textId="77777777" w:rsidR="00C42B09" w:rsidRPr="00AC3C60" w:rsidRDefault="00C42B09" w:rsidP="00C42B09">
      <w:pPr>
        <w:rPr>
          <w:rFonts w:ascii="Times New Roman" w:hAnsi="Times New Roman" w:cs="Times New Roman"/>
          <w:sz w:val="24"/>
          <w:szCs w:val="24"/>
        </w:rPr>
      </w:pPr>
    </w:p>
    <w:p w14:paraId="711B0704" w14:textId="77777777" w:rsidR="00C42B09" w:rsidRPr="00AC3C60" w:rsidRDefault="00C42B09" w:rsidP="00C42B09">
      <w:pPr>
        <w:rPr>
          <w:rFonts w:ascii="Times New Roman" w:hAnsi="Times New Roman" w:cs="Times New Roman"/>
          <w:sz w:val="24"/>
          <w:szCs w:val="24"/>
        </w:rPr>
      </w:pPr>
    </w:p>
    <w:p w14:paraId="6D196AD5" w14:textId="77777777" w:rsidR="00C42B09" w:rsidRPr="00AC3C60" w:rsidRDefault="00C42B09" w:rsidP="00C42B09">
      <w:pPr>
        <w:rPr>
          <w:rFonts w:ascii="Times New Roman" w:hAnsi="Times New Roman" w:cs="Times New Roman"/>
          <w:sz w:val="24"/>
          <w:szCs w:val="24"/>
        </w:rPr>
      </w:pPr>
    </w:p>
    <w:p w14:paraId="4038BBC3" w14:textId="77777777" w:rsidR="00594522" w:rsidRPr="00AC3C60" w:rsidRDefault="00C42B09" w:rsidP="00594522">
      <w:pPr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t xml:space="preserve">Note. </w:t>
      </w:r>
      <w:r w:rsidRPr="00AC3C60">
        <w:rPr>
          <w:rFonts w:ascii="Times New Roman" w:hAnsi="Times New Roman" w:cs="Times New Roman"/>
          <w:sz w:val="24"/>
          <w:szCs w:val="24"/>
          <w:vertAlign w:val="superscript"/>
        </w:rPr>
        <w:t xml:space="preserve">*** </w:t>
      </w:r>
      <w:r w:rsidRPr="00AC3C60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AC3C60">
        <w:rPr>
          <w:rFonts w:ascii="Times New Roman" w:hAnsi="Times New Roman" w:cs="Times New Roman"/>
          <w:sz w:val="24"/>
          <w:szCs w:val="24"/>
        </w:rPr>
        <w:t>&lt; .001</w:t>
      </w:r>
      <w:r w:rsidR="00594522" w:rsidRPr="00AC3C60">
        <w:rPr>
          <w:rFonts w:ascii="Times New Roman" w:hAnsi="Times New Roman" w:cs="Times New Roman"/>
          <w:sz w:val="24"/>
          <w:szCs w:val="24"/>
        </w:rPr>
        <w:t xml:space="preserve">. </w:t>
      </w:r>
      <w:r w:rsidR="00594522" w:rsidRPr="00AC3C60">
        <w:rPr>
          <w:rFonts w:ascii="Times New Roman" w:hAnsi="Times New Roman" w:cs="Times New Roman"/>
          <w:sz w:val="24"/>
          <w:szCs w:val="24"/>
          <w:vertAlign w:val="superscript"/>
        </w:rPr>
        <w:t xml:space="preserve">† </w:t>
      </w:r>
      <w:r w:rsidR="00594522" w:rsidRPr="00AC3C60">
        <w:rPr>
          <w:rFonts w:ascii="Times New Roman" w:hAnsi="Times New Roman" w:cs="Times New Roman"/>
          <w:sz w:val="24"/>
          <w:szCs w:val="24"/>
        </w:rPr>
        <w:t>The term ‘Trust’ was used in survey 1.</w:t>
      </w:r>
    </w:p>
    <w:p w14:paraId="03244CFE" w14:textId="5B87FFA8" w:rsidR="00C42B09" w:rsidRPr="00AC3C60" w:rsidRDefault="00C42B09" w:rsidP="00C42B09">
      <w:pPr>
        <w:rPr>
          <w:rFonts w:ascii="Times New Roman" w:hAnsi="Times New Roman" w:cs="Times New Roman"/>
          <w:sz w:val="24"/>
          <w:szCs w:val="24"/>
        </w:rPr>
      </w:pPr>
    </w:p>
    <w:p w14:paraId="22AA570F" w14:textId="77777777" w:rsidR="00C42B09" w:rsidRPr="00AC3C60" w:rsidRDefault="00C42B09" w:rsidP="00C42B0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4388A84E" w14:textId="77777777" w:rsidR="006D50E3" w:rsidRPr="00AC3C60" w:rsidRDefault="006D50E3" w:rsidP="005C27E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  <w:sectPr w:rsidR="006D50E3" w:rsidRPr="00AC3C60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0160F12" w14:textId="76F8D823" w:rsidR="00AA566C" w:rsidRPr="00AC3C60" w:rsidRDefault="00C0710B" w:rsidP="005C27E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lastRenderedPageBreak/>
        <w:t>Table 4</w:t>
      </w:r>
    </w:p>
    <w:p w14:paraId="314DDF7E" w14:textId="244942F7" w:rsidR="00C0710B" w:rsidRPr="00AC3C60" w:rsidRDefault="00C0710B" w:rsidP="005C27E4">
      <w:pPr>
        <w:spacing w:after="160" w:line="259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C3C60">
        <w:rPr>
          <w:rFonts w:ascii="Times New Roman" w:hAnsi="Times New Roman" w:cs="Times New Roman"/>
          <w:i/>
          <w:iCs/>
          <w:sz w:val="24"/>
          <w:szCs w:val="24"/>
        </w:rPr>
        <w:t>Changes in mean affect scale scores between surveys</w:t>
      </w:r>
    </w:p>
    <w:tbl>
      <w:tblPr>
        <w:tblpPr w:leftFromText="180" w:rightFromText="180" w:vertAnchor="text" w:tblpY="1"/>
        <w:tblOverlap w:val="never"/>
        <w:tblW w:w="8913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40"/>
        <w:gridCol w:w="1340"/>
        <w:gridCol w:w="1340"/>
        <w:gridCol w:w="236"/>
        <w:gridCol w:w="1340"/>
        <w:gridCol w:w="1340"/>
        <w:gridCol w:w="236"/>
        <w:gridCol w:w="1341"/>
      </w:tblGrid>
      <w:tr w:rsidR="00AC3C60" w:rsidRPr="00AC3C60" w14:paraId="089811F9" w14:textId="77777777" w:rsidTr="00DE3DFF">
        <w:trPr>
          <w:trHeight w:val="300"/>
        </w:trPr>
        <w:tc>
          <w:tcPr>
            <w:tcW w:w="1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A436" w14:textId="53288CB7" w:rsidR="00665845" w:rsidRPr="00AC3C60" w:rsidRDefault="00DE3DFF" w:rsidP="00DE3DFF">
            <w:pPr>
              <w:pStyle w:val="ListParagraph"/>
              <w:numPr>
                <w:ilvl w:val="0"/>
                <w:numId w:val="2"/>
              </w:numPr>
              <w:ind w:left="32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Laity</w:t>
            </w:r>
          </w:p>
        </w:tc>
        <w:tc>
          <w:tcPr>
            <w:tcW w:w="26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4063" w14:textId="02D8839F" w:rsidR="00665845" w:rsidRPr="00AC3C60" w:rsidRDefault="00665845" w:rsidP="00665845">
            <w:pPr>
              <w:tabs>
                <w:tab w:val="decimal" w:pos="4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Survey 1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E5DB4" w14:textId="77777777" w:rsidR="00665845" w:rsidRPr="00AC3C60" w:rsidRDefault="00665845" w:rsidP="00665845">
            <w:pPr>
              <w:tabs>
                <w:tab w:val="decimal" w:pos="4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0758" w14:textId="6BC42FA2" w:rsidR="00665845" w:rsidRPr="00AC3C60" w:rsidRDefault="00665845" w:rsidP="00665845">
            <w:pPr>
              <w:tabs>
                <w:tab w:val="decimal" w:pos="4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Survey 2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63EBC0" w14:textId="77777777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5F8D6" w14:textId="04E7EC61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C60" w:rsidRPr="00AC3C60" w14:paraId="04A0BB73" w14:textId="77777777" w:rsidTr="00DE3DFF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CFFCF" w14:textId="174834C9" w:rsidR="00665845" w:rsidRPr="00AC3C60" w:rsidRDefault="00665845" w:rsidP="00DE3D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EB1558" w14:textId="212043F8" w:rsidR="00665845" w:rsidRPr="00AC3C60" w:rsidRDefault="00665845" w:rsidP="00665845">
            <w:pPr>
              <w:tabs>
                <w:tab w:val="decimal" w:pos="4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AC24DA"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E83C5" w14:textId="77777777" w:rsidR="00665845" w:rsidRPr="00AC3C60" w:rsidRDefault="00665845" w:rsidP="00665845">
            <w:pPr>
              <w:tabs>
                <w:tab w:val="decimal" w:pos="4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6FB5D" w14:textId="452945FC" w:rsidR="00665845" w:rsidRPr="00AC3C60" w:rsidRDefault="00E264FB" w:rsidP="00665845">
            <w:pPr>
              <w:tabs>
                <w:tab w:val="decimal" w:pos="4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58425F" w14:textId="77777777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061000" w14:textId="4E27C909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C60" w:rsidRPr="00AC3C60" w14:paraId="06CCFE42" w14:textId="77777777" w:rsidTr="00BB20C3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623F8" w14:textId="77777777" w:rsidR="00665845" w:rsidRPr="00AC3C60" w:rsidRDefault="00665845" w:rsidP="0066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EC8DF" w14:textId="77777777" w:rsidR="00665845" w:rsidRPr="00AC3C60" w:rsidRDefault="00665845" w:rsidP="00665845">
            <w:pPr>
              <w:tabs>
                <w:tab w:val="decimal" w:pos="4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CDC71" w14:textId="77777777" w:rsidR="00665845" w:rsidRPr="00AC3C60" w:rsidRDefault="00665845" w:rsidP="00665845">
            <w:pPr>
              <w:tabs>
                <w:tab w:val="decimal" w:pos="423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8F99" w14:textId="77777777" w:rsidR="00665845" w:rsidRPr="00AC3C60" w:rsidRDefault="00665845" w:rsidP="00665845">
            <w:pPr>
              <w:tabs>
                <w:tab w:val="decimal" w:pos="4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AE49A" w14:textId="77777777" w:rsidR="00665845" w:rsidRPr="00AC3C60" w:rsidRDefault="00665845" w:rsidP="00665845">
            <w:pPr>
              <w:tabs>
                <w:tab w:val="decimal" w:pos="4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0EA40" w14:textId="77777777" w:rsidR="00665845" w:rsidRPr="00AC3C60" w:rsidRDefault="00665845" w:rsidP="00665845">
            <w:pPr>
              <w:tabs>
                <w:tab w:val="decimal" w:pos="423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80A31C" w14:textId="77777777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0A3EA" w14:textId="219B0C34" w:rsidR="00665845" w:rsidRPr="00AC3C60" w:rsidRDefault="00BB20C3" w:rsidP="00BB20C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</w:t>
            </w:r>
          </w:p>
        </w:tc>
      </w:tr>
      <w:tr w:rsidR="00AC3C60" w:rsidRPr="00AC3C60" w14:paraId="1C2FB3B9" w14:textId="77777777" w:rsidTr="00DE3DFF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F0F0" w14:textId="77777777" w:rsidR="00665845" w:rsidRPr="00AC3C60" w:rsidRDefault="00665845" w:rsidP="0066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Positive affect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DB31" w14:textId="77777777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10.22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9C87" w14:textId="14E3C5B6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CE03" w14:textId="77777777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1837" w14:textId="77777777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9.65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C8A0" w14:textId="6993A520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B6433E" w14:textId="77777777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473D" w14:textId="55EE0803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-6.37</w:t>
            </w: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AC3C60" w:rsidRPr="00AC3C60" w14:paraId="189BDCE0" w14:textId="77777777" w:rsidTr="00AC24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E7B66" w14:textId="77777777" w:rsidR="00665845" w:rsidRPr="00AC3C60" w:rsidRDefault="00665845" w:rsidP="0066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Negative affect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E4ED" w14:textId="77777777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10.89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2F17" w14:textId="01249337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CD96" w14:textId="77777777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AB9D" w14:textId="77777777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11.77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781C0" w14:textId="6032A214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21F68F" w14:textId="77777777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900B" w14:textId="34300AFA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9.03</w:t>
            </w: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AC3C60" w:rsidRPr="00AC3C60" w14:paraId="30661AF3" w14:textId="77777777" w:rsidTr="00AC24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3FFD" w14:textId="108D173F" w:rsidR="00665845" w:rsidRPr="00AC3C60" w:rsidRDefault="00692B90" w:rsidP="0066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TIBACh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492BE" w14:textId="77777777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9.33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67F5" w14:textId="73304C04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11EE" w14:textId="77777777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78CBD" w14:textId="77777777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7.88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E7C1" w14:textId="1180B0DC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F928DD" w14:textId="77777777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77D7D" w14:textId="6F364B71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-9.08</w:t>
            </w: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AC3C60" w:rsidRPr="00AC3C60" w14:paraId="1EFE04E2" w14:textId="77777777" w:rsidTr="00AC24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9D8A" w14:textId="77777777" w:rsidR="00665845" w:rsidRPr="00AC3C60" w:rsidRDefault="00665845" w:rsidP="0066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98FE" w14:textId="77777777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044A" w14:textId="77777777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DD78" w14:textId="77777777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FE83" w14:textId="77777777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DF76" w14:textId="77777777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46D472" w14:textId="77777777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78460" w14:textId="53BB58B4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C60" w:rsidRPr="00AC3C60" w14:paraId="04325C52" w14:textId="77777777" w:rsidTr="00AC24DA">
        <w:trPr>
          <w:trHeight w:val="1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41113" w14:textId="67481F2C" w:rsidR="00665845" w:rsidRPr="00AC3C60" w:rsidRDefault="00DE3DFF" w:rsidP="00DE3DFF">
            <w:pPr>
              <w:pStyle w:val="ListParagraph"/>
              <w:numPr>
                <w:ilvl w:val="0"/>
                <w:numId w:val="2"/>
              </w:numPr>
              <w:ind w:left="32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Clergy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01EF8" w14:textId="748EDBE1" w:rsidR="00665845" w:rsidRPr="00AC3C60" w:rsidRDefault="00665845" w:rsidP="00665845">
            <w:pPr>
              <w:tabs>
                <w:tab w:val="decimal" w:pos="4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Survey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EE33A" w14:textId="77777777" w:rsidR="00665845" w:rsidRPr="00AC3C60" w:rsidRDefault="00665845" w:rsidP="00665845">
            <w:pPr>
              <w:tabs>
                <w:tab w:val="decimal" w:pos="4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FE46F3" w14:textId="22434306" w:rsidR="00665845" w:rsidRPr="00AC3C60" w:rsidRDefault="00665845" w:rsidP="00DF3A09">
            <w:pPr>
              <w:tabs>
                <w:tab w:val="decimal" w:pos="4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Survey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0C7140" w14:textId="77777777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4F331" w14:textId="2AA0D4B2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C60" w:rsidRPr="00AC3C60" w14:paraId="2FD34F4F" w14:textId="77777777" w:rsidTr="00DE3DFF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7CA39" w14:textId="4A764C67" w:rsidR="00665845" w:rsidRPr="00AC3C60" w:rsidRDefault="00665845" w:rsidP="00DE3D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2B17D0" w14:textId="1CFF5B6A" w:rsidR="00665845" w:rsidRPr="00AC3C60" w:rsidRDefault="00DF3A09" w:rsidP="00665845">
            <w:pPr>
              <w:tabs>
                <w:tab w:val="decimal" w:pos="4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D7C80" w14:textId="77777777" w:rsidR="00665845" w:rsidRPr="00AC3C60" w:rsidRDefault="00665845" w:rsidP="00665845">
            <w:pPr>
              <w:tabs>
                <w:tab w:val="decimal" w:pos="4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35257D" w14:textId="29DCEAE7" w:rsidR="00665845" w:rsidRPr="00AC3C60" w:rsidRDefault="00DF3A09" w:rsidP="00665845">
            <w:pPr>
              <w:tabs>
                <w:tab w:val="decimal" w:pos="4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762F8E" w14:textId="77777777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EBE594" w14:textId="528103A8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C60" w:rsidRPr="00AC3C60" w14:paraId="2A6947E0" w14:textId="77777777" w:rsidTr="00BB20C3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C413C" w14:textId="77777777" w:rsidR="00665845" w:rsidRPr="00AC3C60" w:rsidRDefault="00665845" w:rsidP="0066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3F89D7" w14:textId="76F03213" w:rsidR="00665845" w:rsidRPr="00AC3C60" w:rsidRDefault="00665845" w:rsidP="00665845">
            <w:pPr>
              <w:tabs>
                <w:tab w:val="decimal" w:pos="4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97DE49" w14:textId="77BDF95C" w:rsidR="00665845" w:rsidRPr="00AC3C60" w:rsidRDefault="00665845" w:rsidP="00665845">
            <w:pPr>
              <w:tabs>
                <w:tab w:val="decimal" w:pos="423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786E9" w14:textId="77777777" w:rsidR="00665845" w:rsidRPr="00AC3C60" w:rsidRDefault="00665845" w:rsidP="00665845">
            <w:pPr>
              <w:tabs>
                <w:tab w:val="decimal" w:pos="4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3F842B" w14:textId="4E14455E" w:rsidR="00665845" w:rsidRPr="00AC3C60" w:rsidRDefault="00665845" w:rsidP="00665845">
            <w:pPr>
              <w:tabs>
                <w:tab w:val="decimal" w:pos="4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BE3232" w14:textId="7AB6063B" w:rsidR="00665845" w:rsidRPr="00AC3C60" w:rsidRDefault="00665845" w:rsidP="00665845">
            <w:pPr>
              <w:tabs>
                <w:tab w:val="decimal" w:pos="423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6DF5D8" w14:textId="77777777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989A6E" w14:textId="542FF51D" w:rsidR="00665845" w:rsidRPr="00AC3C60" w:rsidRDefault="00BB20C3" w:rsidP="00BB20C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</w:t>
            </w:r>
          </w:p>
        </w:tc>
      </w:tr>
      <w:tr w:rsidR="00AC3C60" w:rsidRPr="00AC3C60" w14:paraId="04218477" w14:textId="77777777" w:rsidTr="00DE3DFF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92127" w14:textId="012655F0" w:rsidR="00665845" w:rsidRPr="00AC3C60" w:rsidRDefault="00665845" w:rsidP="0066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Positive affect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9B8D2" w14:textId="36BB8692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10.61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44074" w14:textId="1EE127A6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432AC" w14:textId="77777777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8AE9A" w14:textId="243ECEAC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9.85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F13AD" w14:textId="110DA85D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B28DF5" w14:textId="77777777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19AEF" w14:textId="71CBDB8C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-5.29</w:t>
            </w:r>
            <w:r w:rsidRPr="00AC3C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AC3C60" w:rsidRPr="00AC3C60" w14:paraId="05A178F5" w14:textId="77777777" w:rsidTr="00AC24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60959" w14:textId="2B0A0670" w:rsidR="00665845" w:rsidRPr="00AC3C60" w:rsidRDefault="00665845" w:rsidP="0066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Negative affect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14631" w14:textId="3AA5D240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11.80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E9BBE" w14:textId="3EBAC36D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FEF00" w14:textId="77777777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0B42F" w14:textId="4D6D3779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12.94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D391B" w14:textId="5400B35A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9B8527" w14:textId="77777777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E5D64" w14:textId="7E7D2258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7.50</w:t>
            </w:r>
            <w:r w:rsidRPr="00AC3C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AC3C60" w:rsidRPr="00AC3C60" w14:paraId="0A3F258B" w14:textId="77777777" w:rsidTr="00DE3DFF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6D29D0F" w14:textId="14D33A4A" w:rsidR="00665845" w:rsidRPr="00AC3C60" w:rsidRDefault="00692B90" w:rsidP="0066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TIBACh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8E030E6" w14:textId="24BC06B5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8.81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BC0C957" w14:textId="1DE80850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7E02025" w14:textId="77777777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C3DE223" w14:textId="42C888D5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6.91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D19497B" w14:textId="39ED6D0C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4F72E5" w14:textId="77777777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B6C066B" w14:textId="177450E1" w:rsidR="00665845" w:rsidRPr="00AC3C60" w:rsidRDefault="00665845" w:rsidP="00665845">
            <w:pPr>
              <w:tabs>
                <w:tab w:val="decimal" w:pos="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hAnsi="Times New Roman" w:cs="Times New Roman"/>
                <w:sz w:val="24"/>
                <w:szCs w:val="24"/>
              </w:rPr>
              <w:t>-7.38</w:t>
            </w:r>
            <w:r w:rsidRPr="00AC3C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</w:tbl>
    <w:p w14:paraId="299ABF98" w14:textId="6DE4B10C" w:rsidR="00156446" w:rsidRPr="00AC3C60" w:rsidRDefault="00341FD2" w:rsidP="005C27E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6AAD177B" w14:textId="3C63A3BF" w:rsidR="006D50E3" w:rsidRPr="00AC3C60" w:rsidRDefault="00BB20C3" w:rsidP="00F46834">
      <w:pPr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t xml:space="preserve">Note. </w:t>
      </w:r>
      <w:r w:rsidRPr="00AC3C60">
        <w:rPr>
          <w:rFonts w:ascii="Times New Roman" w:hAnsi="Times New Roman" w:cs="Times New Roman"/>
          <w:sz w:val="24"/>
          <w:szCs w:val="24"/>
          <w:vertAlign w:val="superscript"/>
        </w:rPr>
        <w:t xml:space="preserve">*** </w:t>
      </w:r>
      <w:r w:rsidRPr="00AC3C60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AC3C60">
        <w:rPr>
          <w:rFonts w:ascii="Times New Roman" w:hAnsi="Times New Roman" w:cs="Times New Roman"/>
          <w:sz w:val="24"/>
          <w:szCs w:val="24"/>
        </w:rPr>
        <w:t xml:space="preserve">&lt; .001. </w:t>
      </w:r>
      <w:r w:rsidR="00692B90" w:rsidRPr="00AC3C60">
        <w:rPr>
          <w:rFonts w:ascii="Times New Roman" w:hAnsi="Times New Roman" w:cs="Times New Roman"/>
          <w:sz w:val="24"/>
          <w:szCs w:val="24"/>
        </w:rPr>
        <w:t>TIBACh</w:t>
      </w:r>
      <w:r w:rsidR="00351539" w:rsidRPr="00AC3C60">
        <w:rPr>
          <w:rFonts w:ascii="Times New Roman" w:hAnsi="Times New Roman" w:cs="Times New Roman"/>
          <w:sz w:val="24"/>
          <w:szCs w:val="24"/>
        </w:rPr>
        <w:t xml:space="preserve"> = The Index of Balanced Affect Change</w:t>
      </w:r>
    </w:p>
    <w:p w14:paraId="558DA2D0" w14:textId="35ABE9E4" w:rsidR="00110987" w:rsidRPr="00AC3C60" w:rsidRDefault="0011098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br w:type="page"/>
      </w:r>
    </w:p>
    <w:p w14:paraId="1F38B1FD" w14:textId="7FE2082A" w:rsidR="00110987" w:rsidRPr="00AC3C60" w:rsidRDefault="00110987" w:rsidP="00F46834">
      <w:pPr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sz w:val="24"/>
          <w:szCs w:val="24"/>
        </w:rPr>
        <w:lastRenderedPageBreak/>
        <w:t>Appendix</w:t>
      </w:r>
    </w:p>
    <w:p w14:paraId="1D603EB4" w14:textId="3A21932B" w:rsidR="00110987" w:rsidRPr="00AC3C60" w:rsidRDefault="00110987" w:rsidP="00F46834">
      <w:pPr>
        <w:rPr>
          <w:rFonts w:ascii="Times New Roman" w:hAnsi="Times New Roman" w:cs="Times New Roman"/>
          <w:sz w:val="24"/>
          <w:szCs w:val="24"/>
        </w:rPr>
      </w:pPr>
      <w:r w:rsidRPr="00AC3C60">
        <w:rPr>
          <w:rFonts w:ascii="Times New Roman" w:hAnsi="Times New Roman" w:cs="Times New Roman"/>
          <w:i/>
          <w:sz w:val="24"/>
          <w:szCs w:val="24"/>
        </w:rPr>
        <w:t>Items in The Index of Balanced Affect Change (</w:t>
      </w:r>
      <w:proofErr w:type="spellStart"/>
      <w:r w:rsidRPr="00AC3C60">
        <w:rPr>
          <w:rFonts w:ascii="Times New Roman" w:hAnsi="Times New Roman" w:cs="Times New Roman"/>
          <w:i/>
          <w:sz w:val="24"/>
          <w:szCs w:val="24"/>
        </w:rPr>
        <w:t>TiBACH</w:t>
      </w:r>
      <w:proofErr w:type="spellEnd"/>
      <w:r w:rsidRPr="00AC3C60">
        <w:rPr>
          <w:rFonts w:ascii="Times New Roman" w:hAnsi="Times New Roman" w:cs="Times New Roman"/>
          <w:i/>
          <w:sz w:val="24"/>
          <w:szCs w:val="24"/>
        </w:rPr>
        <w:t>)</w:t>
      </w:r>
    </w:p>
    <w:p w14:paraId="3517A294" w14:textId="66C4C5F4" w:rsidR="00110987" w:rsidRPr="00AC3C60" w:rsidRDefault="00110987" w:rsidP="00F4683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315" w:type="dxa"/>
        <w:tblInd w:w="-28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35"/>
        <w:gridCol w:w="1247"/>
        <w:gridCol w:w="1247"/>
        <w:gridCol w:w="1247"/>
        <w:gridCol w:w="215"/>
        <w:gridCol w:w="1032"/>
        <w:gridCol w:w="485"/>
        <w:gridCol w:w="762"/>
        <w:gridCol w:w="445"/>
      </w:tblGrid>
      <w:tr w:rsidR="00AC3C60" w:rsidRPr="00AC3C60" w14:paraId="7F9CA0A8" w14:textId="77777777" w:rsidTr="00EA1C48">
        <w:trPr>
          <w:trHeight w:val="300"/>
        </w:trPr>
        <w:tc>
          <w:tcPr>
            <w:tcW w:w="8315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70A8D" w14:textId="0E92E1B7" w:rsidR="00EA1C48" w:rsidRPr="00AC3C60" w:rsidRDefault="00EA1C48" w:rsidP="001109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How would you rate how you are now compared with before the pandemic started?</w:t>
            </w:r>
          </w:p>
        </w:tc>
      </w:tr>
      <w:tr w:rsidR="00AC3C60" w:rsidRPr="00AC3C60" w14:paraId="3FADA52C" w14:textId="77777777" w:rsidTr="00EA1C48">
        <w:trPr>
          <w:trHeight w:val="300"/>
        </w:trPr>
        <w:tc>
          <w:tcPr>
            <w:tcW w:w="55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A1195" w14:textId="77777777" w:rsidR="00EA1C48" w:rsidRPr="00AC3C60" w:rsidRDefault="00EA1C48" w:rsidP="0011098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(Please click one button for EACH item)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13881" w14:textId="77777777" w:rsidR="00EA1C48" w:rsidRPr="00AC3C60" w:rsidRDefault="00EA1C48" w:rsidP="001109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16942" w14:textId="77777777" w:rsidR="00EA1C48" w:rsidRPr="00AC3C60" w:rsidRDefault="00EA1C48" w:rsidP="001109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C60" w:rsidRPr="00AC3C60" w14:paraId="172CC341" w14:textId="77777777" w:rsidTr="00EA1C48">
        <w:trPr>
          <w:gridAfter w:val="1"/>
          <w:wAfter w:w="445" w:type="dxa"/>
          <w:trHeight w:val="600"/>
        </w:trPr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5D6F" w14:textId="77777777" w:rsidR="00EA1C48" w:rsidRPr="00AC3C60" w:rsidRDefault="00EA1C48" w:rsidP="001109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3DB5A6" w14:textId="77777777" w:rsidR="00EA1C48" w:rsidRPr="00AC3C60" w:rsidRDefault="00EA1C48" w:rsidP="00EA1C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Much</w:t>
            </w:r>
          </w:p>
          <w:p w14:paraId="205B13A3" w14:textId="4A5C7693" w:rsidR="00EA1C48" w:rsidRPr="00AC3C60" w:rsidRDefault="00EA1C48" w:rsidP="00EA1C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less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0D236A" w14:textId="77777777" w:rsidR="00EA1C48" w:rsidRPr="00AC3C60" w:rsidRDefault="00EA1C48" w:rsidP="00EA1C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Somewhat less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14731F" w14:textId="77777777" w:rsidR="00EA1C48" w:rsidRPr="00AC3C60" w:rsidRDefault="00EA1C48" w:rsidP="00EA1C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About the same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914F64" w14:textId="77777777" w:rsidR="00EA1C48" w:rsidRPr="00AC3C60" w:rsidRDefault="00EA1C48" w:rsidP="00EA1C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Somewhat more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9F9514" w14:textId="77777777" w:rsidR="00EA1C48" w:rsidRPr="00AC3C60" w:rsidRDefault="00EA1C48" w:rsidP="00EA1C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Much more</w:t>
            </w:r>
          </w:p>
        </w:tc>
      </w:tr>
      <w:tr w:rsidR="00AC3C60" w:rsidRPr="00AC3C60" w14:paraId="64B2A673" w14:textId="77777777" w:rsidTr="00EA1C48">
        <w:trPr>
          <w:gridAfter w:val="1"/>
          <w:wAfter w:w="445" w:type="dxa"/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51AE" w14:textId="0903B316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Exhausted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5B7A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13F0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B601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19B5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0A52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C3C60" w:rsidRPr="00AC3C60" w14:paraId="5BE6BDE7" w14:textId="77777777" w:rsidTr="00EA1C48">
        <w:trPr>
          <w:gridAfter w:val="1"/>
          <w:wAfter w:w="445" w:type="dxa"/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6903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Creative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6CC2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320E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2C49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C742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078A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C3C60" w:rsidRPr="00AC3C60" w14:paraId="554B0258" w14:textId="77777777" w:rsidTr="00EA1C48">
        <w:trPr>
          <w:gridAfter w:val="1"/>
          <w:wAfter w:w="445" w:type="dxa"/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3C1B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Excited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B4F3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7949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C965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2CD6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0567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C3C60" w:rsidRPr="00AC3C60" w14:paraId="75C51664" w14:textId="77777777" w:rsidTr="00EA1C48">
        <w:trPr>
          <w:gridAfter w:val="1"/>
          <w:wAfter w:w="445" w:type="dxa"/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DA36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Anxious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2734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CAB5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7345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FF05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64AB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C3C60" w:rsidRPr="00AC3C60" w14:paraId="655168D6" w14:textId="77777777" w:rsidTr="00EA1C48">
        <w:trPr>
          <w:gridAfter w:val="1"/>
          <w:wAfter w:w="445" w:type="dxa"/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F73C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Stressed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8AD7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5656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0160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9B70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F02E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C3C60" w:rsidRPr="00AC3C60" w14:paraId="3A848101" w14:textId="77777777" w:rsidTr="00EA1C48">
        <w:trPr>
          <w:gridAfter w:val="1"/>
          <w:wAfter w:w="445" w:type="dxa"/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C795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Happy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AA45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FEBE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AB86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E7C2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BA2C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C3C60" w:rsidRPr="00AC3C60" w14:paraId="370F3EBF" w14:textId="77777777" w:rsidTr="00EA1C48">
        <w:trPr>
          <w:gridAfter w:val="1"/>
          <w:wAfter w:w="445" w:type="dxa"/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D94F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Thankful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6C49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1C63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E313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12F7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5702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C3C60" w:rsidRPr="00AC3C60" w14:paraId="64E46B28" w14:textId="77777777" w:rsidTr="00EA1C48">
        <w:trPr>
          <w:gridAfter w:val="1"/>
          <w:wAfter w:w="445" w:type="dxa"/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F482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Hopeful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183C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9D0C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BABC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B548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7615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C3C60" w:rsidRPr="00AC3C60" w14:paraId="67E8B890" w14:textId="77777777" w:rsidTr="00EA1C48">
        <w:trPr>
          <w:gridAfter w:val="1"/>
          <w:wAfter w:w="445" w:type="dxa"/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DAD0" w14:textId="4764C6B1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Confident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2C02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4FC0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3884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E989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EE7C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C3C60" w:rsidRPr="00AC3C60" w14:paraId="7BB3460F" w14:textId="77777777" w:rsidTr="00EA1C48">
        <w:trPr>
          <w:gridAfter w:val="1"/>
          <w:wAfter w:w="445" w:type="dxa"/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5B6E" w14:textId="339125DF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Fatigued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731D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E571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0BF4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3256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C48B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C3C60" w:rsidRPr="00AC3C60" w14:paraId="7829A5EA" w14:textId="77777777" w:rsidTr="00EA1C48">
        <w:trPr>
          <w:gridAfter w:val="1"/>
          <w:wAfter w:w="445" w:type="dxa"/>
          <w:trHeight w:val="300"/>
        </w:trPr>
        <w:tc>
          <w:tcPr>
            <w:tcW w:w="16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B60C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60">
              <w:rPr>
                <w:rFonts w:ascii="Times New Roman" w:eastAsia="Times New Roman" w:hAnsi="Times New Roman" w:cs="Times New Roman"/>
                <w:sz w:val="24"/>
                <w:szCs w:val="24"/>
              </w:rPr>
              <w:t>Frustrated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A2EE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63A0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9876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CE91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84F8" w14:textId="77777777" w:rsidR="00EA1C48" w:rsidRPr="00AC3C60" w:rsidRDefault="00EA1C48" w:rsidP="00EA1C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14:paraId="25EB18B4" w14:textId="00AFCF98" w:rsidR="00110987" w:rsidRPr="00AC3C60" w:rsidRDefault="00110987" w:rsidP="00F46834">
      <w:pPr>
        <w:rPr>
          <w:rFonts w:ascii="Times New Roman" w:hAnsi="Times New Roman" w:cs="Times New Roman"/>
          <w:sz w:val="24"/>
          <w:szCs w:val="24"/>
        </w:rPr>
      </w:pPr>
    </w:p>
    <w:sectPr w:rsidR="00110987" w:rsidRPr="00AC3C60" w:rsidSect="006D50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05586" w14:textId="77777777" w:rsidR="00051650" w:rsidRDefault="00051650" w:rsidP="00F671F8">
      <w:r>
        <w:separator/>
      </w:r>
    </w:p>
  </w:endnote>
  <w:endnote w:type="continuationSeparator" w:id="0">
    <w:p w14:paraId="04FA5BEB" w14:textId="77777777" w:rsidR="00051650" w:rsidRDefault="00051650" w:rsidP="00F671F8">
      <w:r>
        <w:continuationSeparator/>
      </w:r>
    </w:p>
  </w:endnote>
  <w:endnote w:type="continuationNotice" w:id="1">
    <w:p w14:paraId="3DD7CB90" w14:textId="77777777" w:rsidR="00051650" w:rsidRDefault="000516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3495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58718" w14:textId="0100FE9C" w:rsidR="00B37B00" w:rsidRDefault="00B37B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36DA1E" w14:textId="77777777" w:rsidR="00B37B00" w:rsidRDefault="00B37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900B3" w14:textId="77777777" w:rsidR="00051650" w:rsidRDefault="00051650" w:rsidP="00F671F8">
      <w:r>
        <w:separator/>
      </w:r>
    </w:p>
  </w:footnote>
  <w:footnote w:type="continuationSeparator" w:id="0">
    <w:p w14:paraId="03850870" w14:textId="77777777" w:rsidR="00051650" w:rsidRDefault="00051650" w:rsidP="00F671F8">
      <w:r>
        <w:continuationSeparator/>
      </w:r>
    </w:p>
  </w:footnote>
  <w:footnote w:type="continuationNotice" w:id="1">
    <w:p w14:paraId="499A7943" w14:textId="77777777" w:rsidR="00051650" w:rsidRDefault="00051650"/>
  </w:footnote>
  <w:footnote w:id="2">
    <w:p w14:paraId="461B67C5" w14:textId="01E8EAE6" w:rsidR="00060AA6" w:rsidRDefault="00D3219D" w:rsidP="002324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 </w:t>
      </w:r>
      <w:r w:rsidR="00D62CAF" w:rsidRPr="00D62CAF">
        <w:rPr>
          <w:rFonts w:ascii="Times New Roman" w:hAnsi="Times New Roman" w:cs="Times New Roman"/>
          <w:sz w:val="24"/>
          <w:szCs w:val="24"/>
        </w:rPr>
        <w:t>A</w:t>
      </w:r>
      <w:r w:rsidR="00D62CAF">
        <w:rPr>
          <w:rFonts w:ascii="Times New Roman" w:hAnsi="Times New Roman" w:cs="Times New Roman"/>
          <w:sz w:val="24"/>
          <w:szCs w:val="24"/>
        </w:rPr>
        <w:t>ndrew Village</w:t>
      </w:r>
      <w:r w:rsidR="008A2E64">
        <w:rPr>
          <w:rFonts w:ascii="Times New Roman" w:hAnsi="Times New Roman" w:cs="Times New Roman"/>
          <w:sz w:val="24"/>
          <w:szCs w:val="24"/>
        </w:rPr>
        <w:t xml:space="preserve"> (contact)</w:t>
      </w:r>
    </w:p>
    <w:p w14:paraId="3E87092F" w14:textId="4AA13DFC" w:rsidR="009D3DAD" w:rsidRPr="00AC3C60" w:rsidRDefault="00060AA6" w:rsidP="0023241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of </w:t>
      </w:r>
      <w:r w:rsidR="00174A2C">
        <w:rPr>
          <w:rFonts w:ascii="Times New Roman" w:hAnsi="Times New Roman" w:cs="Times New Roman"/>
          <w:sz w:val="24"/>
          <w:szCs w:val="24"/>
        </w:rPr>
        <w:t>Practical and Empirical Theology</w:t>
      </w:r>
      <w:r w:rsidR="009D3DAD" w:rsidRPr="00AC3C6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53F7E59" w14:textId="77777777" w:rsidR="00CE1B8D" w:rsidRPr="00AC3C60" w:rsidRDefault="00CE1B8D" w:rsidP="0023241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C60">
        <w:rPr>
          <w:rFonts w:ascii="Times New Roman" w:eastAsia="Times New Roman" w:hAnsi="Times New Roman" w:cs="Times New Roman"/>
          <w:sz w:val="24"/>
          <w:szCs w:val="24"/>
        </w:rPr>
        <w:t>School of Humanities, York St John University, Lord Mayor’s Walk</w:t>
      </w:r>
    </w:p>
    <w:p w14:paraId="4C091485" w14:textId="4ABED235" w:rsidR="00CE1B8D" w:rsidRPr="00AC3C60" w:rsidRDefault="00CE1B8D" w:rsidP="0023241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C60">
        <w:rPr>
          <w:rFonts w:ascii="Times New Roman" w:eastAsia="Times New Roman" w:hAnsi="Times New Roman" w:cs="Times New Roman"/>
          <w:sz w:val="24"/>
          <w:szCs w:val="24"/>
        </w:rPr>
        <w:t>YORK YO31 7EX</w:t>
      </w:r>
      <w:r w:rsidR="002324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C3C60">
        <w:rPr>
          <w:rFonts w:ascii="Times New Roman" w:eastAsia="Times New Roman" w:hAnsi="Times New Roman" w:cs="Times New Roman"/>
          <w:sz w:val="24"/>
          <w:szCs w:val="24"/>
        </w:rPr>
        <w:t>UK</w:t>
      </w:r>
    </w:p>
    <w:p w14:paraId="07C9AB59" w14:textId="62F5EA07" w:rsidR="008A2E64" w:rsidRPr="00AC3C60" w:rsidRDefault="00051650" w:rsidP="0023241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" w:history="1">
        <w:r w:rsidR="008A2E64" w:rsidRPr="00DA43E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a.village@yorksj.ac.uk</w:t>
        </w:r>
      </w:hyperlink>
      <w:r w:rsidR="008A2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C22D6C" w14:textId="639122D6" w:rsidR="00D3219D" w:rsidRPr="00D62CAF" w:rsidRDefault="00D3219D" w:rsidP="0023241E">
      <w:pPr>
        <w:pStyle w:val="FootnoteText"/>
        <w:spacing w:line="480" w:lineRule="auto"/>
        <w:rPr>
          <w:rFonts w:ascii="Times New Roman" w:hAnsi="Times New Roman" w:cs="Times New Roman"/>
          <w:sz w:val="24"/>
          <w:szCs w:val="24"/>
        </w:rPr>
      </w:pPr>
    </w:p>
  </w:footnote>
  <w:footnote w:id="3">
    <w:p w14:paraId="1F0BD0EB" w14:textId="585724B3" w:rsidR="002277D5" w:rsidRDefault="00FB43A6" w:rsidP="00A71507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="002277D5" w:rsidRPr="00AC3C60">
        <w:rPr>
          <w:rFonts w:ascii="Times New Roman" w:eastAsia="Times New Roman" w:hAnsi="Times New Roman" w:cs="Times New Roman"/>
          <w:sz w:val="24"/>
          <w:szCs w:val="24"/>
        </w:rPr>
        <w:t xml:space="preserve">Leslie J. Francis </w:t>
      </w:r>
    </w:p>
    <w:p w14:paraId="2227BFAB" w14:textId="4DFFEDFB" w:rsidR="008A2E64" w:rsidRDefault="00EF62B5" w:rsidP="00B21E4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Professor </w:t>
      </w:r>
      <w:r w:rsidR="00CE1B8D">
        <w:rPr>
          <w:rFonts w:ascii="Times New Roman" w:eastAsia="Times New Roman" w:hAnsi="Times New Roman" w:cs="Times New Roman"/>
          <w:sz w:val="24"/>
          <w:szCs w:val="24"/>
        </w:rPr>
        <w:t xml:space="preserve">Emeritus </w:t>
      </w:r>
      <w:r w:rsidR="00CE1B8D" w:rsidRPr="00AC3C60">
        <w:rPr>
          <w:rFonts w:ascii="Times New Roman" w:eastAsia="Times New Roman" w:hAnsi="Times New Roman" w:cs="Times New Roman"/>
          <w:sz w:val="24"/>
          <w:szCs w:val="24"/>
        </w:rPr>
        <w:t>of Religions and Psychology</w:t>
      </w:r>
    </w:p>
    <w:p w14:paraId="1FD25208" w14:textId="77777777" w:rsidR="00A33123" w:rsidRPr="00AC3C60" w:rsidRDefault="00A33123" w:rsidP="00B21E4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C60">
        <w:rPr>
          <w:rFonts w:ascii="Times New Roman" w:eastAsia="Times New Roman" w:hAnsi="Times New Roman" w:cs="Times New Roman"/>
          <w:sz w:val="24"/>
          <w:szCs w:val="24"/>
        </w:rPr>
        <w:t xml:space="preserve">Centre for Educational Development, Appraisal and Research </w:t>
      </w:r>
    </w:p>
    <w:p w14:paraId="14D2531D" w14:textId="77777777" w:rsidR="00B21E4C" w:rsidRPr="00113141" w:rsidRDefault="00B21E4C" w:rsidP="00B21E4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141">
        <w:rPr>
          <w:rFonts w:ascii="Times New Roman" w:eastAsia="Times New Roman" w:hAnsi="Times New Roman" w:cs="Times New Roman"/>
          <w:sz w:val="24"/>
          <w:szCs w:val="24"/>
        </w:rPr>
        <w:t>The University of Warwick</w:t>
      </w:r>
    </w:p>
    <w:p w14:paraId="63CB4D62" w14:textId="77777777" w:rsidR="00B21E4C" w:rsidRPr="00113141" w:rsidRDefault="00B21E4C" w:rsidP="00B21E4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141">
        <w:rPr>
          <w:rFonts w:ascii="Times New Roman" w:eastAsia="Times New Roman" w:hAnsi="Times New Roman" w:cs="Times New Roman"/>
          <w:sz w:val="24"/>
          <w:szCs w:val="24"/>
        </w:rPr>
        <w:t>Coventry CV4 7AL United Kingdom</w:t>
      </w:r>
    </w:p>
    <w:p w14:paraId="5ABA7C7A" w14:textId="7CE8DAF5" w:rsidR="00FB43A6" w:rsidRDefault="00FB43A6" w:rsidP="0023241E">
      <w:pPr>
        <w:pStyle w:val="FootnoteText"/>
        <w:spacing w:line="48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F324D"/>
    <w:multiLevelType w:val="hybridMultilevel"/>
    <w:tmpl w:val="C798A98C"/>
    <w:lvl w:ilvl="0" w:tplc="C902E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A2092"/>
    <w:multiLevelType w:val="hybridMultilevel"/>
    <w:tmpl w:val="0D5E1F9A"/>
    <w:lvl w:ilvl="0" w:tplc="B344AA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570711">
    <w:abstractNumId w:val="0"/>
  </w:num>
  <w:num w:numId="2" w16cid:durableId="174753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7th&lt;/Style&gt;&lt;LeftDelim&gt;{&lt;/LeftDelim&gt;&lt;RightDelim&gt;}&lt;/RightDelim&gt;&lt;FontName&gt;Times New Roman&lt;/FontName&gt;&lt;FontSize&gt;12&lt;/FontSize&gt;&lt;ReflistTitle&gt;References&lt;/ReflistTitle&gt;&lt;StartingRefnum&gt;1&lt;/StartingRefnum&gt;&lt;FirstLineIndent&gt;0&lt;/FirstLineIndent&gt;&lt;HangingIndent&gt;720&lt;/HangingIndent&gt;&lt;LineSpacing&gt;1&lt;/LineSpacing&gt;&lt;SpaceAfter&gt;3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a29v0vzerfpz6e2s2pvwppfr2vpw999s2v2&quot;&gt;AVrefs1-Converted v20&lt;record-ids&gt;&lt;item&gt;1634&lt;/item&gt;&lt;item&gt;3822&lt;/item&gt;&lt;item&gt;7389&lt;/item&gt;&lt;item&gt;7881&lt;/item&gt;&lt;item&gt;7891&lt;/item&gt;&lt;item&gt;7892&lt;/item&gt;&lt;item&gt;7893&lt;/item&gt;&lt;item&gt;7895&lt;/item&gt;&lt;item&gt;7898&lt;/item&gt;&lt;item&gt;7899&lt;/item&gt;&lt;item&gt;7900&lt;/item&gt;&lt;item&gt;7905&lt;/item&gt;&lt;item&gt;7921&lt;/item&gt;&lt;item&gt;7925&lt;/item&gt;&lt;item&gt;7926&lt;/item&gt;&lt;item&gt;7983&lt;/item&gt;&lt;item&gt;7984&lt;/item&gt;&lt;item&gt;8030&lt;/item&gt;&lt;item&gt;8038&lt;/item&gt;&lt;item&gt;8039&lt;/item&gt;&lt;item&gt;8040&lt;/item&gt;&lt;item&gt;8045&lt;/item&gt;&lt;item&gt;8046&lt;/item&gt;&lt;item&gt;8051&lt;/item&gt;&lt;item&gt;8053&lt;/item&gt;&lt;item&gt;8058&lt;/item&gt;&lt;item&gt;8059&lt;/item&gt;&lt;item&gt;8060&lt;/item&gt;&lt;item&gt;8061&lt;/item&gt;&lt;item&gt;8062&lt;/item&gt;&lt;item&gt;8063&lt;/item&gt;&lt;item&gt;8064&lt;/item&gt;&lt;item&gt;8065&lt;/item&gt;&lt;item&gt;8066&lt;/item&gt;&lt;item&gt;8067&lt;/item&gt;&lt;item&gt;8092&lt;/item&gt;&lt;item&gt;8093&lt;/item&gt;&lt;item&gt;8094&lt;/item&gt;&lt;item&gt;8095&lt;/item&gt;&lt;item&gt;8101&lt;/item&gt;&lt;/record-ids&gt;&lt;/item&gt;&lt;/Libraries&gt;"/>
  </w:docVars>
  <w:rsids>
    <w:rsidRoot w:val="00C905BF"/>
    <w:rsid w:val="0000223E"/>
    <w:rsid w:val="000028EB"/>
    <w:rsid w:val="000034EE"/>
    <w:rsid w:val="00003BC9"/>
    <w:rsid w:val="00006D98"/>
    <w:rsid w:val="0000700F"/>
    <w:rsid w:val="000073E8"/>
    <w:rsid w:val="0001387A"/>
    <w:rsid w:val="0001406F"/>
    <w:rsid w:val="000148C7"/>
    <w:rsid w:val="00016404"/>
    <w:rsid w:val="000175F0"/>
    <w:rsid w:val="000204D3"/>
    <w:rsid w:val="00021DC9"/>
    <w:rsid w:val="0002239C"/>
    <w:rsid w:val="00030F93"/>
    <w:rsid w:val="00033823"/>
    <w:rsid w:val="00033997"/>
    <w:rsid w:val="00034633"/>
    <w:rsid w:val="00034F80"/>
    <w:rsid w:val="00035684"/>
    <w:rsid w:val="0004110A"/>
    <w:rsid w:val="0004276E"/>
    <w:rsid w:val="00043508"/>
    <w:rsid w:val="00044551"/>
    <w:rsid w:val="00045C59"/>
    <w:rsid w:val="00046293"/>
    <w:rsid w:val="0005000C"/>
    <w:rsid w:val="00050054"/>
    <w:rsid w:val="00050258"/>
    <w:rsid w:val="00050BD7"/>
    <w:rsid w:val="0005108C"/>
    <w:rsid w:val="00051650"/>
    <w:rsid w:val="00051DAD"/>
    <w:rsid w:val="000528AD"/>
    <w:rsid w:val="0005293C"/>
    <w:rsid w:val="000575C1"/>
    <w:rsid w:val="000577B7"/>
    <w:rsid w:val="00060759"/>
    <w:rsid w:val="00060AA6"/>
    <w:rsid w:val="00061E3C"/>
    <w:rsid w:val="00064958"/>
    <w:rsid w:val="00065A0A"/>
    <w:rsid w:val="00066E23"/>
    <w:rsid w:val="000677DE"/>
    <w:rsid w:val="000705EB"/>
    <w:rsid w:val="00070ED2"/>
    <w:rsid w:val="00070EE0"/>
    <w:rsid w:val="0007165C"/>
    <w:rsid w:val="00071ABA"/>
    <w:rsid w:val="00071DE3"/>
    <w:rsid w:val="000745AE"/>
    <w:rsid w:val="00075BAB"/>
    <w:rsid w:val="00076B5A"/>
    <w:rsid w:val="000771D1"/>
    <w:rsid w:val="00077AD2"/>
    <w:rsid w:val="00077C02"/>
    <w:rsid w:val="00080635"/>
    <w:rsid w:val="00081C19"/>
    <w:rsid w:val="000823C2"/>
    <w:rsid w:val="000836C5"/>
    <w:rsid w:val="00083B02"/>
    <w:rsid w:val="0008473B"/>
    <w:rsid w:val="000849AA"/>
    <w:rsid w:val="00087150"/>
    <w:rsid w:val="0008718F"/>
    <w:rsid w:val="0009132A"/>
    <w:rsid w:val="0009386E"/>
    <w:rsid w:val="000947C8"/>
    <w:rsid w:val="00095BA6"/>
    <w:rsid w:val="0009698B"/>
    <w:rsid w:val="00096BCA"/>
    <w:rsid w:val="00097B7A"/>
    <w:rsid w:val="000A0177"/>
    <w:rsid w:val="000A059E"/>
    <w:rsid w:val="000A0D4B"/>
    <w:rsid w:val="000A11E6"/>
    <w:rsid w:val="000A1C12"/>
    <w:rsid w:val="000A2498"/>
    <w:rsid w:val="000A3A3C"/>
    <w:rsid w:val="000A43DE"/>
    <w:rsid w:val="000A5E09"/>
    <w:rsid w:val="000A62EF"/>
    <w:rsid w:val="000A6529"/>
    <w:rsid w:val="000A72E6"/>
    <w:rsid w:val="000B1741"/>
    <w:rsid w:val="000B2188"/>
    <w:rsid w:val="000B28BD"/>
    <w:rsid w:val="000B2A11"/>
    <w:rsid w:val="000B3A34"/>
    <w:rsid w:val="000B3F12"/>
    <w:rsid w:val="000B5591"/>
    <w:rsid w:val="000B78FC"/>
    <w:rsid w:val="000C03AC"/>
    <w:rsid w:val="000C2207"/>
    <w:rsid w:val="000C26DB"/>
    <w:rsid w:val="000C29B9"/>
    <w:rsid w:val="000C4CD9"/>
    <w:rsid w:val="000C639A"/>
    <w:rsid w:val="000C6D1E"/>
    <w:rsid w:val="000D3973"/>
    <w:rsid w:val="000D3F83"/>
    <w:rsid w:val="000D45E8"/>
    <w:rsid w:val="000D49C4"/>
    <w:rsid w:val="000D5965"/>
    <w:rsid w:val="000D77F5"/>
    <w:rsid w:val="000E06D4"/>
    <w:rsid w:val="000E0B3E"/>
    <w:rsid w:val="000E0BD2"/>
    <w:rsid w:val="000E16D3"/>
    <w:rsid w:val="000E1D68"/>
    <w:rsid w:val="000E3D46"/>
    <w:rsid w:val="000E4E7A"/>
    <w:rsid w:val="000E5B3E"/>
    <w:rsid w:val="000E7E99"/>
    <w:rsid w:val="000F1A97"/>
    <w:rsid w:val="000F24FE"/>
    <w:rsid w:val="000F2D51"/>
    <w:rsid w:val="000F3CFB"/>
    <w:rsid w:val="000F6D5C"/>
    <w:rsid w:val="000F7BE6"/>
    <w:rsid w:val="00101651"/>
    <w:rsid w:val="001064DD"/>
    <w:rsid w:val="0010722F"/>
    <w:rsid w:val="0011061D"/>
    <w:rsid w:val="00110987"/>
    <w:rsid w:val="00110BCB"/>
    <w:rsid w:val="00113634"/>
    <w:rsid w:val="001140CF"/>
    <w:rsid w:val="00114101"/>
    <w:rsid w:val="001144CC"/>
    <w:rsid w:val="00114A4F"/>
    <w:rsid w:val="00115236"/>
    <w:rsid w:val="001154CD"/>
    <w:rsid w:val="00120698"/>
    <w:rsid w:val="001210DD"/>
    <w:rsid w:val="00121DBB"/>
    <w:rsid w:val="00122B62"/>
    <w:rsid w:val="001256A0"/>
    <w:rsid w:val="00130388"/>
    <w:rsid w:val="00131092"/>
    <w:rsid w:val="00131E96"/>
    <w:rsid w:val="00132C9E"/>
    <w:rsid w:val="00133A3E"/>
    <w:rsid w:val="00133CAF"/>
    <w:rsid w:val="00134909"/>
    <w:rsid w:val="00134EA8"/>
    <w:rsid w:val="0013529A"/>
    <w:rsid w:val="001353AA"/>
    <w:rsid w:val="00135A80"/>
    <w:rsid w:val="001361E3"/>
    <w:rsid w:val="00137004"/>
    <w:rsid w:val="001376C5"/>
    <w:rsid w:val="001377CF"/>
    <w:rsid w:val="001403C1"/>
    <w:rsid w:val="0014051F"/>
    <w:rsid w:val="00143E7F"/>
    <w:rsid w:val="00145795"/>
    <w:rsid w:val="00147B7B"/>
    <w:rsid w:val="00150F46"/>
    <w:rsid w:val="0015114F"/>
    <w:rsid w:val="0015261E"/>
    <w:rsid w:val="001528A2"/>
    <w:rsid w:val="0015333A"/>
    <w:rsid w:val="001538A1"/>
    <w:rsid w:val="00153A1C"/>
    <w:rsid w:val="00153CF6"/>
    <w:rsid w:val="001543AB"/>
    <w:rsid w:val="00156446"/>
    <w:rsid w:val="0016018E"/>
    <w:rsid w:val="00160BC5"/>
    <w:rsid w:val="0016185F"/>
    <w:rsid w:val="00161C77"/>
    <w:rsid w:val="00161D21"/>
    <w:rsid w:val="0016480D"/>
    <w:rsid w:val="00164B8E"/>
    <w:rsid w:val="00165280"/>
    <w:rsid w:val="00165C8D"/>
    <w:rsid w:val="001674F0"/>
    <w:rsid w:val="00170C92"/>
    <w:rsid w:val="00170EB6"/>
    <w:rsid w:val="00174A2C"/>
    <w:rsid w:val="00175F85"/>
    <w:rsid w:val="0018017F"/>
    <w:rsid w:val="00180C14"/>
    <w:rsid w:val="00180C9C"/>
    <w:rsid w:val="00184BD2"/>
    <w:rsid w:val="00186EFC"/>
    <w:rsid w:val="00190170"/>
    <w:rsid w:val="00191766"/>
    <w:rsid w:val="00192457"/>
    <w:rsid w:val="00192DEE"/>
    <w:rsid w:val="001939FA"/>
    <w:rsid w:val="0019735C"/>
    <w:rsid w:val="001973E4"/>
    <w:rsid w:val="00197B95"/>
    <w:rsid w:val="001A1933"/>
    <w:rsid w:val="001A367F"/>
    <w:rsid w:val="001A4D53"/>
    <w:rsid w:val="001A4E6F"/>
    <w:rsid w:val="001A4EAC"/>
    <w:rsid w:val="001A5FC4"/>
    <w:rsid w:val="001A742F"/>
    <w:rsid w:val="001B1C61"/>
    <w:rsid w:val="001B4E17"/>
    <w:rsid w:val="001B5D2F"/>
    <w:rsid w:val="001B6A4C"/>
    <w:rsid w:val="001B7022"/>
    <w:rsid w:val="001B7445"/>
    <w:rsid w:val="001C0F80"/>
    <w:rsid w:val="001C210A"/>
    <w:rsid w:val="001C2848"/>
    <w:rsid w:val="001C3FBD"/>
    <w:rsid w:val="001C4148"/>
    <w:rsid w:val="001C4FBF"/>
    <w:rsid w:val="001C638E"/>
    <w:rsid w:val="001C708B"/>
    <w:rsid w:val="001D2CE3"/>
    <w:rsid w:val="001D324A"/>
    <w:rsid w:val="001D3F38"/>
    <w:rsid w:val="001D428F"/>
    <w:rsid w:val="001D5C63"/>
    <w:rsid w:val="001E0536"/>
    <w:rsid w:val="001E0EF7"/>
    <w:rsid w:val="001E149D"/>
    <w:rsid w:val="001E28CB"/>
    <w:rsid w:val="001E3D14"/>
    <w:rsid w:val="001F0177"/>
    <w:rsid w:val="001F01C8"/>
    <w:rsid w:val="001F1633"/>
    <w:rsid w:val="001F166B"/>
    <w:rsid w:val="001F21B8"/>
    <w:rsid w:val="001F21EF"/>
    <w:rsid w:val="001F363C"/>
    <w:rsid w:val="001F43B6"/>
    <w:rsid w:val="001F449A"/>
    <w:rsid w:val="001F5B97"/>
    <w:rsid w:val="001F5CC4"/>
    <w:rsid w:val="001F7D6C"/>
    <w:rsid w:val="002022A1"/>
    <w:rsid w:val="002032D0"/>
    <w:rsid w:val="00203392"/>
    <w:rsid w:val="00206620"/>
    <w:rsid w:val="002074F3"/>
    <w:rsid w:val="00207FE6"/>
    <w:rsid w:val="00210E0E"/>
    <w:rsid w:val="00212681"/>
    <w:rsid w:val="00212C3B"/>
    <w:rsid w:val="00213239"/>
    <w:rsid w:val="002132A4"/>
    <w:rsid w:val="00213EE5"/>
    <w:rsid w:val="002158FD"/>
    <w:rsid w:val="00216018"/>
    <w:rsid w:val="00217F49"/>
    <w:rsid w:val="00220064"/>
    <w:rsid w:val="00220453"/>
    <w:rsid w:val="00221632"/>
    <w:rsid w:val="00221D02"/>
    <w:rsid w:val="00222341"/>
    <w:rsid w:val="00222659"/>
    <w:rsid w:val="0022283B"/>
    <w:rsid w:val="00222D85"/>
    <w:rsid w:val="002247E7"/>
    <w:rsid w:val="00224DC5"/>
    <w:rsid w:val="002250C7"/>
    <w:rsid w:val="002277D5"/>
    <w:rsid w:val="00230B7E"/>
    <w:rsid w:val="0023223A"/>
    <w:rsid w:val="0023241E"/>
    <w:rsid w:val="002329B3"/>
    <w:rsid w:val="00232CB7"/>
    <w:rsid w:val="00233690"/>
    <w:rsid w:val="00233BE2"/>
    <w:rsid w:val="00234DEF"/>
    <w:rsid w:val="002359F3"/>
    <w:rsid w:val="00236A84"/>
    <w:rsid w:val="002404E7"/>
    <w:rsid w:val="00241DA9"/>
    <w:rsid w:val="00243AAB"/>
    <w:rsid w:val="00244435"/>
    <w:rsid w:val="00244A60"/>
    <w:rsid w:val="00245851"/>
    <w:rsid w:val="00252ED9"/>
    <w:rsid w:val="00253CE9"/>
    <w:rsid w:val="002561F3"/>
    <w:rsid w:val="00262653"/>
    <w:rsid w:val="0026507E"/>
    <w:rsid w:val="00266E5C"/>
    <w:rsid w:val="00270F7F"/>
    <w:rsid w:val="00271C40"/>
    <w:rsid w:val="002725F4"/>
    <w:rsid w:val="002728B3"/>
    <w:rsid w:val="00272CA1"/>
    <w:rsid w:val="00272CEA"/>
    <w:rsid w:val="00272E37"/>
    <w:rsid w:val="002769ED"/>
    <w:rsid w:val="00281BD1"/>
    <w:rsid w:val="00281FD7"/>
    <w:rsid w:val="00283694"/>
    <w:rsid w:val="00286B81"/>
    <w:rsid w:val="00287DD3"/>
    <w:rsid w:val="00287E18"/>
    <w:rsid w:val="0029019B"/>
    <w:rsid w:val="0029143A"/>
    <w:rsid w:val="002922EB"/>
    <w:rsid w:val="00292BB4"/>
    <w:rsid w:val="00292D8F"/>
    <w:rsid w:val="002945A0"/>
    <w:rsid w:val="002965AB"/>
    <w:rsid w:val="00296843"/>
    <w:rsid w:val="0029702D"/>
    <w:rsid w:val="002A0376"/>
    <w:rsid w:val="002A0677"/>
    <w:rsid w:val="002A0C52"/>
    <w:rsid w:val="002A262C"/>
    <w:rsid w:val="002A2B54"/>
    <w:rsid w:val="002A2F2F"/>
    <w:rsid w:val="002A66B5"/>
    <w:rsid w:val="002B0071"/>
    <w:rsid w:val="002B0EA8"/>
    <w:rsid w:val="002B0FAA"/>
    <w:rsid w:val="002B24D6"/>
    <w:rsid w:val="002B272B"/>
    <w:rsid w:val="002B2BAD"/>
    <w:rsid w:val="002B31D4"/>
    <w:rsid w:val="002B3B97"/>
    <w:rsid w:val="002B49E6"/>
    <w:rsid w:val="002B6423"/>
    <w:rsid w:val="002B6D7A"/>
    <w:rsid w:val="002B726B"/>
    <w:rsid w:val="002B7DFE"/>
    <w:rsid w:val="002C1E50"/>
    <w:rsid w:val="002C1F05"/>
    <w:rsid w:val="002C2345"/>
    <w:rsid w:val="002C270F"/>
    <w:rsid w:val="002C31B0"/>
    <w:rsid w:val="002C5A74"/>
    <w:rsid w:val="002D15B8"/>
    <w:rsid w:val="002D2133"/>
    <w:rsid w:val="002D373D"/>
    <w:rsid w:val="002D4776"/>
    <w:rsid w:val="002E0844"/>
    <w:rsid w:val="002E1DB0"/>
    <w:rsid w:val="002E2B7D"/>
    <w:rsid w:val="002E54D6"/>
    <w:rsid w:val="002E62A7"/>
    <w:rsid w:val="002E6D30"/>
    <w:rsid w:val="002F2360"/>
    <w:rsid w:val="002F59F7"/>
    <w:rsid w:val="002F6453"/>
    <w:rsid w:val="002F6510"/>
    <w:rsid w:val="002F6867"/>
    <w:rsid w:val="002F6F6A"/>
    <w:rsid w:val="0030080B"/>
    <w:rsid w:val="00300ED4"/>
    <w:rsid w:val="00301F0F"/>
    <w:rsid w:val="003035ED"/>
    <w:rsid w:val="00305C0F"/>
    <w:rsid w:val="00305E7E"/>
    <w:rsid w:val="003062DE"/>
    <w:rsid w:val="00307AE1"/>
    <w:rsid w:val="003116BF"/>
    <w:rsid w:val="00312122"/>
    <w:rsid w:val="00315BFE"/>
    <w:rsid w:val="00323F1A"/>
    <w:rsid w:val="00326215"/>
    <w:rsid w:val="00326420"/>
    <w:rsid w:val="00326763"/>
    <w:rsid w:val="00327340"/>
    <w:rsid w:val="00330586"/>
    <w:rsid w:val="00330743"/>
    <w:rsid w:val="00330A74"/>
    <w:rsid w:val="00330EB8"/>
    <w:rsid w:val="003319D6"/>
    <w:rsid w:val="00332BE0"/>
    <w:rsid w:val="00332F48"/>
    <w:rsid w:val="003344AB"/>
    <w:rsid w:val="003357C2"/>
    <w:rsid w:val="0033674B"/>
    <w:rsid w:val="003371D0"/>
    <w:rsid w:val="00337EB2"/>
    <w:rsid w:val="0034091C"/>
    <w:rsid w:val="00341FD2"/>
    <w:rsid w:val="003421B7"/>
    <w:rsid w:val="0034297E"/>
    <w:rsid w:val="003456FF"/>
    <w:rsid w:val="00345724"/>
    <w:rsid w:val="00346F96"/>
    <w:rsid w:val="00350803"/>
    <w:rsid w:val="00351539"/>
    <w:rsid w:val="003519BD"/>
    <w:rsid w:val="00352269"/>
    <w:rsid w:val="003530B6"/>
    <w:rsid w:val="00353485"/>
    <w:rsid w:val="0035499A"/>
    <w:rsid w:val="00354A0B"/>
    <w:rsid w:val="00354B2A"/>
    <w:rsid w:val="00354F0E"/>
    <w:rsid w:val="00354F61"/>
    <w:rsid w:val="00357C2B"/>
    <w:rsid w:val="0036188F"/>
    <w:rsid w:val="00365328"/>
    <w:rsid w:val="0036639A"/>
    <w:rsid w:val="003663EC"/>
    <w:rsid w:val="00367279"/>
    <w:rsid w:val="00367A78"/>
    <w:rsid w:val="00370864"/>
    <w:rsid w:val="00371008"/>
    <w:rsid w:val="00372E7C"/>
    <w:rsid w:val="00375229"/>
    <w:rsid w:val="0037565E"/>
    <w:rsid w:val="00377D15"/>
    <w:rsid w:val="00380199"/>
    <w:rsid w:val="00381066"/>
    <w:rsid w:val="003813BF"/>
    <w:rsid w:val="00381A64"/>
    <w:rsid w:val="00383747"/>
    <w:rsid w:val="00383B1A"/>
    <w:rsid w:val="003840A0"/>
    <w:rsid w:val="003849F8"/>
    <w:rsid w:val="00385229"/>
    <w:rsid w:val="003852A6"/>
    <w:rsid w:val="00385FE7"/>
    <w:rsid w:val="00390FC2"/>
    <w:rsid w:val="00391952"/>
    <w:rsid w:val="00392F58"/>
    <w:rsid w:val="0039340E"/>
    <w:rsid w:val="00394639"/>
    <w:rsid w:val="00395511"/>
    <w:rsid w:val="003956A8"/>
    <w:rsid w:val="00395B31"/>
    <w:rsid w:val="00396619"/>
    <w:rsid w:val="003A1259"/>
    <w:rsid w:val="003A1C5A"/>
    <w:rsid w:val="003A2BC4"/>
    <w:rsid w:val="003A3E16"/>
    <w:rsid w:val="003A43FF"/>
    <w:rsid w:val="003A4D6B"/>
    <w:rsid w:val="003A64CB"/>
    <w:rsid w:val="003A6991"/>
    <w:rsid w:val="003A6CE4"/>
    <w:rsid w:val="003B0425"/>
    <w:rsid w:val="003B0C7C"/>
    <w:rsid w:val="003B32CA"/>
    <w:rsid w:val="003B6911"/>
    <w:rsid w:val="003B739F"/>
    <w:rsid w:val="003C08A9"/>
    <w:rsid w:val="003C1682"/>
    <w:rsid w:val="003C1C7B"/>
    <w:rsid w:val="003C26EB"/>
    <w:rsid w:val="003C27ED"/>
    <w:rsid w:val="003C4240"/>
    <w:rsid w:val="003C4679"/>
    <w:rsid w:val="003C490E"/>
    <w:rsid w:val="003C4F64"/>
    <w:rsid w:val="003C5E2B"/>
    <w:rsid w:val="003C7403"/>
    <w:rsid w:val="003D1175"/>
    <w:rsid w:val="003D1CA5"/>
    <w:rsid w:val="003D22FE"/>
    <w:rsid w:val="003D2DF9"/>
    <w:rsid w:val="003D461F"/>
    <w:rsid w:val="003D48E7"/>
    <w:rsid w:val="003D5EDD"/>
    <w:rsid w:val="003D6BA2"/>
    <w:rsid w:val="003D6E90"/>
    <w:rsid w:val="003E0BC1"/>
    <w:rsid w:val="003E191B"/>
    <w:rsid w:val="003E2BC5"/>
    <w:rsid w:val="003E38BB"/>
    <w:rsid w:val="003E4A54"/>
    <w:rsid w:val="003E4AEE"/>
    <w:rsid w:val="003F4953"/>
    <w:rsid w:val="003F60DF"/>
    <w:rsid w:val="003F6D51"/>
    <w:rsid w:val="003F7EC6"/>
    <w:rsid w:val="00402627"/>
    <w:rsid w:val="0040321E"/>
    <w:rsid w:val="00403754"/>
    <w:rsid w:val="0040621D"/>
    <w:rsid w:val="0041130C"/>
    <w:rsid w:val="00411F34"/>
    <w:rsid w:val="00412F83"/>
    <w:rsid w:val="00412F96"/>
    <w:rsid w:val="004154AF"/>
    <w:rsid w:val="00415E64"/>
    <w:rsid w:val="00417AD5"/>
    <w:rsid w:val="00420562"/>
    <w:rsid w:val="0042122A"/>
    <w:rsid w:val="004221B1"/>
    <w:rsid w:val="004236FE"/>
    <w:rsid w:val="00424E52"/>
    <w:rsid w:val="00425C89"/>
    <w:rsid w:val="00426CF2"/>
    <w:rsid w:val="00430AD3"/>
    <w:rsid w:val="00431624"/>
    <w:rsid w:val="004320A2"/>
    <w:rsid w:val="004338D1"/>
    <w:rsid w:val="00435964"/>
    <w:rsid w:val="00435BCF"/>
    <w:rsid w:val="00436568"/>
    <w:rsid w:val="00437859"/>
    <w:rsid w:val="00441351"/>
    <w:rsid w:val="00442E41"/>
    <w:rsid w:val="00443521"/>
    <w:rsid w:val="004435E1"/>
    <w:rsid w:val="00446279"/>
    <w:rsid w:val="00446541"/>
    <w:rsid w:val="00446F5A"/>
    <w:rsid w:val="004470E0"/>
    <w:rsid w:val="00447F6C"/>
    <w:rsid w:val="00450605"/>
    <w:rsid w:val="004507E4"/>
    <w:rsid w:val="0045186F"/>
    <w:rsid w:val="004526C2"/>
    <w:rsid w:val="004575DA"/>
    <w:rsid w:val="004605CD"/>
    <w:rsid w:val="00460C61"/>
    <w:rsid w:val="0046329D"/>
    <w:rsid w:val="0046445C"/>
    <w:rsid w:val="00466100"/>
    <w:rsid w:val="004666AA"/>
    <w:rsid w:val="004674DD"/>
    <w:rsid w:val="004707DD"/>
    <w:rsid w:val="00470EA7"/>
    <w:rsid w:val="00471E29"/>
    <w:rsid w:val="004748B5"/>
    <w:rsid w:val="004748C9"/>
    <w:rsid w:val="00474E72"/>
    <w:rsid w:val="00474EDA"/>
    <w:rsid w:val="00475763"/>
    <w:rsid w:val="00475A31"/>
    <w:rsid w:val="00484BEE"/>
    <w:rsid w:val="00485042"/>
    <w:rsid w:val="00487554"/>
    <w:rsid w:val="004875E3"/>
    <w:rsid w:val="00487EA9"/>
    <w:rsid w:val="00490F38"/>
    <w:rsid w:val="00491779"/>
    <w:rsid w:val="00492C30"/>
    <w:rsid w:val="00492C7C"/>
    <w:rsid w:val="00493EB8"/>
    <w:rsid w:val="00494BCB"/>
    <w:rsid w:val="004A009B"/>
    <w:rsid w:val="004A2E6E"/>
    <w:rsid w:val="004A3BF3"/>
    <w:rsid w:val="004A3DF1"/>
    <w:rsid w:val="004A3FD6"/>
    <w:rsid w:val="004A5B90"/>
    <w:rsid w:val="004A64EB"/>
    <w:rsid w:val="004A6EF8"/>
    <w:rsid w:val="004A7B5C"/>
    <w:rsid w:val="004B15D7"/>
    <w:rsid w:val="004B1B93"/>
    <w:rsid w:val="004B30EC"/>
    <w:rsid w:val="004B3935"/>
    <w:rsid w:val="004B5851"/>
    <w:rsid w:val="004B791F"/>
    <w:rsid w:val="004B7C26"/>
    <w:rsid w:val="004C348F"/>
    <w:rsid w:val="004C40C1"/>
    <w:rsid w:val="004C42A4"/>
    <w:rsid w:val="004C523D"/>
    <w:rsid w:val="004C690F"/>
    <w:rsid w:val="004C7596"/>
    <w:rsid w:val="004C793C"/>
    <w:rsid w:val="004D051A"/>
    <w:rsid w:val="004D0703"/>
    <w:rsid w:val="004D0997"/>
    <w:rsid w:val="004D0F37"/>
    <w:rsid w:val="004D1DA5"/>
    <w:rsid w:val="004D33AA"/>
    <w:rsid w:val="004D36F6"/>
    <w:rsid w:val="004D4599"/>
    <w:rsid w:val="004D60D9"/>
    <w:rsid w:val="004D6FF7"/>
    <w:rsid w:val="004D7ACE"/>
    <w:rsid w:val="004E19C6"/>
    <w:rsid w:val="004E2A7D"/>
    <w:rsid w:val="004E38FD"/>
    <w:rsid w:val="004E39BD"/>
    <w:rsid w:val="004E3CFD"/>
    <w:rsid w:val="004E5D5B"/>
    <w:rsid w:val="004E6E3C"/>
    <w:rsid w:val="004F06F8"/>
    <w:rsid w:val="004F282B"/>
    <w:rsid w:val="004F43BE"/>
    <w:rsid w:val="004F4B5B"/>
    <w:rsid w:val="004F4EC5"/>
    <w:rsid w:val="00500B33"/>
    <w:rsid w:val="0050206F"/>
    <w:rsid w:val="00504AC6"/>
    <w:rsid w:val="005054E7"/>
    <w:rsid w:val="0050551D"/>
    <w:rsid w:val="00505CEC"/>
    <w:rsid w:val="00507A2D"/>
    <w:rsid w:val="005100D0"/>
    <w:rsid w:val="00511845"/>
    <w:rsid w:val="005133F7"/>
    <w:rsid w:val="0051434E"/>
    <w:rsid w:val="00516FD6"/>
    <w:rsid w:val="00517DB8"/>
    <w:rsid w:val="00520289"/>
    <w:rsid w:val="00521007"/>
    <w:rsid w:val="005222B2"/>
    <w:rsid w:val="00523BD2"/>
    <w:rsid w:val="0052501F"/>
    <w:rsid w:val="00526F73"/>
    <w:rsid w:val="005305BD"/>
    <w:rsid w:val="00530E2B"/>
    <w:rsid w:val="0053352E"/>
    <w:rsid w:val="00535DB4"/>
    <w:rsid w:val="00537412"/>
    <w:rsid w:val="00541A76"/>
    <w:rsid w:val="0054351B"/>
    <w:rsid w:val="00543A49"/>
    <w:rsid w:val="00543D0E"/>
    <w:rsid w:val="0054701D"/>
    <w:rsid w:val="005474B3"/>
    <w:rsid w:val="005501E9"/>
    <w:rsid w:val="00550EBB"/>
    <w:rsid w:val="0055108C"/>
    <w:rsid w:val="00551DA0"/>
    <w:rsid w:val="00552D0D"/>
    <w:rsid w:val="00553725"/>
    <w:rsid w:val="005540A6"/>
    <w:rsid w:val="005543F1"/>
    <w:rsid w:val="00554464"/>
    <w:rsid w:val="0055471B"/>
    <w:rsid w:val="0055665E"/>
    <w:rsid w:val="005575FF"/>
    <w:rsid w:val="00560EEC"/>
    <w:rsid w:val="00561F9E"/>
    <w:rsid w:val="00562436"/>
    <w:rsid w:val="005634A8"/>
    <w:rsid w:val="00563968"/>
    <w:rsid w:val="00563D7F"/>
    <w:rsid w:val="00564356"/>
    <w:rsid w:val="00565189"/>
    <w:rsid w:val="00565CC3"/>
    <w:rsid w:val="00565D16"/>
    <w:rsid w:val="00566595"/>
    <w:rsid w:val="00567736"/>
    <w:rsid w:val="00567DFF"/>
    <w:rsid w:val="0057080F"/>
    <w:rsid w:val="00570E2B"/>
    <w:rsid w:val="005774ED"/>
    <w:rsid w:val="0057775F"/>
    <w:rsid w:val="00580ECA"/>
    <w:rsid w:val="00580F1D"/>
    <w:rsid w:val="005812DA"/>
    <w:rsid w:val="00582AB2"/>
    <w:rsid w:val="00582C98"/>
    <w:rsid w:val="00582F09"/>
    <w:rsid w:val="00583970"/>
    <w:rsid w:val="00583C16"/>
    <w:rsid w:val="00584635"/>
    <w:rsid w:val="005853A1"/>
    <w:rsid w:val="00585454"/>
    <w:rsid w:val="00587968"/>
    <w:rsid w:val="00587E9D"/>
    <w:rsid w:val="00590080"/>
    <w:rsid w:val="00592327"/>
    <w:rsid w:val="0059242F"/>
    <w:rsid w:val="00592F2F"/>
    <w:rsid w:val="00592FC3"/>
    <w:rsid w:val="00593E8C"/>
    <w:rsid w:val="00594522"/>
    <w:rsid w:val="005973D2"/>
    <w:rsid w:val="005A01DE"/>
    <w:rsid w:val="005A16F8"/>
    <w:rsid w:val="005A2F14"/>
    <w:rsid w:val="005A4BA2"/>
    <w:rsid w:val="005A57D0"/>
    <w:rsid w:val="005A6AB6"/>
    <w:rsid w:val="005A73B5"/>
    <w:rsid w:val="005A7B81"/>
    <w:rsid w:val="005A7DFE"/>
    <w:rsid w:val="005B0926"/>
    <w:rsid w:val="005B0BB5"/>
    <w:rsid w:val="005B1642"/>
    <w:rsid w:val="005B2283"/>
    <w:rsid w:val="005B3147"/>
    <w:rsid w:val="005B3B67"/>
    <w:rsid w:val="005B40EB"/>
    <w:rsid w:val="005B4B66"/>
    <w:rsid w:val="005B6DA4"/>
    <w:rsid w:val="005B76FA"/>
    <w:rsid w:val="005B7D28"/>
    <w:rsid w:val="005C0CDC"/>
    <w:rsid w:val="005C1473"/>
    <w:rsid w:val="005C1D48"/>
    <w:rsid w:val="005C27E4"/>
    <w:rsid w:val="005C3003"/>
    <w:rsid w:val="005C5EB0"/>
    <w:rsid w:val="005C64F7"/>
    <w:rsid w:val="005C78E5"/>
    <w:rsid w:val="005D0BB0"/>
    <w:rsid w:val="005D1D72"/>
    <w:rsid w:val="005D1F56"/>
    <w:rsid w:val="005D3614"/>
    <w:rsid w:val="005D5263"/>
    <w:rsid w:val="005E16FD"/>
    <w:rsid w:val="005E3E9D"/>
    <w:rsid w:val="005E4126"/>
    <w:rsid w:val="005E4E10"/>
    <w:rsid w:val="005E5685"/>
    <w:rsid w:val="005F2942"/>
    <w:rsid w:val="005F30E5"/>
    <w:rsid w:val="005F4BF5"/>
    <w:rsid w:val="005F549A"/>
    <w:rsid w:val="005F555D"/>
    <w:rsid w:val="005F5ED9"/>
    <w:rsid w:val="005F721F"/>
    <w:rsid w:val="0060069B"/>
    <w:rsid w:val="00600716"/>
    <w:rsid w:val="006008C7"/>
    <w:rsid w:val="00600AED"/>
    <w:rsid w:val="00600F1B"/>
    <w:rsid w:val="0060317B"/>
    <w:rsid w:val="006034B7"/>
    <w:rsid w:val="00604919"/>
    <w:rsid w:val="00604E42"/>
    <w:rsid w:val="0060633D"/>
    <w:rsid w:val="0060725A"/>
    <w:rsid w:val="00607978"/>
    <w:rsid w:val="006100B4"/>
    <w:rsid w:val="006109AE"/>
    <w:rsid w:val="00610A02"/>
    <w:rsid w:val="00610D71"/>
    <w:rsid w:val="0061224E"/>
    <w:rsid w:val="00612300"/>
    <w:rsid w:val="00612959"/>
    <w:rsid w:val="00613EDE"/>
    <w:rsid w:val="006144C4"/>
    <w:rsid w:val="00614F10"/>
    <w:rsid w:val="0061698D"/>
    <w:rsid w:val="0061778C"/>
    <w:rsid w:val="006178BC"/>
    <w:rsid w:val="00617A11"/>
    <w:rsid w:val="00620947"/>
    <w:rsid w:val="0062133F"/>
    <w:rsid w:val="00621726"/>
    <w:rsid w:val="00622EF7"/>
    <w:rsid w:val="00623DA5"/>
    <w:rsid w:val="0062405B"/>
    <w:rsid w:val="006242A4"/>
    <w:rsid w:val="00624EF1"/>
    <w:rsid w:val="00630E07"/>
    <w:rsid w:val="00631389"/>
    <w:rsid w:val="0063222C"/>
    <w:rsid w:val="00632A70"/>
    <w:rsid w:val="006368F1"/>
    <w:rsid w:val="0064046A"/>
    <w:rsid w:val="00645691"/>
    <w:rsid w:val="00653056"/>
    <w:rsid w:val="006540F7"/>
    <w:rsid w:val="00655250"/>
    <w:rsid w:val="0065551B"/>
    <w:rsid w:val="006564D7"/>
    <w:rsid w:val="00657010"/>
    <w:rsid w:val="00657276"/>
    <w:rsid w:val="00660691"/>
    <w:rsid w:val="00660F23"/>
    <w:rsid w:val="006626B0"/>
    <w:rsid w:val="006640F2"/>
    <w:rsid w:val="0066415B"/>
    <w:rsid w:val="00664AA2"/>
    <w:rsid w:val="00664CDE"/>
    <w:rsid w:val="00665845"/>
    <w:rsid w:val="00670C73"/>
    <w:rsid w:val="00671A09"/>
    <w:rsid w:val="006740E5"/>
    <w:rsid w:val="00674558"/>
    <w:rsid w:val="00686361"/>
    <w:rsid w:val="00686CA5"/>
    <w:rsid w:val="0068745A"/>
    <w:rsid w:val="00687C33"/>
    <w:rsid w:val="00691926"/>
    <w:rsid w:val="006926EE"/>
    <w:rsid w:val="006929EB"/>
    <w:rsid w:val="00692B90"/>
    <w:rsid w:val="00692D6F"/>
    <w:rsid w:val="0069493A"/>
    <w:rsid w:val="00697225"/>
    <w:rsid w:val="006978B3"/>
    <w:rsid w:val="00697ED7"/>
    <w:rsid w:val="006A228E"/>
    <w:rsid w:val="006A3C2E"/>
    <w:rsid w:val="006A4BEC"/>
    <w:rsid w:val="006A59E9"/>
    <w:rsid w:val="006A6FE7"/>
    <w:rsid w:val="006B14CE"/>
    <w:rsid w:val="006B2593"/>
    <w:rsid w:val="006B3147"/>
    <w:rsid w:val="006C08C9"/>
    <w:rsid w:val="006C35E4"/>
    <w:rsid w:val="006C39F3"/>
    <w:rsid w:val="006C631F"/>
    <w:rsid w:val="006C6BAF"/>
    <w:rsid w:val="006D0F27"/>
    <w:rsid w:val="006D10CA"/>
    <w:rsid w:val="006D2628"/>
    <w:rsid w:val="006D3BED"/>
    <w:rsid w:val="006D3E50"/>
    <w:rsid w:val="006D4428"/>
    <w:rsid w:val="006D50E3"/>
    <w:rsid w:val="006D7140"/>
    <w:rsid w:val="006E0BE9"/>
    <w:rsid w:val="006E137A"/>
    <w:rsid w:val="006E29B8"/>
    <w:rsid w:val="006E2FFC"/>
    <w:rsid w:val="006E5C22"/>
    <w:rsid w:val="006E5F3F"/>
    <w:rsid w:val="006E6B51"/>
    <w:rsid w:val="006E6BDB"/>
    <w:rsid w:val="006F0E7E"/>
    <w:rsid w:val="006F18ED"/>
    <w:rsid w:val="006F1BDF"/>
    <w:rsid w:val="007017D7"/>
    <w:rsid w:val="00701E8A"/>
    <w:rsid w:val="0070368C"/>
    <w:rsid w:val="00703942"/>
    <w:rsid w:val="00704687"/>
    <w:rsid w:val="0070661E"/>
    <w:rsid w:val="007102E3"/>
    <w:rsid w:val="00710F97"/>
    <w:rsid w:val="007115EB"/>
    <w:rsid w:val="00712A5F"/>
    <w:rsid w:val="007139F1"/>
    <w:rsid w:val="007142C7"/>
    <w:rsid w:val="00714359"/>
    <w:rsid w:val="007153A1"/>
    <w:rsid w:val="00715C98"/>
    <w:rsid w:val="00721088"/>
    <w:rsid w:val="0072526F"/>
    <w:rsid w:val="00725FA5"/>
    <w:rsid w:val="00726716"/>
    <w:rsid w:val="007268B2"/>
    <w:rsid w:val="00727937"/>
    <w:rsid w:val="007279C6"/>
    <w:rsid w:val="00730805"/>
    <w:rsid w:val="007320BB"/>
    <w:rsid w:val="00732BAD"/>
    <w:rsid w:val="00733916"/>
    <w:rsid w:val="007345F2"/>
    <w:rsid w:val="00734C03"/>
    <w:rsid w:val="00737736"/>
    <w:rsid w:val="0073799D"/>
    <w:rsid w:val="00737A19"/>
    <w:rsid w:val="0074229B"/>
    <w:rsid w:val="00745184"/>
    <w:rsid w:val="00745A13"/>
    <w:rsid w:val="00746877"/>
    <w:rsid w:val="00746B6B"/>
    <w:rsid w:val="00747BD3"/>
    <w:rsid w:val="0075040B"/>
    <w:rsid w:val="00750C6B"/>
    <w:rsid w:val="00754C31"/>
    <w:rsid w:val="007568A0"/>
    <w:rsid w:val="007575EA"/>
    <w:rsid w:val="00757E80"/>
    <w:rsid w:val="00757FF4"/>
    <w:rsid w:val="0076078C"/>
    <w:rsid w:val="00760E88"/>
    <w:rsid w:val="00761DD5"/>
    <w:rsid w:val="00762F37"/>
    <w:rsid w:val="00764F9E"/>
    <w:rsid w:val="00765608"/>
    <w:rsid w:val="0076587D"/>
    <w:rsid w:val="00766A80"/>
    <w:rsid w:val="00767F03"/>
    <w:rsid w:val="00770A03"/>
    <w:rsid w:val="00772585"/>
    <w:rsid w:val="00773922"/>
    <w:rsid w:val="00774A4B"/>
    <w:rsid w:val="00774C2B"/>
    <w:rsid w:val="00776102"/>
    <w:rsid w:val="0077645C"/>
    <w:rsid w:val="00777E30"/>
    <w:rsid w:val="00780E25"/>
    <w:rsid w:val="00780EF6"/>
    <w:rsid w:val="00781965"/>
    <w:rsid w:val="007851BD"/>
    <w:rsid w:val="007852D6"/>
    <w:rsid w:val="00785FCC"/>
    <w:rsid w:val="00790A26"/>
    <w:rsid w:val="00791C20"/>
    <w:rsid w:val="00792217"/>
    <w:rsid w:val="00792763"/>
    <w:rsid w:val="0079427B"/>
    <w:rsid w:val="00794A11"/>
    <w:rsid w:val="00794BD0"/>
    <w:rsid w:val="00795927"/>
    <w:rsid w:val="00795A60"/>
    <w:rsid w:val="00797527"/>
    <w:rsid w:val="007978F0"/>
    <w:rsid w:val="007A06D1"/>
    <w:rsid w:val="007A146C"/>
    <w:rsid w:val="007A23EE"/>
    <w:rsid w:val="007A243A"/>
    <w:rsid w:val="007A271B"/>
    <w:rsid w:val="007A27B6"/>
    <w:rsid w:val="007A3325"/>
    <w:rsid w:val="007A531E"/>
    <w:rsid w:val="007A6002"/>
    <w:rsid w:val="007A72C4"/>
    <w:rsid w:val="007A732B"/>
    <w:rsid w:val="007A7C54"/>
    <w:rsid w:val="007B054C"/>
    <w:rsid w:val="007B0CA2"/>
    <w:rsid w:val="007B29E9"/>
    <w:rsid w:val="007B2B7B"/>
    <w:rsid w:val="007B3D66"/>
    <w:rsid w:val="007B49A5"/>
    <w:rsid w:val="007B532A"/>
    <w:rsid w:val="007B5D7F"/>
    <w:rsid w:val="007C0175"/>
    <w:rsid w:val="007C09C7"/>
    <w:rsid w:val="007C0C81"/>
    <w:rsid w:val="007C1517"/>
    <w:rsid w:val="007C1EA5"/>
    <w:rsid w:val="007C236F"/>
    <w:rsid w:val="007C27DF"/>
    <w:rsid w:val="007C49C4"/>
    <w:rsid w:val="007C4B91"/>
    <w:rsid w:val="007C5F87"/>
    <w:rsid w:val="007C65E8"/>
    <w:rsid w:val="007C7373"/>
    <w:rsid w:val="007C7804"/>
    <w:rsid w:val="007D288D"/>
    <w:rsid w:val="007D2F0B"/>
    <w:rsid w:val="007D3353"/>
    <w:rsid w:val="007D49D1"/>
    <w:rsid w:val="007D4D78"/>
    <w:rsid w:val="007D54D8"/>
    <w:rsid w:val="007D5554"/>
    <w:rsid w:val="007D5958"/>
    <w:rsid w:val="007D67A6"/>
    <w:rsid w:val="007D6C30"/>
    <w:rsid w:val="007D6F29"/>
    <w:rsid w:val="007D7321"/>
    <w:rsid w:val="007E01D6"/>
    <w:rsid w:val="007E0A1A"/>
    <w:rsid w:val="007E1C14"/>
    <w:rsid w:val="007E1D51"/>
    <w:rsid w:val="007E3BF4"/>
    <w:rsid w:val="007F05C2"/>
    <w:rsid w:val="007F06AF"/>
    <w:rsid w:val="007F0FF3"/>
    <w:rsid w:val="007F154B"/>
    <w:rsid w:val="007F1863"/>
    <w:rsid w:val="007F28E4"/>
    <w:rsid w:val="007F2FEB"/>
    <w:rsid w:val="007F3F3B"/>
    <w:rsid w:val="007F6394"/>
    <w:rsid w:val="008002BE"/>
    <w:rsid w:val="00800320"/>
    <w:rsid w:val="0080214E"/>
    <w:rsid w:val="00803D56"/>
    <w:rsid w:val="00804239"/>
    <w:rsid w:val="0080651A"/>
    <w:rsid w:val="008068ED"/>
    <w:rsid w:val="00810D86"/>
    <w:rsid w:val="00811ED3"/>
    <w:rsid w:val="00814670"/>
    <w:rsid w:val="00815E26"/>
    <w:rsid w:val="00817F95"/>
    <w:rsid w:val="00820319"/>
    <w:rsid w:val="00820E00"/>
    <w:rsid w:val="0082248E"/>
    <w:rsid w:val="008224DF"/>
    <w:rsid w:val="00823C46"/>
    <w:rsid w:val="00824533"/>
    <w:rsid w:val="00825D6A"/>
    <w:rsid w:val="00826DA0"/>
    <w:rsid w:val="00826E0F"/>
    <w:rsid w:val="00827621"/>
    <w:rsid w:val="008279FD"/>
    <w:rsid w:val="00827C05"/>
    <w:rsid w:val="008304D5"/>
    <w:rsid w:val="008310B5"/>
    <w:rsid w:val="008333C6"/>
    <w:rsid w:val="00836184"/>
    <w:rsid w:val="0083639B"/>
    <w:rsid w:val="008379BB"/>
    <w:rsid w:val="00844198"/>
    <w:rsid w:val="0084420F"/>
    <w:rsid w:val="00844EDB"/>
    <w:rsid w:val="00844F33"/>
    <w:rsid w:val="0084524F"/>
    <w:rsid w:val="00845570"/>
    <w:rsid w:val="00845BF7"/>
    <w:rsid w:val="00846825"/>
    <w:rsid w:val="00846A95"/>
    <w:rsid w:val="008530BE"/>
    <w:rsid w:val="008530EC"/>
    <w:rsid w:val="00854898"/>
    <w:rsid w:val="00855116"/>
    <w:rsid w:val="00856711"/>
    <w:rsid w:val="008567B5"/>
    <w:rsid w:val="0085736A"/>
    <w:rsid w:val="00857570"/>
    <w:rsid w:val="0086029F"/>
    <w:rsid w:val="0086041B"/>
    <w:rsid w:val="00863403"/>
    <w:rsid w:val="00864EED"/>
    <w:rsid w:val="00866674"/>
    <w:rsid w:val="0086675B"/>
    <w:rsid w:val="00866CAB"/>
    <w:rsid w:val="008679A2"/>
    <w:rsid w:val="00867E77"/>
    <w:rsid w:val="008712E9"/>
    <w:rsid w:val="008722A4"/>
    <w:rsid w:val="00874068"/>
    <w:rsid w:val="00874F1C"/>
    <w:rsid w:val="008755FE"/>
    <w:rsid w:val="008764ED"/>
    <w:rsid w:val="0087693E"/>
    <w:rsid w:val="00876F26"/>
    <w:rsid w:val="008809E0"/>
    <w:rsid w:val="00880AA7"/>
    <w:rsid w:val="00881313"/>
    <w:rsid w:val="00882096"/>
    <w:rsid w:val="0088700B"/>
    <w:rsid w:val="00891BA9"/>
    <w:rsid w:val="00891E46"/>
    <w:rsid w:val="008933F6"/>
    <w:rsid w:val="008953C7"/>
    <w:rsid w:val="00897463"/>
    <w:rsid w:val="008A2E64"/>
    <w:rsid w:val="008A3478"/>
    <w:rsid w:val="008A629C"/>
    <w:rsid w:val="008A6857"/>
    <w:rsid w:val="008A6A06"/>
    <w:rsid w:val="008A6DE3"/>
    <w:rsid w:val="008B1CB8"/>
    <w:rsid w:val="008B375C"/>
    <w:rsid w:val="008B380C"/>
    <w:rsid w:val="008B4732"/>
    <w:rsid w:val="008B5CC5"/>
    <w:rsid w:val="008B7392"/>
    <w:rsid w:val="008B77AD"/>
    <w:rsid w:val="008C0F35"/>
    <w:rsid w:val="008C1DD6"/>
    <w:rsid w:val="008C1FD3"/>
    <w:rsid w:val="008C21F3"/>
    <w:rsid w:val="008C26E0"/>
    <w:rsid w:val="008C285C"/>
    <w:rsid w:val="008C38A0"/>
    <w:rsid w:val="008C5604"/>
    <w:rsid w:val="008D0ACA"/>
    <w:rsid w:val="008D147D"/>
    <w:rsid w:val="008D2121"/>
    <w:rsid w:val="008D3F47"/>
    <w:rsid w:val="008D5B49"/>
    <w:rsid w:val="008D6807"/>
    <w:rsid w:val="008D7486"/>
    <w:rsid w:val="008D7C06"/>
    <w:rsid w:val="008D7F9A"/>
    <w:rsid w:val="008E0372"/>
    <w:rsid w:val="008E20B0"/>
    <w:rsid w:val="008E24E9"/>
    <w:rsid w:val="008E2D11"/>
    <w:rsid w:val="008E32A0"/>
    <w:rsid w:val="008E5182"/>
    <w:rsid w:val="008E5991"/>
    <w:rsid w:val="008E5D05"/>
    <w:rsid w:val="008E6B07"/>
    <w:rsid w:val="008F03D7"/>
    <w:rsid w:val="008F1AFB"/>
    <w:rsid w:val="008F3B8F"/>
    <w:rsid w:val="008F4742"/>
    <w:rsid w:val="008F65B3"/>
    <w:rsid w:val="008F676F"/>
    <w:rsid w:val="008F6D8B"/>
    <w:rsid w:val="008F7C24"/>
    <w:rsid w:val="00902509"/>
    <w:rsid w:val="0090556C"/>
    <w:rsid w:val="00905F4D"/>
    <w:rsid w:val="00906544"/>
    <w:rsid w:val="00906E1C"/>
    <w:rsid w:val="00910248"/>
    <w:rsid w:val="009155A0"/>
    <w:rsid w:val="009168DE"/>
    <w:rsid w:val="009204AF"/>
    <w:rsid w:val="00922146"/>
    <w:rsid w:val="009233EE"/>
    <w:rsid w:val="00923471"/>
    <w:rsid w:val="00926A93"/>
    <w:rsid w:val="0093066E"/>
    <w:rsid w:val="0093394E"/>
    <w:rsid w:val="00933C80"/>
    <w:rsid w:val="00933D7E"/>
    <w:rsid w:val="009345DA"/>
    <w:rsid w:val="00935848"/>
    <w:rsid w:val="009376A5"/>
    <w:rsid w:val="00944B32"/>
    <w:rsid w:val="0094554F"/>
    <w:rsid w:val="00945E6E"/>
    <w:rsid w:val="00947579"/>
    <w:rsid w:val="00947C54"/>
    <w:rsid w:val="00950D37"/>
    <w:rsid w:val="009528C6"/>
    <w:rsid w:val="00953175"/>
    <w:rsid w:val="00955C34"/>
    <w:rsid w:val="00957467"/>
    <w:rsid w:val="00957C43"/>
    <w:rsid w:val="0096195C"/>
    <w:rsid w:val="00961EA5"/>
    <w:rsid w:val="0096492B"/>
    <w:rsid w:val="00966925"/>
    <w:rsid w:val="00967365"/>
    <w:rsid w:val="00972CE6"/>
    <w:rsid w:val="009745DF"/>
    <w:rsid w:val="00974C0D"/>
    <w:rsid w:val="00975754"/>
    <w:rsid w:val="00977D68"/>
    <w:rsid w:val="00985E4E"/>
    <w:rsid w:val="00986950"/>
    <w:rsid w:val="00987E72"/>
    <w:rsid w:val="009902AB"/>
    <w:rsid w:val="00990624"/>
    <w:rsid w:val="0099563B"/>
    <w:rsid w:val="00995CC5"/>
    <w:rsid w:val="009965E5"/>
    <w:rsid w:val="0099730E"/>
    <w:rsid w:val="009A0918"/>
    <w:rsid w:val="009A2C99"/>
    <w:rsid w:val="009A57BA"/>
    <w:rsid w:val="009A5EA9"/>
    <w:rsid w:val="009A706C"/>
    <w:rsid w:val="009B0099"/>
    <w:rsid w:val="009B0381"/>
    <w:rsid w:val="009B3290"/>
    <w:rsid w:val="009B41B5"/>
    <w:rsid w:val="009B45DE"/>
    <w:rsid w:val="009B55E1"/>
    <w:rsid w:val="009B5B11"/>
    <w:rsid w:val="009B765D"/>
    <w:rsid w:val="009C0222"/>
    <w:rsid w:val="009C0501"/>
    <w:rsid w:val="009C09FA"/>
    <w:rsid w:val="009C0F29"/>
    <w:rsid w:val="009C4E28"/>
    <w:rsid w:val="009C7736"/>
    <w:rsid w:val="009D178D"/>
    <w:rsid w:val="009D32C8"/>
    <w:rsid w:val="009D3DAD"/>
    <w:rsid w:val="009D61B3"/>
    <w:rsid w:val="009E54B8"/>
    <w:rsid w:val="009E6024"/>
    <w:rsid w:val="009E60F6"/>
    <w:rsid w:val="009F13CA"/>
    <w:rsid w:val="009F1E9D"/>
    <w:rsid w:val="009F2033"/>
    <w:rsid w:val="009F2E70"/>
    <w:rsid w:val="009F2F8A"/>
    <w:rsid w:val="009F405F"/>
    <w:rsid w:val="009F42FE"/>
    <w:rsid w:val="009F7A80"/>
    <w:rsid w:val="00A001DB"/>
    <w:rsid w:val="00A00230"/>
    <w:rsid w:val="00A003C0"/>
    <w:rsid w:val="00A02022"/>
    <w:rsid w:val="00A03135"/>
    <w:rsid w:val="00A03E57"/>
    <w:rsid w:val="00A0789E"/>
    <w:rsid w:val="00A10690"/>
    <w:rsid w:val="00A1182A"/>
    <w:rsid w:val="00A12647"/>
    <w:rsid w:val="00A15443"/>
    <w:rsid w:val="00A15528"/>
    <w:rsid w:val="00A1727C"/>
    <w:rsid w:val="00A2136D"/>
    <w:rsid w:val="00A21C7F"/>
    <w:rsid w:val="00A227DF"/>
    <w:rsid w:val="00A23099"/>
    <w:rsid w:val="00A236EB"/>
    <w:rsid w:val="00A24DC9"/>
    <w:rsid w:val="00A254AD"/>
    <w:rsid w:val="00A255C2"/>
    <w:rsid w:val="00A263F0"/>
    <w:rsid w:val="00A26466"/>
    <w:rsid w:val="00A267A7"/>
    <w:rsid w:val="00A268EC"/>
    <w:rsid w:val="00A27876"/>
    <w:rsid w:val="00A27DCE"/>
    <w:rsid w:val="00A3037B"/>
    <w:rsid w:val="00A31927"/>
    <w:rsid w:val="00A32D1A"/>
    <w:rsid w:val="00A33123"/>
    <w:rsid w:val="00A36546"/>
    <w:rsid w:val="00A36675"/>
    <w:rsid w:val="00A36B1D"/>
    <w:rsid w:val="00A37775"/>
    <w:rsid w:val="00A402E5"/>
    <w:rsid w:val="00A40411"/>
    <w:rsid w:val="00A40E8B"/>
    <w:rsid w:val="00A41A8D"/>
    <w:rsid w:val="00A41D12"/>
    <w:rsid w:val="00A425C8"/>
    <w:rsid w:val="00A46411"/>
    <w:rsid w:val="00A466F8"/>
    <w:rsid w:val="00A46DE9"/>
    <w:rsid w:val="00A50B9A"/>
    <w:rsid w:val="00A5231E"/>
    <w:rsid w:val="00A523FC"/>
    <w:rsid w:val="00A52B4E"/>
    <w:rsid w:val="00A53AAD"/>
    <w:rsid w:val="00A54A87"/>
    <w:rsid w:val="00A60B00"/>
    <w:rsid w:val="00A620AD"/>
    <w:rsid w:val="00A62953"/>
    <w:rsid w:val="00A62982"/>
    <w:rsid w:val="00A63E7E"/>
    <w:rsid w:val="00A6568E"/>
    <w:rsid w:val="00A660CB"/>
    <w:rsid w:val="00A6684B"/>
    <w:rsid w:val="00A70ABC"/>
    <w:rsid w:val="00A71507"/>
    <w:rsid w:val="00A737DB"/>
    <w:rsid w:val="00A743B7"/>
    <w:rsid w:val="00A75417"/>
    <w:rsid w:val="00A75C30"/>
    <w:rsid w:val="00A75DB2"/>
    <w:rsid w:val="00A76BF9"/>
    <w:rsid w:val="00A77453"/>
    <w:rsid w:val="00A77928"/>
    <w:rsid w:val="00A81194"/>
    <w:rsid w:val="00A81ABB"/>
    <w:rsid w:val="00A82009"/>
    <w:rsid w:val="00A82318"/>
    <w:rsid w:val="00A8301D"/>
    <w:rsid w:val="00A83E11"/>
    <w:rsid w:val="00A84942"/>
    <w:rsid w:val="00A85785"/>
    <w:rsid w:val="00A85B01"/>
    <w:rsid w:val="00A87AEA"/>
    <w:rsid w:val="00A91D3A"/>
    <w:rsid w:val="00A927D7"/>
    <w:rsid w:val="00A927F6"/>
    <w:rsid w:val="00A96C2B"/>
    <w:rsid w:val="00A96E1C"/>
    <w:rsid w:val="00A97DC4"/>
    <w:rsid w:val="00AA000F"/>
    <w:rsid w:val="00AA109B"/>
    <w:rsid w:val="00AA13D2"/>
    <w:rsid w:val="00AA1696"/>
    <w:rsid w:val="00AA29D3"/>
    <w:rsid w:val="00AA34C2"/>
    <w:rsid w:val="00AA394F"/>
    <w:rsid w:val="00AA3AA5"/>
    <w:rsid w:val="00AA566C"/>
    <w:rsid w:val="00AA5D6D"/>
    <w:rsid w:val="00AA6ABA"/>
    <w:rsid w:val="00AB11E6"/>
    <w:rsid w:val="00AB1E43"/>
    <w:rsid w:val="00AB2CD4"/>
    <w:rsid w:val="00AB398B"/>
    <w:rsid w:val="00AB5C11"/>
    <w:rsid w:val="00AB6C6F"/>
    <w:rsid w:val="00AC07A8"/>
    <w:rsid w:val="00AC1E8C"/>
    <w:rsid w:val="00AC23BB"/>
    <w:rsid w:val="00AC24DA"/>
    <w:rsid w:val="00AC2769"/>
    <w:rsid w:val="00AC2779"/>
    <w:rsid w:val="00AC32C4"/>
    <w:rsid w:val="00AC3870"/>
    <w:rsid w:val="00AC3C60"/>
    <w:rsid w:val="00AC3EAD"/>
    <w:rsid w:val="00AC3F37"/>
    <w:rsid w:val="00AC4F36"/>
    <w:rsid w:val="00AC55E3"/>
    <w:rsid w:val="00AC5BC0"/>
    <w:rsid w:val="00AC5F79"/>
    <w:rsid w:val="00AD323C"/>
    <w:rsid w:val="00AD3B8D"/>
    <w:rsid w:val="00AE0851"/>
    <w:rsid w:val="00AE1311"/>
    <w:rsid w:val="00AE168A"/>
    <w:rsid w:val="00AE3112"/>
    <w:rsid w:val="00AE42DC"/>
    <w:rsid w:val="00AE6B5F"/>
    <w:rsid w:val="00AF1CD1"/>
    <w:rsid w:val="00AF24B0"/>
    <w:rsid w:val="00AF33B3"/>
    <w:rsid w:val="00AF4047"/>
    <w:rsid w:val="00AF4BE9"/>
    <w:rsid w:val="00AF5124"/>
    <w:rsid w:val="00AF561B"/>
    <w:rsid w:val="00AF6C8D"/>
    <w:rsid w:val="00AF7DF9"/>
    <w:rsid w:val="00B001E8"/>
    <w:rsid w:val="00B00773"/>
    <w:rsid w:val="00B02E3E"/>
    <w:rsid w:val="00B0383D"/>
    <w:rsid w:val="00B05739"/>
    <w:rsid w:val="00B0799F"/>
    <w:rsid w:val="00B107D4"/>
    <w:rsid w:val="00B11E33"/>
    <w:rsid w:val="00B12146"/>
    <w:rsid w:val="00B13E01"/>
    <w:rsid w:val="00B157DA"/>
    <w:rsid w:val="00B16B43"/>
    <w:rsid w:val="00B17972"/>
    <w:rsid w:val="00B20049"/>
    <w:rsid w:val="00B21E48"/>
    <w:rsid w:val="00B21E4C"/>
    <w:rsid w:val="00B22213"/>
    <w:rsid w:val="00B22312"/>
    <w:rsid w:val="00B2451B"/>
    <w:rsid w:val="00B248FC"/>
    <w:rsid w:val="00B306F2"/>
    <w:rsid w:val="00B327B6"/>
    <w:rsid w:val="00B36516"/>
    <w:rsid w:val="00B37B00"/>
    <w:rsid w:val="00B40EE4"/>
    <w:rsid w:val="00B4136A"/>
    <w:rsid w:val="00B421ED"/>
    <w:rsid w:val="00B42764"/>
    <w:rsid w:val="00B42D71"/>
    <w:rsid w:val="00B43D04"/>
    <w:rsid w:val="00B45DB6"/>
    <w:rsid w:val="00B4619D"/>
    <w:rsid w:val="00B46A3F"/>
    <w:rsid w:val="00B511DB"/>
    <w:rsid w:val="00B51A2D"/>
    <w:rsid w:val="00B51E23"/>
    <w:rsid w:val="00B52741"/>
    <w:rsid w:val="00B54E87"/>
    <w:rsid w:val="00B55597"/>
    <w:rsid w:val="00B560D4"/>
    <w:rsid w:val="00B56C08"/>
    <w:rsid w:val="00B574A6"/>
    <w:rsid w:val="00B61D55"/>
    <w:rsid w:val="00B630E4"/>
    <w:rsid w:val="00B636E4"/>
    <w:rsid w:val="00B6547C"/>
    <w:rsid w:val="00B6576D"/>
    <w:rsid w:val="00B66744"/>
    <w:rsid w:val="00B67DC0"/>
    <w:rsid w:val="00B67E12"/>
    <w:rsid w:val="00B711E5"/>
    <w:rsid w:val="00B71689"/>
    <w:rsid w:val="00B73076"/>
    <w:rsid w:val="00B74693"/>
    <w:rsid w:val="00B75694"/>
    <w:rsid w:val="00B75F6B"/>
    <w:rsid w:val="00B77703"/>
    <w:rsid w:val="00B77C75"/>
    <w:rsid w:val="00B80238"/>
    <w:rsid w:val="00B802FB"/>
    <w:rsid w:val="00B82CE0"/>
    <w:rsid w:val="00B84860"/>
    <w:rsid w:val="00B84D33"/>
    <w:rsid w:val="00B851EE"/>
    <w:rsid w:val="00B8538F"/>
    <w:rsid w:val="00B864F5"/>
    <w:rsid w:val="00B86644"/>
    <w:rsid w:val="00B93DD8"/>
    <w:rsid w:val="00B956DF"/>
    <w:rsid w:val="00B957CC"/>
    <w:rsid w:val="00B95CCA"/>
    <w:rsid w:val="00B9626E"/>
    <w:rsid w:val="00B974D7"/>
    <w:rsid w:val="00BA32B5"/>
    <w:rsid w:val="00BA7F95"/>
    <w:rsid w:val="00BB121E"/>
    <w:rsid w:val="00BB1686"/>
    <w:rsid w:val="00BB20C3"/>
    <w:rsid w:val="00BB234B"/>
    <w:rsid w:val="00BB28DF"/>
    <w:rsid w:val="00BB3E7D"/>
    <w:rsid w:val="00BB4088"/>
    <w:rsid w:val="00BB5383"/>
    <w:rsid w:val="00BB66A2"/>
    <w:rsid w:val="00BB66D4"/>
    <w:rsid w:val="00BC0243"/>
    <w:rsid w:val="00BC46EE"/>
    <w:rsid w:val="00BC7548"/>
    <w:rsid w:val="00BD0410"/>
    <w:rsid w:val="00BD0A63"/>
    <w:rsid w:val="00BD0C2B"/>
    <w:rsid w:val="00BD0C70"/>
    <w:rsid w:val="00BD0DA9"/>
    <w:rsid w:val="00BD214E"/>
    <w:rsid w:val="00BD4577"/>
    <w:rsid w:val="00BD5419"/>
    <w:rsid w:val="00BD603A"/>
    <w:rsid w:val="00BD7FC2"/>
    <w:rsid w:val="00BE04DC"/>
    <w:rsid w:val="00BE545B"/>
    <w:rsid w:val="00BE55C5"/>
    <w:rsid w:val="00BE6137"/>
    <w:rsid w:val="00BE6322"/>
    <w:rsid w:val="00BE69C9"/>
    <w:rsid w:val="00BE797E"/>
    <w:rsid w:val="00BE7AF5"/>
    <w:rsid w:val="00BE7D88"/>
    <w:rsid w:val="00BF1241"/>
    <w:rsid w:val="00BF16EF"/>
    <w:rsid w:val="00BF2663"/>
    <w:rsid w:val="00BF298A"/>
    <w:rsid w:val="00BF3663"/>
    <w:rsid w:val="00BF3C07"/>
    <w:rsid w:val="00BF3D49"/>
    <w:rsid w:val="00BF4604"/>
    <w:rsid w:val="00BF46A7"/>
    <w:rsid w:val="00BF476A"/>
    <w:rsid w:val="00BF7964"/>
    <w:rsid w:val="00C02744"/>
    <w:rsid w:val="00C02B64"/>
    <w:rsid w:val="00C03428"/>
    <w:rsid w:val="00C03E52"/>
    <w:rsid w:val="00C0452B"/>
    <w:rsid w:val="00C04F38"/>
    <w:rsid w:val="00C055FA"/>
    <w:rsid w:val="00C06D45"/>
    <w:rsid w:val="00C0710B"/>
    <w:rsid w:val="00C071AC"/>
    <w:rsid w:val="00C10809"/>
    <w:rsid w:val="00C117DC"/>
    <w:rsid w:val="00C1239E"/>
    <w:rsid w:val="00C12E12"/>
    <w:rsid w:val="00C14876"/>
    <w:rsid w:val="00C14D0C"/>
    <w:rsid w:val="00C1511E"/>
    <w:rsid w:val="00C20824"/>
    <w:rsid w:val="00C2153D"/>
    <w:rsid w:val="00C2413E"/>
    <w:rsid w:val="00C24AA8"/>
    <w:rsid w:val="00C24CF6"/>
    <w:rsid w:val="00C24D91"/>
    <w:rsid w:val="00C25A6B"/>
    <w:rsid w:val="00C25AD9"/>
    <w:rsid w:val="00C27404"/>
    <w:rsid w:val="00C3197C"/>
    <w:rsid w:val="00C32641"/>
    <w:rsid w:val="00C3346A"/>
    <w:rsid w:val="00C33625"/>
    <w:rsid w:val="00C36027"/>
    <w:rsid w:val="00C360C7"/>
    <w:rsid w:val="00C36151"/>
    <w:rsid w:val="00C3732F"/>
    <w:rsid w:val="00C40D49"/>
    <w:rsid w:val="00C415A1"/>
    <w:rsid w:val="00C41712"/>
    <w:rsid w:val="00C42B09"/>
    <w:rsid w:val="00C43FA4"/>
    <w:rsid w:val="00C45579"/>
    <w:rsid w:val="00C45C21"/>
    <w:rsid w:val="00C46729"/>
    <w:rsid w:val="00C50E5B"/>
    <w:rsid w:val="00C51DB5"/>
    <w:rsid w:val="00C52E13"/>
    <w:rsid w:val="00C53B0E"/>
    <w:rsid w:val="00C54BFD"/>
    <w:rsid w:val="00C560DD"/>
    <w:rsid w:val="00C57092"/>
    <w:rsid w:val="00C57AD0"/>
    <w:rsid w:val="00C60798"/>
    <w:rsid w:val="00C61139"/>
    <w:rsid w:val="00C6152C"/>
    <w:rsid w:val="00C6155B"/>
    <w:rsid w:val="00C619DD"/>
    <w:rsid w:val="00C61AC2"/>
    <w:rsid w:val="00C6287A"/>
    <w:rsid w:val="00C62B3B"/>
    <w:rsid w:val="00C6548C"/>
    <w:rsid w:val="00C664C8"/>
    <w:rsid w:val="00C708A6"/>
    <w:rsid w:val="00C712AE"/>
    <w:rsid w:val="00C713F0"/>
    <w:rsid w:val="00C71FBA"/>
    <w:rsid w:val="00C7358E"/>
    <w:rsid w:val="00C73A06"/>
    <w:rsid w:val="00C770F4"/>
    <w:rsid w:val="00C7793D"/>
    <w:rsid w:val="00C807D2"/>
    <w:rsid w:val="00C81F9A"/>
    <w:rsid w:val="00C832A1"/>
    <w:rsid w:val="00C8394C"/>
    <w:rsid w:val="00C854F9"/>
    <w:rsid w:val="00C86117"/>
    <w:rsid w:val="00C87F0A"/>
    <w:rsid w:val="00C90004"/>
    <w:rsid w:val="00C905BF"/>
    <w:rsid w:val="00C905C5"/>
    <w:rsid w:val="00C91512"/>
    <w:rsid w:val="00C9376B"/>
    <w:rsid w:val="00C96A4A"/>
    <w:rsid w:val="00C976E7"/>
    <w:rsid w:val="00CA00E7"/>
    <w:rsid w:val="00CA07FD"/>
    <w:rsid w:val="00CA0F3C"/>
    <w:rsid w:val="00CA397F"/>
    <w:rsid w:val="00CA3AB0"/>
    <w:rsid w:val="00CA3F77"/>
    <w:rsid w:val="00CA425A"/>
    <w:rsid w:val="00CA46CE"/>
    <w:rsid w:val="00CA4D07"/>
    <w:rsid w:val="00CA72BC"/>
    <w:rsid w:val="00CB1668"/>
    <w:rsid w:val="00CB25C7"/>
    <w:rsid w:val="00CB3871"/>
    <w:rsid w:val="00CB426F"/>
    <w:rsid w:val="00CB4734"/>
    <w:rsid w:val="00CB513F"/>
    <w:rsid w:val="00CB6728"/>
    <w:rsid w:val="00CC0016"/>
    <w:rsid w:val="00CC00D6"/>
    <w:rsid w:val="00CC0217"/>
    <w:rsid w:val="00CC036F"/>
    <w:rsid w:val="00CC4C8B"/>
    <w:rsid w:val="00CC5B00"/>
    <w:rsid w:val="00CC6973"/>
    <w:rsid w:val="00CC759C"/>
    <w:rsid w:val="00CD00F6"/>
    <w:rsid w:val="00CD23F4"/>
    <w:rsid w:val="00CD2D60"/>
    <w:rsid w:val="00CD58AB"/>
    <w:rsid w:val="00CD5AE9"/>
    <w:rsid w:val="00CE0063"/>
    <w:rsid w:val="00CE08D0"/>
    <w:rsid w:val="00CE09D2"/>
    <w:rsid w:val="00CE1B8D"/>
    <w:rsid w:val="00CE55AF"/>
    <w:rsid w:val="00CF0117"/>
    <w:rsid w:val="00CF040D"/>
    <w:rsid w:val="00CF216E"/>
    <w:rsid w:val="00CF29CE"/>
    <w:rsid w:val="00CF2A5A"/>
    <w:rsid w:val="00CF3320"/>
    <w:rsid w:val="00CF38ED"/>
    <w:rsid w:val="00CF483E"/>
    <w:rsid w:val="00CF5C8B"/>
    <w:rsid w:val="00D00A1D"/>
    <w:rsid w:val="00D01D22"/>
    <w:rsid w:val="00D01D9D"/>
    <w:rsid w:val="00D028AB"/>
    <w:rsid w:val="00D02C42"/>
    <w:rsid w:val="00D0486D"/>
    <w:rsid w:val="00D04F16"/>
    <w:rsid w:val="00D054ED"/>
    <w:rsid w:val="00D057DD"/>
    <w:rsid w:val="00D05D65"/>
    <w:rsid w:val="00D0722F"/>
    <w:rsid w:val="00D07315"/>
    <w:rsid w:val="00D07704"/>
    <w:rsid w:val="00D10C03"/>
    <w:rsid w:val="00D12BAA"/>
    <w:rsid w:val="00D1430A"/>
    <w:rsid w:val="00D16C82"/>
    <w:rsid w:val="00D1747F"/>
    <w:rsid w:val="00D175DC"/>
    <w:rsid w:val="00D17782"/>
    <w:rsid w:val="00D1789A"/>
    <w:rsid w:val="00D17EDE"/>
    <w:rsid w:val="00D20A82"/>
    <w:rsid w:val="00D21A89"/>
    <w:rsid w:val="00D21FB3"/>
    <w:rsid w:val="00D225CB"/>
    <w:rsid w:val="00D3036A"/>
    <w:rsid w:val="00D31137"/>
    <w:rsid w:val="00D3136F"/>
    <w:rsid w:val="00D3219D"/>
    <w:rsid w:val="00D33EAB"/>
    <w:rsid w:val="00D3544B"/>
    <w:rsid w:val="00D35B77"/>
    <w:rsid w:val="00D36418"/>
    <w:rsid w:val="00D37AA6"/>
    <w:rsid w:val="00D37CB2"/>
    <w:rsid w:val="00D400DE"/>
    <w:rsid w:val="00D4077E"/>
    <w:rsid w:val="00D429B8"/>
    <w:rsid w:val="00D43912"/>
    <w:rsid w:val="00D4534C"/>
    <w:rsid w:val="00D45962"/>
    <w:rsid w:val="00D45CE5"/>
    <w:rsid w:val="00D46293"/>
    <w:rsid w:val="00D46A97"/>
    <w:rsid w:val="00D47019"/>
    <w:rsid w:val="00D50C3D"/>
    <w:rsid w:val="00D53CEE"/>
    <w:rsid w:val="00D54386"/>
    <w:rsid w:val="00D54A61"/>
    <w:rsid w:val="00D55301"/>
    <w:rsid w:val="00D562CF"/>
    <w:rsid w:val="00D57565"/>
    <w:rsid w:val="00D57BB2"/>
    <w:rsid w:val="00D6052D"/>
    <w:rsid w:val="00D60EA8"/>
    <w:rsid w:val="00D6137B"/>
    <w:rsid w:val="00D6253A"/>
    <w:rsid w:val="00D628E7"/>
    <w:rsid w:val="00D62CAF"/>
    <w:rsid w:val="00D62D77"/>
    <w:rsid w:val="00D639E7"/>
    <w:rsid w:val="00D649C7"/>
    <w:rsid w:val="00D65666"/>
    <w:rsid w:val="00D65AE3"/>
    <w:rsid w:val="00D672DF"/>
    <w:rsid w:val="00D67B47"/>
    <w:rsid w:val="00D714DF"/>
    <w:rsid w:val="00D7209A"/>
    <w:rsid w:val="00D72CC8"/>
    <w:rsid w:val="00D7302E"/>
    <w:rsid w:val="00D7422C"/>
    <w:rsid w:val="00D7483C"/>
    <w:rsid w:val="00D77313"/>
    <w:rsid w:val="00D8081B"/>
    <w:rsid w:val="00D8202A"/>
    <w:rsid w:val="00D82470"/>
    <w:rsid w:val="00D82F7F"/>
    <w:rsid w:val="00D84B29"/>
    <w:rsid w:val="00D85E86"/>
    <w:rsid w:val="00D867B1"/>
    <w:rsid w:val="00D86CFD"/>
    <w:rsid w:val="00D915AE"/>
    <w:rsid w:val="00D9173F"/>
    <w:rsid w:val="00D92478"/>
    <w:rsid w:val="00D92ED2"/>
    <w:rsid w:val="00D9349A"/>
    <w:rsid w:val="00D93B8C"/>
    <w:rsid w:val="00D942A3"/>
    <w:rsid w:val="00D97CDC"/>
    <w:rsid w:val="00D97EEB"/>
    <w:rsid w:val="00DA09C2"/>
    <w:rsid w:val="00DA1B95"/>
    <w:rsid w:val="00DA2462"/>
    <w:rsid w:val="00DA2B38"/>
    <w:rsid w:val="00DA2B59"/>
    <w:rsid w:val="00DA3794"/>
    <w:rsid w:val="00DA3E48"/>
    <w:rsid w:val="00DA6588"/>
    <w:rsid w:val="00DA7828"/>
    <w:rsid w:val="00DB040F"/>
    <w:rsid w:val="00DB26AD"/>
    <w:rsid w:val="00DB2A9E"/>
    <w:rsid w:val="00DB4AEB"/>
    <w:rsid w:val="00DB6F1D"/>
    <w:rsid w:val="00DB77B2"/>
    <w:rsid w:val="00DB7878"/>
    <w:rsid w:val="00DB7EB5"/>
    <w:rsid w:val="00DC1D9E"/>
    <w:rsid w:val="00DC1F36"/>
    <w:rsid w:val="00DC2497"/>
    <w:rsid w:val="00DC28CA"/>
    <w:rsid w:val="00DC2A36"/>
    <w:rsid w:val="00DC3A78"/>
    <w:rsid w:val="00DC3E69"/>
    <w:rsid w:val="00DC470B"/>
    <w:rsid w:val="00DC4A3E"/>
    <w:rsid w:val="00DC4A6F"/>
    <w:rsid w:val="00DD1337"/>
    <w:rsid w:val="00DD1C40"/>
    <w:rsid w:val="00DD4AC1"/>
    <w:rsid w:val="00DD4B77"/>
    <w:rsid w:val="00DD6AFE"/>
    <w:rsid w:val="00DE0C4A"/>
    <w:rsid w:val="00DE1368"/>
    <w:rsid w:val="00DE3DFF"/>
    <w:rsid w:val="00DE4705"/>
    <w:rsid w:val="00DE53AA"/>
    <w:rsid w:val="00DE5754"/>
    <w:rsid w:val="00DE5954"/>
    <w:rsid w:val="00DE5B4C"/>
    <w:rsid w:val="00DE70A5"/>
    <w:rsid w:val="00DE73DA"/>
    <w:rsid w:val="00DE771B"/>
    <w:rsid w:val="00DE77F8"/>
    <w:rsid w:val="00DE7839"/>
    <w:rsid w:val="00DF0541"/>
    <w:rsid w:val="00DF29D4"/>
    <w:rsid w:val="00DF3A09"/>
    <w:rsid w:val="00DF3D1A"/>
    <w:rsid w:val="00DF4D09"/>
    <w:rsid w:val="00DF57D6"/>
    <w:rsid w:val="00DF6007"/>
    <w:rsid w:val="00DF7EB4"/>
    <w:rsid w:val="00E03F5A"/>
    <w:rsid w:val="00E05CEA"/>
    <w:rsid w:val="00E05ECD"/>
    <w:rsid w:val="00E071AD"/>
    <w:rsid w:val="00E073A1"/>
    <w:rsid w:val="00E101A2"/>
    <w:rsid w:val="00E10EE1"/>
    <w:rsid w:val="00E1234B"/>
    <w:rsid w:val="00E13C07"/>
    <w:rsid w:val="00E13F04"/>
    <w:rsid w:val="00E14362"/>
    <w:rsid w:val="00E14E8E"/>
    <w:rsid w:val="00E17B1F"/>
    <w:rsid w:val="00E17D05"/>
    <w:rsid w:val="00E20717"/>
    <w:rsid w:val="00E264FB"/>
    <w:rsid w:val="00E32B30"/>
    <w:rsid w:val="00E33A81"/>
    <w:rsid w:val="00E3402D"/>
    <w:rsid w:val="00E3566A"/>
    <w:rsid w:val="00E36F7F"/>
    <w:rsid w:val="00E37914"/>
    <w:rsid w:val="00E37A6B"/>
    <w:rsid w:val="00E40858"/>
    <w:rsid w:val="00E41CC3"/>
    <w:rsid w:val="00E44E23"/>
    <w:rsid w:val="00E45C07"/>
    <w:rsid w:val="00E46AC8"/>
    <w:rsid w:val="00E47256"/>
    <w:rsid w:val="00E47754"/>
    <w:rsid w:val="00E52651"/>
    <w:rsid w:val="00E54F6F"/>
    <w:rsid w:val="00E60606"/>
    <w:rsid w:val="00E6076B"/>
    <w:rsid w:val="00E61264"/>
    <w:rsid w:val="00E61AFD"/>
    <w:rsid w:val="00E62557"/>
    <w:rsid w:val="00E64043"/>
    <w:rsid w:val="00E649E5"/>
    <w:rsid w:val="00E65E20"/>
    <w:rsid w:val="00E6616D"/>
    <w:rsid w:val="00E668D1"/>
    <w:rsid w:val="00E67D6E"/>
    <w:rsid w:val="00E67DC7"/>
    <w:rsid w:val="00E719DC"/>
    <w:rsid w:val="00E71A7E"/>
    <w:rsid w:val="00E722A3"/>
    <w:rsid w:val="00E73A07"/>
    <w:rsid w:val="00E741C8"/>
    <w:rsid w:val="00E750B0"/>
    <w:rsid w:val="00E800A5"/>
    <w:rsid w:val="00E80C18"/>
    <w:rsid w:val="00E82FF0"/>
    <w:rsid w:val="00E836B5"/>
    <w:rsid w:val="00E83ADF"/>
    <w:rsid w:val="00E8732F"/>
    <w:rsid w:val="00E873AF"/>
    <w:rsid w:val="00E90A81"/>
    <w:rsid w:val="00E93D14"/>
    <w:rsid w:val="00E93EE7"/>
    <w:rsid w:val="00E943A2"/>
    <w:rsid w:val="00E94CD1"/>
    <w:rsid w:val="00E95B50"/>
    <w:rsid w:val="00E95D60"/>
    <w:rsid w:val="00E966D3"/>
    <w:rsid w:val="00E96B08"/>
    <w:rsid w:val="00E97790"/>
    <w:rsid w:val="00EA161A"/>
    <w:rsid w:val="00EA1C48"/>
    <w:rsid w:val="00EA234F"/>
    <w:rsid w:val="00EA349A"/>
    <w:rsid w:val="00EA6934"/>
    <w:rsid w:val="00EA7DA4"/>
    <w:rsid w:val="00EB0881"/>
    <w:rsid w:val="00EB1759"/>
    <w:rsid w:val="00EB22E4"/>
    <w:rsid w:val="00EB25B8"/>
    <w:rsid w:val="00EB3BE6"/>
    <w:rsid w:val="00EB52DC"/>
    <w:rsid w:val="00EB5442"/>
    <w:rsid w:val="00EB7D88"/>
    <w:rsid w:val="00EC01EE"/>
    <w:rsid w:val="00EC2980"/>
    <w:rsid w:val="00EC7453"/>
    <w:rsid w:val="00ED1F3A"/>
    <w:rsid w:val="00ED2805"/>
    <w:rsid w:val="00ED3471"/>
    <w:rsid w:val="00ED544A"/>
    <w:rsid w:val="00ED5986"/>
    <w:rsid w:val="00ED5D3C"/>
    <w:rsid w:val="00ED7267"/>
    <w:rsid w:val="00EE0DF3"/>
    <w:rsid w:val="00EE2209"/>
    <w:rsid w:val="00EE2594"/>
    <w:rsid w:val="00EE3370"/>
    <w:rsid w:val="00EE38CC"/>
    <w:rsid w:val="00EE4955"/>
    <w:rsid w:val="00EE51E1"/>
    <w:rsid w:val="00EE5264"/>
    <w:rsid w:val="00EE5FDD"/>
    <w:rsid w:val="00EF078F"/>
    <w:rsid w:val="00EF2146"/>
    <w:rsid w:val="00EF38E5"/>
    <w:rsid w:val="00EF4047"/>
    <w:rsid w:val="00EF433F"/>
    <w:rsid w:val="00EF49EC"/>
    <w:rsid w:val="00EF62B5"/>
    <w:rsid w:val="00EF65F5"/>
    <w:rsid w:val="00EF6E48"/>
    <w:rsid w:val="00EF74AA"/>
    <w:rsid w:val="00F000AF"/>
    <w:rsid w:val="00F0061F"/>
    <w:rsid w:val="00F026E7"/>
    <w:rsid w:val="00F039E1"/>
    <w:rsid w:val="00F043C1"/>
    <w:rsid w:val="00F07AE7"/>
    <w:rsid w:val="00F10CF3"/>
    <w:rsid w:val="00F13D7C"/>
    <w:rsid w:val="00F13DDD"/>
    <w:rsid w:val="00F14B70"/>
    <w:rsid w:val="00F1602E"/>
    <w:rsid w:val="00F167C3"/>
    <w:rsid w:val="00F16D22"/>
    <w:rsid w:val="00F170D5"/>
    <w:rsid w:val="00F20065"/>
    <w:rsid w:val="00F204EC"/>
    <w:rsid w:val="00F20783"/>
    <w:rsid w:val="00F2458D"/>
    <w:rsid w:val="00F254FB"/>
    <w:rsid w:val="00F25B52"/>
    <w:rsid w:val="00F26172"/>
    <w:rsid w:val="00F26F58"/>
    <w:rsid w:val="00F27BE0"/>
    <w:rsid w:val="00F30B3A"/>
    <w:rsid w:val="00F322D7"/>
    <w:rsid w:val="00F33251"/>
    <w:rsid w:val="00F33FDA"/>
    <w:rsid w:val="00F34346"/>
    <w:rsid w:val="00F35B81"/>
    <w:rsid w:val="00F36800"/>
    <w:rsid w:val="00F433BF"/>
    <w:rsid w:val="00F43B27"/>
    <w:rsid w:val="00F44565"/>
    <w:rsid w:val="00F46834"/>
    <w:rsid w:val="00F50ADC"/>
    <w:rsid w:val="00F510B5"/>
    <w:rsid w:val="00F53DDD"/>
    <w:rsid w:val="00F54755"/>
    <w:rsid w:val="00F560EF"/>
    <w:rsid w:val="00F5759D"/>
    <w:rsid w:val="00F6068A"/>
    <w:rsid w:val="00F60A4A"/>
    <w:rsid w:val="00F6133C"/>
    <w:rsid w:val="00F63465"/>
    <w:rsid w:val="00F63E3E"/>
    <w:rsid w:val="00F65592"/>
    <w:rsid w:val="00F66731"/>
    <w:rsid w:val="00F671F8"/>
    <w:rsid w:val="00F67806"/>
    <w:rsid w:val="00F70092"/>
    <w:rsid w:val="00F70F88"/>
    <w:rsid w:val="00F71B08"/>
    <w:rsid w:val="00F72862"/>
    <w:rsid w:val="00F72C4C"/>
    <w:rsid w:val="00F734AC"/>
    <w:rsid w:val="00F73BEE"/>
    <w:rsid w:val="00F752C2"/>
    <w:rsid w:val="00F77582"/>
    <w:rsid w:val="00F81AE5"/>
    <w:rsid w:val="00F81E2D"/>
    <w:rsid w:val="00F82472"/>
    <w:rsid w:val="00F84546"/>
    <w:rsid w:val="00F860C4"/>
    <w:rsid w:val="00F8658B"/>
    <w:rsid w:val="00F93FF2"/>
    <w:rsid w:val="00F95DC8"/>
    <w:rsid w:val="00F96002"/>
    <w:rsid w:val="00F97447"/>
    <w:rsid w:val="00FA0EA0"/>
    <w:rsid w:val="00FA14FC"/>
    <w:rsid w:val="00FA1591"/>
    <w:rsid w:val="00FA1AB8"/>
    <w:rsid w:val="00FA2738"/>
    <w:rsid w:val="00FA3ECE"/>
    <w:rsid w:val="00FA4DF3"/>
    <w:rsid w:val="00FA4F82"/>
    <w:rsid w:val="00FA5D8B"/>
    <w:rsid w:val="00FA6286"/>
    <w:rsid w:val="00FA6651"/>
    <w:rsid w:val="00FA6E90"/>
    <w:rsid w:val="00FB01AC"/>
    <w:rsid w:val="00FB0FF6"/>
    <w:rsid w:val="00FB3811"/>
    <w:rsid w:val="00FB43A6"/>
    <w:rsid w:val="00FB6D03"/>
    <w:rsid w:val="00FB797E"/>
    <w:rsid w:val="00FC3EE6"/>
    <w:rsid w:val="00FC64B4"/>
    <w:rsid w:val="00FC7EEC"/>
    <w:rsid w:val="00FD0EC9"/>
    <w:rsid w:val="00FD40C9"/>
    <w:rsid w:val="00FD515A"/>
    <w:rsid w:val="00FD5E9C"/>
    <w:rsid w:val="00FD7125"/>
    <w:rsid w:val="00FD7369"/>
    <w:rsid w:val="00FE23A3"/>
    <w:rsid w:val="00FE3C5B"/>
    <w:rsid w:val="00FE623D"/>
    <w:rsid w:val="00FE689A"/>
    <w:rsid w:val="00FF0D4B"/>
    <w:rsid w:val="00FF23B5"/>
    <w:rsid w:val="00FF2830"/>
    <w:rsid w:val="00FF369B"/>
    <w:rsid w:val="00FF3CE6"/>
    <w:rsid w:val="00FF6E2E"/>
    <w:rsid w:val="00FF75F0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4BD8C"/>
  <w15:chartTrackingRefBased/>
  <w15:docId w15:val="{7EB3A294-443D-4078-BC41-1CC8CF41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5BF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C905BF"/>
    <w:pPr>
      <w:spacing w:line="259" w:lineRule="auto"/>
      <w:jc w:val="center"/>
    </w:pPr>
    <w:rPr>
      <w:rFonts w:ascii="Times New Roman" w:hAnsi="Times New Roman" w:cs="Times New Roman"/>
      <w:noProof/>
      <w:sz w:val="24"/>
      <w:lang w:val="en-US" w:eastAsia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905BF"/>
    <w:rPr>
      <w:rFonts w:ascii="Times New Roman" w:hAnsi="Times New Roman" w:cs="Times New Roman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905BF"/>
    <w:pPr>
      <w:spacing w:after="160" w:line="360" w:lineRule="auto"/>
    </w:pPr>
    <w:rPr>
      <w:rFonts w:ascii="Times New Roman" w:hAnsi="Times New Roman" w:cs="Times New Roman"/>
      <w:noProof/>
      <w:sz w:val="24"/>
      <w:lang w:val="en-US"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905BF"/>
    <w:rPr>
      <w:rFonts w:ascii="Times New Roman" w:hAnsi="Times New Roman" w:cs="Times New Roman"/>
      <w:noProof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C905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8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857"/>
    <w:rPr>
      <w:rFonts w:ascii="Segoe UI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671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1F8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671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1F8"/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458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1E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3A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A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A1C"/>
    <w:rPr>
      <w:rFonts w:ascii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A1C"/>
    <w:rPr>
      <w:rFonts w:ascii="Calibri" w:hAnsi="Calibri" w:cs="Calibri"/>
      <w:b/>
      <w:bCs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21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219D"/>
    <w:rPr>
      <w:rFonts w:ascii="Calibri" w:hAnsi="Calibri" w:cs="Calibri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321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.village@yorksj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3DD3328A45B4094B2453B639612BD" ma:contentTypeVersion="12" ma:contentTypeDescription="Create a new document." ma:contentTypeScope="" ma:versionID="8c86173574756559221b6d2a38be0d85">
  <xsd:schema xmlns:xsd="http://www.w3.org/2001/XMLSchema" xmlns:xs="http://www.w3.org/2001/XMLSchema" xmlns:p="http://schemas.microsoft.com/office/2006/metadata/properties" xmlns:ns3="38f492f8-2a09-489b-8120-deb7c8f9505a" xmlns:ns4="c735025f-4c79-4114-80d9-670deaeabc79" targetNamespace="http://schemas.microsoft.com/office/2006/metadata/properties" ma:root="true" ma:fieldsID="472feefad01ff24e4def17b7da7cad5a" ns3:_="" ns4:_="">
    <xsd:import namespace="38f492f8-2a09-489b-8120-deb7c8f9505a"/>
    <xsd:import namespace="c735025f-4c79-4114-80d9-670deaeabc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492f8-2a09-489b-8120-deb7c8f95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5025f-4c79-4114-80d9-670deaeab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145AFCF-E215-49D8-A556-E234697ED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492f8-2a09-489b-8120-deb7c8f9505a"/>
    <ds:schemaRef ds:uri="c735025f-4c79-4114-80d9-670deaeab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ED22C1-F3A8-4AE3-9234-4748BDC491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59633A-C822-4F6F-A594-7A825512EB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373A35-78B5-4E12-B049-CDD3C335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6386</Words>
  <Characters>36406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Village</dc:creator>
  <cp:keywords/>
  <dc:description/>
  <cp:lastModifiedBy>Andrew Village</cp:lastModifiedBy>
  <cp:revision>20</cp:revision>
  <cp:lastPrinted>2021-08-26T08:29:00Z</cp:lastPrinted>
  <dcterms:created xsi:type="dcterms:W3CDTF">2022-05-09T15:06:00Z</dcterms:created>
  <dcterms:modified xsi:type="dcterms:W3CDTF">2022-05-09T15:34:00Z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0x01010038F3DD3328A45B4094B2453B639612BD</vt:lpwstr>
  </property>
</Properties>
</file>