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4E08" w:rsidR="00705FFE" w:rsidP="0D12E065" w:rsidRDefault="001C4D66" w14:paraId="2A180AB2" w14:textId="77777777">
      <w:pPr>
        <w:rPr>
          <w:b w:val="1"/>
          <w:bCs w:val="1"/>
          <w:lang w:val="en-US"/>
        </w:rPr>
      </w:pPr>
      <w:proofErr w:type="spellStart"/>
      <w:r w:rsidRPr="0D12E065" w:rsidR="001C4D66">
        <w:rPr>
          <w:b w:val="1"/>
          <w:bCs w:val="1"/>
          <w:lang w:val="en-US"/>
        </w:rPr>
        <w:t>Immunitas</w:t>
      </w:r>
      <w:proofErr w:type="spellEnd"/>
      <w:r w:rsidRPr="0D12E065" w:rsidR="00872330">
        <w:rPr>
          <w:b w:val="1"/>
          <w:bCs w:val="1"/>
          <w:lang w:val="en-US"/>
        </w:rPr>
        <w:t xml:space="preserve"> and Teacher Knowledge</w:t>
      </w:r>
    </w:p>
    <w:p w:rsidR="0D12E065" w:rsidP="0D12E065" w:rsidRDefault="0D12E065" w14:paraId="07F535DD" w14:textId="5630FCD0">
      <w:pPr>
        <w:pStyle w:val="Normal"/>
        <w:rPr>
          <w:b w:val="1"/>
          <w:bCs w:val="1"/>
          <w:lang w:val="en-US"/>
        </w:rPr>
      </w:pPr>
      <w:r w:rsidRPr="0D12E065" w:rsidR="0D12E065">
        <w:rPr>
          <w:b w:val="1"/>
          <w:bCs w:val="1"/>
          <w:lang w:val="en-US"/>
        </w:rPr>
        <w:t xml:space="preserve">Abstract: NERA Symposium June 2022, </w:t>
      </w:r>
      <w:r w:rsidRPr="0D12E065" w:rsidR="0D12E065">
        <w:rPr>
          <w:b w:val="1"/>
          <w:bCs w:val="1"/>
          <w:lang w:val="en-US"/>
        </w:rPr>
        <w:t>Reykjavik, Iceland</w:t>
      </w:r>
    </w:p>
    <w:p w:rsidR="0D12E065" w:rsidP="0D12E065" w:rsidRDefault="0D12E065" w14:paraId="6C36983A" w14:textId="51D5C1B4">
      <w:pPr>
        <w:pStyle w:val="Normal"/>
        <w:rPr>
          <w:b w:val="1"/>
          <w:bCs w:val="1"/>
          <w:lang w:val="en-US"/>
        </w:rPr>
      </w:pPr>
    </w:p>
    <w:p w:rsidR="00872330" w:rsidRDefault="00D84E08" w14:paraId="775F0D27" w14:textId="77777777">
      <w:pPr>
        <w:rPr>
          <w:lang w:val="en-US"/>
        </w:rPr>
      </w:pPr>
      <w:r>
        <w:rPr>
          <w:lang w:val="en-US"/>
        </w:rPr>
        <w:t>Matthew Clarke and Ruth Unsworth, York St John University</w:t>
      </w:r>
    </w:p>
    <w:p w:rsidR="00D84E08" w:rsidRDefault="00D84E08" w14:paraId="14887DBE" w14:textId="77777777">
      <w:pPr>
        <w:rPr>
          <w:lang w:val="en-US"/>
        </w:rPr>
      </w:pPr>
    </w:p>
    <w:p w:rsidR="00872330" w:rsidP="008D566C" w:rsidRDefault="00872330" w14:paraId="534C9D24" w14:textId="399A1381">
      <w:pPr>
        <w:ind w:left="567"/>
        <w:rPr>
          <w:lang w:val="en-US"/>
        </w:rPr>
      </w:pPr>
      <w:r>
        <w:rPr>
          <w:lang w:val="en-US"/>
        </w:rPr>
        <w:t>“</w:t>
      </w:r>
      <w:r w:rsidR="00B834C6">
        <w:rPr>
          <w:lang w:val="en-US"/>
        </w:rPr>
        <w:t xml:space="preserve">The </w:t>
      </w:r>
      <w:proofErr w:type="spellStart"/>
      <w:r w:rsidR="00B834C6">
        <w:rPr>
          <w:lang w:val="en-US"/>
        </w:rPr>
        <w:t>immunitary</w:t>
      </w:r>
      <w:proofErr w:type="spellEnd"/>
      <w:r w:rsidR="00B834C6">
        <w:rPr>
          <w:lang w:val="en-US"/>
        </w:rPr>
        <w:t xml:space="preserve"> paradigm does not present itself in terms of action, but rather in terms of </w:t>
      </w:r>
      <w:r w:rsidRPr="00F32012" w:rsidR="00B834C6">
        <w:rPr>
          <w:i/>
          <w:lang w:val="en-US"/>
        </w:rPr>
        <w:t>reaction</w:t>
      </w:r>
      <w:r w:rsidR="00B834C6">
        <w:rPr>
          <w:lang w:val="en-US"/>
        </w:rPr>
        <w:t xml:space="preserve"> – rather than a force, it is a repercussion, a counterforce, which hinders another force from coming into being</w:t>
      </w:r>
      <w:r>
        <w:rPr>
          <w:lang w:val="en-US"/>
        </w:rPr>
        <w:t xml:space="preserve">” </w:t>
      </w:r>
      <w:bookmarkStart w:name="_GoBack" w:id="0"/>
      <w:r>
        <w:rPr>
          <w:lang w:val="en-US"/>
        </w:rPr>
        <w:fldChar w:fldCharType="begin"/>
      </w:r>
      <w:r w:rsidR="00E56E21">
        <w:rPr>
          <w:lang w:val="en-US"/>
        </w:rPr>
        <w:instrText xml:space="preserve"> ADDIN EN.CITE &lt;EndNote&gt;&lt;Cite&gt;&lt;Author&gt;Esposito&lt;/Author&gt;&lt;Year&gt;2011&lt;/Year&gt;&lt;RecNum&gt;4518&lt;/RecNum&gt;&lt;Pages&gt;7&lt;/Pages&gt;&lt;DisplayText&gt;(Esposito, 2011, p. 7)&lt;/DisplayText&gt;&lt;record&gt;&lt;rec-number&gt;4518&lt;/rec-number&gt;&lt;foreign-keys&gt;&lt;key app="EN" db-id="awt99sxfmv9wepewxxmxwzaq00ptezpztxs2" timestamp="1461761250"&gt;4518&lt;/key&gt;&lt;/foreign-keys&gt;&lt;ref-type name="Book"&gt;6&lt;/ref-type&gt;&lt;contributors&gt;&lt;authors&gt;&lt;author&gt;Esposito, R&lt;/author&gt;&lt;/authors&gt;&lt;subsidiary-authors&gt;&lt;author&gt;Hanafi, Z&lt;/author&gt;&lt;/subsidiary-authors&gt;&lt;/contributors&gt;&lt;titles&gt;&lt;title&gt;Immunitas: The protection and negation of life&lt;/title&gt;&lt;/titles&gt;&lt;dates&gt;&lt;year&gt;2011&lt;/year&gt;&lt;/dates&gt;&lt;pub-location&gt;Bristol&lt;/pub-location&gt;&lt;publisher&gt;Polity Press&lt;/publisher&gt;&lt;urls&gt;&lt;/urls&gt;&lt;/record&gt;&lt;/Cite&gt;&lt;/EndNote&gt;</w:instrText>
      </w:r>
      <w:r>
        <w:rPr>
          <w:lang w:val="en-US"/>
        </w:rPr>
        <w:fldChar w:fldCharType="separate"/>
      </w:r>
      <w:r w:rsidR="00E56E21">
        <w:rPr>
          <w:noProof/>
          <w:lang w:val="en-US"/>
        </w:rPr>
        <w:t>(Esposito, 2011, p. 7)</w:t>
      </w:r>
      <w:r>
        <w:rPr>
          <w:lang w:val="en-US"/>
        </w:rPr>
        <w:fldChar w:fldCharType="end"/>
      </w:r>
      <w:bookmarkEnd w:id="0"/>
      <w:r>
        <w:rPr>
          <w:lang w:val="en-US"/>
        </w:rPr>
        <w:t>.</w:t>
      </w:r>
    </w:p>
    <w:p w:rsidR="001C4D66" w:rsidP="008D566C" w:rsidRDefault="001C4D66" w14:paraId="3D3553FB" w14:textId="77777777">
      <w:pPr>
        <w:ind w:left="567"/>
        <w:rPr>
          <w:lang w:val="en-US"/>
        </w:rPr>
      </w:pPr>
    </w:p>
    <w:p w:rsidR="00872330" w:rsidP="008D566C" w:rsidRDefault="001C4D66" w14:paraId="41E39F39" w14:textId="77777777">
      <w:pPr>
        <w:ind w:left="567"/>
        <w:rPr>
          <w:lang w:val="en-US"/>
        </w:rPr>
      </w:pPr>
      <w:r>
        <w:rPr>
          <w:lang w:val="en-US"/>
        </w:rPr>
        <w:t>“</w:t>
      </w:r>
      <w:r w:rsidRPr="001C4D66">
        <w:rPr>
          <w:lang w:val="en-US"/>
        </w:rPr>
        <w:t>We’ll ensure discredited ideas unsupported by firm evidence are not promoted to new teachers</w:t>
      </w:r>
      <w:r>
        <w:rPr>
          <w:lang w:val="en-US"/>
        </w:rPr>
        <w:t>”</w:t>
      </w:r>
      <w:r w:rsidR="002E3AAB">
        <w:rPr>
          <w:lang w:val="en-US"/>
        </w:rPr>
        <w:t xml:space="preserve"> </w:t>
      </w:r>
      <w:r w:rsidR="00872330">
        <w:rPr>
          <w:lang w:val="en-US"/>
        </w:rPr>
        <w:fldChar w:fldCharType="begin"/>
      </w:r>
      <w:r w:rsidR="00872330">
        <w:rPr>
          <w:lang w:val="en-US"/>
        </w:rPr>
        <w:instrText xml:space="preserve"> ADDIN EN.CITE &lt;EndNote&gt;&lt;Cite&gt;&lt;Author&gt;Department for Education (DfE)&lt;/Author&gt;&lt;Year&gt;2016&lt;/Year&gt;&lt;RecNum&gt;4499&lt;/RecNum&gt;&lt;Pages&gt;12&lt;/Pages&gt;&lt;DisplayText&gt;(Department for Education (DfE), 2016, p. 12)&lt;/DisplayText&gt;&lt;record&gt;&lt;rec-number&gt;4499&lt;/rec-number&gt;&lt;foreign-keys&gt;&lt;key app="EN" db-id="awt99sxfmv9wepewxxmxwzaq00ptezpztxs2" timestamp="1460035102"&gt;4499&lt;/key&gt;&lt;/foreign-keys&gt;&lt;ref-type name="Government Document"&gt;46&lt;/ref-type&gt;&lt;contributors&gt;&lt;authors&gt;&lt;author&gt;Department for Education (DfE),&lt;/author&gt;&lt;/authors&gt;&lt;/contributors&gt;&lt;titles&gt;&lt;title&gt;Educational excellence everywhere&lt;/title&gt;&lt;/titles&gt;&lt;dates&gt;&lt;year&gt;2016&lt;/year&gt;&lt;/dates&gt;&lt;pub-location&gt;UK&lt;/pub-location&gt;&lt;publisher&gt;HMSO&lt;/publisher&gt;&lt;urls&gt;&lt;/urls&gt;&lt;/record&gt;&lt;/Cite&gt;&lt;/EndNote&gt;</w:instrText>
      </w:r>
      <w:r w:rsidR="00872330">
        <w:rPr>
          <w:lang w:val="en-US"/>
        </w:rPr>
        <w:fldChar w:fldCharType="separate"/>
      </w:r>
      <w:r w:rsidR="00872330">
        <w:rPr>
          <w:noProof/>
          <w:lang w:val="en-US"/>
        </w:rPr>
        <w:t>(Department for Education (DfE), 2016, p. 12)</w:t>
      </w:r>
      <w:r w:rsidR="00872330">
        <w:rPr>
          <w:lang w:val="en-US"/>
        </w:rPr>
        <w:fldChar w:fldCharType="end"/>
      </w:r>
    </w:p>
    <w:p w:rsidR="00872330" w:rsidRDefault="00872330" w14:paraId="54601BC8" w14:textId="77777777">
      <w:pPr>
        <w:rPr>
          <w:lang w:val="en-US"/>
        </w:rPr>
      </w:pPr>
    </w:p>
    <w:p w:rsidR="006F3434" w:rsidP="3B794355" w:rsidRDefault="008D566C" w14:paraId="0616ABD7" w14:textId="07EC64D0">
      <w:pPr>
        <w:pStyle w:val="EndNoteBibliography"/>
        <w:rPr>
          <w:rFonts w:asciiTheme="minorHAnsi" w:hAnsiTheme="minorHAnsi" w:cstheme="minorBidi"/>
        </w:rPr>
      </w:pPr>
      <w:r w:rsidRPr="3B794355">
        <w:rPr>
          <w:rFonts w:asciiTheme="minorHAnsi" w:hAnsiTheme="minorHAnsi" w:cstheme="minorBidi"/>
        </w:rPr>
        <w:t>For over two years now, t</w:t>
      </w:r>
      <w:r w:rsidRPr="3B794355" w:rsidR="006F3434">
        <w:rPr>
          <w:rFonts w:asciiTheme="minorHAnsi" w:hAnsiTheme="minorHAnsi" w:cstheme="minorBidi"/>
        </w:rPr>
        <w:t xml:space="preserve">he Covid-19 pandemic </w:t>
      </w:r>
      <w:r w:rsidRPr="3B794355" w:rsidR="008F2CF0">
        <w:rPr>
          <w:rFonts w:asciiTheme="minorHAnsi" w:hAnsiTheme="minorHAnsi" w:cstheme="minorBidi"/>
        </w:rPr>
        <w:t xml:space="preserve">has posed a </w:t>
      </w:r>
      <w:r w:rsidRPr="3B794355" w:rsidR="00B2636A">
        <w:rPr>
          <w:rFonts w:asciiTheme="minorHAnsi" w:hAnsiTheme="minorHAnsi" w:cstheme="minorBidi"/>
        </w:rPr>
        <w:t xml:space="preserve">mortal </w:t>
      </w:r>
      <w:r w:rsidRPr="3B794355" w:rsidR="008F2CF0">
        <w:rPr>
          <w:rFonts w:asciiTheme="minorHAnsi" w:hAnsiTheme="minorHAnsi" w:cstheme="minorBidi"/>
        </w:rPr>
        <w:t>threat</w:t>
      </w:r>
      <w:r w:rsidRPr="3B794355" w:rsidR="00B2636A">
        <w:rPr>
          <w:rFonts w:asciiTheme="minorHAnsi" w:hAnsiTheme="minorHAnsi" w:cstheme="minorBidi"/>
        </w:rPr>
        <w:t xml:space="preserve"> to our biological bodies</w:t>
      </w:r>
      <w:r w:rsidRPr="3B794355" w:rsidR="00F30DCD">
        <w:rPr>
          <w:rFonts w:asciiTheme="minorHAnsi" w:hAnsiTheme="minorHAnsi" w:cstheme="minorBidi"/>
        </w:rPr>
        <w:t xml:space="preserve">. But as Roberto Esposito </w:t>
      </w:r>
      <w:r w:rsidRPr="3B794355" w:rsidR="00B2636A">
        <w:rPr>
          <w:rFonts w:asciiTheme="minorHAnsi" w:hAnsiTheme="minorHAnsi" w:cstheme="minorBidi"/>
        </w:rPr>
        <w:t xml:space="preserve">(2011) </w:t>
      </w:r>
      <w:r w:rsidRPr="3B794355" w:rsidR="00F30DCD">
        <w:rPr>
          <w:rFonts w:asciiTheme="minorHAnsi" w:hAnsiTheme="minorHAnsi" w:cstheme="minorBidi"/>
        </w:rPr>
        <w:t>insightfully and presciently notes, epidemiological notions of contamination and contagion have spread beyond</w:t>
      </w:r>
      <w:r w:rsidRPr="3B794355" w:rsidR="00B2636A">
        <w:rPr>
          <w:rFonts w:asciiTheme="minorHAnsi" w:hAnsiTheme="minorHAnsi" w:cstheme="minorBidi"/>
        </w:rPr>
        <w:t xml:space="preserve"> the confines of medicine and biology and into the social, technological and political realms. In this reading, the regulatory and symbolic orders of law and language are also caught up in the medical paradigm and can be productively (re)thought in terms of immunization.</w:t>
      </w:r>
      <w:r w:rsidRPr="3B794355" w:rsidR="0040031D">
        <w:rPr>
          <w:rFonts w:asciiTheme="minorHAnsi" w:hAnsiTheme="minorHAnsi" w:cstheme="minorBidi"/>
        </w:rPr>
        <w:t xml:space="preserve"> Critically for </w:t>
      </w:r>
      <w:r w:rsidRPr="3B794355" w:rsidR="00C651C9">
        <w:rPr>
          <w:rFonts w:asciiTheme="minorHAnsi" w:hAnsiTheme="minorHAnsi" w:cstheme="minorBidi"/>
        </w:rPr>
        <w:t xml:space="preserve">our paper, moves towards formalizing and standardizing knowledge in teacher education, alongside the dominant discourse of ‘evidence based’ policy and practice and </w:t>
      </w:r>
      <w:r w:rsidRPr="3B794355" w:rsidR="5A66B57C">
        <w:rPr>
          <w:rFonts w:asciiTheme="minorHAnsi" w:hAnsiTheme="minorHAnsi" w:cstheme="minorBidi"/>
        </w:rPr>
        <w:t xml:space="preserve">a prevailing </w:t>
      </w:r>
      <w:r w:rsidRPr="3B794355" w:rsidR="00C651C9">
        <w:rPr>
          <w:rFonts w:asciiTheme="minorHAnsi" w:hAnsiTheme="minorHAnsi" w:cstheme="minorBidi"/>
        </w:rPr>
        <w:t>emphasis on ‘what works’, can be read as attempts to immunize the profession against unhealthy or undesirable influences</w:t>
      </w:r>
      <w:r w:rsidRPr="3B794355" w:rsidR="002C5FFB">
        <w:rPr>
          <w:rFonts w:asciiTheme="minorHAnsi" w:hAnsiTheme="minorHAnsi" w:cstheme="minorBidi"/>
        </w:rPr>
        <w:t xml:space="preserve"> that might threaten and undermine educational wellbeing</w:t>
      </w:r>
      <w:r w:rsidRPr="3B794355" w:rsidR="00C651C9">
        <w:rPr>
          <w:rFonts w:asciiTheme="minorHAnsi" w:hAnsiTheme="minorHAnsi" w:cstheme="minorBidi"/>
        </w:rPr>
        <w:t>.</w:t>
      </w:r>
    </w:p>
    <w:p w:rsidR="00C651C9" w:rsidP="00872330" w:rsidRDefault="00C651C9" w14:paraId="2ECB04F7" w14:textId="77777777">
      <w:pPr>
        <w:pStyle w:val="EndNoteBibliography"/>
        <w:rPr>
          <w:rFonts w:asciiTheme="minorHAnsi" w:hAnsiTheme="minorHAnsi" w:cstheme="minorBidi"/>
        </w:rPr>
      </w:pPr>
    </w:p>
    <w:p w:rsidR="00C651C9" w:rsidP="00872330" w:rsidRDefault="00C651C9" w14:paraId="3D8A3180" w14:textId="77777777">
      <w:pPr>
        <w:pStyle w:val="EndNoteBibliography"/>
        <w:rPr>
          <w:rFonts w:asciiTheme="minorHAnsi" w:hAnsiTheme="minorHAnsi" w:cstheme="minorBidi"/>
        </w:rPr>
      </w:pPr>
      <w:r>
        <w:rPr>
          <w:rFonts w:asciiTheme="minorHAnsi" w:hAnsiTheme="minorHAnsi" w:cstheme="minorBidi"/>
        </w:rPr>
        <w:t>Yet immunization does not only have a positive, protective function; it also involves a logic of negation</w:t>
      </w:r>
      <w:r w:rsidR="002C5FFB">
        <w:rPr>
          <w:rFonts w:asciiTheme="minorHAnsi" w:hAnsiTheme="minorHAnsi" w:cstheme="minorBidi"/>
        </w:rPr>
        <w:t>. Just as biological immunization involves allowing a little of what threatens the body to transgress its protective boundaries, so too in immunizing the body politic</w:t>
      </w:r>
      <w:r w:rsidR="00D84E08">
        <w:rPr>
          <w:rFonts w:asciiTheme="minorHAnsi" w:hAnsiTheme="minorHAnsi" w:cstheme="minorBidi"/>
        </w:rPr>
        <w:t>, law and language perpetrate violence in the name of protection.</w:t>
      </w:r>
      <w:r w:rsidR="002C5FFB">
        <w:rPr>
          <w:rFonts w:asciiTheme="minorHAnsi" w:hAnsiTheme="minorHAnsi" w:cstheme="minorBidi"/>
        </w:rPr>
        <w:t xml:space="preserve"> </w:t>
      </w:r>
    </w:p>
    <w:p w:rsidR="00C651C9" w:rsidP="00872330" w:rsidRDefault="00C651C9" w14:paraId="7999D70F" w14:textId="77777777">
      <w:pPr>
        <w:pStyle w:val="EndNoteBibliography"/>
        <w:rPr>
          <w:rFonts w:asciiTheme="minorHAnsi" w:hAnsiTheme="minorHAnsi" w:cstheme="minorBidi"/>
        </w:rPr>
      </w:pPr>
    </w:p>
    <w:p w:rsidR="00C651C9" w:rsidP="3B794355" w:rsidRDefault="00C651C9" w14:paraId="1DDC594E" w14:textId="227A148D">
      <w:pPr>
        <w:pStyle w:val="EndNoteBibliography"/>
        <w:rPr>
          <w:rFonts w:asciiTheme="minorHAnsi" w:hAnsiTheme="minorHAnsi" w:cstheme="minorBidi"/>
        </w:rPr>
      </w:pPr>
      <w:r w:rsidRPr="3B794355">
        <w:rPr>
          <w:rFonts w:asciiTheme="minorHAnsi" w:hAnsiTheme="minorHAnsi" w:cstheme="minorBidi"/>
        </w:rPr>
        <w:t xml:space="preserve">In this paper, we will discuss </w:t>
      </w:r>
      <w:r w:rsidRPr="3B794355" w:rsidR="002C5FFB">
        <w:rPr>
          <w:rFonts w:asciiTheme="minorHAnsi" w:hAnsiTheme="minorHAnsi" w:cstheme="minorBidi"/>
        </w:rPr>
        <w:t>these ideas in relation to</w:t>
      </w:r>
      <w:r w:rsidRPr="3B794355">
        <w:rPr>
          <w:rFonts w:asciiTheme="minorHAnsi" w:hAnsiTheme="minorHAnsi" w:cstheme="minorBidi"/>
        </w:rPr>
        <w:t xml:space="preserve"> two immunization projects undertaken by England’s government in order to protect the minds and bodies of teachers and students in schools. </w:t>
      </w:r>
      <w:r w:rsidRPr="3B794355" w:rsidR="0E7F6D65">
        <w:rPr>
          <w:rFonts w:asciiTheme="minorHAnsi" w:hAnsiTheme="minorHAnsi" w:cstheme="minorBidi"/>
        </w:rPr>
        <w:t>Specifically, a</w:t>
      </w:r>
      <w:r w:rsidRPr="3B794355">
        <w:rPr>
          <w:rFonts w:asciiTheme="minorHAnsi" w:hAnsiTheme="minorHAnsi" w:cstheme="minorBidi"/>
        </w:rPr>
        <w:t xml:space="preserve"> </w:t>
      </w:r>
      <w:r w:rsidRPr="3B794355" w:rsidR="002C5FFB">
        <w:rPr>
          <w:rFonts w:asciiTheme="minorHAnsi" w:hAnsiTheme="minorHAnsi" w:cstheme="minorBidi"/>
        </w:rPr>
        <w:t xml:space="preserve">legal requirement to </w:t>
      </w:r>
      <w:r w:rsidRPr="3B794355">
        <w:rPr>
          <w:rFonts w:asciiTheme="minorHAnsi" w:hAnsiTheme="minorHAnsi" w:cstheme="minorBidi"/>
        </w:rPr>
        <w:t>promot</w:t>
      </w:r>
      <w:r w:rsidRPr="3B794355" w:rsidR="002C5FFB">
        <w:rPr>
          <w:rFonts w:asciiTheme="minorHAnsi" w:hAnsiTheme="minorHAnsi" w:cstheme="minorBidi"/>
        </w:rPr>
        <w:t>e</w:t>
      </w:r>
      <w:r w:rsidRPr="3B794355">
        <w:rPr>
          <w:rFonts w:asciiTheme="minorHAnsi" w:hAnsiTheme="minorHAnsi" w:cstheme="minorBidi"/>
        </w:rPr>
        <w:t xml:space="preserve"> so-called Fundamental British Values (FBVs)</w:t>
      </w:r>
      <w:r w:rsidRPr="3B794355" w:rsidR="46BDBC32">
        <w:rPr>
          <w:rFonts w:asciiTheme="minorHAnsi" w:hAnsiTheme="minorHAnsi" w:cstheme="minorBidi"/>
        </w:rPr>
        <w:t>,</w:t>
      </w:r>
      <w:r w:rsidRPr="3B794355" w:rsidR="002C5FFB">
        <w:rPr>
          <w:rFonts w:asciiTheme="minorHAnsi" w:hAnsiTheme="minorHAnsi" w:cstheme="minorBidi"/>
        </w:rPr>
        <w:t xml:space="preserve"> and </w:t>
      </w:r>
      <w:r w:rsidRPr="3B794355" w:rsidR="202DCA89">
        <w:rPr>
          <w:rFonts w:asciiTheme="minorHAnsi" w:hAnsiTheme="minorHAnsi" w:cstheme="minorBidi"/>
        </w:rPr>
        <w:t xml:space="preserve">a </w:t>
      </w:r>
      <w:r w:rsidRPr="3B794355" w:rsidR="3896EB4B">
        <w:rPr>
          <w:rFonts w:asciiTheme="minorHAnsi" w:hAnsiTheme="minorHAnsi" w:cstheme="minorBidi"/>
        </w:rPr>
        <w:t xml:space="preserve">national accountability and performativity </w:t>
      </w:r>
      <w:r w:rsidRPr="3B794355" w:rsidR="70FE0EA2">
        <w:rPr>
          <w:rFonts w:asciiTheme="minorHAnsi" w:hAnsiTheme="minorHAnsi" w:cstheme="minorBidi"/>
        </w:rPr>
        <w:t xml:space="preserve">framework </w:t>
      </w:r>
      <w:r w:rsidRPr="3B794355" w:rsidR="3896EB4B">
        <w:rPr>
          <w:rFonts w:asciiTheme="minorHAnsi" w:hAnsiTheme="minorHAnsi" w:cstheme="minorBidi"/>
        </w:rPr>
        <w:t>which promote</w:t>
      </w:r>
      <w:r w:rsidRPr="3B794355" w:rsidR="55B525E8">
        <w:rPr>
          <w:rFonts w:asciiTheme="minorHAnsi" w:hAnsiTheme="minorHAnsi" w:cstheme="minorBidi"/>
        </w:rPr>
        <w:t>s</w:t>
      </w:r>
      <w:r w:rsidRPr="3B794355" w:rsidR="3896EB4B">
        <w:rPr>
          <w:rFonts w:asciiTheme="minorHAnsi" w:hAnsiTheme="minorHAnsi" w:cstheme="minorBidi"/>
        </w:rPr>
        <w:t xml:space="preserve"> reliance</w:t>
      </w:r>
      <w:r w:rsidRPr="3B794355" w:rsidR="002C5FFB">
        <w:rPr>
          <w:rFonts w:asciiTheme="minorHAnsi" w:hAnsiTheme="minorHAnsi" w:cstheme="minorBidi"/>
        </w:rPr>
        <w:t xml:space="preserve"> on synthetic phonics in teaching literacy. Our argument is that the insistence on and repetition of these </w:t>
      </w:r>
      <w:r w:rsidR="00247A0D">
        <w:rPr>
          <w:rFonts w:asciiTheme="minorHAnsi" w:hAnsiTheme="minorHAnsi" w:cstheme="minorBidi"/>
        </w:rPr>
        <w:t xml:space="preserve">requirements </w:t>
      </w:r>
      <w:r w:rsidRPr="3B794355" w:rsidR="00D84E08">
        <w:rPr>
          <w:rFonts w:asciiTheme="minorHAnsi" w:hAnsiTheme="minorHAnsi" w:cstheme="minorBidi"/>
        </w:rPr>
        <w:t xml:space="preserve">can be read as instances of hermeneutic epistemic injustice </w:t>
      </w:r>
      <w:r w:rsidRPr="3B794355">
        <w:rPr>
          <w:rFonts w:asciiTheme="minorHAnsi" w:hAnsiTheme="minorHAnsi" w:cstheme="minorBidi"/>
        </w:rPr>
        <w:fldChar w:fldCharType="begin"/>
      </w:r>
      <w:r w:rsidRPr="3B794355">
        <w:rPr>
          <w:rFonts w:asciiTheme="minorHAnsi" w:hAnsiTheme="minorHAnsi" w:cstheme="minorBidi"/>
        </w:rPr>
        <w:instrText xml:space="preserve"> ADDIN EN.CITE &lt;EndNote&gt;&lt;Cite&gt;&lt;Author&gt;Fricker&lt;/Author&gt;&lt;Year&gt;2007&lt;/Year&gt;&lt;RecNum&gt;5124&lt;/RecNum&gt;&lt;DisplayText&gt;(Fricker, 2007)&lt;/DisplayText&gt;&lt;record&gt;&lt;rec-number&gt;5124&lt;/rec-number&gt;&lt;foreign-keys&gt;&lt;key app="EN" db-id="awt99sxfmv9wepewxxmxwzaq00ptezpztxs2" timestamp="1636878492"&gt;5124&lt;/key&gt;&lt;/foreign-keys&gt;&lt;ref-type name="Book"&gt;6&lt;/ref-type&gt;&lt;contributors&gt;&lt;authors&gt;&lt;author&gt;Fricker, M&lt;/author&gt;&lt;/authors&gt;&lt;/contributors&gt;&lt;titles&gt;&lt;title&gt;Epistemic injustice: Power and the ethics of knowing&lt;/title&gt;&lt;/titles&gt;&lt;dates&gt;&lt;year&gt;2007&lt;/year&gt;&lt;/dates&gt;&lt;pub-location&gt;Oxford&lt;/pub-location&gt;&lt;publisher&gt;Oxford University Press&lt;/publisher&gt;&lt;isbn&gt;0198237901&lt;/isbn&gt;&lt;urls&gt;&lt;/urls&gt;&lt;/record&gt;&lt;/Cite&gt;&lt;/EndNote&gt;</w:instrText>
      </w:r>
      <w:r w:rsidRPr="3B794355">
        <w:rPr>
          <w:rFonts w:asciiTheme="minorHAnsi" w:hAnsiTheme="minorHAnsi" w:cstheme="minorBidi"/>
        </w:rPr>
        <w:fldChar w:fldCharType="separate"/>
      </w:r>
      <w:r w:rsidRPr="3B794355" w:rsidR="00D84E08">
        <w:rPr>
          <w:rFonts w:asciiTheme="minorHAnsi" w:hAnsiTheme="minorHAnsi" w:cstheme="minorBidi"/>
          <w:noProof/>
        </w:rPr>
        <w:t>(Fricker, 2007)</w:t>
      </w:r>
      <w:r w:rsidRPr="3B794355">
        <w:rPr>
          <w:rFonts w:asciiTheme="minorHAnsi" w:hAnsiTheme="minorHAnsi" w:cstheme="minorBidi"/>
        </w:rPr>
        <w:fldChar w:fldCharType="end"/>
      </w:r>
      <w:r w:rsidRPr="3B794355" w:rsidR="00D84E08">
        <w:rPr>
          <w:rFonts w:asciiTheme="minorHAnsi" w:hAnsiTheme="minorHAnsi" w:cstheme="minorBidi"/>
        </w:rPr>
        <w:t xml:space="preserve">, insofar as other modes of thought and practice are thereby rendered invisible, unthinkable and illegitimate. To counter this ideologically-driven epistemic authoritarianism we advocate a notion of agonistic pragmatism </w:t>
      </w:r>
      <w:r w:rsidRPr="3B794355">
        <w:rPr>
          <w:rFonts w:asciiTheme="minorHAnsi" w:hAnsiTheme="minorHAnsi" w:cstheme="minorBidi"/>
        </w:rPr>
        <w:fldChar w:fldCharType="begin"/>
      </w:r>
      <w:r w:rsidRPr="3B794355">
        <w:rPr>
          <w:rFonts w:asciiTheme="minorHAnsi" w:hAnsiTheme="minorHAnsi" w:cstheme="minorBidi"/>
        </w:rPr>
        <w:instrText xml:space="preserve"> ADDIN EN.CITE &lt;EndNote&gt;&lt;Cite&gt;&lt;Author&gt;Wenman&lt;/Author&gt;&lt;Year&gt;2013&lt;/Year&gt;&lt;RecNum&gt;4504&lt;/RecNum&gt;&lt;DisplayText&gt;(Rorty, 2021; Wenman, 2013)&lt;/DisplayText&gt;&lt;record&gt;&lt;rec-number&gt;4504&lt;/rec-number&gt;&lt;foreign-keys&gt;&lt;key app="EN" db-id="awt99sxfmv9wepewxxmxwzaq00ptezpztxs2" timestamp="1460112041"&gt;4504&lt;/key&gt;&lt;/foreign-keys&gt;&lt;ref-type name="Book"&gt;6&lt;/ref-type&gt;&lt;contributors&gt;&lt;authors&gt;&lt;author&gt;Wenman, M&lt;/author&gt;&lt;/authors&gt;&lt;/contributors&gt;&lt;titles&gt;&lt;title&gt;Agonistic democracy: Constituent power in the era of globalisation&lt;/title&gt;&lt;/titles&gt;&lt;dates&gt;&lt;year&gt;2013&lt;/year&gt;&lt;/dates&gt;&lt;pub-location&gt;Cambridge&lt;/pub-location&gt;&lt;publisher&gt;Cambridge University Press&lt;/publisher&gt;&lt;urls&gt;&lt;/urls&gt;&lt;/record&gt;&lt;/Cite&gt;&lt;Cite&gt;&lt;Author&gt;Rorty&lt;/Author&gt;&lt;Year&gt;2021&lt;/Year&gt;&lt;RecNum&gt;5154&lt;/RecNum&gt;&lt;record&gt;&lt;rec-number&gt;5154&lt;/rec-number&gt;&lt;foreign-keys&gt;&lt;key app="EN" db-id="awt99sxfmv9wepewxxmxwzaq00ptezpztxs2" timestamp="1642692664"&gt;5154&lt;/key&gt;&lt;/foreign-keys&gt;&lt;ref-type name="Book"&gt;6&lt;/ref-type&gt;&lt;contributors&gt;&lt;authors&gt;&lt;author&gt;Rorty, Richard&lt;/author&gt;&lt;/authors&gt;&lt;/contributors&gt;&lt;titles&gt;&lt;title&gt;Pragmatism as anti-authoritarianism&lt;/title&gt;&lt;/titles&gt;&lt;dates&gt;&lt;year&gt;2021&lt;/year&gt;&lt;/dates&gt;&lt;pub-location&gt;Cambridge, MA&lt;/pub-location&gt;&lt;publisher&gt;Harvard University Press&lt;/publisher&gt;&lt;isbn&gt;0674248910&lt;/isbn&gt;&lt;urls&gt;&lt;/urls&gt;&lt;/record&gt;&lt;/Cite&gt;&lt;/EndNote&gt;</w:instrText>
      </w:r>
      <w:r w:rsidRPr="3B794355">
        <w:rPr>
          <w:rFonts w:asciiTheme="minorHAnsi" w:hAnsiTheme="minorHAnsi" w:cstheme="minorBidi"/>
        </w:rPr>
        <w:fldChar w:fldCharType="separate"/>
      </w:r>
      <w:r w:rsidRPr="3B794355" w:rsidR="008D566C">
        <w:rPr>
          <w:rFonts w:asciiTheme="minorHAnsi" w:hAnsiTheme="minorHAnsi" w:cstheme="minorBidi"/>
          <w:noProof/>
        </w:rPr>
        <w:t>(Rorty, 2021; Wenman, 2013)</w:t>
      </w:r>
      <w:r w:rsidRPr="3B794355">
        <w:rPr>
          <w:rFonts w:asciiTheme="minorHAnsi" w:hAnsiTheme="minorHAnsi" w:cstheme="minorBidi"/>
        </w:rPr>
        <w:fldChar w:fldCharType="end"/>
      </w:r>
      <w:r w:rsidRPr="3B794355" w:rsidR="008D566C">
        <w:rPr>
          <w:rFonts w:asciiTheme="minorHAnsi" w:hAnsiTheme="minorHAnsi" w:cstheme="minorBidi"/>
        </w:rPr>
        <w:t xml:space="preserve"> </w:t>
      </w:r>
      <w:r w:rsidRPr="3B794355" w:rsidR="00D84E08">
        <w:rPr>
          <w:rFonts w:asciiTheme="minorHAnsi" w:hAnsiTheme="minorHAnsi" w:cstheme="minorBidi"/>
        </w:rPr>
        <w:t>that values pluralism, contestation and</w:t>
      </w:r>
      <w:r w:rsidRPr="3B794355" w:rsidR="00964A02">
        <w:rPr>
          <w:rFonts w:asciiTheme="minorHAnsi" w:hAnsiTheme="minorHAnsi" w:cstheme="minorBidi"/>
        </w:rPr>
        <w:t xml:space="preserve"> openness.</w:t>
      </w:r>
    </w:p>
    <w:p w:rsidR="006F3434" w:rsidP="00872330" w:rsidRDefault="006F3434" w14:paraId="295ACCBF" w14:textId="77777777">
      <w:pPr>
        <w:pStyle w:val="EndNoteBibliography"/>
        <w:rPr>
          <w:rFonts w:asciiTheme="minorHAnsi" w:hAnsiTheme="minorHAnsi" w:cstheme="minorBidi"/>
        </w:rPr>
      </w:pPr>
    </w:p>
    <w:p w:rsidRPr="00D84E08" w:rsidR="00872330" w:rsidP="008D566C" w:rsidRDefault="00872330" w14:paraId="0610AD9A" w14:textId="77777777">
      <w:pPr>
        <w:pStyle w:val="EndNoteBibliography"/>
        <w:rPr>
          <w:b/>
        </w:rPr>
      </w:pPr>
      <w:r w:rsidRPr="00D84E08">
        <w:rPr>
          <w:b/>
        </w:rPr>
        <w:t>References</w:t>
      </w:r>
    </w:p>
    <w:p w:rsidRPr="00E56E21" w:rsidR="00E56E21" w:rsidP="00E56E21" w:rsidRDefault="00872330" w14:paraId="70F19CFD" w14:textId="77777777">
      <w:pPr>
        <w:pStyle w:val="EndNoteBibliography"/>
        <w:ind w:left="720" w:hanging="720"/>
        <w:rPr>
          <w:noProof/>
        </w:rPr>
      </w:pPr>
      <w:r>
        <w:fldChar w:fldCharType="begin"/>
      </w:r>
      <w:r>
        <w:instrText xml:space="preserve"> ADDIN EN.REFLIST </w:instrText>
      </w:r>
      <w:r>
        <w:fldChar w:fldCharType="separate"/>
      </w:r>
      <w:r w:rsidRPr="00E56E21" w:rsidR="00E56E21">
        <w:rPr>
          <w:noProof/>
        </w:rPr>
        <w:t xml:space="preserve">Department for Education (DfE). (2016). </w:t>
      </w:r>
      <w:r w:rsidRPr="00E56E21" w:rsidR="00E56E21">
        <w:rPr>
          <w:i/>
          <w:noProof/>
        </w:rPr>
        <w:t>Educational excellence everywhere</w:t>
      </w:r>
      <w:r w:rsidRPr="00E56E21" w:rsidR="00E56E21">
        <w:rPr>
          <w:noProof/>
        </w:rPr>
        <w:t>. UK: HMSO</w:t>
      </w:r>
    </w:p>
    <w:p w:rsidRPr="00E56E21" w:rsidR="00E56E21" w:rsidP="00E56E21" w:rsidRDefault="00E56E21" w14:paraId="7CC42CEF" w14:textId="77777777">
      <w:pPr>
        <w:pStyle w:val="EndNoteBibliography"/>
        <w:ind w:left="720" w:hanging="720"/>
        <w:rPr>
          <w:noProof/>
        </w:rPr>
      </w:pPr>
      <w:r w:rsidRPr="00E56E21">
        <w:rPr>
          <w:noProof/>
        </w:rPr>
        <w:t xml:space="preserve">Esposito, R. (2011). </w:t>
      </w:r>
      <w:r w:rsidRPr="00E56E21">
        <w:rPr>
          <w:i/>
          <w:noProof/>
        </w:rPr>
        <w:t>Immunitas: The protection and negation of life</w:t>
      </w:r>
      <w:r w:rsidRPr="00E56E21">
        <w:rPr>
          <w:noProof/>
        </w:rPr>
        <w:t xml:space="preserve"> (Z. Hanafi, Trans.). Bristol: Polity Press.</w:t>
      </w:r>
    </w:p>
    <w:p w:rsidRPr="00E56E21" w:rsidR="00E56E21" w:rsidP="00E56E21" w:rsidRDefault="00E56E21" w14:paraId="784A7575" w14:textId="77777777">
      <w:pPr>
        <w:pStyle w:val="EndNoteBibliography"/>
        <w:ind w:left="720" w:hanging="720"/>
        <w:rPr>
          <w:noProof/>
        </w:rPr>
      </w:pPr>
      <w:r w:rsidRPr="00E56E21">
        <w:rPr>
          <w:noProof/>
        </w:rPr>
        <w:t xml:space="preserve">Fricker, M. (2007). </w:t>
      </w:r>
      <w:r w:rsidRPr="00E56E21">
        <w:rPr>
          <w:i/>
          <w:noProof/>
        </w:rPr>
        <w:t>Epistemic injustice: Power and the ethics of knowing</w:t>
      </w:r>
      <w:r w:rsidRPr="00E56E21">
        <w:rPr>
          <w:noProof/>
        </w:rPr>
        <w:t>. Oxford: Oxford University Press.</w:t>
      </w:r>
    </w:p>
    <w:p w:rsidRPr="00E56E21" w:rsidR="00E56E21" w:rsidP="00E56E21" w:rsidRDefault="00E56E21" w14:paraId="34C1A56E" w14:textId="77777777">
      <w:pPr>
        <w:pStyle w:val="EndNoteBibliography"/>
        <w:ind w:left="720" w:hanging="720"/>
        <w:rPr>
          <w:noProof/>
        </w:rPr>
      </w:pPr>
      <w:r w:rsidRPr="00E56E21">
        <w:rPr>
          <w:noProof/>
        </w:rPr>
        <w:t xml:space="preserve">Rorty, R. (2021). </w:t>
      </w:r>
      <w:r w:rsidRPr="00E56E21">
        <w:rPr>
          <w:i/>
          <w:noProof/>
        </w:rPr>
        <w:t>Pragmatism as anti-authoritarianism</w:t>
      </w:r>
      <w:r w:rsidRPr="00E56E21">
        <w:rPr>
          <w:noProof/>
        </w:rPr>
        <w:t>. Cambridge, MA: Harvard University Press.</w:t>
      </w:r>
    </w:p>
    <w:p w:rsidRPr="00E56E21" w:rsidR="00E56E21" w:rsidP="00E56E21" w:rsidRDefault="00E56E21" w14:paraId="75786B60" w14:textId="77777777">
      <w:pPr>
        <w:pStyle w:val="EndNoteBibliography"/>
        <w:ind w:left="720" w:hanging="720"/>
        <w:rPr>
          <w:noProof/>
        </w:rPr>
      </w:pPr>
      <w:r w:rsidRPr="00E56E21">
        <w:rPr>
          <w:noProof/>
        </w:rPr>
        <w:t xml:space="preserve">Wenman, M. (2013). </w:t>
      </w:r>
      <w:r w:rsidRPr="00E56E21">
        <w:rPr>
          <w:i/>
          <w:noProof/>
        </w:rPr>
        <w:t>Agonistic democracy: Constituent power in the era of globalisation</w:t>
      </w:r>
      <w:r w:rsidRPr="00E56E21">
        <w:rPr>
          <w:noProof/>
        </w:rPr>
        <w:t>. Cambridge: Cambridge University Press.</w:t>
      </w:r>
    </w:p>
    <w:p w:rsidRPr="001C4D66" w:rsidR="001C4D66" w:rsidRDefault="00872330" w14:paraId="73B33416" w14:textId="4D3E98CA">
      <w:pPr>
        <w:rPr>
          <w:lang w:val="en-US"/>
        </w:rPr>
      </w:pPr>
      <w:r>
        <w:rPr>
          <w:lang w:val="en-US"/>
        </w:rPr>
        <w:lastRenderedPageBreak/>
        <w:fldChar w:fldCharType="end"/>
      </w:r>
    </w:p>
    <w:sectPr w:rsidRPr="001C4D66" w:rsidR="001C4D66" w:rsidSect="008479DC">
      <w:pgSz w:w="11900" w:h="16840" w:orient="portrait"/>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418B9" w16cex:dateUtc="2022-01-21T11:24:37.893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t99sxfmv9wepewxxmxwzaq00ptezpztxs2&quot;&gt;Matthew-library Copy&lt;record-ids&gt;&lt;item&gt;4499&lt;/item&gt;&lt;item&gt;4504&lt;/item&gt;&lt;item&gt;4518&lt;/item&gt;&lt;item&gt;5124&lt;/item&gt;&lt;item&gt;5154&lt;/item&gt;&lt;/record-ids&gt;&lt;/item&gt;&lt;/Libraries&gt;"/>
  </w:docVars>
  <w:rsids>
    <w:rsidRoot w:val="001C4D66"/>
    <w:rsid w:val="001C4D66"/>
    <w:rsid w:val="00247A0D"/>
    <w:rsid w:val="002C5FFB"/>
    <w:rsid w:val="002E3AAB"/>
    <w:rsid w:val="0040031D"/>
    <w:rsid w:val="006F3434"/>
    <w:rsid w:val="00820680"/>
    <w:rsid w:val="008479DC"/>
    <w:rsid w:val="00872330"/>
    <w:rsid w:val="008D566C"/>
    <w:rsid w:val="008F2CF0"/>
    <w:rsid w:val="00964A02"/>
    <w:rsid w:val="00B071EA"/>
    <w:rsid w:val="00B2636A"/>
    <w:rsid w:val="00B834C6"/>
    <w:rsid w:val="00C651C9"/>
    <w:rsid w:val="00CB338E"/>
    <w:rsid w:val="00CB6658"/>
    <w:rsid w:val="00D84E08"/>
    <w:rsid w:val="00DE393D"/>
    <w:rsid w:val="00E354BC"/>
    <w:rsid w:val="00E56E21"/>
    <w:rsid w:val="00EA3CBE"/>
    <w:rsid w:val="00F30DCD"/>
    <w:rsid w:val="04B273D7"/>
    <w:rsid w:val="0D12E065"/>
    <w:rsid w:val="0E7F6D65"/>
    <w:rsid w:val="167331AA"/>
    <w:rsid w:val="202DCA89"/>
    <w:rsid w:val="29FD3651"/>
    <w:rsid w:val="2C6BB3C2"/>
    <w:rsid w:val="2D34D713"/>
    <w:rsid w:val="3896EB4B"/>
    <w:rsid w:val="3B794355"/>
    <w:rsid w:val="4399FBCD"/>
    <w:rsid w:val="46BDBC32"/>
    <w:rsid w:val="4B04187B"/>
    <w:rsid w:val="4BA272F6"/>
    <w:rsid w:val="4D245296"/>
    <w:rsid w:val="55B525E8"/>
    <w:rsid w:val="57D8E890"/>
    <w:rsid w:val="5A66B57C"/>
    <w:rsid w:val="61A637CA"/>
    <w:rsid w:val="62B58F60"/>
    <w:rsid w:val="686C7D7F"/>
    <w:rsid w:val="698354D7"/>
    <w:rsid w:val="6B1CE842"/>
    <w:rsid w:val="70FE0EA2"/>
    <w:rsid w:val="7DABB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F2BD"/>
  <w14:defaultImageDpi w14:val="32767"/>
  <w15:chartTrackingRefBased/>
  <w15:docId w15:val="{54D3387E-8F12-EA45-B735-3A8B91CC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BibliographyTitle" w:customStyle="1">
    <w:name w:val="EndNote Bibliography Title"/>
    <w:basedOn w:val="Normal"/>
    <w:link w:val="EndNoteBibliographyTitleChar"/>
    <w:rsid w:val="00872330"/>
    <w:pPr>
      <w:jc w:val="center"/>
    </w:pPr>
    <w:rPr>
      <w:rFonts w:ascii="Calibri" w:hAnsi="Calibri" w:cs="Calibri"/>
      <w:lang w:val="en-US"/>
    </w:rPr>
  </w:style>
  <w:style w:type="character" w:styleId="EndNoteBibliographyTitleChar" w:customStyle="1">
    <w:name w:val="EndNote Bibliography Title Char"/>
    <w:basedOn w:val="DefaultParagraphFont"/>
    <w:link w:val="EndNoteBibliographyTitle"/>
    <w:rsid w:val="00872330"/>
    <w:rPr>
      <w:rFonts w:ascii="Calibri" w:hAnsi="Calibri" w:cs="Calibri"/>
      <w:lang w:val="en-US"/>
    </w:rPr>
  </w:style>
  <w:style w:type="paragraph" w:styleId="EndNoteBibliography" w:customStyle="1">
    <w:name w:val="EndNote Bibliography"/>
    <w:basedOn w:val="Normal"/>
    <w:link w:val="EndNoteBibliographyChar"/>
    <w:rsid w:val="00872330"/>
    <w:rPr>
      <w:rFonts w:ascii="Calibri" w:hAnsi="Calibri" w:cs="Calibri"/>
      <w:lang w:val="en-US"/>
    </w:rPr>
  </w:style>
  <w:style w:type="character" w:styleId="EndNoteBibliographyChar" w:customStyle="1">
    <w:name w:val="EndNote Bibliography Char"/>
    <w:basedOn w:val="DefaultParagraphFont"/>
    <w:link w:val="EndNoteBibliography"/>
    <w:rsid w:val="00872330"/>
    <w:rPr>
      <w:rFonts w:ascii="Calibri" w:hAnsi="Calibri" w:cs="Calibri"/>
      <w:lang w:val="en-US"/>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7A0D"/>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247A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microsoft.com/office/2018/08/relationships/commentsExtensible" Target="commentsExtensible.xml" Id="R9be7ca8e0c5b4cc1"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Ruth Unsworth</lastModifiedBy>
  <revision>5</revision>
  <dcterms:created xsi:type="dcterms:W3CDTF">2022-01-21T11:55:00.0000000Z</dcterms:created>
  <dcterms:modified xsi:type="dcterms:W3CDTF">2022-06-24T09:19:05.1933877Z</dcterms:modified>
</coreProperties>
</file>