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BE1E6" w14:textId="48DC6F54" w:rsidR="009B243E" w:rsidRPr="00C965DD" w:rsidRDefault="00A5017F" w:rsidP="009B243E">
      <w:pPr>
        <w:pStyle w:val="Title"/>
        <w:rPr>
          <w:color w:val="000000" w:themeColor="text1"/>
          <w:sz w:val="44"/>
          <w:szCs w:val="44"/>
        </w:rPr>
      </w:pPr>
      <w:r>
        <w:rPr>
          <w:color w:val="000000" w:themeColor="text1"/>
          <w:sz w:val="44"/>
          <w:szCs w:val="44"/>
        </w:rPr>
        <w:t xml:space="preserve">Working paper: </w:t>
      </w:r>
      <w:r w:rsidR="00CC1CE9" w:rsidRPr="00C965DD">
        <w:rPr>
          <w:color w:val="000000" w:themeColor="text1"/>
          <w:sz w:val="44"/>
          <w:szCs w:val="44"/>
        </w:rPr>
        <w:t xml:space="preserve">Growing crystals in the classroom: </w:t>
      </w:r>
      <w:r w:rsidR="00781F10" w:rsidRPr="00C965DD">
        <w:rPr>
          <w:color w:val="000000" w:themeColor="text1"/>
          <w:sz w:val="44"/>
          <w:szCs w:val="44"/>
        </w:rPr>
        <w:t>R</w:t>
      </w:r>
      <w:r w:rsidR="009B243E" w:rsidRPr="00C965DD">
        <w:rPr>
          <w:color w:val="000000" w:themeColor="text1"/>
          <w:sz w:val="44"/>
          <w:szCs w:val="44"/>
        </w:rPr>
        <w:t xml:space="preserve">eflections on </w:t>
      </w:r>
      <w:r w:rsidR="005E5650" w:rsidRPr="00C965DD">
        <w:rPr>
          <w:color w:val="000000" w:themeColor="text1"/>
          <w:sz w:val="44"/>
          <w:szCs w:val="44"/>
        </w:rPr>
        <w:t>applying critical theory</w:t>
      </w:r>
      <w:r w:rsidR="00781F10" w:rsidRPr="00C965DD">
        <w:rPr>
          <w:color w:val="000000" w:themeColor="text1"/>
          <w:sz w:val="44"/>
          <w:szCs w:val="44"/>
        </w:rPr>
        <w:t>—</w:t>
      </w:r>
      <w:r w:rsidR="009B243E" w:rsidRPr="00C965DD">
        <w:rPr>
          <w:color w:val="000000" w:themeColor="text1"/>
          <w:sz w:val="44"/>
          <w:szCs w:val="44"/>
        </w:rPr>
        <w:t>a</w:t>
      </w:r>
      <w:r w:rsidR="00781F10" w:rsidRPr="00C965DD">
        <w:rPr>
          <w:color w:val="000000" w:themeColor="text1"/>
          <w:sz w:val="44"/>
          <w:szCs w:val="44"/>
        </w:rPr>
        <w:t xml:space="preserve"> </w:t>
      </w:r>
      <w:r w:rsidR="009B243E" w:rsidRPr="00C965DD">
        <w:rPr>
          <w:color w:val="000000" w:themeColor="text1"/>
          <w:sz w:val="44"/>
          <w:szCs w:val="44"/>
        </w:rPr>
        <w:t>negative dialectic approach to enterprise and entrepreneurship education</w:t>
      </w:r>
      <w:r>
        <w:rPr>
          <w:color w:val="000000" w:themeColor="text1"/>
          <w:sz w:val="44"/>
          <w:szCs w:val="44"/>
        </w:rPr>
        <w:t>*</w:t>
      </w:r>
    </w:p>
    <w:p w14:paraId="1E2D2143" w14:textId="6240542A" w:rsidR="009B243E" w:rsidRPr="00C965DD" w:rsidRDefault="009B243E" w:rsidP="009B243E">
      <w:pPr>
        <w:rPr>
          <w:color w:val="000000" w:themeColor="text1"/>
        </w:rPr>
      </w:pPr>
    </w:p>
    <w:p w14:paraId="58E9BCCD" w14:textId="65B70CCD" w:rsidR="00F82BD6" w:rsidRPr="00C965DD" w:rsidRDefault="00F82BD6" w:rsidP="009B243E">
      <w:pPr>
        <w:rPr>
          <w:b/>
          <w:bCs/>
          <w:color w:val="000000" w:themeColor="text1"/>
        </w:rPr>
      </w:pPr>
      <w:r w:rsidRPr="00C965DD">
        <w:rPr>
          <w:b/>
          <w:bCs/>
          <w:color w:val="000000" w:themeColor="text1"/>
        </w:rPr>
        <w:t>David M Atkinson</w:t>
      </w:r>
    </w:p>
    <w:p w14:paraId="428969C5" w14:textId="6F8DAB92" w:rsidR="00D1684D" w:rsidRPr="00C965DD" w:rsidRDefault="00D1684D" w:rsidP="00CF1A47">
      <w:pPr>
        <w:pStyle w:val="Heading1"/>
      </w:pPr>
      <w:r w:rsidRPr="00C965DD">
        <w:t>Abstract</w:t>
      </w:r>
    </w:p>
    <w:p w14:paraId="3BA0AECE" w14:textId="42583E1F" w:rsidR="005C088C" w:rsidRPr="00C965DD" w:rsidRDefault="00D1684D" w:rsidP="00151956">
      <w:pPr>
        <w:spacing w:line="360" w:lineRule="auto"/>
        <w:rPr>
          <w:color w:val="000000" w:themeColor="text1"/>
        </w:rPr>
      </w:pPr>
      <w:r w:rsidRPr="00C965DD">
        <w:rPr>
          <w:color w:val="000000" w:themeColor="text1"/>
        </w:rPr>
        <w:t xml:space="preserve">This </w:t>
      </w:r>
      <w:r w:rsidR="00C965DD">
        <w:rPr>
          <w:color w:val="000000" w:themeColor="text1"/>
        </w:rPr>
        <w:t xml:space="preserve">research </w:t>
      </w:r>
      <w:r w:rsidR="00781F10" w:rsidRPr="00C965DD">
        <w:rPr>
          <w:color w:val="000000" w:themeColor="text1"/>
        </w:rPr>
        <w:t xml:space="preserve">paper </w:t>
      </w:r>
      <w:r w:rsidR="00C356AF" w:rsidRPr="00C965DD">
        <w:rPr>
          <w:color w:val="000000" w:themeColor="text1"/>
        </w:rPr>
        <w:t>reflect</w:t>
      </w:r>
      <w:r w:rsidR="00781F10" w:rsidRPr="00C965DD">
        <w:rPr>
          <w:color w:val="000000" w:themeColor="text1"/>
        </w:rPr>
        <w:t>s on</w:t>
      </w:r>
      <w:r w:rsidR="00C356AF" w:rsidRPr="00C965DD">
        <w:rPr>
          <w:color w:val="000000" w:themeColor="text1"/>
        </w:rPr>
        <w:t xml:space="preserve"> </w:t>
      </w:r>
      <w:r w:rsidR="00781F10" w:rsidRPr="00C965DD">
        <w:rPr>
          <w:color w:val="000000" w:themeColor="text1"/>
        </w:rPr>
        <w:t xml:space="preserve">a critical </w:t>
      </w:r>
      <w:r w:rsidR="00544DB3" w:rsidRPr="00C965DD">
        <w:rPr>
          <w:color w:val="000000" w:themeColor="text1"/>
        </w:rPr>
        <w:t xml:space="preserve">theory </w:t>
      </w:r>
      <w:r w:rsidR="00781F10" w:rsidRPr="00C965DD">
        <w:rPr>
          <w:color w:val="000000" w:themeColor="text1"/>
        </w:rPr>
        <w:t>approach to</w:t>
      </w:r>
      <w:r w:rsidR="00C356AF" w:rsidRPr="00C965DD">
        <w:rPr>
          <w:color w:val="000000" w:themeColor="text1"/>
        </w:rPr>
        <w:t xml:space="preserve"> practice</w:t>
      </w:r>
      <w:r w:rsidR="008F2E4B" w:rsidRPr="00C965DD">
        <w:rPr>
          <w:color w:val="000000" w:themeColor="text1"/>
        </w:rPr>
        <w:t>—</w:t>
      </w:r>
      <w:r w:rsidR="00C356AF" w:rsidRPr="00C965DD">
        <w:rPr>
          <w:color w:val="000000" w:themeColor="text1"/>
        </w:rPr>
        <w:t>a</w:t>
      </w:r>
      <w:r w:rsidR="008F2E4B" w:rsidRPr="00C965DD">
        <w:rPr>
          <w:color w:val="000000" w:themeColor="text1"/>
        </w:rPr>
        <w:t xml:space="preserve"> </w:t>
      </w:r>
      <w:r w:rsidR="00C356AF" w:rsidRPr="00C965DD">
        <w:rPr>
          <w:color w:val="000000" w:themeColor="text1"/>
        </w:rPr>
        <w:t xml:space="preserve">heterodox </w:t>
      </w:r>
      <w:r w:rsidR="008F2E4B" w:rsidRPr="00C965DD">
        <w:rPr>
          <w:color w:val="000000" w:themeColor="text1"/>
        </w:rPr>
        <w:t>application of</w:t>
      </w:r>
      <w:r w:rsidR="00C356AF" w:rsidRPr="00C965DD">
        <w:rPr>
          <w:color w:val="000000" w:themeColor="text1"/>
        </w:rPr>
        <w:t xml:space="preserve"> enterprise </w:t>
      </w:r>
      <w:r w:rsidR="00AF45B9" w:rsidRPr="00C965DD">
        <w:rPr>
          <w:color w:val="000000" w:themeColor="text1"/>
        </w:rPr>
        <w:t xml:space="preserve">and entrepreneurship </w:t>
      </w:r>
      <w:r w:rsidR="00C356AF" w:rsidRPr="00C965DD">
        <w:rPr>
          <w:color w:val="000000" w:themeColor="text1"/>
        </w:rPr>
        <w:t>education</w:t>
      </w:r>
      <w:r w:rsidR="007C1775" w:rsidRPr="00C965DD">
        <w:rPr>
          <w:color w:val="000000" w:themeColor="text1"/>
        </w:rPr>
        <w:t xml:space="preserve"> </w:t>
      </w:r>
      <w:r w:rsidR="008F2E4B" w:rsidRPr="00C965DD">
        <w:rPr>
          <w:color w:val="000000" w:themeColor="text1"/>
        </w:rPr>
        <w:t xml:space="preserve">used </w:t>
      </w:r>
      <w:r w:rsidR="00C356AF" w:rsidRPr="00C965DD">
        <w:rPr>
          <w:color w:val="000000" w:themeColor="text1"/>
        </w:rPr>
        <w:t>in a</w:t>
      </w:r>
      <w:r w:rsidR="00A57CF5" w:rsidRPr="00C965DD">
        <w:rPr>
          <w:color w:val="000000" w:themeColor="text1"/>
        </w:rPr>
        <w:t xml:space="preserve"> </w:t>
      </w:r>
      <w:r w:rsidR="002F307A" w:rsidRPr="00C965DD">
        <w:rPr>
          <w:color w:val="000000" w:themeColor="text1"/>
        </w:rPr>
        <w:t>2</w:t>
      </w:r>
      <w:r w:rsidR="002F307A" w:rsidRPr="00C965DD">
        <w:rPr>
          <w:color w:val="000000" w:themeColor="text1"/>
          <w:vertAlign w:val="superscript"/>
        </w:rPr>
        <w:t>nd</w:t>
      </w:r>
      <w:r w:rsidR="002F307A" w:rsidRPr="00C965DD">
        <w:rPr>
          <w:color w:val="000000" w:themeColor="text1"/>
        </w:rPr>
        <w:t xml:space="preserve"> year undergraduate module in </w:t>
      </w:r>
      <w:r w:rsidR="00A57CF5" w:rsidRPr="00C965DD">
        <w:rPr>
          <w:color w:val="000000" w:themeColor="text1"/>
        </w:rPr>
        <w:t>2022</w:t>
      </w:r>
      <w:r w:rsidR="002F307A" w:rsidRPr="00C965DD">
        <w:rPr>
          <w:color w:val="000000" w:themeColor="text1"/>
        </w:rPr>
        <w:t>, in a</w:t>
      </w:r>
      <w:r w:rsidR="00C356AF" w:rsidRPr="00C965DD">
        <w:rPr>
          <w:color w:val="000000" w:themeColor="text1"/>
        </w:rPr>
        <w:t xml:space="preserve"> UK </w:t>
      </w:r>
      <w:r w:rsidR="00A57CF5" w:rsidRPr="00C965DD">
        <w:rPr>
          <w:color w:val="000000" w:themeColor="text1"/>
        </w:rPr>
        <w:t>business school</w:t>
      </w:r>
      <w:r w:rsidR="00C356AF" w:rsidRPr="00C965DD">
        <w:rPr>
          <w:color w:val="000000" w:themeColor="text1"/>
        </w:rPr>
        <w:t>. The</w:t>
      </w:r>
      <w:r w:rsidR="009B243E" w:rsidRPr="00C965DD">
        <w:rPr>
          <w:color w:val="000000" w:themeColor="text1"/>
        </w:rPr>
        <w:t xml:space="preserve"> </w:t>
      </w:r>
      <w:r w:rsidR="00A57CF5" w:rsidRPr="00C965DD">
        <w:rPr>
          <w:color w:val="000000" w:themeColor="text1"/>
        </w:rPr>
        <w:t xml:space="preserve">module </w:t>
      </w:r>
      <w:r w:rsidR="00C356AF" w:rsidRPr="00C965DD">
        <w:rPr>
          <w:color w:val="000000" w:themeColor="text1"/>
        </w:rPr>
        <w:t>titl</w:t>
      </w:r>
      <w:r w:rsidR="00A57CF5" w:rsidRPr="00C965DD">
        <w:rPr>
          <w:color w:val="000000" w:themeColor="text1"/>
        </w:rPr>
        <w:t>e</w:t>
      </w:r>
      <w:proofErr w:type="gramStart"/>
      <w:r w:rsidR="00883DCC" w:rsidRPr="00C965DD">
        <w:rPr>
          <w:color w:val="000000" w:themeColor="text1"/>
        </w:rPr>
        <w:t>—</w:t>
      </w:r>
      <w:r w:rsidR="00C356AF" w:rsidRPr="00C965DD">
        <w:rPr>
          <w:color w:val="000000" w:themeColor="text1"/>
        </w:rPr>
        <w:t>“</w:t>
      </w:r>
      <w:proofErr w:type="gramEnd"/>
      <w:r w:rsidR="00C356AF" w:rsidRPr="00C965DD">
        <w:rPr>
          <w:color w:val="000000" w:themeColor="text1"/>
        </w:rPr>
        <w:t>Business</w:t>
      </w:r>
      <w:r w:rsidR="00883DCC" w:rsidRPr="00C965DD">
        <w:rPr>
          <w:color w:val="000000" w:themeColor="text1"/>
        </w:rPr>
        <w:t xml:space="preserve"> </w:t>
      </w:r>
      <w:r w:rsidR="00C356AF" w:rsidRPr="00C965DD">
        <w:rPr>
          <w:color w:val="000000" w:themeColor="text1"/>
        </w:rPr>
        <w:t>, Creativity and Opportunism for the Workplace</w:t>
      </w:r>
      <w:r w:rsidR="004D4483" w:rsidRPr="00C965DD">
        <w:rPr>
          <w:color w:val="000000" w:themeColor="text1"/>
        </w:rPr>
        <w:t xml:space="preserve"> of Today</w:t>
      </w:r>
      <w:r w:rsidR="00C356AF" w:rsidRPr="00C965DD">
        <w:rPr>
          <w:color w:val="000000" w:themeColor="text1"/>
        </w:rPr>
        <w:t>”</w:t>
      </w:r>
      <w:r w:rsidR="00883DCC" w:rsidRPr="00C965DD">
        <w:rPr>
          <w:color w:val="000000" w:themeColor="text1"/>
        </w:rPr>
        <w:t>—</w:t>
      </w:r>
      <w:r w:rsidR="00C356AF" w:rsidRPr="00C965DD">
        <w:rPr>
          <w:color w:val="000000" w:themeColor="text1"/>
        </w:rPr>
        <w:t>learning</w:t>
      </w:r>
      <w:r w:rsidR="00883DCC" w:rsidRPr="00C965DD">
        <w:rPr>
          <w:color w:val="000000" w:themeColor="text1"/>
        </w:rPr>
        <w:t xml:space="preserve"> </w:t>
      </w:r>
      <w:r w:rsidR="00C356AF" w:rsidRPr="00C965DD">
        <w:rPr>
          <w:color w:val="000000" w:themeColor="text1"/>
        </w:rPr>
        <w:t>objectives</w:t>
      </w:r>
      <w:r w:rsidR="00812E51" w:rsidRPr="00C965DD">
        <w:rPr>
          <w:color w:val="000000" w:themeColor="text1"/>
        </w:rPr>
        <w:t>,</w:t>
      </w:r>
      <w:r w:rsidR="00C356AF" w:rsidRPr="00C965DD">
        <w:rPr>
          <w:color w:val="000000" w:themeColor="text1"/>
        </w:rPr>
        <w:t xml:space="preserve"> and assessment method</w:t>
      </w:r>
      <w:r w:rsidR="002C0F1D" w:rsidRPr="00C965DD">
        <w:rPr>
          <w:color w:val="000000" w:themeColor="text1"/>
        </w:rPr>
        <w:t>s</w:t>
      </w:r>
      <w:r w:rsidR="00C356AF" w:rsidRPr="00C965DD">
        <w:rPr>
          <w:color w:val="000000" w:themeColor="text1"/>
        </w:rPr>
        <w:t xml:space="preserve"> </w:t>
      </w:r>
      <w:r w:rsidR="007C1775" w:rsidRPr="00C965DD">
        <w:rPr>
          <w:color w:val="000000" w:themeColor="text1"/>
        </w:rPr>
        <w:t>were</w:t>
      </w:r>
      <w:r w:rsidR="00C356AF" w:rsidRPr="00C965DD">
        <w:rPr>
          <w:color w:val="000000" w:themeColor="text1"/>
        </w:rPr>
        <w:t xml:space="preserve"> specified. However, the module design and delivery wer</w:t>
      </w:r>
      <w:r w:rsidR="00AF45B9" w:rsidRPr="00C965DD">
        <w:rPr>
          <w:color w:val="000000" w:themeColor="text1"/>
        </w:rPr>
        <w:t>e</w:t>
      </w:r>
      <w:r w:rsidR="00C356AF" w:rsidRPr="00C965DD">
        <w:rPr>
          <w:color w:val="000000" w:themeColor="text1"/>
        </w:rPr>
        <w:t xml:space="preserve"> </w:t>
      </w:r>
      <w:r w:rsidR="006B0118" w:rsidRPr="00C965DD">
        <w:rPr>
          <w:color w:val="000000" w:themeColor="text1"/>
        </w:rPr>
        <w:t xml:space="preserve">based on </w:t>
      </w:r>
      <w:r w:rsidR="009B243E" w:rsidRPr="00C965DD">
        <w:rPr>
          <w:color w:val="000000" w:themeColor="text1"/>
        </w:rPr>
        <w:t xml:space="preserve">a heterodox </w:t>
      </w:r>
      <w:r w:rsidR="007C1775" w:rsidRPr="00C965DD">
        <w:rPr>
          <w:color w:val="000000" w:themeColor="text1"/>
        </w:rPr>
        <w:t xml:space="preserve">critical </w:t>
      </w:r>
      <w:r w:rsidR="006B0118" w:rsidRPr="00C965DD">
        <w:rPr>
          <w:color w:val="000000" w:themeColor="text1"/>
        </w:rPr>
        <w:t>theory of artistic practice and</w:t>
      </w:r>
      <w:r w:rsidR="009B243E" w:rsidRPr="00C965DD">
        <w:rPr>
          <w:color w:val="000000" w:themeColor="text1"/>
        </w:rPr>
        <w:t xml:space="preserve"> the author’s</w:t>
      </w:r>
      <w:r w:rsidR="006B0118" w:rsidRPr="00C965DD">
        <w:rPr>
          <w:color w:val="000000" w:themeColor="text1"/>
        </w:rPr>
        <w:t xml:space="preserve"> significant practic</w:t>
      </w:r>
      <w:r w:rsidR="0011081D" w:rsidRPr="00C965DD">
        <w:rPr>
          <w:color w:val="000000" w:themeColor="text1"/>
        </w:rPr>
        <w:t>al</w:t>
      </w:r>
      <w:r w:rsidR="006B0118" w:rsidRPr="00C965DD">
        <w:rPr>
          <w:color w:val="000000" w:themeColor="text1"/>
        </w:rPr>
        <w:t xml:space="preserve"> </w:t>
      </w:r>
      <w:r w:rsidR="0011081D" w:rsidRPr="00C965DD">
        <w:rPr>
          <w:color w:val="000000" w:themeColor="text1"/>
        </w:rPr>
        <w:t xml:space="preserve">experience </w:t>
      </w:r>
      <w:r w:rsidR="006B0118" w:rsidRPr="00C965DD">
        <w:rPr>
          <w:color w:val="000000" w:themeColor="text1"/>
        </w:rPr>
        <w:t xml:space="preserve">of enterprise and entrepreneurship. </w:t>
      </w:r>
      <w:r w:rsidRPr="00C965DD">
        <w:rPr>
          <w:color w:val="000000" w:themeColor="text1"/>
        </w:rPr>
        <w:t xml:space="preserve">While meeting </w:t>
      </w:r>
      <w:r w:rsidR="006B0118" w:rsidRPr="00C965DD">
        <w:rPr>
          <w:color w:val="000000" w:themeColor="text1"/>
        </w:rPr>
        <w:t xml:space="preserve">the </w:t>
      </w:r>
      <w:r w:rsidRPr="00C965DD">
        <w:rPr>
          <w:color w:val="000000" w:themeColor="text1"/>
        </w:rPr>
        <w:t xml:space="preserve">specified </w:t>
      </w:r>
      <w:r w:rsidR="006B0118" w:rsidRPr="00C965DD">
        <w:rPr>
          <w:color w:val="000000" w:themeColor="text1"/>
        </w:rPr>
        <w:t xml:space="preserve">objectives, </w:t>
      </w:r>
      <w:r w:rsidRPr="00C965DD">
        <w:rPr>
          <w:color w:val="000000" w:themeColor="text1"/>
        </w:rPr>
        <w:t xml:space="preserve">the content </w:t>
      </w:r>
      <w:r w:rsidR="006B0118" w:rsidRPr="00C965DD">
        <w:rPr>
          <w:color w:val="000000" w:themeColor="text1"/>
        </w:rPr>
        <w:t>w</w:t>
      </w:r>
      <w:r w:rsidRPr="00C965DD">
        <w:rPr>
          <w:color w:val="000000" w:themeColor="text1"/>
        </w:rPr>
        <w:t>as grounded in a non-normative ontology of Socially Negotiated Alternativism and influenced by a methodology of Applied Negative Dialectics. Here, the concept being taught</w:t>
      </w:r>
      <w:r w:rsidR="006B0118" w:rsidRPr="00C965DD">
        <w:rPr>
          <w:color w:val="000000" w:themeColor="text1"/>
        </w:rPr>
        <w:t xml:space="preserve"> (entrepreneurship)</w:t>
      </w:r>
      <w:r w:rsidRPr="00C965DD">
        <w:rPr>
          <w:color w:val="000000" w:themeColor="text1"/>
        </w:rPr>
        <w:t xml:space="preserve"> i</w:t>
      </w:r>
      <w:r w:rsidR="00883DCC" w:rsidRPr="00C965DD">
        <w:rPr>
          <w:color w:val="000000" w:themeColor="text1"/>
        </w:rPr>
        <w:t>s</w:t>
      </w:r>
      <w:r w:rsidRPr="00C965DD">
        <w:rPr>
          <w:color w:val="000000" w:themeColor="text1"/>
        </w:rPr>
        <w:t xml:space="preserve"> re-presented as an emergent non-concept, through a learning focus on its </w:t>
      </w:r>
      <w:r w:rsidR="006B0118" w:rsidRPr="00C965DD">
        <w:rPr>
          <w:color w:val="000000" w:themeColor="text1"/>
        </w:rPr>
        <w:t xml:space="preserve">(enterprising) </w:t>
      </w:r>
      <w:r w:rsidRPr="00C965DD">
        <w:rPr>
          <w:color w:val="000000" w:themeColor="text1"/>
        </w:rPr>
        <w:t>conditions of emergence</w:t>
      </w:r>
      <w:r w:rsidR="0011081D" w:rsidRPr="00C965DD">
        <w:rPr>
          <w:color w:val="000000" w:themeColor="text1"/>
        </w:rPr>
        <w:t xml:space="preserve"> (vision, creativity and enterprising skills)</w:t>
      </w:r>
      <w:r w:rsidRPr="00C965DD">
        <w:rPr>
          <w:color w:val="000000" w:themeColor="text1"/>
        </w:rPr>
        <w:t>.</w:t>
      </w:r>
      <w:r w:rsidR="006B0118" w:rsidRPr="00C965DD">
        <w:rPr>
          <w:color w:val="000000" w:themeColor="text1"/>
        </w:rPr>
        <w:t xml:space="preserve"> </w:t>
      </w:r>
      <w:r w:rsidR="00683A23" w:rsidRPr="00C965DD">
        <w:rPr>
          <w:color w:val="000000" w:themeColor="text1"/>
        </w:rPr>
        <w:t>D</w:t>
      </w:r>
      <w:r w:rsidR="006B0118" w:rsidRPr="00C965DD">
        <w:rPr>
          <w:color w:val="000000" w:themeColor="text1"/>
        </w:rPr>
        <w:t xml:space="preserve">ata </w:t>
      </w:r>
      <w:r w:rsidR="00683A23" w:rsidRPr="00C965DD">
        <w:rPr>
          <w:color w:val="000000" w:themeColor="text1"/>
        </w:rPr>
        <w:t xml:space="preserve">from </w:t>
      </w:r>
      <w:r w:rsidR="006B0118" w:rsidRPr="00C965DD">
        <w:rPr>
          <w:color w:val="000000" w:themeColor="text1"/>
        </w:rPr>
        <w:t>anonymous feedback</w:t>
      </w:r>
      <w:r w:rsidR="00776242" w:rsidRPr="00C965DD">
        <w:rPr>
          <w:color w:val="000000" w:themeColor="text1"/>
        </w:rPr>
        <w:t>,</w:t>
      </w:r>
      <w:r w:rsidR="006B0118" w:rsidRPr="00C965DD">
        <w:rPr>
          <w:color w:val="000000" w:themeColor="text1"/>
        </w:rPr>
        <w:t xml:space="preserve"> responses to </w:t>
      </w:r>
      <w:r w:rsidR="00320811" w:rsidRPr="00C965DD">
        <w:rPr>
          <w:color w:val="000000" w:themeColor="text1"/>
        </w:rPr>
        <w:t xml:space="preserve">seminar </w:t>
      </w:r>
      <w:r w:rsidR="00683A23" w:rsidRPr="00C965DD">
        <w:rPr>
          <w:color w:val="000000" w:themeColor="text1"/>
        </w:rPr>
        <w:t>questionnaires</w:t>
      </w:r>
      <w:r w:rsidR="006B0118" w:rsidRPr="00C965DD">
        <w:rPr>
          <w:color w:val="000000" w:themeColor="text1"/>
        </w:rPr>
        <w:t>,</w:t>
      </w:r>
      <w:r w:rsidR="00776242" w:rsidRPr="00C965DD">
        <w:rPr>
          <w:color w:val="000000" w:themeColor="text1"/>
        </w:rPr>
        <w:t xml:space="preserve"> </w:t>
      </w:r>
      <w:r w:rsidR="0077218D" w:rsidRPr="00C965DD">
        <w:rPr>
          <w:color w:val="000000" w:themeColor="text1"/>
        </w:rPr>
        <w:t xml:space="preserve">module outcomes </w:t>
      </w:r>
      <w:r w:rsidR="00776242" w:rsidRPr="00C965DD">
        <w:rPr>
          <w:color w:val="000000" w:themeColor="text1"/>
        </w:rPr>
        <w:t>and the (assessed) personal reflections of students,</w:t>
      </w:r>
      <w:r w:rsidR="006B0118" w:rsidRPr="00C965DD">
        <w:rPr>
          <w:color w:val="000000" w:themeColor="text1"/>
        </w:rPr>
        <w:t xml:space="preserve"> </w:t>
      </w:r>
      <w:r w:rsidR="00320811" w:rsidRPr="00C965DD">
        <w:rPr>
          <w:color w:val="000000" w:themeColor="text1"/>
        </w:rPr>
        <w:t xml:space="preserve">suggests </w:t>
      </w:r>
      <w:r w:rsidR="00683A23" w:rsidRPr="00C965DD">
        <w:rPr>
          <w:color w:val="000000" w:themeColor="text1"/>
        </w:rPr>
        <w:t xml:space="preserve">the approach </w:t>
      </w:r>
      <w:r w:rsidR="00776242" w:rsidRPr="00C965DD">
        <w:rPr>
          <w:color w:val="000000" w:themeColor="text1"/>
        </w:rPr>
        <w:t xml:space="preserve">merits </w:t>
      </w:r>
      <w:r w:rsidR="00600D18" w:rsidRPr="00C965DD">
        <w:rPr>
          <w:color w:val="000000" w:themeColor="text1"/>
        </w:rPr>
        <w:t>further</w:t>
      </w:r>
      <w:r w:rsidR="00C965DD">
        <w:rPr>
          <w:color w:val="000000" w:themeColor="text1"/>
        </w:rPr>
        <w:t>,</w:t>
      </w:r>
      <w:r w:rsidR="00600D18" w:rsidRPr="00C965DD">
        <w:rPr>
          <w:color w:val="000000" w:themeColor="text1"/>
        </w:rPr>
        <w:t xml:space="preserve"> </w:t>
      </w:r>
      <w:r w:rsidR="00776242" w:rsidRPr="00C965DD">
        <w:rPr>
          <w:color w:val="000000" w:themeColor="text1"/>
        </w:rPr>
        <w:t>critical</w:t>
      </w:r>
      <w:r w:rsidR="00600D18" w:rsidRPr="00C965DD">
        <w:rPr>
          <w:color w:val="000000" w:themeColor="text1"/>
        </w:rPr>
        <w:t>ly exacting</w:t>
      </w:r>
      <w:r w:rsidR="00776242" w:rsidRPr="00C965DD">
        <w:rPr>
          <w:color w:val="000000" w:themeColor="text1"/>
        </w:rPr>
        <w:t xml:space="preserve"> reflection </w:t>
      </w:r>
      <w:r w:rsidR="00600D18" w:rsidRPr="00C965DD">
        <w:rPr>
          <w:color w:val="000000" w:themeColor="text1"/>
        </w:rPr>
        <w:t>on</w:t>
      </w:r>
      <w:r w:rsidR="00776242" w:rsidRPr="00C965DD">
        <w:rPr>
          <w:color w:val="000000" w:themeColor="text1"/>
        </w:rPr>
        <w:t xml:space="preserve"> its </w:t>
      </w:r>
      <w:r w:rsidR="00AF45B9" w:rsidRPr="00C965DD">
        <w:rPr>
          <w:color w:val="000000" w:themeColor="text1"/>
        </w:rPr>
        <w:t xml:space="preserve">potential to </w:t>
      </w:r>
      <w:r w:rsidR="00151956" w:rsidRPr="00C965DD">
        <w:rPr>
          <w:color w:val="000000" w:themeColor="text1"/>
        </w:rPr>
        <w:t>im</w:t>
      </w:r>
      <w:r w:rsidR="00776242" w:rsidRPr="00C965DD">
        <w:rPr>
          <w:color w:val="000000" w:themeColor="text1"/>
        </w:rPr>
        <w:t>pact future</w:t>
      </w:r>
      <w:r w:rsidR="00AF45B9" w:rsidRPr="00C965DD">
        <w:rPr>
          <w:color w:val="000000" w:themeColor="text1"/>
        </w:rPr>
        <w:t xml:space="preserve"> enterprise and entrepreneurship education</w:t>
      </w:r>
      <w:r w:rsidR="00320811" w:rsidRPr="00C965DD">
        <w:rPr>
          <w:color w:val="000000" w:themeColor="text1"/>
        </w:rPr>
        <w:t>.</w:t>
      </w:r>
      <w:r w:rsidR="00683A23" w:rsidRPr="00C965DD">
        <w:rPr>
          <w:color w:val="000000" w:themeColor="text1"/>
        </w:rPr>
        <w:t xml:space="preserve"> </w:t>
      </w:r>
      <w:r w:rsidR="002F307A" w:rsidRPr="00C965DD">
        <w:rPr>
          <w:color w:val="000000" w:themeColor="text1"/>
        </w:rPr>
        <w:t>With a focus on students who are not predisposed to study entrepreneurship, t</w:t>
      </w:r>
      <w:r w:rsidR="00123762" w:rsidRPr="00C965DD">
        <w:rPr>
          <w:color w:val="000000" w:themeColor="text1"/>
        </w:rPr>
        <w:t xml:space="preserve">he conclusions </w:t>
      </w:r>
      <w:r w:rsidR="00600D18" w:rsidRPr="00C965DD">
        <w:rPr>
          <w:color w:val="000000" w:themeColor="text1"/>
        </w:rPr>
        <w:t>hold</w:t>
      </w:r>
      <w:r w:rsidR="00123762" w:rsidRPr="00C965DD">
        <w:rPr>
          <w:color w:val="000000" w:themeColor="text1"/>
        </w:rPr>
        <w:t xml:space="preserve"> </w:t>
      </w:r>
      <w:r w:rsidR="00600D18" w:rsidRPr="00C965DD">
        <w:rPr>
          <w:color w:val="000000" w:themeColor="text1"/>
        </w:rPr>
        <w:t xml:space="preserve">profound </w:t>
      </w:r>
      <w:r w:rsidR="00123762" w:rsidRPr="00C965DD">
        <w:rPr>
          <w:color w:val="000000" w:themeColor="text1"/>
        </w:rPr>
        <w:t xml:space="preserve">implications for how difficult-to-define </w:t>
      </w:r>
      <w:r w:rsidR="00AF4EE9" w:rsidRPr="00C965DD">
        <w:rPr>
          <w:color w:val="000000" w:themeColor="text1"/>
        </w:rPr>
        <w:t xml:space="preserve">career </w:t>
      </w:r>
      <w:r w:rsidR="00123762" w:rsidRPr="00C965DD">
        <w:rPr>
          <w:color w:val="000000" w:themeColor="text1"/>
        </w:rPr>
        <w:t>concepts might</w:t>
      </w:r>
      <w:r w:rsidR="0077218D" w:rsidRPr="00C965DD">
        <w:rPr>
          <w:color w:val="000000" w:themeColor="text1"/>
        </w:rPr>
        <w:t xml:space="preserve"> </w:t>
      </w:r>
      <w:r w:rsidR="00123762" w:rsidRPr="00C965DD">
        <w:rPr>
          <w:color w:val="000000" w:themeColor="text1"/>
        </w:rPr>
        <w:t>be</w:t>
      </w:r>
      <w:r w:rsidR="00600D18" w:rsidRPr="00C965DD">
        <w:rPr>
          <w:color w:val="000000" w:themeColor="text1"/>
        </w:rPr>
        <w:t xml:space="preserve"> </w:t>
      </w:r>
      <w:r w:rsidR="0077218D" w:rsidRPr="00C965DD">
        <w:rPr>
          <w:color w:val="000000" w:themeColor="text1"/>
        </w:rPr>
        <w:t>approached</w:t>
      </w:r>
      <w:r w:rsidR="00123762" w:rsidRPr="00C965DD">
        <w:rPr>
          <w:color w:val="000000" w:themeColor="text1"/>
        </w:rPr>
        <w:t xml:space="preserve"> in </w:t>
      </w:r>
      <w:r w:rsidR="0077218D" w:rsidRPr="00C965DD">
        <w:rPr>
          <w:color w:val="000000" w:themeColor="text1"/>
        </w:rPr>
        <w:t>future 21</w:t>
      </w:r>
      <w:r w:rsidR="0077218D" w:rsidRPr="00C965DD">
        <w:rPr>
          <w:color w:val="000000" w:themeColor="text1"/>
          <w:vertAlign w:val="superscript"/>
        </w:rPr>
        <w:t>st</w:t>
      </w:r>
      <w:r w:rsidR="0077218D" w:rsidRPr="00C965DD">
        <w:rPr>
          <w:color w:val="000000" w:themeColor="text1"/>
        </w:rPr>
        <w:t xml:space="preserve"> century </w:t>
      </w:r>
      <w:r w:rsidR="00123762" w:rsidRPr="00C965DD">
        <w:rPr>
          <w:color w:val="000000" w:themeColor="text1"/>
        </w:rPr>
        <w:t>higher education context</w:t>
      </w:r>
      <w:r w:rsidR="0077218D" w:rsidRPr="00C965DD">
        <w:rPr>
          <w:color w:val="000000" w:themeColor="text1"/>
        </w:rPr>
        <w:t>s</w:t>
      </w:r>
      <w:r w:rsidR="00123762" w:rsidRPr="00C965DD">
        <w:rPr>
          <w:color w:val="000000" w:themeColor="text1"/>
        </w:rPr>
        <w:t>.</w:t>
      </w:r>
    </w:p>
    <w:p w14:paraId="4A232A9B" w14:textId="77777777" w:rsidR="003C2B44" w:rsidRPr="00C965DD" w:rsidRDefault="003C2B44" w:rsidP="00284A75">
      <w:pPr>
        <w:rPr>
          <w:color w:val="000000" w:themeColor="text1"/>
        </w:rPr>
      </w:pPr>
    </w:p>
    <w:p w14:paraId="73F8B294" w14:textId="119632AF" w:rsidR="00284A75" w:rsidRPr="00C965DD" w:rsidRDefault="00284A75" w:rsidP="00284A75">
      <w:pPr>
        <w:rPr>
          <w:color w:val="000000" w:themeColor="text1"/>
        </w:rPr>
      </w:pPr>
      <w:r w:rsidRPr="00C965DD">
        <w:rPr>
          <w:color w:val="000000" w:themeColor="text1"/>
        </w:rPr>
        <w:t>Keywords:</w:t>
      </w:r>
    </w:p>
    <w:p w14:paraId="04AAE3C9" w14:textId="4BA7BEC9" w:rsidR="00287370" w:rsidRDefault="00284A75" w:rsidP="00544DB3">
      <w:pPr>
        <w:jc w:val="left"/>
        <w:rPr>
          <w:color w:val="000000" w:themeColor="text1"/>
        </w:rPr>
      </w:pPr>
      <w:r w:rsidRPr="00C965DD">
        <w:rPr>
          <w:color w:val="000000" w:themeColor="text1"/>
        </w:rPr>
        <w:t xml:space="preserve">Enterprise education, entrepreneurship education, enterprise pedagogy, higher education, </w:t>
      </w:r>
      <w:r w:rsidR="007158C6" w:rsidRPr="00C965DD">
        <w:rPr>
          <w:color w:val="000000" w:themeColor="text1"/>
        </w:rPr>
        <w:t xml:space="preserve">career indecision, </w:t>
      </w:r>
      <w:r w:rsidR="007C1775" w:rsidRPr="00C965DD">
        <w:rPr>
          <w:color w:val="000000" w:themeColor="text1"/>
        </w:rPr>
        <w:t>critical theory</w:t>
      </w:r>
    </w:p>
    <w:p w14:paraId="5FE50802" w14:textId="654F3992" w:rsidR="00A5017F" w:rsidRPr="00A5017F" w:rsidRDefault="00A5017F" w:rsidP="00A5017F">
      <w:pPr>
        <w:spacing w:line="240" w:lineRule="auto"/>
        <w:jc w:val="left"/>
        <w:rPr>
          <w:color w:val="000000" w:themeColor="text1"/>
        </w:rPr>
      </w:pPr>
      <w:r>
        <w:rPr>
          <w:color w:val="000000" w:themeColor="text1"/>
        </w:rPr>
        <w:t>*A version of this working paper was presented at the</w:t>
      </w:r>
      <w:r w:rsidRPr="00C965DD">
        <w:rPr>
          <w:color w:val="000000" w:themeColor="text1"/>
        </w:rPr>
        <w:t xml:space="preserve"> 16th International Entrepreneurship Educators Conference (IEEC)</w:t>
      </w:r>
      <w:r>
        <w:rPr>
          <w:color w:val="000000" w:themeColor="text1"/>
        </w:rPr>
        <w:t>, Swansea, September 2022</w:t>
      </w:r>
    </w:p>
    <w:p w14:paraId="223EB97B" w14:textId="605E591E" w:rsidR="00A75C14" w:rsidRPr="00C965DD" w:rsidRDefault="007C1775" w:rsidP="00A75C14">
      <w:pPr>
        <w:pStyle w:val="Title"/>
        <w:rPr>
          <w:color w:val="000000" w:themeColor="text1"/>
          <w:sz w:val="44"/>
          <w:szCs w:val="44"/>
        </w:rPr>
      </w:pPr>
      <w:r w:rsidRPr="00C965DD">
        <w:rPr>
          <w:color w:val="000000" w:themeColor="text1"/>
          <w:sz w:val="44"/>
          <w:szCs w:val="44"/>
        </w:rPr>
        <w:lastRenderedPageBreak/>
        <w:t xml:space="preserve">Growing crystals in the classroom: Reflections on </w:t>
      </w:r>
      <w:r w:rsidR="005E5650" w:rsidRPr="00C965DD">
        <w:rPr>
          <w:color w:val="000000" w:themeColor="text1"/>
          <w:sz w:val="44"/>
          <w:szCs w:val="44"/>
        </w:rPr>
        <w:t>applying critical theory</w:t>
      </w:r>
      <w:r w:rsidRPr="00C965DD">
        <w:rPr>
          <w:color w:val="000000" w:themeColor="text1"/>
          <w:sz w:val="44"/>
          <w:szCs w:val="44"/>
        </w:rPr>
        <w:t>—a negative dialectic approach to enterprise and entrepreneurship education</w:t>
      </w:r>
    </w:p>
    <w:p w14:paraId="5AA923E5" w14:textId="77777777" w:rsidR="00320811" w:rsidRPr="00C965DD" w:rsidRDefault="00320811" w:rsidP="00320811">
      <w:pPr>
        <w:rPr>
          <w:color w:val="000000" w:themeColor="text1"/>
        </w:rPr>
      </w:pPr>
    </w:p>
    <w:p w14:paraId="325019B7" w14:textId="16B81E45" w:rsidR="00D1684D" w:rsidRPr="00C965DD" w:rsidRDefault="00D1684D" w:rsidP="00CF1A47">
      <w:pPr>
        <w:pStyle w:val="Heading1"/>
      </w:pPr>
      <w:r w:rsidRPr="00C965DD">
        <w:t>Introduction</w:t>
      </w:r>
    </w:p>
    <w:p w14:paraId="6B2C2035" w14:textId="7A96F1B2" w:rsidR="000318C2" w:rsidRPr="00C965DD" w:rsidRDefault="00284A75" w:rsidP="00D1684D">
      <w:pPr>
        <w:rPr>
          <w:color w:val="000000" w:themeColor="text1"/>
        </w:rPr>
      </w:pPr>
      <w:r w:rsidRPr="00C965DD">
        <w:rPr>
          <w:color w:val="000000" w:themeColor="text1"/>
        </w:rPr>
        <w:t>As the 16th International Entrepreneurship Educators Conference</w:t>
      </w:r>
      <w:r w:rsidR="00D13699" w:rsidRPr="00C965DD">
        <w:rPr>
          <w:color w:val="000000" w:themeColor="text1"/>
        </w:rPr>
        <w:t xml:space="preserve"> (IEEC)</w:t>
      </w:r>
      <w:r w:rsidRPr="00C965DD">
        <w:rPr>
          <w:color w:val="000000" w:themeColor="text1"/>
        </w:rPr>
        <w:t xml:space="preserve"> testifies, interest in enterprise and entrepreneurship </w:t>
      </w:r>
      <w:r w:rsidR="0016345D" w:rsidRPr="00C965DD">
        <w:rPr>
          <w:color w:val="000000" w:themeColor="text1"/>
        </w:rPr>
        <w:t xml:space="preserve">(EE) </w:t>
      </w:r>
      <w:r w:rsidRPr="00C965DD">
        <w:rPr>
          <w:color w:val="000000" w:themeColor="text1"/>
        </w:rPr>
        <w:t>education i</w:t>
      </w:r>
      <w:r w:rsidR="0016345D" w:rsidRPr="00C965DD">
        <w:rPr>
          <w:color w:val="000000" w:themeColor="text1"/>
        </w:rPr>
        <w:t>s significant</w:t>
      </w:r>
      <w:r w:rsidR="00880FB9" w:rsidRPr="00C965DD">
        <w:rPr>
          <w:color w:val="000000" w:themeColor="text1"/>
        </w:rPr>
        <w:t xml:space="preserve"> and ongoing</w:t>
      </w:r>
      <w:r w:rsidR="0016345D" w:rsidRPr="00C965DD">
        <w:rPr>
          <w:color w:val="000000" w:themeColor="text1"/>
        </w:rPr>
        <w:t>. However, in the UK at least,</w:t>
      </w:r>
      <w:r w:rsidR="00D1684D" w:rsidRPr="00C965DD">
        <w:rPr>
          <w:color w:val="000000" w:themeColor="text1"/>
        </w:rPr>
        <w:t xml:space="preserve"> </w:t>
      </w:r>
      <w:r w:rsidR="0016345D" w:rsidRPr="00C965DD">
        <w:rPr>
          <w:color w:val="000000" w:themeColor="text1"/>
        </w:rPr>
        <w:t>EE</w:t>
      </w:r>
      <w:r w:rsidR="00D1684D" w:rsidRPr="00C965DD">
        <w:rPr>
          <w:color w:val="000000" w:themeColor="text1"/>
        </w:rPr>
        <w:t xml:space="preserve"> </w:t>
      </w:r>
      <w:r w:rsidR="0016345D" w:rsidRPr="00C965DD">
        <w:rPr>
          <w:color w:val="000000" w:themeColor="text1"/>
        </w:rPr>
        <w:t>is</w:t>
      </w:r>
      <w:r w:rsidR="00D1684D" w:rsidRPr="00C965DD">
        <w:rPr>
          <w:color w:val="000000" w:themeColor="text1"/>
        </w:rPr>
        <w:t xml:space="preserve"> not appealing to most teachers and managers in education. It</w:t>
      </w:r>
      <w:r w:rsidR="00FE7963" w:rsidRPr="00C965DD">
        <w:rPr>
          <w:color w:val="000000" w:themeColor="text1"/>
        </w:rPr>
        <w:t xml:space="preserve"> i</w:t>
      </w:r>
      <w:r w:rsidR="00D1684D" w:rsidRPr="00C965DD">
        <w:rPr>
          <w:color w:val="000000" w:themeColor="text1"/>
        </w:rPr>
        <w:t>s a marginalised ‘academic corner’, where a variety of EE courses and modules are taught, with little integration across subjects</w:t>
      </w:r>
      <w:r w:rsidR="00CC2ED8" w:rsidRPr="00C965DD">
        <w:rPr>
          <w:color w:val="000000" w:themeColor="text1"/>
        </w:rPr>
        <w:t xml:space="preserve"> </w:t>
      </w:r>
      <w:r w:rsidR="00CC2ED8" w:rsidRPr="00C965DD">
        <w:rPr>
          <w:color w:val="000000" w:themeColor="text1"/>
        </w:rPr>
        <w:fldChar w:fldCharType="begin" w:fldLock="1"/>
      </w:r>
      <w:r w:rsidR="00434638" w:rsidRPr="00C965DD">
        <w:rPr>
          <w:color w:val="000000" w:themeColor="text1"/>
        </w:rPr>
        <w:instrText>ADDIN CSL_CITATION {"citationItems":[{"id":"ITEM-1","itemData":{"DOI":"10.4324/9781315518138-12","ISBN":"9781315518121","abstract":"This chapter identifies a key future development opportunity for enterprise education through a critical analysis of the definitional foundations of entrepreneurship. Two previously neglected societal purposes of entrepreneurship are shown capable of making enterprise education more applicable and relevant to educational institutions and educational policymakers. When enterprise educators view their mission as being about developing their students’ competencies - both entrepreneurial and others - through opportunities to create value for others, it represents an altruistic and moral turn in entrepreneurship. This marks a departure from the usual economic policy aligned mission of generating job growth and improved employability. It instead makes enterprise education align well with key educational policy priorities such as student learning, study motivation, perceived relevancy of schooling and the inculcation of democratic and communitarian values in students. Implications include a need to move policy efforts around enterprise education from ministries of trade and business to ministries of education, and a need to shift the debate from what educators can do for budding entrepreneurs to what entrepreneurial graduates can do for society.","author":[{"dropping-particle":"","family":"Lackéus","given":"Martin","non-dropping-particle":"","parse-names":false,"suffix":""}],"container-title":"Enterprising Education in UK Higher Education: Challenges for Theory and Practice","id":"ITEM-1","issued":{"date-parts":[["2018"]]},"page":"199-214","title":"Making enterprise education more relevant through mission creep","type":"article-journal"},"uris":["http://www.mendeley.com/documents/?uuid=4c4b1521-baaf-46e4-9200-5551a06e017a"]}],"mendeley":{"formattedCitation":"(Lackéus, 2018)","plainTextFormattedCitation":"(Lackéus, 2018)","previouslyFormattedCitation":"(Lackéus, 2018)"},"properties":{"noteIndex":0},"schema":"https://github.com/citation-style-language/schema/raw/master/csl-citation.json"}</w:instrText>
      </w:r>
      <w:r w:rsidR="00CC2ED8" w:rsidRPr="00C965DD">
        <w:rPr>
          <w:color w:val="000000" w:themeColor="text1"/>
        </w:rPr>
        <w:fldChar w:fldCharType="separate"/>
      </w:r>
      <w:r w:rsidR="00CC2ED8" w:rsidRPr="00C965DD">
        <w:rPr>
          <w:noProof/>
          <w:color w:val="000000" w:themeColor="text1"/>
        </w:rPr>
        <w:t>(Lackéus, 2018)</w:t>
      </w:r>
      <w:r w:rsidR="00CC2ED8" w:rsidRPr="00C965DD">
        <w:rPr>
          <w:color w:val="000000" w:themeColor="text1"/>
        </w:rPr>
        <w:fldChar w:fldCharType="end"/>
      </w:r>
      <w:r w:rsidR="00CC2ED8" w:rsidRPr="00C965DD">
        <w:rPr>
          <w:color w:val="000000" w:themeColor="text1"/>
        </w:rPr>
        <w:t>.</w:t>
      </w:r>
      <w:r w:rsidR="0016345D" w:rsidRPr="00C965DD">
        <w:rPr>
          <w:color w:val="000000" w:themeColor="text1"/>
        </w:rPr>
        <w:t xml:space="preserve"> In higher education (HE)</w:t>
      </w:r>
      <w:r w:rsidR="00880FB9" w:rsidRPr="00C965DD">
        <w:rPr>
          <w:color w:val="000000" w:themeColor="text1"/>
        </w:rPr>
        <w:t xml:space="preserve">, EE finds its </w:t>
      </w:r>
      <w:r w:rsidR="00AF45B9" w:rsidRPr="00C965DD">
        <w:rPr>
          <w:color w:val="000000" w:themeColor="text1"/>
        </w:rPr>
        <w:t>‘</w:t>
      </w:r>
      <w:r w:rsidR="00880FB9" w:rsidRPr="00C965DD">
        <w:rPr>
          <w:color w:val="000000" w:themeColor="text1"/>
        </w:rPr>
        <w:t>academic corner</w:t>
      </w:r>
      <w:r w:rsidR="00AF45B9" w:rsidRPr="00C965DD">
        <w:rPr>
          <w:color w:val="000000" w:themeColor="text1"/>
        </w:rPr>
        <w:t>’</w:t>
      </w:r>
      <w:r w:rsidR="00880FB9" w:rsidRPr="00C965DD">
        <w:rPr>
          <w:color w:val="000000" w:themeColor="text1"/>
        </w:rPr>
        <w:t xml:space="preserve"> in the many and varied business and management school</w:t>
      </w:r>
      <w:r w:rsidR="00E20F04" w:rsidRPr="00C965DD">
        <w:rPr>
          <w:color w:val="000000" w:themeColor="text1"/>
        </w:rPr>
        <w:t>s in which</w:t>
      </w:r>
      <w:r w:rsidR="00880FB9" w:rsidRPr="00C965DD">
        <w:rPr>
          <w:color w:val="000000" w:themeColor="text1"/>
        </w:rPr>
        <w:t xml:space="preserve"> </w:t>
      </w:r>
      <w:r w:rsidR="00BE4241" w:rsidRPr="00C965DD">
        <w:rPr>
          <w:color w:val="000000" w:themeColor="text1"/>
        </w:rPr>
        <w:t>‘</w:t>
      </w:r>
      <w:r w:rsidR="00880FB9" w:rsidRPr="00C965DD">
        <w:rPr>
          <w:color w:val="000000" w:themeColor="text1"/>
        </w:rPr>
        <w:t>EE educators</w:t>
      </w:r>
      <w:r w:rsidR="00BE4241" w:rsidRPr="00C965DD">
        <w:rPr>
          <w:color w:val="000000" w:themeColor="text1"/>
        </w:rPr>
        <w:t>’</w:t>
      </w:r>
      <w:r w:rsidR="004F1900" w:rsidRPr="00C965DD">
        <w:rPr>
          <w:color w:val="000000" w:themeColor="text1"/>
        </w:rPr>
        <w:t xml:space="preserve"> principally</w:t>
      </w:r>
      <w:r w:rsidR="00880FB9" w:rsidRPr="00C965DD">
        <w:rPr>
          <w:color w:val="000000" w:themeColor="text1"/>
        </w:rPr>
        <w:t xml:space="preserve"> </w:t>
      </w:r>
      <w:r w:rsidR="004F1900" w:rsidRPr="00C965DD">
        <w:rPr>
          <w:color w:val="000000" w:themeColor="text1"/>
        </w:rPr>
        <w:t>reside</w:t>
      </w:r>
      <w:r w:rsidR="00880FB9" w:rsidRPr="00C965DD">
        <w:rPr>
          <w:color w:val="000000" w:themeColor="text1"/>
        </w:rPr>
        <w:t xml:space="preserve">. </w:t>
      </w:r>
      <w:r w:rsidR="00DC112B" w:rsidRPr="00C965DD">
        <w:rPr>
          <w:color w:val="000000" w:themeColor="text1"/>
        </w:rPr>
        <w:t xml:space="preserve">Here, as </w:t>
      </w:r>
      <w:r w:rsidR="00CC2ED8" w:rsidRPr="00C965DD">
        <w:rPr>
          <w:color w:val="000000" w:themeColor="text1"/>
        </w:rPr>
        <w:t xml:space="preserve">Simmons </w:t>
      </w:r>
      <w:r w:rsidR="00CC2ED8" w:rsidRPr="00C965DD">
        <w:rPr>
          <w:rStyle w:val="FootnoteReference"/>
          <w:color w:val="000000" w:themeColor="text1"/>
        </w:rPr>
        <w:fldChar w:fldCharType="begin" w:fldLock="1"/>
      </w:r>
      <w:r w:rsidR="00CC2ED8" w:rsidRPr="00C965DD">
        <w:rPr>
          <w:color w:val="000000" w:themeColor="text1"/>
        </w:rPr>
        <w:instrText>ADDIN CSL_CITATION {"citationItems":[{"id":"ITEM-1","itemData":{"DOI":"10.1177/09504222211023419","ISSN":"20436858","abstract":"This account of practice describes an experiential learning approach used for enterprise and entrepreneurship education in a UK higher education setting. Module design and delivery insights are drawn from the methods employed by an entrepreneur turned educator to facilitate learning via pop-up shop/event activities financed by a £50 seed fund. Feedback showed that the approach was highly valued by students, who reported significant personal development and enhanced entrepreneurial understanding. Considerably improved student attainment was also measured. The educator reflects on how his experiences as an entrepreneur helped shape the activities and their delivery, and the impact on his own pedagogical and academic development.","author":[{"dropping-particle":"","family":"Simmons","given":"Marcus","non-dropping-particle":"","parse-names":false,"suffix":""}],"container-title":"Industry and Higher Education","id":"ITEM-1","issue":"4","issued":{"date-parts":[["2021"]]},"page":"454-459","title":"Lessons learned by educator and students through experiential entrepreneurship","type":"article-journal","volume":"35"},"suppress-author":1,"uris":["http://www.mendeley.com/documents/?uuid=09fe78fa-6d20-40d3-b849-6567e8ca0926"]}],"mendeley":{"formattedCitation":"(2021)","plainTextFormattedCitation":"(2021)","previouslyFormattedCitation":"(2021)"},"properties":{"noteIndex":0},"schema":"https://github.com/citation-style-language/schema/raw/master/csl-citation.json"}</w:instrText>
      </w:r>
      <w:r w:rsidR="00CC2ED8" w:rsidRPr="00C965DD">
        <w:rPr>
          <w:rStyle w:val="FootnoteReference"/>
          <w:color w:val="000000" w:themeColor="text1"/>
        </w:rPr>
        <w:fldChar w:fldCharType="separate"/>
      </w:r>
      <w:r w:rsidR="00CC2ED8" w:rsidRPr="00C965DD">
        <w:rPr>
          <w:bCs/>
          <w:noProof/>
          <w:color w:val="000000" w:themeColor="text1"/>
          <w:lang w:val="en-US"/>
        </w:rPr>
        <w:t>(2021)</w:t>
      </w:r>
      <w:r w:rsidR="00CC2ED8" w:rsidRPr="00C965DD">
        <w:rPr>
          <w:rStyle w:val="FootnoteReference"/>
          <w:color w:val="000000" w:themeColor="text1"/>
        </w:rPr>
        <w:fldChar w:fldCharType="end"/>
      </w:r>
      <w:r w:rsidR="00CC2ED8" w:rsidRPr="00C965DD">
        <w:rPr>
          <w:color w:val="000000" w:themeColor="text1"/>
        </w:rPr>
        <w:t xml:space="preserve"> </w:t>
      </w:r>
      <w:r w:rsidR="00DC112B" w:rsidRPr="00C965DD">
        <w:rPr>
          <w:color w:val="000000" w:themeColor="text1"/>
        </w:rPr>
        <w:t xml:space="preserve">reflects, the UK’s Quality Assurance Agency </w:t>
      </w:r>
      <w:r w:rsidR="00624918" w:rsidRPr="00C965DD">
        <w:rPr>
          <w:color w:val="000000" w:themeColor="text1"/>
        </w:rPr>
        <w:fldChar w:fldCharType="begin" w:fldLock="1"/>
      </w:r>
      <w:r w:rsidR="00624918" w:rsidRPr="00C965DD">
        <w:rPr>
          <w:color w:val="000000" w:themeColor="text1"/>
        </w:rPr>
        <w:instrText>ADDIN CSL_CITATION {"citationItems":[{"id":"ITEM-1","itemData":{"author":[{"dropping-particle":"","family":"QAA","given":"","non-dropping-particle":"","parse-names":false,"suffix":""}],"id":"ITEM-1","issued":{"date-parts":[["2018"]]},"publisher":"The Quality Assurance Agency for Higher Education","publisher-place":"Gloucester, UK","title":"Enterprise and Entrepreneurship Education: Guidance for UK Higher Education Providers","type":"book"},"uris":["http://www.mendeley.com/documents/?uuid=21ccd4ca-5e8f-4af2-a3f9-2ac4904131ca"]}],"mendeley":{"formattedCitation":"(QAA, 2018)","plainTextFormattedCitation":"(QAA, 2018)","previouslyFormattedCitation":"(QAA, 2018)"},"properties":{"noteIndex":0},"schema":"https://github.com/citation-style-language/schema/raw/master/csl-citation.json"}</w:instrText>
      </w:r>
      <w:r w:rsidR="00624918" w:rsidRPr="00C965DD">
        <w:rPr>
          <w:color w:val="000000" w:themeColor="text1"/>
        </w:rPr>
        <w:fldChar w:fldCharType="separate"/>
      </w:r>
      <w:r w:rsidR="00624918" w:rsidRPr="00C965DD">
        <w:rPr>
          <w:noProof/>
          <w:color w:val="000000" w:themeColor="text1"/>
        </w:rPr>
        <w:t>(QAA, 2018)</w:t>
      </w:r>
      <w:r w:rsidR="00624918" w:rsidRPr="00C965DD">
        <w:rPr>
          <w:color w:val="000000" w:themeColor="text1"/>
        </w:rPr>
        <w:fldChar w:fldCharType="end"/>
      </w:r>
      <w:r w:rsidR="00DC112B" w:rsidRPr="00C965DD">
        <w:rPr>
          <w:color w:val="000000" w:themeColor="text1"/>
        </w:rPr>
        <w:t xml:space="preserve"> draws together guidance on learning </w:t>
      </w:r>
      <w:r w:rsidR="00DC112B" w:rsidRPr="00C965DD">
        <w:rPr>
          <w:i/>
          <w:iCs/>
          <w:color w:val="000000" w:themeColor="text1"/>
        </w:rPr>
        <w:t>about</w:t>
      </w:r>
      <w:r w:rsidR="00DC112B" w:rsidRPr="00C965DD">
        <w:rPr>
          <w:color w:val="000000" w:themeColor="text1"/>
        </w:rPr>
        <w:t xml:space="preserve">, learning </w:t>
      </w:r>
      <w:r w:rsidR="00DC112B" w:rsidRPr="00C965DD">
        <w:rPr>
          <w:i/>
          <w:iCs/>
          <w:color w:val="000000" w:themeColor="text1"/>
        </w:rPr>
        <w:t>for</w:t>
      </w:r>
      <w:r w:rsidR="00E364A6" w:rsidRPr="00C965DD">
        <w:rPr>
          <w:i/>
          <w:iCs/>
          <w:color w:val="000000" w:themeColor="text1"/>
        </w:rPr>
        <w:t>,</w:t>
      </w:r>
      <w:r w:rsidR="00DC112B" w:rsidRPr="00C965DD">
        <w:rPr>
          <w:color w:val="000000" w:themeColor="text1"/>
        </w:rPr>
        <w:t xml:space="preserve"> and learning </w:t>
      </w:r>
      <w:r w:rsidR="00DC112B" w:rsidRPr="00C965DD">
        <w:rPr>
          <w:i/>
          <w:iCs/>
          <w:color w:val="000000" w:themeColor="text1"/>
        </w:rPr>
        <w:t>through</w:t>
      </w:r>
      <w:r w:rsidR="00DC112B" w:rsidRPr="00C965DD">
        <w:rPr>
          <w:color w:val="000000" w:themeColor="text1"/>
        </w:rPr>
        <w:t xml:space="preserve"> EE</w:t>
      </w:r>
      <w:r w:rsidR="00A107BA" w:rsidRPr="00C965DD">
        <w:rPr>
          <w:color w:val="000000" w:themeColor="text1"/>
        </w:rPr>
        <w:t xml:space="preserve"> </w:t>
      </w:r>
      <w:r w:rsidR="00434638" w:rsidRPr="00C965DD">
        <w:rPr>
          <w:color w:val="000000" w:themeColor="text1"/>
        </w:rPr>
        <w:fldChar w:fldCharType="begin" w:fldLock="1"/>
      </w:r>
      <w:r w:rsidR="00434638" w:rsidRPr="00C965DD">
        <w:rPr>
          <w:color w:val="000000" w:themeColor="text1"/>
        </w:rPr>
        <w:instrText>ADDIN CSL_CITATION {"citationItems":[{"id":"ITEM-1","itemData":{"DOI":"10.5367/0000000053966876","ISSN":"1465-7503","abstract":"This conceptual paper presents critical thoughts and observations on the recent phenomenon of entrepreneurship education in higher education in the UK. The key challenge the paper emphasizes is the need for greater insight into the conceptual and theoretical development of that phenomenon and a more robust locating of the philosophical foundations of entrepreneurship education within a higher education institution (HEI) adult-learning context. Although concepts and models of entrepreneurship abound, it is difficult to find related concepts and models of entrepreneurship education and, in particular, their underpinning philosophical foundations. Philosophies of adult education have emerged, but there appears to have been no attempt to locate entrepreneurship education within these contextual theoretical paradigms. This is somewhat surprising, as the underpinning philosophy of an educational programme will partially determine the outcomes of the educational process and influence the educational experience. However, this insight may help to explain why, conceptually, entrepreneurship education has mixed meanings and a conflicting discourse. The paper introduces a framework of adult-learning philosophies as a foundation for reflecting and analysing current approaches against philosophical beliefs. The application of the framework leads to a discussion about the potential contrasts and conflicts between underpinning foundations and purpose-in-action. The paper concludes with various perspectives on the building of an emerging robust concept of entrepreneurship education within an HEI adult-learning context.","author":[{"dropping-particle":"","family":"Hannon","given":"Paul D.","non-dropping-particle":"","parse-names":false,"suffix":""}],"container-title":"The International Journal of Entrepreneurship and Innovation","id":"ITEM-1","issue":"2","issued":{"date-parts":[["2005"]]},"page":"105-114","title":"Philosophies of Enterprise and Entrepreneurship Education and Challenges for Higher Education in the UK","type":"article-journal","volume":"6"},"prefix":"see also: ","uris":["http://www.mendeley.com/documents/?uuid=6583d08a-bc5f-4895-ab07-e4db5d9b3c8f"]}],"mendeley":{"formattedCitation":"(see also: Hannon, 2005)","plainTextFormattedCitation":"(see also: Hannon, 2005)","previouslyFormattedCitation":"(see also: Hannon, 2005)"},"properties":{"noteIndex":0},"schema":"https://github.com/citation-style-language/schema/raw/master/csl-citation.json"}</w:instrText>
      </w:r>
      <w:r w:rsidR="00434638" w:rsidRPr="00C965DD">
        <w:rPr>
          <w:color w:val="000000" w:themeColor="text1"/>
        </w:rPr>
        <w:fldChar w:fldCharType="separate"/>
      </w:r>
      <w:r w:rsidR="00434638" w:rsidRPr="00C965DD">
        <w:rPr>
          <w:noProof/>
          <w:color w:val="000000" w:themeColor="text1"/>
        </w:rPr>
        <w:t>(see also: Hannon, 2005)</w:t>
      </w:r>
      <w:r w:rsidR="00434638" w:rsidRPr="00C965DD">
        <w:rPr>
          <w:color w:val="000000" w:themeColor="text1"/>
        </w:rPr>
        <w:fldChar w:fldCharType="end"/>
      </w:r>
      <w:r w:rsidR="00DC112B" w:rsidRPr="00C965DD">
        <w:rPr>
          <w:color w:val="000000" w:themeColor="text1"/>
        </w:rPr>
        <w:t xml:space="preserve">. </w:t>
      </w:r>
      <w:r w:rsidR="00BD54A3">
        <w:rPr>
          <w:color w:val="000000" w:themeColor="text1"/>
        </w:rPr>
        <w:t>Moreover</w:t>
      </w:r>
      <w:r w:rsidR="00BB5EEC" w:rsidRPr="00C965DD">
        <w:rPr>
          <w:color w:val="000000" w:themeColor="text1"/>
        </w:rPr>
        <w:t xml:space="preserve">, in contrast to the more academic pursuit of learning about a subject, Simmons highlights that </w:t>
      </w:r>
      <w:r w:rsidR="00DC112B" w:rsidRPr="00C965DD">
        <w:rPr>
          <w:i/>
          <w:iCs/>
          <w:color w:val="000000" w:themeColor="text1"/>
        </w:rPr>
        <w:t>‘Learning for and… through [EE] requires students to engage in more practical activities aimed at providing the</w:t>
      </w:r>
      <w:r w:rsidR="00BE4241" w:rsidRPr="00C965DD">
        <w:rPr>
          <w:i/>
          <w:iCs/>
          <w:color w:val="000000" w:themeColor="text1"/>
        </w:rPr>
        <w:t>m</w:t>
      </w:r>
      <w:r w:rsidR="00DC112B" w:rsidRPr="00C965DD">
        <w:rPr>
          <w:i/>
          <w:iCs/>
          <w:color w:val="000000" w:themeColor="text1"/>
        </w:rPr>
        <w:t xml:space="preserve"> with [EE]</w:t>
      </w:r>
      <w:r w:rsidR="00B51A46" w:rsidRPr="00C965DD">
        <w:rPr>
          <w:i/>
          <w:iCs/>
          <w:color w:val="000000" w:themeColor="text1"/>
        </w:rPr>
        <w:t xml:space="preserve"> skills and awareness…’</w:t>
      </w:r>
      <w:r w:rsidR="00B51A46" w:rsidRPr="00C965DD">
        <w:rPr>
          <w:color w:val="000000" w:themeColor="text1"/>
        </w:rPr>
        <w:t xml:space="preserve"> </w:t>
      </w:r>
      <w:r w:rsidR="00434638" w:rsidRPr="00C965DD">
        <w:rPr>
          <w:color w:val="000000" w:themeColor="text1"/>
        </w:rPr>
        <w:fldChar w:fldCharType="begin" w:fldLock="1"/>
      </w:r>
      <w:r w:rsidR="00FC0055" w:rsidRPr="00C965DD">
        <w:rPr>
          <w:color w:val="000000" w:themeColor="text1"/>
        </w:rPr>
        <w:instrText>ADDIN CSL_CITATION {"citationItems":[{"id":"ITEM-1","itemData":{"DOI":"10.1177/09504222211023419","ISSN":"20436858","abstract":"This account of practice describes an experiential learning approach used for enterprise and entrepreneurship education in a UK higher education setting. Module design and delivery insights are drawn from the methods employed by an entrepreneur turned educator to facilitate learning via pop-up shop/event activities financed by a £50 seed fund. Feedback showed that the approach was highly valued by students, who reported significant personal development and enhanced entrepreneurial understanding. Considerably improved student attainment was also measured. The educator reflects on how his experiences as an entrepreneur helped shape the activities and their delivery, and the impact on his own pedagogical and academic development.","author":[{"dropping-particle":"","family":"Simmons","given":"Marcus","non-dropping-particle":"","parse-names":false,"suffix":""}],"container-title":"Industry and Higher Education","id":"ITEM-1","issue":"4","issued":{"date-parts":[["2021"]]},"page":"454-459","title":"Lessons learned by educator and students through experiential entrepreneurship","type":"article-journal","volume":"35"},"locator":"454","uris":["http://www.mendeley.com/documents/?uuid=09fe78fa-6d20-40d3-b849-6567e8ca0926"]}],"mendeley":{"formattedCitation":"(Simmons, 2021, p. 454)","plainTextFormattedCitation":"(Simmons, 2021, p. 454)","previouslyFormattedCitation":"(Simmons, 2021, p. 454)"},"properties":{"noteIndex":0},"schema":"https://github.com/citation-style-language/schema/raw/master/csl-citation.json"}</w:instrText>
      </w:r>
      <w:r w:rsidR="00434638" w:rsidRPr="00C965DD">
        <w:rPr>
          <w:color w:val="000000" w:themeColor="text1"/>
        </w:rPr>
        <w:fldChar w:fldCharType="separate"/>
      </w:r>
      <w:r w:rsidR="00434638" w:rsidRPr="00C965DD">
        <w:rPr>
          <w:noProof/>
          <w:color w:val="000000" w:themeColor="text1"/>
        </w:rPr>
        <w:t>(Simmons, 2021, p. 454)</w:t>
      </w:r>
      <w:r w:rsidR="00434638" w:rsidRPr="00C965DD">
        <w:rPr>
          <w:color w:val="000000" w:themeColor="text1"/>
        </w:rPr>
        <w:fldChar w:fldCharType="end"/>
      </w:r>
      <w:r w:rsidR="00B51A46" w:rsidRPr="00C965DD">
        <w:rPr>
          <w:color w:val="000000" w:themeColor="text1"/>
        </w:rPr>
        <w:t xml:space="preserve">. </w:t>
      </w:r>
      <w:r w:rsidR="00F25D90" w:rsidRPr="00A5017F">
        <w:rPr>
          <w:color w:val="000000" w:themeColor="text1"/>
        </w:rPr>
        <w:t>Here, I identify r</w:t>
      </w:r>
      <w:r w:rsidR="00BD14C8" w:rsidRPr="00A5017F">
        <w:rPr>
          <w:color w:val="000000" w:themeColor="text1"/>
        </w:rPr>
        <w:t>esearch</w:t>
      </w:r>
      <w:r w:rsidR="004A074C" w:rsidRPr="00A5017F">
        <w:rPr>
          <w:color w:val="000000" w:themeColor="text1"/>
        </w:rPr>
        <w:t xml:space="preserve"> question </w:t>
      </w:r>
      <w:r w:rsidR="00BD14C8" w:rsidRPr="00A5017F">
        <w:rPr>
          <w:color w:val="000000" w:themeColor="text1"/>
        </w:rPr>
        <w:t xml:space="preserve">one </w:t>
      </w:r>
      <w:r w:rsidR="00F25D90" w:rsidRPr="00A5017F">
        <w:rPr>
          <w:color w:val="000000" w:themeColor="text1"/>
        </w:rPr>
        <w:t>as:</w:t>
      </w:r>
      <w:r w:rsidR="004A074C" w:rsidRPr="00A5017F">
        <w:rPr>
          <w:color w:val="000000" w:themeColor="text1"/>
        </w:rPr>
        <w:t xml:space="preserve"> can EE be made more</w:t>
      </w:r>
      <w:r w:rsidR="00480831" w:rsidRPr="00A5017F">
        <w:rPr>
          <w:color w:val="000000" w:themeColor="text1"/>
        </w:rPr>
        <w:t xml:space="preserve"> (academically)</w:t>
      </w:r>
      <w:r w:rsidR="004A074C" w:rsidRPr="00A5017F">
        <w:rPr>
          <w:color w:val="000000" w:themeColor="text1"/>
        </w:rPr>
        <w:t xml:space="preserve"> appealing to teachers and managers in education</w:t>
      </w:r>
      <w:r w:rsidR="00BD14C8" w:rsidRPr="00A5017F">
        <w:rPr>
          <w:color w:val="000000" w:themeColor="text1"/>
        </w:rPr>
        <w:t>?</w:t>
      </w:r>
    </w:p>
    <w:p w14:paraId="1A538C65" w14:textId="6AAC2A8F" w:rsidR="00455533" w:rsidRPr="00C965DD" w:rsidRDefault="00BB5EEC" w:rsidP="00D1684D">
      <w:pPr>
        <w:rPr>
          <w:color w:val="000000" w:themeColor="text1"/>
        </w:rPr>
      </w:pPr>
      <w:r w:rsidRPr="00C965DD">
        <w:rPr>
          <w:color w:val="000000" w:themeColor="text1"/>
        </w:rPr>
        <w:t xml:space="preserve">     </w:t>
      </w:r>
      <w:r w:rsidR="008A7684" w:rsidRPr="00C965DD">
        <w:rPr>
          <w:color w:val="000000" w:themeColor="text1"/>
        </w:rPr>
        <w:t xml:space="preserve">As a critical </w:t>
      </w:r>
      <w:r w:rsidR="00026C48" w:rsidRPr="00C965DD">
        <w:rPr>
          <w:color w:val="000000" w:themeColor="text1"/>
        </w:rPr>
        <w:t xml:space="preserve">management </w:t>
      </w:r>
      <w:r w:rsidR="008A7684" w:rsidRPr="00C965DD">
        <w:rPr>
          <w:color w:val="000000" w:themeColor="text1"/>
        </w:rPr>
        <w:t>scholar</w:t>
      </w:r>
      <w:r w:rsidR="00D65DCF" w:rsidRPr="00C965DD">
        <w:rPr>
          <w:color w:val="000000" w:themeColor="text1"/>
        </w:rPr>
        <w:t>, in the critical theory</w:t>
      </w:r>
      <w:r w:rsidR="00595104" w:rsidRPr="00C965DD">
        <w:rPr>
          <w:rStyle w:val="EndnoteReference"/>
          <w:color w:val="000000" w:themeColor="text1"/>
        </w:rPr>
        <w:endnoteReference w:id="1"/>
      </w:r>
      <w:r w:rsidR="00D65DCF" w:rsidRPr="00C965DD">
        <w:rPr>
          <w:color w:val="000000" w:themeColor="text1"/>
        </w:rPr>
        <w:t xml:space="preserve"> </w:t>
      </w:r>
      <w:r w:rsidR="00AF731F" w:rsidRPr="00C965DD">
        <w:rPr>
          <w:color w:val="000000" w:themeColor="text1"/>
        </w:rPr>
        <w:t>mould</w:t>
      </w:r>
      <w:r w:rsidR="008A7684" w:rsidRPr="00C965DD">
        <w:rPr>
          <w:color w:val="000000" w:themeColor="text1"/>
        </w:rPr>
        <w:t xml:space="preserve">, </w:t>
      </w:r>
      <w:r w:rsidR="008805C5" w:rsidRPr="00C965DD">
        <w:rPr>
          <w:color w:val="000000" w:themeColor="text1"/>
        </w:rPr>
        <w:t>I</w:t>
      </w:r>
      <w:r w:rsidR="008A7684" w:rsidRPr="00C965DD">
        <w:rPr>
          <w:color w:val="000000" w:themeColor="text1"/>
        </w:rPr>
        <w:t xml:space="preserve"> </w:t>
      </w:r>
      <w:r w:rsidRPr="00C965DD">
        <w:rPr>
          <w:color w:val="000000" w:themeColor="text1"/>
        </w:rPr>
        <w:t>observe that learning ‘for</w:t>
      </w:r>
      <w:r w:rsidR="008A7684" w:rsidRPr="00C965DD">
        <w:rPr>
          <w:color w:val="000000" w:themeColor="text1"/>
        </w:rPr>
        <w:t>’</w:t>
      </w:r>
      <w:r w:rsidRPr="00C965DD">
        <w:rPr>
          <w:color w:val="000000" w:themeColor="text1"/>
        </w:rPr>
        <w:t xml:space="preserve"> and </w:t>
      </w:r>
      <w:r w:rsidR="008A7684" w:rsidRPr="00C965DD">
        <w:rPr>
          <w:color w:val="000000" w:themeColor="text1"/>
        </w:rPr>
        <w:t>‘</w:t>
      </w:r>
      <w:r w:rsidRPr="00C965DD">
        <w:rPr>
          <w:color w:val="000000" w:themeColor="text1"/>
        </w:rPr>
        <w:t>though</w:t>
      </w:r>
      <w:r w:rsidR="008A7684" w:rsidRPr="00C965DD">
        <w:rPr>
          <w:color w:val="000000" w:themeColor="text1"/>
        </w:rPr>
        <w:t>’ a subject</w:t>
      </w:r>
      <w:r w:rsidR="00C33807" w:rsidRPr="00C965DD">
        <w:rPr>
          <w:color w:val="000000" w:themeColor="text1"/>
        </w:rPr>
        <w:t>,</w:t>
      </w:r>
      <w:r w:rsidR="008A7684" w:rsidRPr="00C965DD">
        <w:rPr>
          <w:color w:val="000000" w:themeColor="text1"/>
        </w:rPr>
        <w:t xml:space="preserve"> carries with it </w:t>
      </w:r>
      <w:r w:rsidR="00E364A6" w:rsidRPr="00C965DD">
        <w:rPr>
          <w:color w:val="000000" w:themeColor="text1"/>
        </w:rPr>
        <w:t>an</w:t>
      </w:r>
      <w:r w:rsidR="008A7684" w:rsidRPr="00C965DD">
        <w:rPr>
          <w:color w:val="000000" w:themeColor="text1"/>
        </w:rPr>
        <w:t xml:space="preserve"> assumption that the student is predisposed to learning with </w:t>
      </w:r>
      <w:r w:rsidR="00E364A6" w:rsidRPr="00C965DD">
        <w:rPr>
          <w:color w:val="000000" w:themeColor="text1"/>
        </w:rPr>
        <w:t>a</w:t>
      </w:r>
      <w:r w:rsidR="008A7684" w:rsidRPr="00C965DD">
        <w:rPr>
          <w:color w:val="000000" w:themeColor="text1"/>
        </w:rPr>
        <w:t xml:space="preserve"> goal of</w:t>
      </w:r>
      <w:r w:rsidR="00434B37" w:rsidRPr="00C965DD">
        <w:rPr>
          <w:color w:val="000000" w:themeColor="text1"/>
        </w:rPr>
        <w:t xml:space="preserve"> future </w:t>
      </w:r>
      <w:r w:rsidR="008A7684" w:rsidRPr="00C965DD">
        <w:rPr>
          <w:color w:val="000000" w:themeColor="text1"/>
        </w:rPr>
        <w:t>participation</w:t>
      </w:r>
      <w:r w:rsidR="00C33807" w:rsidRPr="00C965DD">
        <w:rPr>
          <w:color w:val="000000" w:themeColor="text1"/>
        </w:rPr>
        <w:t xml:space="preserve"> in the matter of that subject</w:t>
      </w:r>
      <w:r w:rsidR="008A7684" w:rsidRPr="00C965DD">
        <w:rPr>
          <w:color w:val="000000" w:themeColor="text1"/>
        </w:rPr>
        <w:t xml:space="preserve">. </w:t>
      </w:r>
      <w:r w:rsidR="00D208F5" w:rsidRPr="00C965DD">
        <w:rPr>
          <w:color w:val="000000" w:themeColor="text1"/>
        </w:rPr>
        <w:t>Therefore, i</w:t>
      </w:r>
      <w:r w:rsidR="008A7684" w:rsidRPr="00C965DD">
        <w:rPr>
          <w:color w:val="000000" w:themeColor="text1"/>
        </w:rPr>
        <w:t xml:space="preserve">n an EE context, </w:t>
      </w:r>
      <w:r w:rsidR="0016738B" w:rsidRPr="00C965DD">
        <w:rPr>
          <w:color w:val="000000" w:themeColor="text1"/>
        </w:rPr>
        <w:t xml:space="preserve">do I assume the </w:t>
      </w:r>
      <w:r w:rsidR="008A7684" w:rsidRPr="00C965DD">
        <w:rPr>
          <w:color w:val="000000" w:themeColor="text1"/>
        </w:rPr>
        <w:t>EE student is</w:t>
      </w:r>
      <w:r w:rsidR="00C33807" w:rsidRPr="00C965DD">
        <w:rPr>
          <w:color w:val="000000" w:themeColor="text1"/>
        </w:rPr>
        <w:t xml:space="preserve"> </w:t>
      </w:r>
      <w:r w:rsidR="0016738B" w:rsidRPr="00C965DD">
        <w:rPr>
          <w:color w:val="000000" w:themeColor="text1"/>
        </w:rPr>
        <w:t>pred</w:t>
      </w:r>
      <w:r w:rsidR="00C33807" w:rsidRPr="00C965DD">
        <w:rPr>
          <w:color w:val="000000" w:themeColor="text1"/>
        </w:rPr>
        <w:t>isposed to a</w:t>
      </w:r>
      <w:r w:rsidR="0035238A" w:rsidRPr="00C965DD">
        <w:rPr>
          <w:color w:val="000000" w:themeColor="text1"/>
        </w:rPr>
        <w:t>n</w:t>
      </w:r>
      <w:r w:rsidR="00C33807" w:rsidRPr="00C965DD">
        <w:rPr>
          <w:color w:val="000000" w:themeColor="text1"/>
        </w:rPr>
        <w:t xml:space="preserve"> EE career</w:t>
      </w:r>
      <w:r w:rsidR="0016738B" w:rsidRPr="00C965DD">
        <w:rPr>
          <w:color w:val="000000" w:themeColor="text1"/>
        </w:rPr>
        <w:t>?</w:t>
      </w:r>
      <w:r w:rsidR="00C33807" w:rsidRPr="00C965DD">
        <w:rPr>
          <w:color w:val="000000" w:themeColor="text1"/>
        </w:rPr>
        <w:t xml:space="preserve"> Further</w:t>
      </w:r>
      <w:r w:rsidR="00026C48" w:rsidRPr="00C965DD">
        <w:rPr>
          <w:color w:val="000000" w:themeColor="text1"/>
        </w:rPr>
        <w:t>more</w:t>
      </w:r>
      <w:r w:rsidR="00C33807" w:rsidRPr="00C965DD">
        <w:rPr>
          <w:color w:val="000000" w:themeColor="text1"/>
        </w:rPr>
        <w:t xml:space="preserve">, </w:t>
      </w:r>
      <w:r w:rsidR="0016738B" w:rsidRPr="00C965DD">
        <w:rPr>
          <w:color w:val="000000" w:themeColor="text1"/>
        </w:rPr>
        <w:t>I suggest the</w:t>
      </w:r>
      <w:r w:rsidR="00C33807" w:rsidRPr="00C965DD">
        <w:rPr>
          <w:color w:val="000000" w:themeColor="text1"/>
        </w:rPr>
        <w:t xml:space="preserve"> notion of an EE career </w:t>
      </w:r>
      <w:r w:rsidR="00434638" w:rsidRPr="00C965DD">
        <w:rPr>
          <w:color w:val="000000" w:themeColor="text1"/>
        </w:rPr>
        <w:t>invokes</w:t>
      </w:r>
      <w:r w:rsidR="00C33807" w:rsidRPr="00C965DD">
        <w:rPr>
          <w:color w:val="000000" w:themeColor="text1"/>
        </w:rPr>
        <w:t xml:space="preserve"> </w:t>
      </w:r>
      <w:r w:rsidR="00E364A6" w:rsidRPr="00C965DD">
        <w:rPr>
          <w:color w:val="000000" w:themeColor="text1"/>
        </w:rPr>
        <w:t xml:space="preserve">the </w:t>
      </w:r>
      <w:r w:rsidR="00026C48" w:rsidRPr="00C965DD">
        <w:rPr>
          <w:color w:val="000000" w:themeColor="text1"/>
        </w:rPr>
        <w:t>additional</w:t>
      </w:r>
      <w:r w:rsidR="00C33807" w:rsidRPr="00C965DD">
        <w:rPr>
          <w:color w:val="000000" w:themeColor="text1"/>
        </w:rPr>
        <w:t xml:space="preserve"> assumptions th</w:t>
      </w:r>
      <w:r w:rsidR="00026C48" w:rsidRPr="00C965DD">
        <w:rPr>
          <w:color w:val="000000" w:themeColor="text1"/>
        </w:rPr>
        <w:t>at</w:t>
      </w:r>
      <w:r w:rsidR="00C33807" w:rsidRPr="00C965DD">
        <w:rPr>
          <w:color w:val="000000" w:themeColor="text1"/>
        </w:rPr>
        <w:t xml:space="preserve"> entrepreneurship and enterprise are concepts with </w:t>
      </w:r>
      <w:r w:rsidR="00E17C3F" w:rsidRPr="00C965DD">
        <w:rPr>
          <w:color w:val="000000" w:themeColor="text1"/>
        </w:rPr>
        <w:t>well-defined</w:t>
      </w:r>
      <w:r w:rsidR="00C33807" w:rsidRPr="00C965DD">
        <w:rPr>
          <w:color w:val="000000" w:themeColor="text1"/>
        </w:rPr>
        <w:t xml:space="preserve"> boundar</w:t>
      </w:r>
      <w:r w:rsidR="00E364A6" w:rsidRPr="00C965DD">
        <w:rPr>
          <w:color w:val="000000" w:themeColor="text1"/>
        </w:rPr>
        <w:t xml:space="preserve">ies </w:t>
      </w:r>
      <w:r w:rsidR="00DF510F" w:rsidRPr="00C965DD">
        <w:rPr>
          <w:color w:val="000000" w:themeColor="text1"/>
        </w:rPr>
        <w:t>and contexts</w:t>
      </w:r>
      <w:r w:rsidR="00C33807" w:rsidRPr="00C965DD">
        <w:rPr>
          <w:color w:val="000000" w:themeColor="text1"/>
        </w:rPr>
        <w:t xml:space="preserve"> that can be </w:t>
      </w:r>
      <w:r w:rsidR="00026C48" w:rsidRPr="00C965DD">
        <w:rPr>
          <w:color w:val="000000" w:themeColor="text1"/>
        </w:rPr>
        <w:t xml:space="preserve">effectively </w:t>
      </w:r>
      <w:r w:rsidR="00C33807" w:rsidRPr="00C965DD">
        <w:rPr>
          <w:color w:val="000000" w:themeColor="text1"/>
        </w:rPr>
        <w:t>replicated in an educational context</w:t>
      </w:r>
      <w:r w:rsidR="00026C48" w:rsidRPr="00C965DD">
        <w:rPr>
          <w:color w:val="000000" w:themeColor="text1"/>
        </w:rPr>
        <w:t xml:space="preserve">. </w:t>
      </w:r>
      <w:r w:rsidR="00BE4241" w:rsidRPr="00C965DD">
        <w:rPr>
          <w:color w:val="000000" w:themeColor="text1"/>
        </w:rPr>
        <w:t xml:space="preserve">Yet, persistently, </w:t>
      </w:r>
      <w:r w:rsidR="00FE7963" w:rsidRPr="00C965DD">
        <w:rPr>
          <w:color w:val="000000" w:themeColor="text1"/>
        </w:rPr>
        <w:t>this</w:t>
      </w:r>
      <w:r w:rsidR="00BE4241" w:rsidRPr="00C965DD">
        <w:rPr>
          <w:color w:val="000000" w:themeColor="text1"/>
        </w:rPr>
        <w:t xml:space="preserve"> is not the case</w:t>
      </w:r>
      <w:r w:rsidR="001B3810" w:rsidRPr="00C965DD">
        <w:rPr>
          <w:color w:val="000000" w:themeColor="text1"/>
        </w:rPr>
        <w:t>.</w:t>
      </w:r>
      <w:r w:rsidR="00DB63D4" w:rsidRPr="00C965DD">
        <w:rPr>
          <w:color w:val="000000" w:themeColor="text1"/>
        </w:rPr>
        <w:t xml:space="preserve"> </w:t>
      </w:r>
      <w:r w:rsidR="001B3810" w:rsidRPr="00C965DD">
        <w:rPr>
          <w:color w:val="000000" w:themeColor="text1"/>
        </w:rPr>
        <w:t>T</w:t>
      </w:r>
      <w:r w:rsidR="00D13699" w:rsidRPr="00C965DD">
        <w:rPr>
          <w:color w:val="000000" w:themeColor="text1"/>
        </w:rPr>
        <w:t>he</w:t>
      </w:r>
      <w:r w:rsidR="00DB63D4" w:rsidRPr="00C965DD">
        <w:rPr>
          <w:color w:val="000000" w:themeColor="text1"/>
        </w:rPr>
        <w:t xml:space="preserve"> debate over the </w:t>
      </w:r>
      <w:r w:rsidR="00DB63D4" w:rsidRPr="00C965DD">
        <w:rPr>
          <w:color w:val="000000" w:themeColor="text1"/>
        </w:rPr>
        <w:lastRenderedPageBreak/>
        <w:t xml:space="preserve">what and how of its teaching </w:t>
      </w:r>
      <w:r w:rsidR="001B3810" w:rsidRPr="00C965DD">
        <w:rPr>
          <w:color w:val="000000" w:themeColor="text1"/>
        </w:rPr>
        <w:t xml:space="preserve">is </w:t>
      </w:r>
      <w:r w:rsidR="00D344A8" w:rsidRPr="00C965DD">
        <w:rPr>
          <w:color w:val="000000" w:themeColor="text1"/>
        </w:rPr>
        <w:t xml:space="preserve">still visible </w:t>
      </w:r>
      <w:r w:rsidR="00DB63D4" w:rsidRPr="00C965DD">
        <w:rPr>
          <w:color w:val="000000" w:themeColor="text1"/>
        </w:rPr>
        <w:fldChar w:fldCharType="begin" w:fldLock="1"/>
      </w:r>
      <w:r w:rsidR="00D47D74" w:rsidRPr="00C965DD">
        <w:rPr>
          <w:color w:val="000000" w:themeColor="text1"/>
        </w:rPr>
        <w:instrText>ADDIN CSL_CITATION {"citationItems":[{"id":"ITEM-1","itemData":{"abstract":"Over the last 15 years there has been increasing interest in the topic of entrepreneurship education. The practical nature of entrepreneurship has led to debates between those wedded to traditional 'top-down instructive' approaches, widely used in management education, and those adhering to a 'bottom-up constructive' approach promoted by progressive entrepreneurship educationalists (Gibb, 1993). It is proposed in this paper, however, that educationalists should avoid falling into the 'either/or' trap. Rather, it is important to adopt different learning approaches in order to create a collaborative model of entrepreneurship education. As a way of exploring these issues, data are presented on a unique pedagogical approach used during an intensive two-week training programme for 20 'scholars' from the UK's New Entrepreneur Scholarship (NES 2005a). The programme took place in Babson College (Boston) which is one of the world's top entrepreneurship schools. A key objective of the course was to expose NES scholars to the unique nature of US entrepreneurial culture. The programme involved a wide range of learning approaches including conventional lectures, role-play activities, visits to entrepreneurial firms in Silicon Valley and periods of self reflection. Data were obtained by the first author who acted as a participant-observer (Junker 2004) during the programme. The learning process was conceptualised via the acronym SASBIC (Stimulus A, Stimulus B, Instructive and Constructive) which reflects the approach adopted in Babson's training programme. A key outcome of this research, for both academics and training providers, is the importance of combining traditional and alternative approaches in the delivery of courses aimed at encouraging students to fulfil their potential as entrepreneurs.","author":[{"dropping-particle":"","family":"Lourenço","given":"Fernando","non-dropping-particle":"","parse-names":false,"suffix":""},{"dropping-particle":"","family":"Jones","given":"Oswald","non-dropping-particle":"","parse-names":false,"suffix":""}],"container-title":"International Journal of Entrepreneurship Education","id":"ITEM-1","issued":{"date-parts":[["2006"]]},"page":"111-140","title":"Developing Entrepreneurship Education: Comparing Traditional and Alternative Teaching Approaches","type":"article-journal","volume":"4"},"prefix":"for example: ","uris":["http://www.mendeley.com/documents/?uuid=a3160c93-5189-4017-b9be-f20503529a50"]},{"id":"ITEM-2","itemData":{"DOI":"10.1177/2515127417737286","ISSN":"2515-1274","abstract":"Entrepreneurship education (EE) research is not advancing as fast as general entrepreneurship because it is not subject to the same level of scholarship. Grounded in the Scholarship of Teaching and Learning from the field of adult education and using an expert Delphi Panel approach, we offer a glimpse into the minds of top entrepreneurship educators. We suggest studying EE through a teaching lens offers insights and elevates teaching as a form of scholarship on par with traditional, more accepted forms of research. Our Delphi analysis suggests a definition of EE as developing the mindset, skill set, and practice necessary for starting new ventures, yet acknowledging the outcomes of such education are far reaching. We introduce five continuums of EE that encourage a transition to teaching approaches based on adult learning, namely andragogy and heutagogy. Implications for entrepreneurship educator training, the need for practice, and the future of EE research are discussed.","author":[{"dropping-particle":"","family":"Neck","given":"Heidi M.","non-dropping-particle":"","parse-names":false,"suffix":""},{"dropping-particle":"","family":"Corbett","given":"Andrew C.","non-dropping-particle":"","parse-names":false,"suffix":""}],"container-title":"Entrepreneurship Education and Pedagogy","id":"ITEM-2","issue":"1","issued":{"date-parts":[["2018"]]},"page":"8-41","title":"The Scholarship of Teaching and Learning Entrepreneurship","type":"article-journal","volume":"1"},"uris":["http://www.mendeley.com/documents/?uuid=fe2a9072-7f5b-4bcf-9996-99cdf7c714d7"]}],"mendeley":{"formattedCitation":"(for example: Lourenço and Jones, 2006; Neck and Corbett, 2018)","plainTextFormattedCitation":"(for example: Lourenço and Jones, 2006; Neck and Corbett, 2018)","previouslyFormattedCitation":"(for example: Lourenço and Jones, 2006; Neck and Corbett, 2018)"},"properties":{"noteIndex":0},"schema":"https://github.com/citation-style-language/schema/raw/master/csl-citation.json"}</w:instrText>
      </w:r>
      <w:r w:rsidR="00DB63D4" w:rsidRPr="00C965DD">
        <w:rPr>
          <w:color w:val="000000" w:themeColor="text1"/>
        </w:rPr>
        <w:fldChar w:fldCharType="separate"/>
      </w:r>
      <w:r w:rsidR="00E364A6" w:rsidRPr="00C965DD">
        <w:rPr>
          <w:noProof/>
          <w:color w:val="000000" w:themeColor="text1"/>
        </w:rPr>
        <w:t>(for example: Lourenço and Jones, 2006; Neck and Corbett, 2018)</w:t>
      </w:r>
      <w:r w:rsidR="00DB63D4" w:rsidRPr="00C965DD">
        <w:rPr>
          <w:color w:val="000000" w:themeColor="text1"/>
        </w:rPr>
        <w:fldChar w:fldCharType="end"/>
      </w:r>
      <w:r w:rsidR="00D13699" w:rsidRPr="00C965DD">
        <w:rPr>
          <w:color w:val="000000" w:themeColor="text1"/>
        </w:rPr>
        <w:t>.</w:t>
      </w:r>
      <w:r w:rsidR="00DB63D4" w:rsidRPr="00C965DD">
        <w:rPr>
          <w:color w:val="000000" w:themeColor="text1"/>
        </w:rPr>
        <w:t xml:space="preserve"> </w:t>
      </w:r>
    </w:p>
    <w:p w14:paraId="548A0E0A" w14:textId="08992635" w:rsidR="00EE0714" w:rsidRPr="00C965DD" w:rsidRDefault="00455533" w:rsidP="00D1684D">
      <w:pPr>
        <w:rPr>
          <w:color w:val="000000" w:themeColor="text1"/>
        </w:rPr>
      </w:pPr>
      <w:r w:rsidRPr="00C965DD">
        <w:rPr>
          <w:color w:val="000000" w:themeColor="text1"/>
        </w:rPr>
        <w:t xml:space="preserve">     </w:t>
      </w:r>
      <w:r w:rsidR="00BE4241" w:rsidRPr="00C965DD">
        <w:rPr>
          <w:color w:val="000000" w:themeColor="text1"/>
        </w:rPr>
        <w:t>In a 2022 report on Entrepreneurship Education</w:t>
      </w:r>
      <w:r w:rsidR="00734005" w:rsidRPr="00C965DD">
        <w:rPr>
          <w:color w:val="000000" w:themeColor="text1"/>
        </w:rPr>
        <w:t>,</w:t>
      </w:r>
      <w:r w:rsidR="00BE4241" w:rsidRPr="00C965DD">
        <w:rPr>
          <w:color w:val="000000" w:themeColor="text1"/>
        </w:rPr>
        <w:t xml:space="preserve"> the </w:t>
      </w:r>
      <w:r w:rsidR="00C774A6" w:rsidRPr="00C965DD">
        <w:rPr>
          <w:color w:val="000000" w:themeColor="text1"/>
        </w:rPr>
        <w:t xml:space="preserve">UK’s All Party Parliamentary Group (APPG) on Entrepreneurship, </w:t>
      </w:r>
      <w:r w:rsidR="00FE7963" w:rsidRPr="00C965DD">
        <w:rPr>
          <w:color w:val="000000" w:themeColor="text1"/>
        </w:rPr>
        <w:t>doggedly</w:t>
      </w:r>
      <w:r w:rsidR="00C774A6" w:rsidRPr="00C965DD">
        <w:rPr>
          <w:color w:val="000000" w:themeColor="text1"/>
        </w:rPr>
        <w:t xml:space="preserve"> conflates both enterprise and entrepreneurship, making policy recommendations based on key findings such as</w:t>
      </w:r>
      <w:r w:rsidR="00EE0714" w:rsidRPr="00C965DD">
        <w:rPr>
          <w:color w:val="000000" w:themeColor="text1"/>
        </w:rPr>
        <w:t>:</w:t>
      </w:r>
    </w:p>
    <w:p w14:paraId="50827867" w14:textId="719334FD" w:rsidR="00EE0714" w:rsidRPr="00C965DD" w:rsidRDefault="00C774A6" w:rsidP="00A5017F">
      <w:pPr>
        <w:spacing w:after="120" w:line="360" w:lineRule="auto"/>
        <w:ind w:left="720"/>
        <w:rPr>
          <w:i/>
          <w:iCs/>
          <w:color w:val="000000" w:themeColor="text1"/>
        </w:rPr>
      </w:pPr>
      <w:r w:rsidRPr="00C965DD">
        <w:rPr>
          <w:i/>
          <w:iCs/>
          <w:color w:val="000000" w:themeColor="text1"/>
        </w:rPr>
        <w:t>“</w:t>
      </w:r>
      <w:r w:rsidR="005770D2" w:rsidRPr="00C965DD">
        <w:rPr>
          <w:i/>
          <w:iCs/>
          <w:color w:val="000000" w:themeColor="text1"/>
        </w:rPr>
        <w:t>Responses to our Call for Evidence noted the importance of teaching methods in enterprise education, and specifically the need to adopt an active, hands-on approach, rather than more traditional abstract and purely knowledge-based methods. One popular and effective approach is to build educational programmes around the journey of starting a business”</w:t>
      </w:r>
      <w:r w:rsidR="005770D2" w:rsidRPr="00C965DD">
        <w:rPr>
          <w:color w:val="000000" w:themeColor="text1"/>
        </w:rPr>
        <w:t xml:space="preserve"> </w:t>
      </w:r>
      <w:r w:rsidR="00FC0055" w:rsidRPr="00C965DD">
        <w:rPr>
          <w:color w:val="000000" w:themeColor="text1"/>
        </w:rPr>
        <w:fldChar w:fldCharType="begin" w:fldLock="1"/>
      </w:r>
      <w:r w:rsidR="00E22EF7" w:rsidRPr="00C965DD">
        <w:rPr>
          <w:color w:val="000000" w:themeColor="text1"/>
        </w:rPr>
        <w:instrText>ADDIN CSL_CITATION {"citationItems":[{"id":"ITEM-1","itemData":{"ISBN":"9781845424794","author":[{"dropping-particle":"","family":"Conway","given":"Finn","non-dropping-particle":"","parse-names":false,"suffix":""}],"container-title":"Entrepreneurship education","id":"ITEM-1","issue":"June","issued":{"date-parts":[["2022"]]},"publisher-place":"London, UK","title":"Entrepreneurship education","type":"report"},"locator":"4","uris":["http://www.mendeley.com/documents/?uuid=235a8747-7248-4935-a8ec-bcb1c5ddff6c"]}],"mendeley":{"formattedCitation":"(Conway, 2022, p. 4)","plainTextFormattedCitation":"(Conway, 2022, p. 4)","previouslyFormattedCitation":"(Conway, 2022, p. 4)"},"properties":{"noteIndex":0},"schema":"https://github.com/citation-style-language/schema/raw/master/csl-citation.json"}</w:instrText>
      </w:r>
      <w:r w:rsidR="00FC0055" w:rsidRPr="00C965DD">
        <w:rPr>
          <w:color w:val="000000" w:themeColor="text1"/>
        </w:rPr>
        <w:fldChar w:fldCharType="separate"/>
      </w:r>
      <w:r w:rsidR="00FC0055" w:rsidRPr="00C965DD">
        <w:rPr>
          <w:noProof/>
          <w:color w:val="000000" w:themeColor="text1"/>
        </w:rPr>
        <w:t>(Conway, 2022, p. 4)</w:t>
      </w:r>
      <w:r w:rsidR="00FC0055" w:rsidRPr="00C965DD">
        <w:rPr>
          <w:color w:val="000000" w:themeColor="text1"/>
        </w:rPr>
        <w:fldChar w:fldCharType="end"/>
      </w:r>
      <w:r w:rsidR="005770D2" w:rsidRPr="00C965DD">
        <w:rPr>
          <w:i/>
          <w:iCs/>
          <w:color w:val="000000" w:themeColor="text1"/>
        </w:rPr>
        <w:t>.</w:t>
      </w:r>
      <w:r w:rsidRPr="00C965DD">
        <w:rPr>
          <w:i/>
          <w:iCs/>
          <w:color w:val="000000" w:themeColor="text1"/>
        </w:rPr>
        <w:t xml:space="preserve"> </w:t>
      </w:r>
    </w:p>
    <w:p w14:paraId="0DDB1C6C" w14:textId="095A361D" w:rsidR="008C00A7" w:rsidRPr="00C965DD" w:rsidRDefault="00E17C3F" w:rsidP="00B52317">
      <w:pPr>
        <w:rPr>
          <w:b/>
          <w:bCs/>
          <w:color w:val="000000" w:themeColor="text1"/>
        </w:rPr>
      </w:pPr>
      <w:r w:rsidRPr="00C965DD">
        <w:rPr>
          <w:color w:val="000000" w:themeColor="text1"/>
        </w:rPr>
        <w:t xml:space="preserve">But not all enterprise is entrepreneurship, and teaching </w:t>
      </w:r>
      <w:r w:rsidR="008C00A7" w:rsidRPr="00C965DD">
        <w:rPr>
          <w:color w:val="000000" w:themeColor="text1"/>
        </w:rPr>
        <w:t>enterprise through doing entrepreneurship—starting a business in school, for example—somewhat misses this distinction, setting up misconceptions of the totality of enterprising opportunity.</w:t>
      </w:r>
      <w:r w:rsidR="008C00A7" w:rsidRPr="00C965DD">
        <w:rPr>
          <w:b/>
          <w:bCs/>
          <w:color w:val="000000" w:themeColor="text1"/>
        </w:rPr>
        <w:t xml:space="preserve"> </w:t>
      </w:r>
    </w:p>
    <w:p w14:paraId="173E597B" w14:textId="407CB7EB" w:rsidR="00661CA6" w:rsidRPr="00C965DD" w:rsidRDefault="008C00A7" w:rsidP="00B52317">
      <w:pPr>
        <w:rPr>
          <w:color w:val="000000" w:themeColor="text1"/>
        </w:rPr>
      </w:pPr>
      <w:r w:rsidRPr="00C965DD">
        <w:rPr>
          <w:b/>
          <w:bCs/>
          <w:color w:val="000000" w:themeColor="text1"/>
        </w:rPr>
        <w:t xml:space="preserve">     </w:t>
      </w:r>
      <w:r w:rsidRPr="00C965DD">
        <w:rPr>
          <w:color w:val="000000" w:themeColor="text1"/>
        </w:rPr>
        <w:t>I</w:t>
      </w:r>
      <w:r w:rsidR="000D6ADC" w:rsidRPr="00C965DD">
        <w:rPr>
          <w:color w:val="000000" w:themeColor="text1"/>
        </w:rPr>
        <w:t xml:space="preserve">n Neck and Corbett’s </w:t>
      </w:r>
      <w:r w:rsidR="000D6ADC" w:rsidRPr="00C965DD">
        <w:rPr>
          <w:color w:val="000000" w:themeColor="text1"/>
        </w:rPr>
        <w:fldChar w:fldCharType="begin" w:fldLock="1"/>
      </w:r>
      <w:r w:rsidR="002326FF" w:rsidRPr="00C965DD">
        <w:rPr>
          <w:color w:val="000000" w:themeColor="text1"/>
        </w:rPr>
        <w:instrText>ADDIN CSL_CITATION {"citationItems":[{"id":"ITEM-1","itemData":{"DOI":"10.1177/2515127417737286","ISSN":"2515-1274","abstract":"Entrepreneurship education (EE) research is not advancing as fast as general entrepreneurship because it is not subject to the same level of scholarship. Grounded in the Scholarship of Teaching and Learning from the field of adult education and using an expert Delphi Panel approach, we offer a glimpse into the minds of top entrepreneurship educators. We suggest studying EE through a teaching lens offers insights and elevates teaching as a form of scholarship on par with traditional, more accepted forms of research. Our Delphi analysis suggests a definition of EE as developing the mindset, skill set, and practice necessary for starting new ventures, yet acknowledging the outcomes of such education are far reaching. We introduce five continuums of EE that encourage a transition to teaching approaches based on adult learning, namely andragogy and heutagogy. Implications for entrepreneurship educator training, the need for practice, and the future of EE research are discussed.","author":[{"dropping-particle":"","family":"Neck","given":"Heidi M.","non-dropping-particle":"","parse-names":false,"suffix":""},{"dropping-particle":"","family":"Corbett","given":"Andrew C.","non-dropping-particle":"","parse-names":false,"suffix":""}],"container-title":"Entrepreneurship Education and Pedagogy","id":"ITEM-1","issue":"1","issued":{"date-parts":[["2018"]]},"page":"8-41","title":"The Scholarship of Teaching and Learning Entrepreneurship","type":"article-journal","volume":"1"},"suppress-author":1,"uris":["http://www.mendeley.com/documents/?uuid=fe2a9072-7f5b-4bcf-9996-99cdf7c714d7"]}],"mendeley":{"formattedCitation":"(2018)","plainTextFormattedCitation":"(2018)","previouslyFormattedCitation":"(2018)"},"properties":{"noteIndex":0},"schema":"https://github.com/citation-style-language/schema/raw/master/csl-citation.json"}</w:instrText>
      </w:r>
      <w:r w:rsidR="000D6ADC" w:rsidRPr="00C965DD">
        <w:rPr>
          <w:color w:val="000000" w:themeColor="text1"/>
        </w:rPr>
        <w:fldChar w:fldCharType="separate"/>
      </w:r>
      <w:r w:rsidR="000D6ADC" w:rsidRPr="00C965DD">
        <w:rPr>
          <w:noProof/>
          <w:color w:val="000000" w:themeColor="text1"/>
        </w:rPr>
        <w:t>(2018)</w:t>
      </w:r>
      <w:r w:rsidR="000D6ADC" w:rsidRPr="00C965DD">
        <w:rPr>
          <w:color w:val="000000" w:themeColor="text1"/>
        </w:rPr>
        <w:fldChar w:fldCharType="end"/>
      </w:r>
      <w:r w:rsidR="000D6ADC" w:rsidRPr="00C965DD">
        <w:rPr>
          <w:color w:val="000000" w:themeColor="text1"/>
        </w:rPr>
        <w:t xml:space="preserve"> study, a panel of 17 expert entrepreneurship educators revealed 16 different definitions of entrepreneurship, and no consensus</w:t>
      </w:r>
      <w:r w:rsidR="000D5865" w:rsidRPr="00C965DD">
        <w:rPr>
          <w:color w:val="000000" w:themeColor="text1"/>
        </w:rPr>
        <w:t xml:space="preserve"> (at least between the US and UK)</w:t>
      </w:r>
      <w:r w:rsidR="000D6ADC" w:rsidRPr="00C965DD">
        <w:rPr>
          <w:color w:val="000000" w:themeColor="text1"/>
        </w:rPr>
        <w:t xml:space="preserve"> over whether enterprise and entrepreneurship should be separated or combined. </w:t>
      </w:r>
      <w:r w:rsidR="003D7CD4" w:rsidRPr="00C965DD">
        <w:rPr>
          <w:color w:val="000000" w:themeColor="text1"/>
        </w:rPr>
        <w:t>This follow</w:t>
      </w:r>
      <w:r w:rsidR="000F7728" w:rsidRPr="00C965DD">
        <w:rPr>
          <w:color w:val="000000" w:themeColor="text1"/>
        </w:rPr>
        <w:t>ed</w:t>
      </w:r>
      <w:r w:rsidR="003D7CD4" w:rsidRPr="00C965DD">
        <w:rPr>
          <w:color w:val="000000" w:themeColor="text1"/>
        </w:rPr>
        <w:t xml:space="preserve"> </w:t>
      </w:r>
      <w:proofErr w:type="spellStart"/>
      <w:r w:rsidR="003D7CD4" w:rsidRPr="00C965DD">
        <w:rPr>
          <w:color w:val="000000" w:themeColor="text1"/>
        </w:rPr>
        <w:t>Hytti</w:t>
      </w:r>
      <w:proofErr w:type="spellEnd"/>
      <w:r w:rsidR="003D7CD4" w:rsidRPr="00C965DD">
        <w:rPr>
          <w:color w:val="000000" w:themeColor="text1"/>
        </w:rPr>
        <w:t xml:space="preserve"> and O’Gorman </w:t>
      </w:r>
      <w:r w:rsidR="003D7CD4" w:rsidRPr="00C965DD">
        <w:rPr>
          <w:color w:val="000000" w:themeColor="text1"/>
        </w:rPr>
        <w:fldChar w:fldCharType="begin" w:fldLock="1"/>
      </w:r>
      <w:r w:rsidR="00DC20AE" w:rsidRPr="00C965DD">
        <w:rPr>
          <w:color w:val="000000" w:themeColor="text1"/>
        </w:rPr>
        <w:instrText>ADDIN CSL_CITATION {"citationItems":[{"id":"ITEM-1","itemData":{"DOI":"10.1108/00400910410518188","ISSN":"00400912","abstract":"This paper explores what constitutes “enterprise education” in four European countries. It proposes a conceptual schema for capturing the various objectives of enterprise education programmes and initiatives. This conceptual schema is then used to categorise the objectives of 50 enterprise programmes from Austria, Finland, Ireland, and the UK. The paper reviews the teaching/learning methods used in these programmes. It discusses what factors are associated with “effective” enterprise education, illustrating the discussion with “best practice” from the programmes studied. The paper argues that in order to operate effective enterprise education programmes, policy makers and educators need a thorough understanding of the diverse and alternative aims and objectives of enterprise education interventions, of the alternative forms such interventions can take, and of the need to “train the trainers”. © 2004, Emerald Group Publishing Limited","author":[{"dropping-particle":"","family":"Hytti","given":"Ulla","non-dropping-particle":"","parse-names":false,"suffix":""},{"dropping-particle":"","family":"O’Gorman","given":"Colm","non-dropping-particle":"","parse-names":false,"suffix":""}],"container-title":"Education + Training","id":"ITEM-1","issue":"1","issued":{"date-parts":[["2004"]]},"page":"11-23","title":"What is “enterprise education”? An analysis of the objectives and methods of enterprise education programmes in four European countries","type":"article-journal","volume":"46"},"suppress-author":1,"uris":["http://www.mendeley.com/documents/?uuid=677ea362-599d-45ce-8d08-e4d0868c027b"]}],"mendeley":{"formattedCitation":"(2004)","plainTextFormattedCitation":"(2004)","previouslyFormattedCitation":"(2004)"},"properties":{"noteIndex":0},"schema":"https://github.com/citation-style-language/schema/raw/master/csl-citation.json"}</w:instrText>
      </w:r>
      <w:r w:rsidR="003D7CD4" w:rsidRPr="00C965DD">
        <w:rPr>
          <w:color w:val="000000" w:themeColor="text1"/>
        </w:rPr>
        <w:fldChar w:fldCharType="separate"/>
      </w:r>
      <w:r w:rsidR="003D7CD4" w:rsidRPr="00C965DD">
        <w:rPr>
          <w:noProof/>
          <w:color w:val="000000" w:themeColor="text1"/>
        </w:rPr>
        <w:t>(2004)</w:t>
      </w:r>
      <w:r w:rsidR="003D7CD4" w:rsidRPr="00C965DD">
        <w:rPr>
          <w:color w:val="000000" w:themeColor="text1"/>
        </w:rPr>
        <w:fldChar w:fldCharType="end"/>
      </w:r>
      <w:r w:rsidR="0016738B" w:rsidRPr="00C965DD">
        <w:rPr>
          <w:color w:val="000000" w:themeColor="text1"/>
        </w:rPr>
        <w:t>,</w:t>
      </w:r>
      <w:r w:rsidR="003D7CD4" w:rsidRPr="00C965DD">
        <w:rPr>
          <w:color w:val="000000" w:themeColor="text1"/>
        </w:rPr>
        <w:t xml:space="preserve"> </w:t>
      </w:r>
      <w:r w:rsidR="0016738B" w:rsidRPr="00C965DD">
        <w:rPr>
          <w:color w:val="000000" w:themeColor="text1"/>
        </w:rPr>
        <w:t xml:space="preserve">who </w:t>
      </w:r>
      <w:r w:rsidR="003D7CD4" w:rsidRPr="00C965DD">
        <w:rPr>
          <w:color w:val="000000" w:themeColor="text1"/>
        </w:rPr>
        <w:t>consider</w:t>
      </w:r>
      <w:r w:rsidR="0016738B" w:rsidRPr="00C965DD">
        <w:rPr>
          <w:color w:val="000000" w:themeColor="text1"/>
        </w:rPr>
        <w:t>ed</w:t>
      </w:r>
      <w:r w:rsidR="003D7CD4" w:rsidRPr="00C965DD">
        <w:rPr>
          <w:color w:val="000000" w:themeColor="text1"/>
        </w:rPr>
        <w:t xml:space="preserve"> enterprise education in a European context</w:t>
      </w:r>
      <w:r w:rsidR="000F7728" w:rsidRPr="00C965DD">
        <w:rPr>
          <w:color w:val="000000" w:themeColor="text1"/>
        </w:rPr>
        <w:t>, suggest</w:t>
      </w:r>
      <w:r w:rsidR="0016738B" w:rsidRPr="00C965DD">
        <w:rPr>
          <w:color w:val="000000" w:themeColor="text1"/>
        </w:rPr>
        <w:t xml:space="preserve">ing </w:t>
      </w:r>
      <w:r w:rsidR="000F7728" w:rsidRPr="00C965DD">
        <w:rPr>
          <w:color w:val="000000" w:themeColor="text1"/>
        </w:rPr>
        <w:t>there was some consensus that enterprise should take entrepreneurship as its starting point</w:t>
      </w:r>
      <w:r w:rsidR="003D7CD4" w:rsidRPr="00C965DD">
        <w:rPr>
          <w:color w:val="000000" w:themeColor="text1"/>
        </w:rPr>
        <w:t xml:space="preserve">. </w:t>
      </w:r>
      <w:r w:rsidRPr="00C965DD">
        <w:rPr>
          <w:color w:val="000000" w:themeColor="text1"/>
        </w:rPr>
        <w:t>Thus i</w:t>
      </w:r>
      <w:r w:rsidR="001B6DA3" w:rsidRPr="00C965DD">
        <w:rPr>
          <w:color w:val="000000" w:themeColor="text1"/>
        </w:rPr>
        <w:t>t seems l</w:t>
      </w:r>
      <w:r w:rsidR="00B52317" w:rsidRPr="00C965DD">
        <w:rPr>
          <w:color w:val="000000" w:themeColor="text1"/>
        </w:rPr>
        <w:t xml:space="preserve">ittle clarity has been gained in over a decade since Jones and </w:t>
      </w:r>
      <w:proofErr w:type="spellStart"/>
      <w:r w:rsidR="00B52317" w:rsidRPr="00C965DD">
        <w:rPr>
          <w:color w:val="000000" w:themeColor="text1"/>
        </w:rPr>
        <w:t>Iredale</w:t>
      </w:r>
      <w:proofErr w:type="spellEnd"/>
      <w:r w:rsidR="00B52317" w:rsidRPr="00C965DD">
        <w:rPr>
          <w:color w:val="000000" w:themeColor="text1"/>
        </w:rPr>
        <w:t xml:space="preserve"> </w:t>
      </w:r>
      <w:r w:rsidR="00B52317" w:rsidRPr="00C965DD">
        <w:rPr>
          <w:color w:val="000000" w:themeColor="text1"/>
        </w:rPr>
        <w:fldChar w:fldCharType="begin" w:fldLock="1"/>
      </w:r>
      <w:r w:rsidR="00624918" w:rsidRPr="00C965DD">
        <w:rPr>
          <w:color w:val="000000" w:themeColor="text1"/>
        </w:rPr>
        <w:instrText>ADDIN CSL_CITATION {"citationItems":[{"id":"ITEM-1","itemData":{"DOI":"10.1108/00400911011017654","ISBN":"0040091101101","ISSN":"00400912","abstract":"Purpose – This paper seeks to suggest that the most appropriate way to construe the concept of enterprise education is from a pedagogical viewpoint. Enterprise education as pedagogy is argued to be the most appropriate way to think about the concept and serves to demarcate it from entrepreneurship education, which is very much about business start</w:instrText>
      </w:r>
      <w:r w:rsidR="00624918" w:rsidRPr="00C965DD">
        <w:rPr>
          <w:rFonts w:hint="eastAsia"/>
          <w:color w:val="000000" w:themeColor="text1"/>
        </w:rPr>
        <w:instrText></w:instrText>
      </w:r>
      <w:r w:rsidR="00624918" w:rsidRPr="00C965DD">
        <w:rPr>
          <w:color w:val="000000" w:themeColor="text1"/>
        </w:rPr>
        <w:instrText>up and the new venture creation process. Design/methodology/approach – Enterprise education is underpinned by experiential action learning that can be in, outside and away from the normal classroom environment. It can be delivered across a range of subject areas throughout different phases of education. Findings – Enterprise and entrepreneurship education are perceived to be conflated terms that for many in the education and business communities mean much the same thing. Adopting an enterprise education approach allows greater pupil/student ownership of the learning process. Practical implications – Enterprise education as pedagogy advocates an approach to teaching where specific learning outcomes differ across and between different educational phases and subject areas but which has a clear and coherent philosophical underpinning. Originality/value – Enterprise education should not be equated solely with business, as it is a broader, deeper and richer concept. The theoretical import of the paper is in part a plea for a more rigorous, practically informed analysis of the different strands (pedagogy, entrepreneurship, citizenship and civic responsibility) that make up enterprise education. The paper also sets out the case for a more critical analysis of enterprise education. © 2010, Emerald Group Publishing Limited","author":[{"dropping-particle":"","family":"Jones","given":"Brian","non-dropping-particle":"","parse-names":false,"suffix":""},{"dropping-particle":"","family":"Iredale","given":"Norma","non-dropping-particle":"","parse-names":false,"suffix":""}],"container-title":"Education + Training","id":"ITEM-1","issue":"1","issued":{"date-parts":[["2010"]]},"page":"7-19","title":"Enterprise education as pedagogy","type":"article-journal","volume":"52"},"locator":"10","suppress-author":1,"uris":["http://www.mendeley.com/documents/?uuid=f5f407ab-08c5-4405-ad37-34fffd8a6f6d"]}],"mendeley":{"formattedCitation":"(2010, p. 10)","plainTextFormattedCitation":"(2010, p. 10)","previouslyFormattedCitation":"(2010, p. 10)"},"properties":{"noteIndex":0},"schema":"https://github.com/citation-style-language/schema/raw/master/csl-citation.json"}</w:instrText>
      </w:r>
      <w:r w:rsidR="00B52317" w:rsidRPr="00C965DD">
        <w:rPr>
          <w:color w:val="000000" w:themeColor="text1"/>
        </w:rPr>
        <w:fldChar w:fldCharType="separate"/>
      </w:r>
      <w:r w:rsidR="00B52317" w:rsidRPr="00C965DD">
        <w:rPr>
          <w:noProof/>
          <w:color w:val="000000" w:themeColor="text1"/>
        </w:rPr>
        <w:t>(2010, p. 10)</w:t>
      </w:r>
      <w:r w:rsidR="00B52317" w:rsidRPr="00C965DD">
        <w:rPr>
          <w:color w:val="000000" w:themeColor="text1"/>
        </w:rPr>
        <w:fldChar w:fldCharType="end"/>
      </w:r>
      <w:r w:rsidR="00B52317" w:rsidRPr="00C965DD">
        <w:rPr>
          <w:color w:val="000000" w:themeColor="text1"/>
        </w:rPr>
        <w:t xml:space="preserve"> contested that </w:t>
      </w:r>
      <w:r w:rsidR="00B52317" w:rsidRPr="00C965DD">
        <w:rPr>
          <w:i/>
          <w:iCs/>
          <w:color w:val="000000" w:themeColor="text1"/>
        </w:rPr>
        <w:t>“…Enterprise and entrepreneurship are often used interchangeably and this causes much confusion.”</w:t>
      </w:r>
      <w:r w:rsidR="00B8419D" w:rsidRPr="00C965DD">
        <w:rPr>
          <w:color w:val="000000" w:themeColor="text1"/>
        </w:rPr>
        <w:t xml:space="preserve"> </w:t>
      </w:r>
      <w:r w:rsidR="00095820" w:rsidRPr="00C965DD">
        <w:rPr>
          <w:color w:val="000000" w:themeColor="text1"/>
        </w:rPr>
        <w:t xml:space="preserve">Or the two decades since Gibb </w:t>
      </w:r>
      <w:r w:rsidR="00095820" w:rsidRPr="00C965DD">
        <w:rPr>
          <w:color w:val="000000" w:themeColor="text1"/>
        </w:rPr>
        <w:fldChar w:fldCharType="begin" w:fldLock="1"/>
      </w:r>
      <w:r w:rsidR="00DB63D4" w:rsidRPr="00C965DD">
        <w:rPr>
          <w:color w:val="000000" w:themeColor="text1"/>
        </w:rPr>
        <w:instrText>ADDIN CSL_CITATION {"citationItems":[{"id":"ITEM-1","itemData":{"author":[{"dropping-particle":"","family":"Gibb","given":"Allan A.","non-dropping-particle":"","parse-names":false,"suffix":""}],"container-title":"International Journal of Management Reviews","id":"ITEM-1","issue":"3","issued":{"date-parts":[["2002"]]},"page":"233-269","title":"In pursuit of a new 'enterprise' and 'entrepreneurship' paradigm for learning: creative destruction, new values, new ways of doing things and new combinations of knowledge","type":"article-journal","volume":"4"},"locator":"235","suppress-author":1,"uris":["http://www.mendeley.com/documents/?uuid=c52156c9-909b-42f5-95ea-500edaab2057"]}],"mendeley":{"formattedCitation":"(2002, p. 235)","plainTextFormattedCitation":"(2002, p. 235)","previouslyFormattedCitation":"(2002, p. 235)"},"properties":{"noteIndex":0},"schema":"https://github.com/citation-style-language/schema/raw/master/csl-citation.json"}</w:instrText>
      </w:r>
      <w:r w:rsidR="00095820" w:rsidRPr="00C965DD">
        <w:rPr>
          <w:color w:val="000000" w:themeColor="text1"/>
        </w:rPr>
        <w:fldChar w:fldCharType="separate"/>
      </w:r>
      <w:r w:rsidR="00095820" w:rsidRPr="00C965DD">
        <w:rPr>
          <w:noProof/>
          <w:color w:val="000000" w:themeColor="text1"/>
        </w:rPr>
        <w:t>(2002, p. 235)</w:t>
      </w:r>
      <w:r w:rsidR="00095820" w:rsidRPr="00C965DD">
        <w:rPr>
          <w:color w:val="000000" w:themeColor="text1"/>
        </w:rPr>
        <w:fldChar w:fldCharType="end"/>
      </w:r>
      <w:r w:rsidR="00095820" w:rsidRPr="00C965DD">
        <w:rPr>
          <w:color w:val="000000" w:themeColor="text1"/>
        </w:rPr>
        <w:t xml:space="preserve"> </w:t>
      </w:r>
      <w:r w:rsidR="0055018C" w:rsidRPr="00C965DD">
        <w:rPr>
          <w:color w:val="000000" w:themeColor="text1"/>
        </w:rPr>
        <w:t xml:space="preserve">reasoned there </w:t>
      </w:r>
      <w:r w:rsidR="001B6DA3" w:rsidRPr="00C965DD">
        <w:rPr>
          <w:color w:val="000000" w:themeColor="text1"/>
        </w:rPr>
        <w:t>was</w:t>
      </w:r>
      <w:r w:rsidR="0055018C" w:rsidRPr="00C965DD">
        <w:rPr>
          <w:color w:val="000000" w:themeColor="text1"/>
        </w:rPr>
        <w:t xml:space="preserve"> </w:t>
      </w:r>
      <w:r w:rsidR="0055018C" w:rsidRPr="00C965DD">
        <w:rPr>
          <w:i/>
          <w:iCs/>
          <w:color w:val="000000" w:themeColor="text1"/>
        </w:rPr>
        <w:t>“…no common agreement as to what pursuit of entrepreneurship and the enterprise culture means.”</w:t>
      </w:r>
      <w:r w:rsidR="0055018C" w:rsidRPr="00C965DD">
        <w:rPr>
          <w:color w:val="000000" w:themeColor="text1"/>
        </w:rPr>
        <w:t xml:space="preserve"> </w:t>
      </w:r>
      <w:r w:rsidR="006A231E" w:rsidRPr="00C965DD">
        <w:rPr>
          <w:color w:val="000000" w:themeColor="text1"/>
        </w:rPr>
        <w:t>Or the three decades</w:t>
      </w:r>
      <w:r w:rsidR="00DC20AE" w:rsidRPr="00C965DD">
        <w:rPr>
          <w:color w:val="000000" w:themeColor="text1"/>
        </w:rPr>
        <w:t xml:space="preserve"> since Gartner </w:t>
      </w:r>
      <w:r w:rsidR="00DC20AE" w:rsidRPr="00C965DD">
        <w:rPr>
          <w:color w:val="000000" w:themeColor="text1"/>
        </w:rPr>
        <w:fldChar w:fldCharType="begin" w:fldLock="1"/>
      </w:r>
      <w:r w:rsidR="00EB6CBD" w:rsidRPr="00C965DD">
        <w:rPr>
          <w:color w:val="000000" w:themeColor="text1"/>
        </w:rPr>
        <w:instrText>ADDIN CSL_CITATION {"citationItems":[{"id":"ITEM-1","itemData":{"abstract":"Entrepreneurship is the creation of organizations. What differentiates entrepreneurs from non-entrepreneurs is that entrepreneurs create organizations, while non-entre-preneurs dr not. In behavioral approaches to the study of entrepreneurship an entre-preneur is seen as a set of activities involved in organization creation, while in trait approaches an entrepreneur is a set of personality traits and characteristics. This paper argues that trait approaches have been unfruitful and that behavioral ap-proaches will be a more productive perspective for future research in entrepreneur-ship.","author":[{"dropping-particle":"","family":"Gartner","given":"William B.","non-dropping-particle":"","parse-names":false,"suffix":""}],"container-title":"American Journal of Small Business","id":"ITEM-1","issue":"4","issued":{"date-parts":[["1988"]]},"page":"11-32","title":"\"Who is an entrepreneur?\" Is the wrong question","type":"article-journal","volume":"12"},"suppress-author":1,"uris":["http://www.mendeley.com/documents/?uuid=8b8131d6-3c42-4b57-a88d-9d4c3f1079d7"]}],"mendeley":{"formattedCitation":"(1988)","plainTextFormattedCitation":"(1988)","previouslyFormattedCitation":"(1988)"},"properties":{"noteIndex":0},"schema":"https://github.com/citation-style-language/schema/raw/master/csl-citation.json"}</w:instrText>
      </w:r>
      <w:r w:rsidR="00DC20AE" w:rsidRPr="00C965DD">
        <w:rPr>
          <w:color w:val="000000" w:themeColor="text1"/>
        </w:rPr>
        <w:fldChar w:fldCharType="separate"/>
      </w:r>
      <w:r w:rsidR="00DC20AE" w:rsidRPr="00C965DD">
        <w:rPr>
          <w:noProof/>
          <w:color w:val="000000" w:themeColor="text1"/>
        </w:rPr>
        <w:t>(1988)</w:t>
      </w:r>
      <w:r w:rsidR="00DC20AE" w:rsidRPr="00C965DD">
        <w:rPr>
          <w:color w:val="000000" w:themeColor="text1"/>
        </w:rPr>
        <w:fldChar w:fldCharType="end"/>
      </w:r>
      <w:r w:rsidR="00DC20AE" w:rsidRPr="00C965DD">
        <w:rPr>
          <w:color w:val="000000" w:themeColor="text1"/>
        </w:rPr>
        <w:t xml:space="preserve"> </w:t>
      </w:r>
      <w:r w:rsidR="00661CA6" w:rsidRPr="00C965DD">
        <w:rPr>
          <w:color w:val="000000" w:themeColor="text1"/>
        </w:rPr>
        <w:t>reviewed some of the (academic) attempts at the</w:t>
      </w:r>
      <w:r w:rsidR="00DC20AE" w:rsidRPr="00C965DD">
        <w:rPr>
          <w:color w:val="000000" w:themeColor="text1"/>
        </w:rPr>
        <w:t xml:space="preserve"> identification of the entrepreneur from </w:t>
      </w:r>
      <w:r w:rsidR="0016738B" w:rsidRPr="00C965DD">
        <w:rPr>
          <w:color w:val="000000" w:themeColor="text1"/>
        </w:rPr>
        <w:t xml:space="preserve">among </w:t>
      </w:r>
      <w:r w:rsidR="00DC20AE" w:rsidRPr="00C965DD">
        <w:rPr>
          <w:color w:val="000000" w:themeColor="text1"/>
        </w:rPr>
        <w:t>those other</w:t>
      </w:r>
      <w:r w:rsidR="00661CA6" w:rsidRPr="00C965DD">
        <w:rPr>
          <w:color w:val="000000" w:themeColor="text1"/>
        </w:rPr>
        <w:t>s—</w:t>
      </w:r>
      <w:r w:rsidR="00DC20AE" w:rsidRPr="00C965DD">
        <w:rPr>
          <w:color w:val="000000" w:themeColor="text1"/>
        </w:rPr>
        <w:t>non-entrepreneurs</w:t>
      </w:r>
      <w:r w:rsidR="00661CA6" w:rsidRPr="00C965DD">
        <w:rPr>
          <w:color w:val="000000" w:themeColor="text1"/>
        </w:rPr>
        <w:t>—</w:t>
      </w:r>
      <w:r w:rsidR="00DC20AE" w:rsidRPr="00C965DD">
        <w:rPr>
          <w:color w:val="000000" w:themeColor="text1"/>
        </w:rPr>
        <w:t>also</w:t>
      </w:r>
      <w:r w:rsidR="00661CA6" w:rsidRPr="00C965DD">
        <w:rPr>
          <w:color w:val="000000" w:themeColor="text1"/>
        </w:rPr>
        <w:t xml:space="preserve"> </w:t>
      </w:r>
      <w:r w:rsidR="00DC20AE" w:rsidRPr="00C965DD">
        <w:rPr>
          <w:color w:val="000000" w:themeColor="text1"/>
        </w:rPr>
        <w:t>engaged in the enterprising work of operating</w:t>
      </w:r>
      <w:r w:rsidR="00661CA6" w:rsidRPr="00C965DD">
        <w:rPr>
          <w:color w:val="000000" w:themeColor="text1"/>
        </w:rPr>
        <w:t xml:space="preserve"> organisations</w:t>
      </w:r>
      <w:r w:rsidR="00961212" w:rsidRPr="00C965DD">
        <w:rPr>
          <w:color w:val="000000" w:themeColor="text1"/>
        </w:rPr>
        <w:t>.</w:t>
      </w:r>
    </w:p>
    <w:p w14:paraId="29DD40A8" w14:textId="108BFDD1" w:rsidR="00455533" w:rsidRPr="00C965DD" w:rsidRDefault="00661CA6" w:rsidP="00B52317">
      <w:pPr>
        <w:rPr>
          <w:color w:val="000000" w:themeColor="text1"/>
        </w:rPr>
      </w:pPr>
      <w:r w:rsidRPr="00C965DD">
        <w:rPr>
          <w:color w:val="000000" w:themeColor="text1"/>
        </w:rPr>
        <w:lastRenderedPageBreak/>
        <w:t xml:space="preserve">     </w:t>
      </w:r>
      <w:r w:rsidR="0055018C" w:rsidRPr="00C965DD">
        <w:rPr>
          <w:color w:val="000000" w:themeColor="text1"/>
        </w:rPr>
        <w:t>Is there any surprise, that without a common ground, there is little to appeal to teachers and managers in education</w:t>
      </w:r>
      <w:r w:rsidR="00961212" w:rsidRPr="00C965DD">
        <w:rPr>
          <w:color w:val="000000" w:themeColor="text1"/>
        </w:rPr>
        <w:t>,</w:t>
      </w:r>
      <w:r w:rsidR="0055018C" w:rsidRPr="00C965DD">
        <w:rPr>
          <w:color w:val="000000" w:themeColor="text1"/>
        </w:rPr>
        <w:t xml:space="preserve"> beyond </w:t>
      </w:r>
      <w:r w:rsidR="006A231E" w:rsidRPr="00C965DD">
        <w:rPr>
          <w:color w:val="000000" w:themeColor="text1"/>
        </w:rPr>
        <w:t>the subject’s</w:t>
      </w:r>
      <w:r w:rsidR="00D208F5" w:rsidRPr="00C965DD">
        <w:rPr>
          <w:color w:val="000000" w:themeColor="text1"/>
        </w:rPr>
        <w:t xml:space="preserve"> ‘academic corner’ in the many and varied business and management schools</w:t>
      </w:r>
      <w:r w:rsidR="007E6CC7" w:rsidRPr="00C965DD">
        <w:rPr>
          <w:color w:val="000000" w:themeColor="text1"/>
        </w:rPr>
        <w:t>?</w:t>
      </w:r>
      <w:r w:rsidR="00D208F5" w:rsidRPr="00C965DD">
        <w:rPr>
          <w:color w:val="000000" w:themeColor="text1"/>
        </w:rPr>
        <w:t xml:space="preserve"> </w:t>
      </w:r>
      <w:r w:rsidR="007E6CC7" w:rsidRPr="00C965DD">
        <w:rPr>
          <w:color w:val="000000" w:themeColor="text1"/>
        </w:rPr>
        <w:t>T</w:t>
      </w:r>
      <w:r w:rsidR="00D208F5" w:rsidRPr="00C965DD">
        <w:rPr>
          <w:color w:val="000000" w:themeColor="text1"/>
        </w:rPr>
        <w:t xml:space="preserve">he broad nature and potential of </w:t>
      </w:r>
      <w:r w:rsidR="00B8419D" w:rsidRPr="00C965DD">
        <w:rPr>
          <w:color w:val="000000" w:themeColor="text1"/>
        </w:rPr>
        <w:t>a</w:t>
      </w:r>
      <w:r w:rsidR="00C20A35" w:rsidRPr="00C965DD">
        <w:rPr>
          <w:color w:val="000000" w:themeColor="text1"/>
        </w:rPr>
        <w:t>n</w:t>
      </w:r>
      <w:r w:rsidR="00B8419D" w:rsidRPr="00C965DD">
        <w:rPr>
          <w:color w:val="000000" w:themeColor="text1"/>
        </w:rPr>
        <w:t xml:space="preserve"> </w:t>
      </w:r>
      <w:r w:rsidR="00D208F5" w:rsidRPr="00C965DD">
        <w:rPr>
          <w:color w:val="000000" w:themeColor="text1"/>
        </w:rPr>
        <w:t xml:space="preserve">enterprise education becomes lost in the </w:t>
      </w:r>
      <w:r w:rsidR="00961212" w:rsidRPr="00C965DD">
        <w:rPr>
          <w:color w:val="000000" w:themeColor="text1"/>
        </w:rPr>
        <w:t xml:space="preserve">chimera-like </w:t>
      </w:r>
      <w:r w:rsidR="00D208F5" w:rsidRPr="00C965DD">
        <w:rPr>
          <w:color w:val="000000" w:themeColor="text1"/>
        </w:rPr>
        <w:t xml:space="preserve">capitalist agenda of </w:t>
      </w:r>
      <w:r w:rsidR="009C5E92" w:rsidRPr="00C965DD">
        <w:rPr>
          <w:color w:val="000000" w:themeColor="text1"/>
        </w:rPr>
        <w:t xml:space="preserve">business creation, seemingly at all costs. </w:t>
      </w:r>
      <w:r w:rsidR="00337FB6" w:rsidRPr="00C965DD">
        <w:rPr>
          <w:color w:val="000000" w:themeColor="text1"/>
        </w:rPr>
        <w:t xml:space="preserve">Here, Frederiksen and Berglund </w:t>
      </w:r>
      <w:r w:rsidR="00337FB6" w:rsidRPr="00C965DD">
        <w:rPr>
          <w:color w:val="000000" w:themeColor="text1"/>
        </w:rPr>
        <w:fldChar w:fldCharType="begin" w:fldLock="1"/>
      </w:r>
      <w:r w:rsidR="008F6616" w:rsidRPr="00C965DD">
        <w:rPr>
          <w:color w:val="000000" w:themeColor="text1"/>
        </w:rPr>
        <w:instrText>ADDIN CSL_CITATION {"citationItems":[{"id":"ITEM-1","itemData":{"DOI":"10.1177/0266242619889527","ISSN":"17412870","abstract":"Entrepreneurship education (EE) theory and practice show increasing interest in the concept of identity work as integral to entrepreneurial learning. EE offers various approaches to guiding students towards entrepreneurial identities, but critics note that these meet neoliberal manifestations of the entrepreneurial self, leaving little room for alternative identities to be cultivated in EE. Concerned with this critique, we aim to contribute to the EE literature through a detailed investigation of the identity work practices enacted in a case of EE, which explicitly seeks to facilitate the entrepreneurial identity construction of students. Through an in-depth analysis of teacher–student interactions, we identify three practices: setting new rules to activate the entrepreneurial self, playing by the rules by figuring the script and bending the rules protecting the self. Our analysis highlights the significance of resistance and notions of authenticity, which leads us to rethink the meaning and conditions of entrepreneurial identity work in EE.","author":[{"dropping-particle":"","family":"Frederiksen","given":"Signe Hedeboe","non-dropping-particle":"","parse-names":false,"suffix":""},{"dropping-particle":"","family":"Berglund","given":"Karin","non-dropping-particle":"","parse-names":false,"suffix":""}],"container-title":"International Small Business Journal: Researching Entrepreneurship","id":"ITEM-1","issue":"4","issued":{"date-parts":[["2020"]]},"page":"271-292","title":"Identity work in entrepreneurship education: Activating, scripting and resisting the entrepreneurial self","type":"article-journal","volume":"38"},"suppress-author":1,"uris":["http://www.mendeley.com/documents/?uuid=d19e4194-578a-4d63-b175-40b7e59c65df"]}],"mendeley":{"formattedCitation":"(2020)","plainTextFormattedCitation":"(2020)","previouslyFormattedCitation":"(2020)"},"properties":{"noteIndex":0},"schema":"https://github.com/citation-style-language/schema/raw/master/csl-citation.json"}</w:instrText>
      </w:r>
      <w:r w:rsidR="00337FB6" w:rsidRPr="00C965DD">
        <w:rPr>
          <w:color w:val="000000" w:themeColor="text1"/>
        </w:rPr>
        <w:fldChar w:fldCharType="separate"/>
      </w:r>
      <w:r w:rsidR="00337FB6" w:rsidRPr="00C965DD">
        <w:rPr>
          <w:noProof/>
          <w:color w:val="000000" w:themeColor="text1"/>
        </w:rPr>
        <w:t>(2020)</w:t>
      </w:r>
      <w:r w:rsidR="00337FB6" w:rsidRPr="00C965DD">
        <w:rPr>
          <w:color w:val="000000" w:themeColor="text1"/>
        </w:rPr>
        <w:fldChar w:fldCharType="end"/>
      </w:r>
      <w:r w:rsidR="00337FB6" w:rsidRPr="00C965DD">
        <w:rPr>
          <w:color w:val="000000" w:themeColor="text1"/>
        </w:rPr>
        <w:t xml:space="preserve"> noted a concern </w:t>
      </w:r>
      <w:r w:rsidR="000F14BC" w:rsidRPr="00C965DD">
        <w:rPr>
          <w:color w:val="000000" w:themeColor="text1"/>
        </w:rPr>
        <w:t>that</w:t>
      </w:r>
      <w:r w:rsidR="00887E17" w:rsidRPr="00C965DD">
        <w:rPr>
          <w:color w:val="000000" w:themeColor="text1"/>
        </w:rPr>
        <w:t xml:space="preserve"> such neoliberal </w:t>
      </w:r>
      <w:r w:rsidR="000F14BC" w:rsidRPr="00C965DD">
        <w:rPr>
          <w:color w:val="000000" w:themeColor="text1"/>
        </w:rPr>
        <w:t>drive</w:t>
      </w:r>
      <w:r w:rsidR="00C20A35" w:rsidRPr="00C965DD">
        <w:rPr>
          <w:color w:val="000000" w:themeColor="text1"/>
        </w:rPr>
        <w:t>s</w:t>
      </w:r>
      <w:r w:rsidR="000F14BC" w:rsidRPr="00C965DD">
        <w:rPr>
          <w:color w:val="000000" w:themeColor="text1"/>
        </w:rPr>
        <w:t xml:space="preserve"> to construct the (ideal student) entrepreneurial identity</w:t>
      </w:r>
      <w:r w:rsidR="00C20A35" w:rsidRPr="00C965DD">
        <w:rPr>
          <w:color w:val="000000" w:themeColor="text1"/>
        </w:rPr>
        <w:t xml:space="preserve">, </w:t>
      </w:r>
      <w:r w:rsidR="000F14BC" w:rsidRPr="00C965DD">
        <w:rPr>
          <w:color w:val="000000" w:themeColor="text1"/>
        </w:rPr>
        <w:t xml:space="preserve">risk obstructing the construction of alternative enterprising identities. </w:t>
      </w:r>
      <w:r w:rsidR="007E6CC7" w:rsidRPr="00C965DD">
        <w:rPr>
          <w:color w:val="000000" w:themeColor="text1"/>
        </w:rPr>
        <w:t>Are we not, then,</w:t>
      </w:r>
      <w:r w:rsidR="00026C48" w:rsidRPr="00C965DD">
        <w:rPr>
          <w:color w:val="000000" w:themeColor="text1"/>
        </w:rPr>
        <w:t xml:space="preserve"> in danger of</w:t>
      </w:r>
      <w:r w:rsidR="0035238A" w:rsidRPr="00C965DD">
        <w:rPr>
          <w:color w:val="000000" w:themeColor="text1"/>
        </w:rPr>
        <w:t xml:space="preserve"> simply</w:t>
      </w:r>
      <w:r w:rsidR="00026C48" w:rsidRPr="00C965DD">
        <w:rPr>
          <w:color w:val="000000" w:themeColor="text1"/>
        </w:rPr>
        <w:t xml:space="preserve"> </w:t>
      </w:r>
      <w:r w:rsidR="006A231E" w:rsidRPr="00C965DD">
        <w:rPr>
          <w:color w:val="000000" w:themeColor="text1"/>
        </w:rPr>
        <w:t>leading</w:t>
      </w:r>
      <w:r w:rsidR="00026C48" w:rsidRPr="00C965DD">
        <w:rPr>
          <w:color w:val="000000" w:themeColor="text1"/>
        </w:rPr>
        <w:t xml:space="preserve"> many </w:t>
      </w:r>
      <w:r w:rsidR="008B73A4" w:rsidRPr="00C965DD">
        <w:rPr>
          <w:color w:val="000000" w:themeColor="text1"/>
        </w:rPr>
        <w:t xml:space="preserve">young </w:t>
      </w:r>
      <w:r w:rsidR="00026C48" w:rsidRPr="00C965DD">
        <w:rPr>
          <w:color w:val="000000" w:themeColor="text1"/>
        </w:rPr>
        <w:t>students, as s</w:t>
      </w:r>
      <w:r w:rsidR="005059C0" w:rsidRPr="00C965DD">
        <w:rPr>
          <w:color w:val="000000" w:themeColor="text1"/>
        </w:rPr>
        <w:t>quare pegs</w:t>
      </w:r>
      <w:r w:rsidR="009C1E86" w:rsidRPr="00C965DD">
        <w:rPr>
          <w:color w:val="000000" w:themeColor="text1"/>
        </w:rPr>
        <w:t xml:space="preserve"> yet to be whittled into shape</w:t>
      </w:r>
      <w:r w:rsidR="0035238A" w:rsidRPr="00C965DD">
        <w:rPr>
          <w:color w:val="000000" w:themeColor="text1"/>
        </w:rPr>
        <w:t>,</w:t>
      </w:r>
      <w:r w:rsidR="005059C0" w:rsidRPr="00C965DD">
        <w:rPr>
          <w:color w:val="000000" w:themeColor="text1"/>
        </w:rPr>
        <w:t xml:space="preserve"> </w:t>
      </w:r>
      <w:r w:rsidR="00E20CFF" w:rsidRPr="00C965DD">
        <w:rPr>
          <w:color w:val="000000" w:themeColor="text1"/>
        </w:rPr>
        <w:t>toward</w:t>
      </w:r>
      <w:r w:rsidR="00026C48" w:rsidRPr="00C965DD">
        <w:rPr>
          <w:color w:val="000000" w:themeColor="text1"/>
        </w:rPr>
        <w:t xml:space="preserve"> the</w:t>
      </w:r>
      <w:r w:rsidR="009C5E92" w:rsidRPr="00C965DD">
        <w:rPr>
          <w:color w:val="000000" w:themeColor="text1"/>
        </w:rPr>
        <w:t xml:space="preserve"> ill-considered,</w:t>
      </w:r>
      <w:r w:rsidR="00026C48" w:rsidRPr="00C965DD">
        <w:rPr>
          <w:color w:val="000000" w:themeColor="text1"/>
        </w:rPr>
        <w:t xml:space="preserve"> educational equivalent of a</w:t>
      </w:r>
      <w:r w:rsidR="007E6CC7" w:rsidRPr="00C965DD">
        <w:rPr>
          <w:color w:val="000000" w:themeColor="text1"/>
        </w:rPr>
        <w:t xml:space="preserve"> plethora of</w:t>
      </w:r>
      <w:r w:rsidR="005059C0" w:rsidRPr="00C965DD">
        <w:rPr>
          <w:color w:val="000000" w:themeColor="text1"/>
        </w:rPr>
        <w:t xml:space="preserve"> round hole</w:t>
      </w:r>
      <w:r w:rsidR="007E6CC7" w:rsidRPr="00C965DD">
        <w:rPr>
          <w:color w:val="000000" w:themeColor="text1"/>
        </w:rPr>
        <w:t>s</w:t>
      </w:r>
      <w:r w:rsidR="009C1E86" w:rsidRPr="00C965DD">
        <w:rPr>
          <w:color w:val="000000" w:themeColor="text1"/>
        </w:rPr>
        <w:t>, all somewhat smaller than a single peg’s potential</w:t>
      </w:r>
      <w:r w:rsidR="00026C48" w:rsidRPr="00C965DD">
        <w:rPr>
          <w:color w:val="000000" w:themeColor="text1"/>
        </w:rPr>
        <w:t>?</w:t>
      </w:r>
      <w:r w:rsidR="005059C0" w:rsidRPr="00C965DD">
        <w:rPr>
          <w:color w:val="000000" w:themeColor="text1"/>
        </w:rPr>
        <w:t xml:space="preserve"> </w:t>
      </w:r>
    </w:p>
    <w:p w14:paraId="19BD4516" w14:textId="0E0F7CE0" w:rsidR="000068DB" w:rsidRPr="00C965DD" w:rsidRDefault="00455533" w:rsidP="00D1684D">
      <w:pPr>
        <w:rPr>
          <w:color w:val="000000" w:themeColor="text1"/>
        </w:rPr>
      </w:pPr>
      <w:r w:rsidRPr="00C965DD">
        <w:rPr>
          <w:color w:val="000000" w:themeColor="text1"/>
        </w:rPr>
        <w:t xml:space="preserve">     In the </w:t>
      </w:r>
      <w:r w:rsidR="00FA1019" w:rsidRPr="00C965DD">
        <w:rPr>
          <w:color w:val="000000" w:themeColor="text1"/>
        </w:rPr>
        <w:t xml:space="preserve">UK </w:t>
      </w:r>
      <w:r w:rsidRPr="00C965DD">
        <w:rPr>
          <w:color w:val="000000" w:themeColor="text1"/>
        </w:rPr>
        <w:t xml:space="preserve">entrepreneurship camp of EE education, </w:t>
      </w:r>
      <w:r w:rsidR="00FA1019" w:rsidRPr="00C965DD">
        <w:rPr>
          <w:color w:val="000000" w:themeColor="text1"/>
        </w:rPr>
        <w:t xml:space="preserve">Burns </w:t>
      </w:r>
      <w:r w:rsidR="00FA1019" w:rsidRPr="00C965DD">
        <w:rPr>
          <w:color w:val="000000" w:themeColor="text1"/>
        </w:rPr>
        <w:fldChar w:fldCharType="begin" w:fldLock="1"/>
      </w:r>
      <w:r w:rsidR="00FA1019" w:rsidRPr="00C965DD">
        <w:rPr>
          <w:color w:val="000000" w:themeColor="text1"/>
        </w:rPr>
        <w:instrText>ADDIN CSL_CITATION {"citationItems":[{"id":"ITEM-1","itemData":{"author":[{"dropping-particle":"","family":"Burns","given":"Paul","non-dropping-particle":"","parse-names":false,"suffix":""}],"edition":"4th ed.","id":"ITEM-1","issued":{"date-parts":[["2016"]]},"publisher":"Palgrave Macmillan","title":"Entrepreneurship and small business : start-up, growth and maturity","type":"book"},"locator":"7","suppress-author":1,"uris":["http://www.mendeley.com/documents/?uuid=684fc8a5-515a-4171-abb4-9ab17eea3c73"]}],"mendeley":{"formattedCitation":"(2016, p. 7)","plainTextFormattedCitation":"(2016, p. 7)","previouslyFormattedCitation":"(2016, p. 7)"},"properties":{"noteIndex":0},"schema":"https://github.com/citation-style-language/schema/raw/master/csl-citation.json"}</w:instrText>
      </w:r>
      <w:r w:rsidR="00FA1019" w:rsidRPr="00C965DD">
        <w:rPr>
          <w:color w:val="000000" w:themeColor="text1"/>
        </w:rPr>
        <w:fldChar w:fldCharType="separate"/>
      </w:r>
      <w:r w:rsidR="00FA1019" w:rsidRPr="00C965DD">
        <w:rPr>
          <w:noProof/>
          <w:color w:val="000000" w:themeColor="text1"/>
        </w:rPr>
        <w:t>(2016, p. 7)</w:t>
      </w:r>
      <w:r w:rsidR="00FA1019" w:rsidRPr="00C965DD">
        <w:rPr>
          <w:color w:val="000000" w:themeColor="text1"/>
        </w:rPr>
        <w:fldChar w:fldCharType="end"/>
      </w:r>
      <w:r w:rsidRPr="00C965DD">
        <w:rPr>
          <w:color w:val="000000" w:themeColor="text1"/>
        </w:rPr>
        <w:t xml:space="preserve"> said that increasing the supply of future entrepreneurs is </w:t>
      </w:r>
      <w:r w:rsidRPr="00C965DD">
        <w:rPr>
          <w:i/>
          <w:iCs/>
          <w:color w:val="000000" w:themeColor="text1"/>
        </w:rPr>
        <w:t>“probably one of the major challenges facing business schools in the 21</w:t>
      </w:r>
      <w:r w:rsidRPr="00C965DD">
        <w:rPr>
          <w:i/>
          <w:iCs/>
          <w:color w:val="000000" w:themeColor="text1"/>
          <w:vertAlign w:val="superscript"/>
        </w:rPr>
        <w:t>st</w:t>
      </w:r>
      <w:r w:rsidRPr="00C965DD">
        <w:rPr>
          <w:i/>
          <w:iCs/>
          <w:color w:val="000000" w:themeColor="text1"/>
        </w:rPr>
        <w:t xml:space="preserve"> century”</w:t>
      </w:r>
      <w:r w:rsidR="000068DB" w:rsidRPr="00C965DD">
        <w:rPr>
          <w:color w:val="000000" w:themeColor="text1"/>
        </w:rPr>
        <w:t xml:space="preserve"> Thus, i</w:t>
      </w:r>
      <w:r w:rsidR="005059C0" w:rsidRPr="00C965DD">
        <w:rPr>
          <w:color w:val="000000" w:themeColor="text1"/>
        </w:rPr>
        <w:t>f</w:t>
      </w:r>
      <w:r w:rsidR="00026C48" w:rsidRPr="00C965DD">
        <w:rPr>
          <w:color w:val="000000" w:themeColor="text1"/>
        </w:rPr>
        <w:t xml:space="preserve"> as a society </w:t>
      </w:r>
      <w:r w:rsidR="005059C0" w:rsidRPr="00C965DD">
        <w:rPr>
          <w:color w:val="000000" w:themeColor="text1"/>
        </w:rPr>
        <w:t xml:space="preserve">we </w:t>
      </w:r>
      <w:r w:rsidR="00026C48" w:rsidRPr="00C965DD">
        <w:rPr>
          <w:color w:val="000000" w:themeColor="text1"/>
        </w:rPr>
        <w:t>desire</w:t>
      </w:r>
      <w:r w:rsidR="005059C0" w:rsidRPr="00C965DD">
        <w:rPr>
          <w:color w:val="000000" w:themeColor="text1"/>
        </w:rPr>
        <w:t xml:space="preserve"> more </w:t>
      </w:r>
      <w:r w:rsidR="0035238A" w:rsidRPr="00C965DD">
        <w:rPr>
          <w:color w:val="000000" w:themeColor="text1"/>
        </w:rPr>
        <w:t>EE</w:t>
      </w:r>
      <w:r w:rsidR="00026C48" w:rsidRPr="00C965DD">
        <w:rPr>
          <w:color w:val="000000" w:themeColor="text1"/>
        </w:rPr>
        <w:t xml:space="preserve"> graduates,</w:t>
      </w:r>
      <w:r w:rsidR="005059C0" w:rsidRPr="00C965DD">
        <w:rPr>
          <w:color w:val="000000" w:themeColor="text1"/>
        </w:rPr>
        <w:t xml:space="preserve"> </w:t>
      </w:r>
      <w:r w:rsidR="00F51575">
        <w:rPr>
          <w:color w:val="000000" w:themeColor="text1"/>
        </w:rPr>
        <w:t xml:space="preserve">then </w:t>
      </w:r>
      <w:r w:rsidR="005059C0" w:rsidRPr="00C965DD">
        <w:rPr>
          <w:color w:val="000000" w:themeColor="text1"/>
        </w:rPr>
        <w:t xml:space="preserve">why </w:t>
      </w:r>
      <w:r w:rsidR="00FA1019" w:rsidRPr="00C965DD">
        <w:rPr>
          <w:color w:val="000000" w:themeColor="text1"/>
        </w:rPr>
        <w:t xml:space="preserve">do we </w:t>
      </w:r>
      <w:r w:rsidR="00C20A35" w:rsidRPr="00C965DD">
        <w:rPr>
          <w:color w:val="000000" w:themeColor="text1"/>
        </w:rPr>
        <w:t xml:space="preserve">seek to </w:t>
      </w:r>
      <w:r w:rsidR="00D15A8C" w:rsidRPr="00C965DD">
        <w:rPr>
          <w:color w:val="000000" w:themeColor="text1"/>
        </w:rPr>
        <w:t>recruit</w:t>
      </w:r>
      <w:r w:rsidR="005059C0" w:rsidRPr="00C965DD">
        <w:rPr>
          <w:color w:val="000000" w:themeColor="text1"/>
        </w:rPr>
        <w:t xml:space="preserve"> </w:t>
      </w:r>
      <w:r w:rsidR="00D15A8C" w:rsidRPr="00C965DD">
        <w:rPr>
          <w:color w:val="000000" w:themeColor="text1"/>
        </w:rPr>
        <w:t>students</w:t>
      </w:r>
      <w:r w:rsidR="005059C0" w:rsidRPr="00C965DD">
        <w:rPr>
          <w:color w:val="000000" w:themeColor="text1"/>
        </w:rPr>
        <w:t xml:space="preserve"> </w:t>
      </w:r>
      <w:r w:rsidR="0035238A" w:rsidRPr="00C965DD">
        <w:rPr>
          <w:color w:val="000000" w:themeColor="text1"/>
        </w:rPr>
        <w:t>into</w:t>
      </w:r>
      <w:r w:rsidR="005059C0" w:rsidRPr="00C965DD">
        <w:rPr>
          <w:color w:val="000000" w:themeColor="text1"/>
        </w:rPr>
        <w:t xml:space="preserve"> </w:t>
      </w:r>
      <w:r w:rsidR="00CB2E10" w:rsidRPr="00C965DD">
        <w:rPr>
          <w:color w:val="000000" w:themeColor="text1"/>
        </w:rPr>
        <w:t xml:space="preserve">HE </w:t>
      </w:r>
      <w:r w:rsidR="005059C0" w:rsidRPr="00C965DD">
        <w:rPr>
          <w:color w:val="000000" w:themeColor="text1"/>
        </w:rPr>
        <w:t xml:space="preserve">entrepreneurship </w:t>
      </w:r>
      <w:r w:rsidR="0035238A" w:rsidRPr="00C965DD">
        <w:rPr>
          <w:color w:val="000000" w:themeColor="text1"/>
        </w:rPr>
        <w:t>programmes</w:t>
      </w:r>
      <w:r w:rsidR="005059C0" w:rsidRPr="00C965DD">
        <w:rPr>
          <w:color w:val="000000" w:themeColor="text1"/>
        </w:rPr>
        <w:t xml:space="preserve"> if they are not</w:t>
      </w:r>
      <w:r w:rsidR="005770D2" w:rsidRPr="00C965DD">
        <w:rPr>
          <w:color w:val="000000" w:themeColor="text1"/>
        </w:rPr>
        <w:t xml:space="preserve"> (at least)</w:t>
      </w:r>
      <w:r w:rsidR="005059C0" w:rsidRPr="00C965DD">
        <w:rPr>
          <w:color w:val="000000" w:themeColor="text1"/>
        </w:rPr>
        <w:t xml:space="preserve"> initially engaged? Isn’t it better to </w:t>
      </w:r>
      <w:r w:rsidR="0011081D" w:rsidRPr="00C965DD">
        <w:rPr>
          <w:color w:val="000000" w:themeColor="text1"/>
        </w:rPr>
        <w:t>encourage</w:t>
      </w:r>
      <w:r w:rsidR="005059C0" w:rsidRPr="00C965DD">
        <w:rPr>
          <w:color w:val="000000" w:themeColor="text1"/>
        </w:rPr>
        <w:t xml:space="preserve"> engagement in a general enterprising sense first, and </w:t>
      </w:r>
      <w:r w:rsidR="009C5E92" w:rsidRPr="00C965DD">
        <w:rPr>
          <w:color w:val="000000" w:themeColor="text1"/>
        </w:rPr>
        <w:t xml:space="preserve">seek to </w:t>
      </w:r>
      <w:r w:rsidR="000068DB" w:rsidRPr="00C965DD">
        <w:rPr>
          <w:color w:val="000000" w:themeColor="text1"/>
        </w:rPr>
        <w:t>educate them about</w:t>
      </w:r>
      <w:r w:rsidR="005059C0" w:rsidRPr="00C965DD">
        <w:rPr>
          <w:color w:val="000000" w:themeColor="text1"/>
        </w:rPr>
        <w:t xml:space="preserve"> </w:t>
      </w:r>
      <w:r w:rsidR="00CB2E10" w:rsidRPr="00C965DD">
        <w:rPr>
          <w:color w:val="000000" w:themeColor="text1"/>
        </w:rPr>
        <w:t>EE’s</w:t>
      </w:r>
      <w:r w:rsidR="0035238A" w:rsidRPr="00C965DD">
        <w:rPr>
          <w:color w:val="000000" w:themeColor="text1"/>
        </w:rPr>
        <w:t xml:space="preserve"> full</w:t>
      </w:r>
      <w:r w:rsidR="005059C0" w:rsidRPr="00C965DD">
        <w:rPr>
          <w:color w:val="000000" w:themeColor="text1"/>
        </w:rPr>
        <w:t xml:space="preserve"> potential?</w:t>
      </w:r>
      <w:r w:rsidR="000068DB" w:rsidRPr="00C965DD">
        <w:rPr>
          <w:color w:val="000000" w:themeColor="text1"/>
        </w:rPr>
        <w:t xml:space="preserve"> </w:t>
      </w:r>
      <w:r w:rsidR="00CB2E10" w:rsidRPr="00C965DD">
        <w:rPr>
          <w:color w:val="000000" w:themeColor="text1"/>
        </w:rPr>
        <w:t>Here</w:t>
      </w:r>
      <w:r w:rsidR="00B51A46" w:rsidRPr="00C965DD">
        <w:rPr>
          <w:color w:val="000000" w:themeColor="text1"/>
        </w:rPr>
        <w:t xml:space="preserve"> is a paradox</w:t>
      </w:r>
      <w:r w:rsidR="000068DB" w:rsidRPr="00C965DD">
        <w:rPr>
          <w:color w:val="000000" w:themeColor="text1"/>
        </w:rPr>
        <w:t>. I</w:t>
      </w:r>
      <w:r w:rsidR="00B51A46" w:rsidRPr="00C965DD">
        <w:rPr>
          <w:color w:val="000000" w:themeColor="text1"/>
        </w:rPr>
        <w:t>ncreasingly</w:t>
      </w:r>
      <w:r w:rsidR="00827726" w:rsidRPr="00C965DD">
        <w:rPr>
          <w:color w:val="000000" w:themeColor="text1"/>
        </w:rPr>
        <w:t xml:space="preserve">, career indecision </w:t>
      </w:r>
      <w:r w:rsidR="0059224C" w:rsidRPr="00C965DD">
        <w:rPr>
          <w:color w:val="000000" w:themeColor="text1"/>
        </w:rPr>
        <w:t xml:space="preserve">(CI) </w:t>
      </w:r>
      <w:r w:rsidR="00827726" w:rsidRPr="00C965DD">
        <w:rPr>
          <w:color w:val="000000" w:themeColor="text1"/>
        </w:rPr>
        <w:t>is a factor in the lives of many young students</w:t>
      </w:r>
      <w:r w:rsidR="00443D81" w:rsidRPr="00C965DD">
        <w:rPr>
          <w:color w:val="000000" w:themeColor="text1"/>
        </w:rPr>
        <w:t>. I</w:t>
      </w:r>
      <w:r w:rsidR="00827726" w:rsidRPr="00C965DD">
        <w:rPr>
          <w:color w:val="000000" w:themeColor="text1"/>
        </w:rPr>
        <w:t>t is a core topic in the field of career development and counselling</w:t>
      </w:r>
      <w:r w:rsidR="00443D81" w:rsidRPr="00C965DD">
        <w:rPr>
          <w:color w:val="000000" w:themeColor="text1"/>
        </w:rPr>
        <w:t>, with</w:t>
      </w:r>
      <w:r w:rsidR="00FA1019" w:rsidRPr="00C965DD">
        <w:rPr>
          <w:color w:val="000000" w:themeColor="text1"/>
        </w:rPr>
        <w:t xml:space="preserve"> Xu and Bhang </w:t>
      </w:r>
      <w:r w:rsidR="00FA1019" w:rsidRPr="00C965DD">
        <w:rPr>
          <w:color w:val="000000" w:themeColor="text1"/>
        </w:rPr>
        <w:fldChar w:fldCharType="begin" w:fldLock="1"/>
      </w:r>
      <w:r w:rsidR="00FA1019" w:rsidRPr="00C965DD">
        <w:rPr>
          <w:color w:val="000000" w:themeColor="text1"/>
        </w:rPr>
        <w:instrText>ADDIN CSL_CITATION {"citationItems":[{"id":"ITEM-1","itemData":{"DOI":"10.1002/cdq.12159","ISSN":"21610045","abstract":"This article presents a comprehensive review of literature published between 2000 and 2017 relating to the theoretical and empirical progress of indecision structural models and assessment. Because career indecision remains a central topic for counseling, it is important for the field to achieve an updated understanding of relevant models and measurement. Based on their review, the authors found that factors of career indecision can be reliably and validly measured by three instruments: the Career Decision Difficulties Questionnaire, the Emotional and Personality Career Difficulties scale, and the Career Indecision Profile. Drawing from these results, the authors developed an integrative model of career indecision consisting of five factors: neuroticism/negative affectivity, choice/commitment anxiety, need for information, lack of readiness, and interpersonal conflicts. Implications and recommendations for practice and research are discussed in a global context.","author":[{"dropping-particle":"","family":"Xu","given":"Hui","non-dropping-particle":"","parse-names":false,"suffix":""},{"dropping-particle":"","family":"Bhang","given":"Cecile H.","non-dropping-particle":"","parse-names":false,"suffix":""}],"container-title":"Career Development Quarterly","id":"ITEM-1","issue":"1","issued":{"date-parts":[["2019"]]},"page":"2-20","title":"The Structure and Measurement of Career Indecision: A Critical Review","type":"article-journal","volume":"67"},"locator":"3","suppress-author":1,"uris":["http://www.mendeley.com/documents/?uuid=93d6c54f-4a28-4b24-b0d9-86e641382ddf"]}],"mendeley":{"formattedCitation":"(2019, p. 3)","plainTextFormattedCitation":"(2019, p. 3)","previouslyFormattedCitation":"(2019, p. 3)"},"properties":{"noteIndex":0},"schema":"https://github.com/citation-style-language/schema/raw/master/csl-citation.json"}</w:instrText>
      </w:r>
      <w:r w:rsidR="00FA1019" w:rsidRPr="00C965DD">
        <w:rPr>
          <w:color w:val="000000" w:themeColor="text1"/>
        </w:rPr>
        <w:fldChar w:fldCharType="separate"/>
      </w:r>
      <w:r w:rsidR="00FA1019" w:rsidRPr="00C965DD">
        <w:rPr>
          <w:noProof/>
          <w:color w:val="000000" w:themeColor="text1"/>
        </w:rPr>
        <w:t>(2019, p. 3)</w:t>
      </w:r>
      <w:r w:rsidR="00FA1019" w:rsidRPr="00C965DD">
        <w:rPr>
          <w:color w:val="000000" w:themeColor="text1"/>
        </w:rPr>
        <w:fldChar w:fldCharType="end"/>
      </w:r>
      <w:r w:rsidR="00443D81" w:rsidRPr="00C965DD">
        <w:rPr>
          <w:color w:val="000000" w:themeColor="text1"/>
        </w:rPr>
        <w:t xml:space="preserve"> </w:t>
      </w:r>
      <w:r w:rsidR="00FA1019" w:rsidRPr="00C965DD">
        <w:rPr>
          <w:color w:val="000000" w:themeColor="text1"/>
        </w:rPr>
        <w:t xml:space="preserve">defining </w:t>
      </w:r>
      <w:r w:rsidR="0059224C" w:rsidRPr="00C965DD">
        <w:rPr>
          <w:color w:val="000000" w:themeColor="text1"/>
        </w:rPr>
        <w:t xml:space="preserve">CI </w:t>
      </w:r>
      <w:r w:rsidR="00443D81" w:rsidRPr="00C965DD">
        <w:rPr>
          <w:color w:val="000000" w:themeColor="text1"/>
        </w:rPr>
        <w:t xml:space="preserve">as </w:t>
      </w:r>
      <w:r w:rsidR="00443D81" w:rsidRPr="00C965DD">
        <w:rPr>
          <w:i/>
          <w:iCs/>
          <w:color w:val="000000" w:themeColor="text1"/>
        </w:rPr>
        <w:t>“a state of being undecided about one’s educational, occupational, or career-related path”</w:t>
      </w:r>
      <w:r w:rsidR="00CB2E10" w:rsidRPr="00C965DD">
        <w:rPr>
          <w:color w:val="000000" w:themeColor="text1"/>
        </w:rPr>
        <w:t>.</w:t>
      </w:r>
    </w:p>
    <w:p w14:paraId="723A0AD5" w14:textId="3E1B2F37" w:rsidR="005C7E10" w:rsidRPr="00C965DD" w:rsidRDefault="000068DB" w:rsidP="00D1684D">
      <w:pPr>
        <w:rPr>
          <w:color w:val="000000" w:themeColor="text1"/>
        </w:rPr>
      </w:pPr>
      <w:r w:rsidRPr="00C965DD">
        <w:rPr>
          <w:color w:val="000000" w:themeColor="text1"/>
        </w:rPr>
        <w:t xml:space="preserve">     </w:t>
      </w:r>
      <w:r w:rsidR="004475B6" w:rsidRPr="00C965DD">
        <w:rPr>
          <w:color w:val="000000" w:themeColor="text1"/>
        </w:rPr>
        <w:t xml:space="preserve">Faced with increasingly uncertain </w:t>
      </w:r>
      <w:r w:rsidR="000318C2" w:rsidRPr="00C965DD">
        <w:rPr>
          <w:color w:val="000000" w:themeColor="text1"/>
        </w:rPr>
        <w:t xml:space="preserve">and precarious </w:t>
      </w:r>
      <w:r w:rsidR="004475B6" w:rsidRPr="00C965DD">
        <w:rPr>
          <w:color w:val="000000" w:themeColor="text1"/>
        </w:rPr>
        <w:t>futures</w:t>
      </w:r>
      <w:r w:rsidR="000318C2" w:rsidRPr="00C965DD">
        <w:rPr>
          <w:color w:val="000000" w:themeColor="text1"/>
        </w:rPr>
        <w:t xml:space="preserve"> in the workplace </w:t>
      </w:r>
      <w:r w:rsidR="00A94BBB" w:rsidRPr="00C965DD">
        <w:rPr>
          <w:color w:val="000000" w:themeColor="text1"/>
        </w:rPr>
        <w:fldChar w:fldCharType="begin" w:fldLock="1"/>
      </w:r>
      <w:r w:rsidR="00A94BBB" w:rsidRPr="00C965DD">
        <w:rPr>
          <w:color w:val="000000" w:themeColor="text1"/>
        </w:rPr>
        <w:instrText>ADDIN CSL_CITATION {"citationItems":[{"id":"ITEM-1","itemData":{"abstract":"Around the world, young people face considerable challenges. Even before the disruption of the Covid-19 crisis, policymakers were seeking to respond to rapid technological advances, climate change and -- in some countries -- an ageing population and workforce. While children and young people worldwide generally have high aspirations and ambitions for their futures, evidence shows that they often face problematic and protracted transitions into work. In this context, new pathways from school to employment are needed. In this paper, we review extensive evidence to provide guidance on how children and young people can be best prepared to succeed in their school-to-work transitions, both now and in the future.","author":[{"dropping-particle":"","family":"Hughes","given":"Deirdre","non-dropping-particle":"","parse-names":false,"suffix":""},{"dropping-particle":"","family":"Smith","given":"Graeme","non-dropping-particle":"","parse-names":false,"suffix":""}],"container-title":"Education Development Trust","id":"ITEM-1","issued":{"date-parts":[["2020"]]},"publisher-place":"Reading, UK","title":"Youth Transitions: Creating Pathways to Success","type":"report"},"prefix":"for example: ","uris":["http://www.mendeley.com/documents/?uuid=581c80b0-7d79-47d8-9797-9f814a804e53"]},{"id":"ITEM-2","itemData":{"DOI":"10.1080/00220620.2020.1868981","ISSN":"14787431","abstract":"Workforce insecurity has significant implications for the role of school leaders and teachers preparing students for changing worlds of work. For educators to better prepare students to enter an increasingly casualised labour workforce, there first needs to be an acknowledgement of how students perceive themselves in relation to post-school life. Drawing on a study of approximately 2500 secondary school students in the Australian state of Victoria, the figure of homo promptus is presented as a figure of youth to understand the real and imagined characteristics of students as workers-in-the-making. Homo promptus is entrepreneurial and strategic, yet on ‘standby’ as short-termism problematises future planning. This figure is overlaid onto students’ perceptions of their own career identity relative to post-school aspirations and transitions. The emergence of homo promptus and the broader labour and education landscapes from which this conceptualisation has been developed have implications for school leaders, teachers and school-based careers advisors.","author":[{"dropping-particle":"","family":"Walsh","given":"Lucas","non-dropping-particle":"","parse-names":false,"suffix":""},{"dropping-particle":"","family":"Gleeson","given":"Joanne","non-dropping-particle":"","parse-names":false,"suffix":""}],"container-title":"Journal of Educational Administration and History","id":"ITEM-2","issue":"1","issued":{"date-parts":[["2022"]]},"page":"7-19","title":"Theorising and preparing students for precarity: how can leaders and educators better prepare students to enter an increasingly insecure workforce?","type":"article-journal","volume":"54"},"uris":["http://www.mendeley.com/documents/?uuid=9a5a5533-e342-4e27-8fc5-c63aa287db3f"]}],"mendeley":{"formattedCitation":"(for example: Hughes and Smith, 2020; Walsh and Gleeson, 2022)","plainTextFormattedCitation":"(for example: Hughes and Smith, 2020; Walsh and Gleeson, 2022)","previouslyFormattedCitation":"(for example: Hughes and Smith, 2020; Walsh and Gleeson, 2022)"},"properties":{"noteIndex":0},"schema":"https://github.com/citation-style-language/schema/raw/master/csl-citation.json"}</w:instrText>
      </w:r>
      <w:r w:rsidR="00A94BBB" w:rsidRPr="00C965DD">
        <w:rPr>
          <w:color w:val="000000" w:themeColor="text1"/>
        </w:rPr>
        <w:fldChar w:fldCharType="separate"/>
      </w:r>
      <w:r w:rsidR="00A94BBB" w:rsidRPr="00C965DD">
        <w:rPr>
          <w:noProof/>
          <w:color w:val="000000" w:themeColor="text1"/>
        </w:rPr>
        <w:t>(for example: Hughes and Smith, 2020; Walsh and Gleeson, 2022)</w:t>
      </w:r>
      <w:r w:rsidR="00A94BBB" w:rsidRPr="00C965DD">
        <w:rPr>
          <w:color w:val="000000" w:themeColor="text1"/>
        </w:rPr>
        <w:fldChar w:fldCharType="end"/>
      </w:r>
      <w:r w:rsidR="004475B6" w:rsidRPr="00C965DD">
        <w:rPr>
          <w:color w:val="000000" w:themeColor="text1"/>
        </w:rPr>
        <w:t xml:space="preserve">, undergraduates </w:t>
      </w:r>
      <w:r w:rsidR="00D15A8C" w:rsidRPr="00C965DD">
        <w:rPr>
          <w:color w:val="000000" w:themeColor="text1"/>
        </w:rPr>
        <w:t>o</w:t>
      </w:r>
      <w:r w:rsidR="004475B6" w:rsidRPr="00C965DD">
        <w:rPr>
          <w:color w:val="000000" w:themeColor="text1"/>
        </w:rPr>
        <w:t xml:space="preserve">n business school courses such as entrepreneurship, as opposed to enterprise, </w:t>
      </w:r>
      <w:r w:rsidR="000318C2" w:rsidRPr="00C965DD">
        <w:rPr>
          <w:color w:val="000000" w:themeColor="text1"/>
        </w:rPr>
        <w:t>may lack the</w:t>
      </w:r>
      <w:r w:rsidR="004475B6" w:rsidRPr="00C965DD">
        <w:rPr>
          <w:color w:val="000000" w:themeColor="text1"/>
        </w:rPr>
        <w:t xml:space="preserve"> prerequisite of entrepreneurial intent</w:t>
      </w:r>
      <w:r w:rsidR="008B73A4" w:rsidRPr="00C965DD">
        <w:rPr>
          <w:color w:val="000000" w:themeColor="text1"/>
        </w:rPr>
        <w:t xml:space="preserve"> (EI)</w:t>
      </w:r>
      <w:r w:rsidR="004475B6" w:rsidRPr="00C965DD">
        <w:rPr>
          <w:color w:val="000000" w:themeColor="text1"/>
        </w:rPr>
        <w:t xml:space="preserve"> that is not to be found in the minds of the undecided. </w:t>
      </w:r>
      <w:r w:rsidR="0046129D" w:rsidRPr="00C965DD">
        <w:rPr>
          <w:color w:val="000000" w:themeColor="text1"/>
        </w:rPr>
        <w:t xml:space="preserve">Here, as Hughes and Smith report: </w:t>
      </w:r>
      <w:r w:rsidR="0046129D" w:rsidRPr="00C965DD">
        <w:rPr>
          <w:i/>
          <w:iCs/>
          <w:color w:val="000000" w:themeColor="text1"/>
        </w:rPr>
        <w:t>“In a context where work itself is becoming so unpredictable, we must consider how young people can make good decisions about the opportunities and choices available to them”</w:t>
      </w:r>
      <w:r w:rsidR="0046129D" w:rsidRPr="00C965DD">
        <w:rPr>
          <w:color w:val="000000" w:themeColor="text1"/>
        </w:rPr>
        <w:t xml:space="preserve"> </w:t>
      </w:r>
      <w:r w:rsidR="00A94BBB" w:rsidRPr="00C965DD">
        <w:rPr>
          <w:color w:val="000000" w:themeColor="text1"/>
        </w:rPr>
        <w:fldChar w:fldCharType="begin" w:fldLock="1"/>
      </w:r>
      <w:r w:rsidR="000B27AD" w:rsidRPr="00C965DD">
        <w:rPr>
          <w:color w:val="000000" w:themeColor="text1"/>
        </w:rPr>
        <w:instrText>ADDIN CSL_CITATION {"citationItems":[{"id":"ITEM-1","itemData":{"abstract":"Around the world, young people face considerable challenges. Even before the disruption of the Covid-19 crisis, policymakers were seeking to respond to rapid technological advances, climate change and -- in some countries -- an ageing population and workforce. While children and young people worldwide generally have high aspirations and ambitions for their futures, evidence shows that they often face problematic and protracted transitions into work. In this context, new pathways from school to employment are needed. In this paper, we review extensive evidence to provide guidance on how children and young people can be best prepared to succeed in their school-to-work transitions, both now and in the future.","author":[{"dropping-particle":"","family":"Hughes","given":"Deirdre","non-dropping-particle":"","parse-names":false,"suffix":""},{"dropping-particle":"","family":"Smith","given":"Graeme","non-dropping-particle":"","parse-names":false,"suffix":""}],"container-title":"Education Development Trust","id":"ITEM-1","issued":{"date-parts":[["2020"]]},"publisher-place":"Reading, UK","title":"Youth Transitions: Creating Pathways to Success","type":"report"},"locator":"7","suppress-author":1,"uris":["http://www.mendeley.com/documents/?uuid=581c80b0-7d79-47d8-9797-9f814a804e53"]}],"mendeley":{"formattedCitation":"(2020, p. 7)","plainTextFormattedCitation":"(2020, p. 7)","previouslyFormattedCitation":"(2020, p. 7)"},"properties":{"noteIndex":0},"schema":"https://github.com/citation-style-language/schema/raw/master/csl-citation.json"}</w:instrText>
      </w:r>
      <w:r w:rsidR="00A94BBB" w:rsidRPr="00C965DD">
        <w:rPr>
          <w:color w:val="000000" w:themeColor="text1"/>
        </w:rPr>
        <w:fldChar w:fldCharType="separate"/>
      </w:r>
      <w:r w:rsidR="00FA1019" w:rsidRPr="00C965DD">
        <w:rPr>
          <w:noProof/>
          <w:color w:val="000000" w:themeColor="text1"/>
        </w:rPr>
        <w:t>(2020, p. 7)</w:t>
      </w:r>
      <w:r w:rsidR="00A94BBB" w:rsidRPr="00C965DD">
        <w:rPr>
          <w:color w:val="000000" w:themeColor="text1"/>
        </w:rPr>
        <w:fldChar w:fldCharType="end"/>
      </w:r>
      <w:r w:rsidR="0046129D" w:rsidRPr="00C965DD">
        <w:rPr>
          <w:color w:val="000000" w:themeColor="text1"/>
        </w:rPr>
        <w:t xml:space="preserve">. </w:t>
      </w:r>
      <w:r w:rsidR="00213A28" w:rsidRPr="00C965DD">
        <w:rPr>
          <w:color w:val="000000" w:themeColor="text1"/>
        </w:rPr>
        <w:t xml:space="preserve">While the literature suggests much can and has been </w:t>
      </w:r>
      <w:r w:rsidR="00213A28" w:rsidRPr="00C965DD">
        <w:rPr>
          <w:color w:val="000000" w:themeColor="text1"/>
        </w:rPr>
        <w:lastRenderedPageBreak/>
        <w:t xml:space="preserve">done to foster </w:t>
      </w:r>
      <w:r w:rsidR="008B73A4" w:rsidRPr="00C965DD">
        <w:rPr>
          <w:color w:val="000000" w:themeColor="text1"/>
        </w:rPr>
        <w:t>EI</w:t>
      </w:r>
      <w:r w:rsidR="00213A28" w:rsidRPr="00C965DD">
        <w:rPr>
          <w:color w:val="000000" w:themeColor="text1"/>
        </w:rPr>
        <w:t>, the</w:t>
      </w:r>
      <w:r w:rsidR="0006658D" w:rsidRPr="00C965DD">
        <w:rPr>
          <w:color w:val="000000" w:themeColor="text1"/>
        </w:rPr>
        <w:t xml:space="preserve"> rate of graduate entrepreneurship is low, with a variety of reasons offered </w:t>
      </w:r>
      <w:r w:rsidR="00CB2E10" w:rsidRPr="00C965DD">
        <w:rPr>
          <w:color w:val="000000" w:themeColor="text1"/>
        </w:rPr>
        <w:t>to</w:t>
      </w:r>
      <w:r w:rsidR="0006658D" w:rsidRPr="00C965DD">
        <w:rPr>
          <w:color w:val="000000" w:themeColor="text1"/>
        </w:rPr>
        <w:t xml:space="preserve"> support this finding</w:t>
      </w:r>
      <w:r w:rsidR="001C14A6" w:rsidRPr="00C965DD">
        <w:rPr>
          <w:color w:val="000000" w:themeColor="text1"/>
        </w:rPr>
        <w:t xml:space="preserve"> </w:t>
      </w:r>
      <w:r w:rsidR="001C14A6" w:rsidRPr="00C965DD">
        <w:rPr>
          <w:color w:val="000000" w:themeColor="text1"/>
        </w:rPr>
        <w:fldChar w:fldCharType="begin" w:fldLock="1"/>
      </w:r>
      <w:r w:rsidR="001C14A6" w:rsidRPr="00C965DD">
        <w:rPr>
          <w:color w:val="000000" w:themeColor="text1"/>
        </w:rPr>
        <w:instrText>ADDIN CSL_CITATION {"citationItems":[{"id":"ITEM-1","itemData":{"DOI":"10.1108/IJEBR-06-2019-0370","ISSN":"13552554","abstract":"Purpose: Start-up intention among university students is related to the image of entrepreneurship as a career alternative. University is critical in developing the levels of motivation and capabilities of graduates to effectively engage in entrepreneurial activity. The purpose of this paper is to propose an entrepreneurial intention model focussing on higher education and the implementation of the model as a practical digital application which can be used in universities to improve the entrepreneurial intention of students enrolled in different courses. Design/methodology/approach: This paper first discusses the importance of entrepreneurial intention in graduate entrepreneurship. Then, it proposes an entrepreneurial intention model based on the four propositions identified from the literature. Finally, the model is implemented as a practical digital application focussing on self-skill awareness, entrepreneurial resources and entrepreneurial support network. A survey is conducted with students to evaluate the model and the application. Findings: Entrepreneurial awareness found to have a positive effect of entrepreneurial intention. Besides the conceptual model, this study has developed a digital application to enhance entrepreneurial intention of students focussing on information technology discipline. The application is evaluated through an online survey and the results show that the application can significantly improve entrepreneurial intention. Originality/value: The proposed entrepreneurial intention model and the digital application offer guidance to universities as to how online systems can be used to create an environment that fosters individual intentions to select entrepreneurship as a career option, even for students doing non-entrepreneurial courses.","author":[{"dropping-particle":"","family":"Tomy","given":"Sarath","non-dropping-particle":"","parse-names":false,"suffix":""},{"dropping-particle":"","family":"Pardede","given":"Eric","non-dropping-particle":"","parse-names":false,"suffix":""}],"container-title":"International Journal of Entrepreneurial Behaviour and Research","id":"ITEM-1","issue":"7","issued":{"date-parts":[["2020"]]},"page":"1423-1447","title":"An entrepreneurial intention model focussing on higher education","type":"article-journal","volume":"26"},"locator":"1426","uris":["http://www.mendeley.com/documents/?uuid=a85d9a60-9e14-4c43-96be-97f0c9fa5caf"]}],"mendeley":{"formattedCitation":"(Tomy and Pardede, 2020, p. 1426)","plainTextFormattedCitation":"(Tomy and Pardede, 2020, p. 1426)","previouslyFormattedCitation":"(Tomy and Pardede, 2020, p. 1426)"},"properties":{"noteIndex":0},"schema":"https://github.com/citation-style-language/schema/raw/master/csl-citation.json"}</w:instrText>
      </w:r>
      <w:r w:rsidR="001C14A6" w:rsidRPr="00C965DD">
        <w:rPr>
          <w:color w:val="000000" w:themeColor="text1"/>
        </w:rPr>
        <w:fldChar w:fldCharType="separate"/>
      </w:r>
      <w:r w:rsidR="001C14A6" w:rsidRPr="00C965DD">
        <w:rPr>
          <w:noProof/>
          <w:color w:val="000000" w:themeColor="text1"/>
        </w:rPr>
        <w:t>(Tomy and Pardede, 2020, p. 1426)</w:t>
      </w:r>
      <w:r w:rsidR="001C14A6" w:rsidRPr="00C965DD">
        <w:rPr>
          <w:color w:val="000000" w:themeColor="text1"/>
        </w:rPr>
        <w:fldChar w:fldCharType="end"/>
      </w:r>
      <w:r w:rsidR="0006658D" w:rsidRPr="00C965DD">
        <w:rPr>
          <w:color w:val="000000" w:themeColor="text1"/>
        </w:rPr>
        <w:t xml:space="preserve">. </w:t>
      </w:r>
      <w:r w:rsidR="004F1900" w:rsidRPr="00C965DD">
        <w:rPr>
          <w:color w:val="000000" w:themeColor="text1"/>
        </w:rPr>
        <w:t xml:space="preserve">The implication is that a focus on entrepreneurship education, and a need to enhance </w:t>
      </w:r>
      <w:r w:rsidR="008B73A4" w:rsidRPr="00C965DD">
        <w:rPr>
          <w:color w:val="000000" w:themeColor="text1"/>
        </w:rPr>
        <w:t>EI</w:t>
      </w:r>
      <w:r w:rsidR="004F1900" w:rsidRPr="00C965DD">
        <w:rPr>
          <w:color w:val="000000" w:themeColor="text1"/>
        </w:rPr>
        <w:t>, does not address the wider issues of career indecision and finding a meaningful place in the</w:t>
      </w:r>
      <w:r w:rsidR="00434B37" w:rsidRPr="00C965DD">
        <w:rPr>
          <w:color w:val="000000" w:themeColor="text1"/>
        </w:rPr>
        <w:t xml:space="preserve"> (enterprising)</w:t>
      </w:r>
      <w:r w:rsidR="004F1900" w:rsidRPr="00C965DD">
        <w:rPr>
          <w:color w:val="000000" w:themeColor="text1"/>
        </w:rPr>
        <w:t xml:space="preserve"> work of society.</w:t>
      </w:r>
      <w:r w:rsidR="00EB6CBD" w:rsidRPr="00C965DD">
        <w:rPr>
          <w:color w:val="000000" w:themeColor="text1"/>
        </w:rPr>
        <w:t xml:space="preserve"> </w:t>
      </w:r>
      <w:r w:rsidR="009C1E86" w:rsidRPr="00C965DD">
        <w:rPr>
          <w:color w:val="000000" w:themeColor="text1"/>
        </w:rPr>
        <w:t>Thus,</w:t>
      </w:r>
      <w:r w:rsidR="00F25D90" w:rsidRPr="00C965DD">
        <w:rPr>
          <w:color w:val="000000" w:themeColor="text1"/>
        </w:rPr>
        <w:t xml:space="preserve"> I identify </w:t>
      </w:r>
      <w:r w:rsidR="00F25D90" w:rsidRPr="00F51575">
        <w:rPr>
          <w:color w:val="000000" w:themeColor="text1"/>
        </w:rPr>
        <w:t>a</w:t>
      </w:r>
      <w:r w:rsidR="002E6787" w:rsidRPr="00F51575">
        <w:rPr>
          <w:color w:val="000000" w:themeColor="text1"/>
        </w:rPr>
        <w:t xml:space="preserve"> second</w:t>
      </w:r>
      <w:r w:rsidR="00BD14C8" w:rsidRPr="00F51575">
        <w:rPr>
          <w:color w:val="000000" w:themeColor="text1"/>
        </w:rPr>
        <w:t xml:space="preserve"> research</w:t>
      </w:r>
      <w:r w:rsidR="002E6787" w:rsidRPr="00F51575">
        <w:rPr>
          <w:color w:val="000000" w:themeColor="text1"/>
        </w:rPr>
        <w:t xml:space="preserve"> question a</w:t>
      </w:r>
      <w:r w:rsidR="00F25D90" w:rsidRPr="00F51575">
        <w:rPr>
          <w:color w:val="000000" w:themeColor="text1"/>
        </w:rPr>
        <w:t>s</w:t>
      </w:r>
      <w:r w:rsidR="002E6787" w:rsidRPr="00F51575">
        <w:rPr>
          <w:color w:val="000000" w:themeColor="text1"/>
        </w:rPr>
        <w:t xml:space="preserve">: accepting students’ potential state of undecidedness, can EE provide students with better formative learning concerning a range of EE opportunities and choices, </w:t>
      </w:r>
      <w:r w:rsidR="0059224C" w:rsidRPr="00F51575">
        <w:rPr>
          <w:color w:val="000000" w:themeColor="text1"/>
        </w:rPr>
        <w:t>and help reduce CI</w:t>
      </w:r>
      <w:r w:rsidR="002E6787" w:rsidRPr="00F51575">
        <w:rPr>
          <w:color w:val="000000" w:themeColor="text1"/>
        </w:rPr>
        <w:t>?</w:t>
      </w:r>
    </w:p>
    <w:p w14:paraId="15B58AF0" w14:textId="4E5997FA" w:rsidR="00BD14C8" w:rsidRPr="00C965DD" w:rsidRDefault="00434B37" w:rsidP="00D1684D">
      <w:pPr>
        <w:rPr>
          <w:color w:val="000000" w:themeColor="text1"/>
        </w:rPr>
      </w:pPr>
      <w:r w:rsidRPr="00C965DD">
        <w:rPr>
          <w:color w:val="000000" w:themeColor="text1"/>
        </w:rPr>
        <w:t xml:space="preserve">     </w:t>
      </w:r>
      <w:r w:rsidR="00F25D90" w:rsidRPr="00C965DD">
        <w:rPr>
          <w:color w:val="000000" w:themeColor="text1"/>
        </w:rPr>
        <w:t>In t</w:t>
      </w:r>
      <w:r w:rsidRPr="00C965DD">
        <w:rPr>
          <w:color w:val="000000" w:themeColor="text1"/>
        </w:rPr>
        <w:t xml:space="preserve">his paper </w:t>
      </w:r>
      <w:r w:rsidR="00F25D90" w:rsidRPr="00C965DD">
        <w:rPr>
          <w:color w:val="000000" w:themeColor="text1"/>
        </w:rPr>
        <w:t xml:space="preserve">I </w:t>
      </w:r>
      <w:r w:rsidR="007439A2" w:rsidRPr="00C965DD">
        <w:rPr>
          <w:color w:val="000000" w:themeColor="text1"/>
        </w:rPr>
        <w:t>investigate</w:t>
      </w:r>
      <w:r w:rsidRPr="00C965DD">
        <w:rPr>
          <w:color w:val="000000" w:themeColor="text1"/>
        </w:rPr>
        <w:t xml:space="preserve"> </w:t>
      </w:r>
      <w:r w:rsidR="00D83682" w:rsidRPr="00C965DD">
        <w:rPr>
          <w:color w:val="000000" w:themeColor="text1"/>
        </w:rPr>
        <w:t xml:space="preserve">both </w:t>
      </w:r>
      <w:r w:rsidR="00F25D90" w:rsidRPr="00C965DD">
        <w:rPr>
          <w:color w:val="000000" w:themeColor="text1"/>
        </w:rPr>
        <w:t xml:space="preserve">research </w:t>
      </w:r>
      <w:r w:rsidR="00DF510F" w:rsidRPr="00C965DD">
        <w:rPr>
          <w:color w:val="000000" w:themeColor="text1"/>
        </w:rPr>
        <w:t>question</w:t>
      </w:r>
      <w:r w:rsidR="00E20CFF" w:rsidRPr="00C965DD">
        <w:rPr>
          <w:color w:val="000000" w:themeColor="text1"/>
        </w:rPr>
        <w:t>s</w:t>
      </w:r>
      <w:r w:rsidR="00302F74" w:rsidRPr="00C965DD">
        <w:rPr>
          <w:color w:val="000000" w:themeColor="text1"/>
        </w:rPr>
        <w:t xml:space="preserve"> by </w:t>
      </w:r>
      <w:r w:rsidR="007941FA" w:rsidRPr="00C965DD">
        <w:rPr>
          <w:color w:val="000000" w:themeColor="text1"/>
        </w:rPr>
        <w:t>offer</w:t>
      </w:r>
      <w:r w:rsidR="00302F74" w:rsidRPr="00C965DD">
        <w:rPr>
          <w:color w:val="000000" w:themeColor="text1"/>
        </w:rPr>
        <w:t>ing</w:t>
      </w:r>
      <w:r w:rsidR="007941FA" w:rsidRPr="00C965DD">
        <w:rPr>
          <w:color w:val="000000" w:themeColor="text1"/>
        </w:rPr>
        <w:t xml:space="preserve"> a reflection o</w:t>
      </w:r>
      <w:r w:rsidR="00AF731F" w:rsidRPr="00C965DD">
        <w:rPr>
          <w:color w:val="000000" w:themeColor="text1"/>
        </w:rPr>
        <w:t>n</w:t>
      </w:r>
      <w:r w:rsidR="007941FA" w:rsidRPr="00C965DD">
        <w:rPr>
          <w:color w:val="000000" w:themeColor="text1"/>
        </w:rPr>
        <w:t xml:space="preserve"> </w:t>
      </w:r>
      <w:r w:rsidR="00AF731F" w:rsidRPr="00C965DD">
        <w:rPr>
          <w:color w:val="000000" w:themeColor="text1"/>
        </w:rPr>
        <w:t xml:space="preserve">critical theory </w:t>
      </w:r>
      <w:r w:rsidR="008C047A" w:rsidRPr="00C965DD">
        <w:rPr>
          <w:color w:val="000000" w:themeColor="text1"/>
        </w:rPr>
        <w:t>in</w:t>
      </w:r>
      <w:r w:rsidR="00AF731F" w:rsidRPr="00C965DD">
        <w:rPr>
          <w:color w:val="000000" w:themeColor="text1"/>
        </w:rPr>
        <w:t xml:space="preserve"> </w:t>
      </w:r>
      <w:r w:rsidR="007941FA" w:rsidRPr="00C965DD">
        <w:rPr>
          <w:color w:val="000000" w:themeColor="text1"/>
        </w:rPr>
        <w:t>practice</w:t>
      </w:r>
      <w:r w:rsidR="008C047A" w:rsidRPr="00C965DD">
        <w:rPr>
          <w:color w:val="000000" w:themeColor="text1"/>
        </w:rPr>
        <w:t xml:space="preserve">. </w:t>
      </w:r>
      <w:r w:rsidR="00AF731F" w:rsidRPr="00C965DD">
        <w:rPr>
          <w:color w:val="000000" w:themeColor="text1"/>
        </w:rPr>
        <w:t>I</w:t>
      </w:r>
      <w:r w:rsidR="007941FA" w:rsidRPr="00C965DD">
        <w:rPr>
          <w:color w:val="000000" w:themeColor="text1"/>
        </w:rPr>
        <w:t xml:space="preserve"> describ</w:t>
      </w:r>
      <w:r w:rsidR="00AF731F" w:rsidRPr="00C965DD">
        <w:rPr>
          <w:color w:val="000000" w:themeColor="text1"/>
        </w:rPr>
        <w:t>e</w:t>
      </w:r>
      <w:r w:rsidR="007941FA" w:rsidRPr="00C965DD">
        <w:rPr>
          <w:color w:val="000000" w:themeColor="text1"/>
        </w:rPr>
        <w:t xml:space="preserve"> </w:t>
      </w:r>
      <w:r w:rsidR="00E012E6" w:rsidRPr="00C965DD">
        <w:rPr>
          <w:color w:val="000000" w:themeColor="text1"/>
        </w:rPr>
        <w:t>a</w:t>
      </w:r>
      <w:r w:rsidR="007941FA" w:rsidRPr="00C965DD">
        <w:rPr>
          <w:color w:val="000000" w:themeColor="text1"/>
        </w:rPr>
        <w:t xml:space="preserve"> heterodox approach to EE education (broadly defined)</w:t>
      </w:r>
      <w:r w:rsidR="00302F74" w:rsidRPr="00C965DD">
        <w:rPr>
          <w:color w:val="000000" w:themeColor="text1"/>
        </w:rPr>
        <w:t>,</w:t>
      </w:r>
      <w:r w:rsidR="007941FA" w:rsidRPr="00C965DD">
        <w:rPr>
          <w:color w:val="000000" w:themeColor="text1"/>
        </w:rPr>
        <w:t xml:space="preserve"> </w:t>
      </w:r>
      <w:r w:rsidR="00F25D90" w:rsidRPr="00C965DD">
        <w:rPr>
          <w:color w:val="000000" w:themeColor="text1"/>
        </w:rPr>
        <w:t xml:space="preserve">I </w:t>
      </w:r>
      <w:r w:rsidR="001C14A6" w:rsidRPr="00C965DD">
        <w:rPr>
          <w:color w:val="000000" w:themeColor="text1"/>
        </w:rPr>
        <w:t>applied</w:t>
      </w:r>
      <w:r w:rsidR="007941FA" w:rsidRPr="00C965DD">
        <w:rPr>
          <w:color w:val="000000" w:themeColor="text1"/>
        </w:rPr>
        <w:t xml:space="preserve"> </w:t>
      </w:r>
      <w:r w:rsidR="00D15A8C" w:rsidRPr="00C965DD">
        <w:rPr>
          <w:color w:val="000000" w:themeColor="text1"/>
        </w:rPr>
        <w:t>withi</w:t>
      </w:r>
      <w:r w:rsidR="007941FA" w:rsidRPr="00C965DD">
        <w:rPr>
          <w:color w:val="000000" w:themeColor="text1"/>
        </w:rPr>
        <w:t xml:space="preserve">n a UK </w:t>
      </w:r>
      <w:r w:rsidR="001C14A6" w:rsidRPr="00C965DD">
        <w:rPr>
          <w:color w:val="000000" w:themeColor="text1"/>
        </w:rPr>
        <w:t>HE</w:t>
      </w:r>
      <w:r w:rsidR="007941FA" w:rsidRPr="00C965DD">
        <w:rPr>
          <w:color w:val="000000" w:themeColor="text1"/>
        </w:rPr>
        <w:t xml:space="preserve"> Institution. </w:t>
      </w:r>
      <w:r w:rsidR="00F25D90" w:rsidRPr="00C965DD">
        <w:rPr>
          <w:color w:val="000000" w:themeColor="text1"/>
        </w:rPr>
        <w:t>I</w:t>
      </w:r>
      <w:r w:rsidRPr="00C965DD">
        <w:rPr>
          <w:color w:val="000000" w:themeColor="text1"/>
        </w:rPr>
        <w:t xml:space="preserve"> outline a knowledge framework</w:t>
      </w:r>
      <w:r w:rsidR="00AF731F" w:rsidRPr="00C965DD">
        <w:rPr>
          <w:color w:val="000000" w:themeColor="text1"/>
        </w:rPr>
        <w:t>, grounded in critical theory,</w:t>
      </w:r>
      <w:r w:rsidRPr="00C965DD">
        <w:rPr>
          <w:color w:val="000000" w:themeColor="text1"/>
        </w:rPr>
        <w:t xml:space="preserve"> presented to a </w:t>
      </w:r>
      <w:r w:rsidR="000068DB" w:rsidRPr="00C965DD">
        <w:rPr>
          <w:color w:val="000000" w:themeColor="text1"/>
        </w:rPr>
        <w:t>class</w:t>
      </w:r>
      <w:r w:rsidRPr="00C965DD">
        <w:rPr>
          <w:color w:val="000000" w:themeColor="text1"/>
        </w:rPr>
        <w:t xml:space="preserve"> of </w:t>
      </w:r>
      <w:r w:rsidR="00174312" w:rsidRPr="00C965DD">
        <w:rPr>
          <w:color w:val="000000" w:themeColor="text1"/>
        </w:rPr>
        <w:t>2</w:t>
      </w:r>
      <w:r w:rsidR="00174312" w:rsidRPr="00C965DD">
        <w:rPr>
          <w:color w:val="000000" w:themeColor="text1"/>
          <w:vertAlign w:val="superscript"/>
        </w:rPr>
        <w:t>nd</w:t>
      </w:r>
      <w:r w:rsidR="00174312" w:rsidRPr="00C965DD">
        <w:rPr>
          <w:color w:val="000000" w:themeColor="text1"/>
        </w:rPr>
        <w:t>-</w:t>
      </w:r>
      <w:r w:rsidRPr="00C965DD">
        <w:rPr>
          <w:color w:val="000000" w:themeColor="text1"/>
        </w:rPr>
        <w:t>year undergraduate students</w:t>
      </w:r>
      <w:r w:rsidR="000068DB" w:rsidRPr="00C965DD">
        <w:rPr>
          <w:color w:val="000000" w:themeColor="text1"/>
        </w:rPr>
        <w:t>, drawn from</w:t>
      </w:r>
      <w:r w:rsidRPr="00C965DD">
        <w:rPr>
          <w:color w:val="000000" w:themeColor="text1"/>
        </w:rPr>
        <w:t xml:space="preserve"> across a range of business school courses. The framework </w:t>
      </w:r>
      <w:r w:rsidR="002C03F6" w:rsidRPr="00C965DD">
        <w:rPr>
          <w:color w:val="000000" w:themeColor="text1"/>
        </w:rPr>
        <w:t>facilitates</w:t>
      </w:r>
      <w:r w:rsidRPr="00C965DD">
        <w:rPr>
          <w:color w:val="000000" w:themeColor="text1"/>
        </w:rPr>
        <w:t xml:space="preserve"> the development of </w:t>
      </w:r>
      <w:r w:rsidR="002C03F6" w:rsidRPr="00C965DD">
        <w:rPr>
          <w:color w:val="000000" w:themeColor="text1"/>
        </w:rPr>
        <w:t xml:space="preserve">enterprising </w:t>
      </w:r>
      <w:r w:rsidRPr="00C965DD">
        <w:rPr>
          <w:color w:val="000000" w:themeColor="text1"/>
        </w:rPr>
        <w:t xml:space="preserve">ideas through a learning focus on their conditions of emergence. In this respect, </w:t>
      </w:r>
      <w:r w:rsidR="00F25D90" w:rsidRPr="00C965DD">
        <w:rPr>
          <w:color w:val="000000" w:themeColor="text1"/>
        </w:rPr>
        <w:t xml:space="preserve">I hold </w:t>
      </w:r>
      <w:r w:rsidRPr="00C965DD">
        <w:rPr>
          <w:color w:val="000000" w:themeColor="text1"/>
        </w:rPr>
        <w:t xml:space="preserve">skills of enterprise in conjunction with those of creativity in innovation and value in vision. </w:t>
      </w:r>
      <w:r w:rsidR="00F25D90" w:rsidRPr="00C965DD">
        <w:rPr>
          <w:color w:val="000000" w:themeColor="text1"/>
        </w:rPr>
        <w:t>I</w:t>
      </w:r>
      <w:r w:rsidR="002C03F6" w:rsidRPr="00C965DD">
        <w:rPr>
          <w:color w:val="000000" w:themeColor="text1"/>
        </w:rPr>
        <w:t xml:space="preserve"> proceed as follows. Firstly, </w:t>
      </w:r>
      <w:r w:rsidR="00F25D90" w:rsidRPr="00C965DD">
        <w:rPr>
          <w:color w:val="000000" w:themeColor="text1"/>
        </w:rPr>
        <w:t xml:space="preserve">I present </w:t>
      </w:r>
      <w:r w:rsidR="002C03F6" w:rsidRPr="00C965DD">
        <w:rPr>
          <w:color w:val="000000" w:themeColor="text1"/>
        </w:rPr>
        <w:t xml:space="preserve">the background to the module, together with </w:t>
      </w:r>
      <w:r w:rsidR="000068DB" w:rsidRPr="00C965DD">
        <w:rPr>
          <w:color w:val="000000" w:themeColor="text1"/>
        </w:rPr>
        <w:t>its</w:t>
      </w:r>
      <w:r w:rsidR="002C03F6" w:rsidRPr="00C965DD">
        <w:rPr>
          <w:color w:val="000000" w:themeColor="text1"/>
        </w:rPr>
        <w:t xml:space="preserve"> heterodox </w:t>
      </w:r>
      <w:r w:rsidR="00E012E6" w:rsidRPr="00C965DD">
        <w:rPr>
          <w:color w:val="000000" w:themeColor="text1"/>
        </w:rPr>
        <w:t xml:space="preserve">critical </w:t>
      </w:r>
      <w:r w:rsidR="002C03F6" w:rsidRPr="00C965DD">
        <w:rPr>
          <w:color w:val="000000" w:themeColor="text1"/>
        </w:rPr>
        <w:t>theoretical perspective</w:t>
      </w:r>
      <w:r w:rsidR="000068DB" w:rsidRPr="00C965DD">
        <w:rPr>
          <w:color w:val="000000" w:themeColor="text1"/>
        </w:rPr>
        <w:t>: a theory of artistic work</w:t>
      </w:r>
      <w:r w:rsidR="00631557" w:rsidRPr="00C965DD">
        <w:rPr>
          <w:color w:val="000000" w:themeColor="text1"/>
        </w:rPr>
        <w:t xml:space="preserve"> in the context of applied negative dialectics</w:t>
      </w:r>
      <w:r w:rsidR="002C03F6" w:rsidRPr="00C965DD">
        <w:rPr>
          <w:color w:val="000000" w:themeColor="text1"/>
        </w:rPr>
        <w:t xml:space="preserve">. </w:t>
      </w:r>
      <w:r w:rsidR="00F25D90" w:rsidRPr="00C965DD">
        <w:rPr>
          <w:color w:val="000000" w:themeColor="text1"/>
        </w:rPr>
        <w:t xml:space="preserve">I then </w:t>
      </w:r>
      <w:r w:rsidR="00F51575">
        <w:rPr>
          <w:color w:val="000000" w:themeColor="text1"/>
        </w:rPr>
        <w:t>comment on</w:t>
      </w:r>
      <w:r w:rsidR="00F25D90" w:rsidRPr="00C965DD">
        <w:rPr>
          <w:color w:val="000000" w:themeColor="text1"/>
        </w:rPr>
        <w:t xml:space="preserve"> t</w:t>
      </w:r>
      <w:r w:rsidR="002C03F6" w:rsidRPr="00C965DD">
        <w:rPr>
          <w:color w:val="000000" w:themeColor="text1"/>
        </w:rPr>
        <w:t>he module delivery and its</w:t>
      </w:r>
      <w:r w:rsidRPr="00C965DD">
        <w:rPr>
          <w:color w:val="000000" w:themeColor="text1"/>
        </w:rPr>
        <w:t xml:space="preserve"> assessment</w:t>
      </w:r>
      <w:r w:rsidR="00F51575">
        <w:rPr>
          <w:color w:val="000000" w:themeColor="text1"/>
        </w:rPr>
        <w:t>,</w:t>
      </w:r>
      <w:r w:rsidRPr="00C965DD">
        <w:rPr>
          <w:color w:val="000000" w:themeColor="text1"/>
        </w:rPr>
        <w:t xml:space="preserve"> </w:t>
      </w:r>
      <w:r w:rsidR="00F25D90" w:rsidRPr="00C965DD">
        <w:rPr>
          <w:color w:val="000000" w:themeColor="text1"/>
        </w:rPr>
        <w:t>and</w:t>
      </w:r>
      <w:r w:rsidR="002C03F6" w:rsidRPr="00C965DD">
        <w:rPr>
          <w:color w:val="000000" w:themeColor="text1"/>
        </w:rPr>
        <w:t xml:space="preserve"> review</w:t>
      </w:r>
      <w:r w:rsidRPr="00C965DD">
        <w:rPr>
          <w:color w:val="000000" w:themeColor="text1"/>
        </w:rPr>
        <w:t xml:space="preserve"> the </w:t>
      </w:r>
      <w:r w:rsidR="002C03F6" w:rsidRPr="00C965DD">
        <w:rPr>
          <w:color w:val="000000" w:themeColor="text1"/>
        </w:rPr>
        <w:t xml:space="preserve">initial data </w:t>
      </w:r>
      <w:r w:rsidRPr="00C965DD">
        <w:rPr>
          <w:color w:val="000000" w:themeColor="text1"/>
        </w:rPr>
        <w:t>returned</w:t>
      </w:r>
      <w:r w:rsidR="002C03F6" w:rsidRPr="00C965DD">
        <w:rPr>
          <w:color w:val="000000" w:themeColor="text1"/>
        </w:rPr>
        <w:t xml:space="preserve">. Finally, </w:t>
      </w:r>
      <w:r w:rsidR="00235442" w:rsidRPr="00C965DD">
        <w:rPr>
          <w:color w:val="000000" w:themeColor="text1"/>
        </w:rPr>
        <w:t xml:space="preserve">I offer </w:t>
      </w:r>
      <w:r w:rsidR="002C03F6" w:rsidRPr="00C965DD">
        <w:rPr>
          <w:color w:val="000000" w:themeColor="text1"/>
        </w:rPr>
        <w:t xml:space="preserve">a reflection on </w:t>
      </w:r>
      <w:r w:rsidR="00235442" w:rsidRPr="00C965DD">
        <w:rPr>
          <w:color w:val="000000" w:themeColor="text1"/>
        </w:rPr>
        <w:t xml:space="preserve">the </w:t>
      </w:r>
      <w:r w:rsidR="002C03F6" w:rsidRPr="00C965DD">
        <w:rPr>
          <w:color w:val="000000" w:themeColor="text1"/>
        </w:rPr>
        <w:t>outcomes</w:t>
      </w:r>
      <w:r w:rsidR="00235442" w:rsidRPr="00C965DD">
        <w:rPr>
          <w:color w:val="000000" w:themeColor="text1"/>
        </w:rPr>
        <w:t xml:space="preserve"> and</w:t>
      </w:r>
      <w:r w:rsidR="002C03F6" w:rsidRPr="00C965DD">
        <w:rPr>
          <w:color w:val="000000" w:themeColor="text1"/>
        </w:rPr>
        <w:t xml:space="preserve"> </w:t>
      </w:r>
      <w:r w:rsidR="008535C7" w:rsidRPr="00C965DD">
        <w:rPr>
          <w:color w:val="000000" w:themeColor="text1"/>
        </w:rPr>
        <w:t>draw</w:t>
      </w:r>
      <w:r w:rsidR="002C03F6" w:rsidRPr="00C965DD">
        <w:rPr>
          <w:color w:val="000000" w:themeColor="text1"/>
        </w:rPr>
        <w:t xml:space="preserve"> key insights</w:t>
      </w:r>
      <w:r w:rsidR="00235442" w:rsidRPr="00C965DD">
        <w:rPr>
          <w:color w:val="000000" w:themeColor="text1"/>
        </w:rPr>
        <w:t>,</w:t>
      </w:r>
      <w:r w:rsidR="002C03F6" w:rsidRPr="00C965DD">
        <w:rPr>
          <w:color w:val="000000" w:themeColor="text1"/>
        </w:rPr>
        <w:t xml:space="preserve"> </w:t>
      </w:r>
      <w:r w:rsidR="00302F74" w:rsidRPr="00C965DD">
        <w:rPr>
          <w:color w:val="000000" w:themeColor="text1"/>
        </w:rPr>
        <w:t xml:space="preserve">commenting on </w:t>
      </w:r>
      <w:r w:rsidR="002C03F6" w:rsidRPr="00C965DD">
        <w:rPr>
          <w:color w:val="000000" w:themeColor="text1"/>
        </w:rPr>
        <w:t xml:space="preserve">their wider implications for EE. </w:t>
      </w:r>
    </w:p>
    <w:p w14:paraId="21160531" w14:textId="3BA94A69" w:rsidR="00C207E2" w:rsidRPr="00C965DD" w:rsidRDefault="00C207E2" w:rsidP="00CF1A47">
      <w:pPr>
        <w:pStyle w:val="Heading1"/>
      </w:pPr>
      <w:r w:rsidRPr="00C965DD">
        <w:t xml:space="preserve">Background to the </w:t>
      </w:r>
      <w:r w:rsidRPr="00F51575">
        <w:t>module</w:t>
      </w:r>
    </w:p>
    <w:p w14:paraId="7F520234" w14:textId="50087453" w:rsidR="00127999" w:rsidRPr="00C965DD" w:rsidRDefault="00F75114" w:rsidP="008D4CE0">
      <w:pPr>
        <w:rPr>
          <w:color w:val="000000" w:themeColor="text1"/>
        </w:rPr>
      </w:pPr>
      <w:r w:rsidRPr="00C965DD">
        <w:rPr>
          <w:color w:val="000000" w:themeColor="text1"/>
        </w:rPr>
        <w:t>W</w:t>
      </w:r>
      <w:r w:rsidR="001A26BC" w:rsidRPr="00C965DD">
        <w:rPr>
          <w:color w:val="000000" w:themeColor="text1"/>
        </w:rPr>
        <w:t xml:space="preserve">ith the need to develop and deliver a </w:t>
      </w:r>
      <w:r w:rsidR="00174312" w:rsidRPr="00C965DD">
        <w:rPr>
          <w:color w:val="000000" w:themeColor="text1"/>
        </w:rPr>
        <w:t>2</w:t>
      </w:r>
      <w:r w:rsidR="00174312" w:rsidRPr="00C965DD">
        <w:rPr>
          <w:color w:val="000000" w:themeColor="text1"/>
          <w:vertAlign w:val="superscript"/>
        </w:rPr>
        <w:t>nd</w:t>
      </w:r>
      <w:r w:rsidR="001A26BC" w:rsidRPr="00C965DD">
        <w:rPr>
          <w:color w:val="000000" w:themeColor="text1"/>
        </w:rPr>
        <w:t xml:space="preserve">-year undergraduate elective module in </w:t>
      </w:r>
      <w:r w:rsidRPr="00C965DD">
        <w:rPr>
          <w:color w:val="000000" w:themeColor="text1"/>
        </w:rPr>
        <w:t>“Business, Creativity and Opportunism for the Workplace of Today”</w:t>
      </w:r>
      <w:r w:rsidR="001A26BC" w:rsidRPr="00C965DD">
        <w:rPr>
          <w:color w:val="000000" w:themeColor="text1"/>
        </w:rPr>
        <w:t xml:space="preserve">, </w:t>
      </w:r>
      <w:r w:rsidR="00235442" w:rsidRPr="00C965DD">
        <w:rPr>
          <w:color w:val="000000" w:themeColor="text1"/>
        </w:rPr>
        <w:t>I</w:t>
      </w:r>
      <w:r w:rsidR="00AD1DBD" w:rsidRPr="00C965DD">
        <w:rPr>
          <w:color w:val="000000" w:themeColor="text1"/>
        </w:rPr>
        <w:t xml:space="preserve"> </w:t>
      </w:r>
      <w:r w:rsidR="001A26BC" w:rsidRPr="00C965DD">
        <w:rPr>
          <w:color w:val="000000" w:themeColor="text1"/>
        </w:rPr>
        <w:t>faced the prospect of engaging with a cohort of 6</w:t>
      </w:r>
      <w:r w:rsidR="008535C7" w:rsidRPr="00C965DD">
        <w:rPr>
          <w:color w:val="000000" w:themeColor="text1"/>
        </w:rPr>
        <w:t>5</w:t>
      </w:r>
      <w:r w:rsidR="001A26BC" w:rsidRPr="00C965DD">
        <w:rPr>
          <w:color w:val="000000" w:themeColor="text1"/>
        </w:rPr>
        <w:t xml:space="preserve"> </w:t>
      </w:r>
      <w:r w:rsidR="00734005" w:rsidRPr="00C965DD">
        <w:rPr>
          <w:color w:val="000000" w:themeColor="text1"/>
        </w:rPr>
        <w:t>b</w:t>
      </w:r>
      <w:r w:rsidR="001A26BC" w:rsidRPr="00C965DD">
        <w:rPr>
          <w:color w:val="000000" w:themeColor="text1"/>
        </w:rPr>
        <w:t xml:space="preserve">usiness </w:t>
      </w:r>
      <w:r w:rsidR="00734005" w:rsidRPr="00C965DD">
        <w:rPr>
          <w:color w:val="000000" w:themeColor="text1"/>
        </w:rPr>
        <w:t>s</w:t>
      </w:r>
      <w:r w:rsidR="001A26BC" w:rsidRPr="00C965DD">
        <w:rPr>
          <w:color w:val="000000" w:themeColor="text1"/>
        </w:rPr>
        <w:t xml:space="preserve">chool students electing the module as an alternative to a work placement. </w:t>
      </w:r>
      <w:r w:rsidR="007F7383" w:rsidRPr="00C965DD">
        <w:rPr>
          <w:color w:val="000000" w:themeColor="text1"/>
        </w:rPr>
        <w:t>While some</w:t>
      </w:r>
      <w:r w:rsidR="008535C7" w:rsidRPr="00C965DD">
        <w:rPr>
          <w:color w:val="000000" w:themeColor="text1"/>
        </w:rPr>
        <w:t xml:space="preserve"> authors</w:t>
      </w:r>
      <w:r w:rsidR="007F7383" w:rsidRPr="00C965DD">
        <w:rPr>
          <w:color w:val="000000" w:themeColor="text1"/>
        </w:rPr>
        <w:t xml:space="preserve"> suggest an elective is cause for assuming a</w:t>
      </w:r>
      <w:r w:rsidR="00E77AC1" w:rsidRPr="00C965DD">
        <w:rPr>
          <w:color w:val="000000" w:themeColor="text1"/>
        </w:rPr>
        <w:t xml:space="preserve">n intrinsic </w:t>
      </w:r>
      <w:r w:rsidR="007F7383" w:rsidRPr="00C965DD">
        <w:rPr>
          <w:color w:val="000000" w:themeColor="text1"/>
        </w:rPr>
        <w:t>motivation to study</w:t>
      </w:r>
      <w:r w:rsidR="00DF2089" w:rsidRPr="00C965DD">
        <w:rPr>
          <w:color w:val="000000" w:themeColor="text1"/>
        </w:rPr>
        <w:t xml:space="preserve"> the subject</w:t>
      </w:r>
      <w:r w:rsidR="007F7383" w:rsidRPr="00C965DD">
        <w:rPr>
          <w:color w:val="000000" w:themeColor="text1"/>
        </w:rPr>
        <w:t xml:space="preserve"> </w:t>
      </w:r>
      <w:r w:rsidR="001C14A6" w:rsidRPr="00C965DD">
        <w:rPr>
          <w:color w:val="000000" w:themeColor="text1"/>
        </w:rPr>
        <w:fldChar w:fldCharType="begin" w:fldLock="1"/>
      </w:r>
      <w:r w:rsidR="00F01804" w:rsidRPr="00C965DD">
        <w:rPr>
          <w:color w:val="000000" w:themeColor="text1"/>
        </w:rPr>
        <w:instrText>ADDIN CSL_CITATION {"citationItems":[{"id":"ITEM-1","itemData":{"DOI":"10.1016/j.iree.2014.05.003","ISSN":"14773880","abstract":"Prior literature emphasises supply side issues concerning the modularisation of university programmes such as curricula issues and enhanced learning opportunities. Comparatively little is known about the demand side, such as why students choose specific modules. This article presents an investigation that was specifically designed to improve understanding of the factors that contribute to student module choices and draws on a large primary dataset comprised of students following a wide range of majors at a new university business school.","author":[{"dropping-particle":"","family":"Hedges","given":"Mary R.","non-dropping-particle":"","parse-names":false,"suffix":""},{"dropping-particle":"","family":"Pacheco","given":"Gail A.","non-dropping-particle":"","parse-names":false,"suffix":""},{"dropping-particle":"","family":"Webber","given":"Don J.","non-dropping-particle":"","parse-names":false,"suffix":""}],"container-title":"International Review of Economics Education","id":"ITEM-1","issued":{"date-parts":[["2014"]]},"page":"39-54","publisher":"Elsevier Ltd","title":"What determines students' choices of elective modules?","type":"article-journal","volume":"17"},"prefix":"for example: ","uris":["http://www.mendeley.com/documents/?uuid=101820b5-967e-43fc-b633-e6cbab9e29ba"]},{"id":"ITEM-2","itemData":{"DOI":"10.1177/09504222211023419","ISSN":"20436858","abstract":"This account of practice describes an experiential learning approach used for enterprise and entrepreneurship education in a UK higher education setting. Module design and delivery insights are drawn from the methods employed by an entrepreneur turned educator to facilitate learning via pop-up shop/event activities financed by a £50 seed fund. Feedback showed that the approach was highly valued by students, who reported significant personal development and enhanced entrepreneurial understanding. Considerably improved student attainment was also measured. The educator reflects on how his experiences as an entrepreneur helped shape the activities and their delivery, and the impact on his own pedagogical and academic development.","author":[{"dropping-particle":"","family":"Simmons","given":"Marcus","non-dropping-particle":"","parse-names":false,"suffix":""}],"container-title":"Industry and Higher Education","id":"ITEM-2","issue":"4","issued":{"date-parts":[["2021"]]},"page":"454-459","title":"Lessons learned by educator and students through experiential entrepreneurship","type":"article-journal","volume":"35"},"uris":["http://www.mendeley.com/documents/?uuid=09fe78fa-6d20-40d3-b849-6567e8ca0926"]}],"mendeley":{"formattedCitation":"(for example: Hedges, Pacheco and Webber, 2014; Simmons, 2021)","plainTextFormattedCitation":"(for example: Hedges, Pacheco and Webber, 2014; Simmons, 2021)","previouslyFormattedCitation":"(for example: Hedges, Pacheco and Webber, 2014; Simmons, 2021)"},"properties":{"noteIndex":0},"schema":"https://github.com/citation-style-language/schema/raw/master/csl-citation.json"}</w:instrText>
      </w:r>
      <w:r w:rsidR="001C14A6" w:rsidRPr="00C965DD">
        <w:rPr>
          <w:color w:val="000000" w:themeColor="text1"/>
        </w:rPr>
        <w:fldChar w:fldCharType="separate"/>
      </w:r>
      <w:r w:rsidR="001C14A6" w:rsidRPr="00C965DD">
        <w:rPr>
          <w:noProof/>
          <w:color w:val="000000" w:themeColor="text1"/>
        </w:rPr>
        <w:t xml:space="preserve">(for example: Hedges, Pacheco and Webber, 2014; Simmons, </w:t>
      </w:r>
      <w:r w:rsidR="001C14A6" w:rsidRPr="00C965DD">
        <w:rPr>
          <w:noProof/>
          <w:color w:val="000000" w:themeColor="text1"/>
        </w:rPr>
        <w:lastRenderedPageBreak/>
        <w:t>2021)</w:t>
      </w:r>
      <w:r w:rsidR="001C14A6" w:rsidRPr="00C965DD">
        <w:rPr>
          <w:color w:val="000000" w:themeColor="text1"/>
        </w:rPr>
        <w:fldChar w:fldCharType="end"/>
      </w:r>
      <w:r w:rsidR="007F7383" w:rsidRPr="00C965DD">
        <w:rPr>
          <w:color w:val="000000" w:themeColor="text1"/>
        </w:rPr>
        <w:t xml:space="preserve">, </w:t>
      </w:r>
      <w:r w:rsidR="00235442" w:rsidRPr="00C965DD">
        <w:rPr>
          <w:color w:val="000000" w:themeColor="text1"/>
        </w:rPr>
        <w:t>my</w:t>
      </w:r>
      <w:r w:rsidR="00E77AC1" w:rsidRPr="00C965DD">
        <w:rPr>
          <w:color w:val="000000" w:themeColor="text1"/>
        </w:rPr>
        <w:t xml:space="preserve"> experience</w:t>
      </w:r>
      <w:r w:rsidR="008535C7" w:rsidRPr="00C965DD">
        <w:rPr>
          <w:color w:val="000000" w:themeColor="text1"/>
        </w:rPr>
        <w:t xml:space="preserve"> </w:t>
      </w:r>
      <w:r w:rsidR="00302F74" w:rsidRPr="00C965DD">
        <w:rPr>
          <w:color w:val="000000" w:themeColor="text1"/>
        </w:rPr>
        <w:t xml:space="preserve">was </w:t>
      </w:r>
      <w:r w:rsidR="008535C7" w:rsidRPr="00C965DD">
        <w:rPr>
          <w:color w:val="000000" w:themeColor="text1"/>
        </w:rPr>
        <w:t>that</w:t>
      </w:r>
      <w:r w:rsidR="00E77AC1" w:rsidRPr="00C965DD">
        <w:rPr>
          <w:color w:val="000000" w:themeColor="text1"/>
        </w:rPr>
        <w:t xml:space="preserve"> several students </w:t>
      </w:r>
      <w:r w:rsidR="008535C7" w:rsidRPr="00C965DD">
        <w:rPr>
          <w:color w:val="000000" w:themeColor="text1"/>
        </w:rPr>
        <w:t>believed</w:t>
      </w:r>
      <w:r w:rsidR="00E77AC1" w:rsidRPr="00C965DD">
        <w:rPr>
          <w:color w:val="000000" w:themeColor="text1"/>
        </w:rPr>
        <w:t xml:space="preserve"> it was a least-cost option, weighed against competing priorities in time and other resources. </w:t>
      </w:r>
      <w:r w:rsidR="00C44AF2" w:rsidRPr="00C965DD">
        <w:rPr>
          <w:color w:val="000000" w:themeColor="text1"/>
        </w:rPr>
        <w:t>A</w:t>
      </w:r>
      <w:r w:rsidR="001A26BC" w:rsidRPr="00C965DD">
        <w:rPr>
          <w:color w:val="000000" w:themeColor="text1"/>
        </w:rPr>
        <w:t xml:space="preserve">s a lower-ranked UK </w:t>
      </w:r>
      <w:r w:rsidR="00631557" w:rsidRPr="00C965DD">
        <w:rPr>
          <w:color w:val="000000" w:themeColor="text1"/>
        </w:rPr>
        <w:t>b</w:t>
      </w:r>
      <w:r w:rsidR="001A26BC" w:rsidRPr="00C965DD">
        <w:rPr>
          <w:color w:val="000000" w:themeColor="text1"/>
        </w:rPr>
        <w:t xml:space="preserve">usiness </w:t>
      </w:r>
      <w:r w:rsidR="00631557" w:rsidRPr="00C965DD">
        <w:rPr>
          <w:color w:val="000000" w:themeColor="text1"/>
        </w:rPr>
        <w:t>s</w:t>
      </w:r>
      <w:r w:rsidR="001A26BC" w:rsidRPr="00C965DD">
        <w:rPr>
          <w:color w:val="000000" w:themeColor="text1"/>
        </w:rPr>
        <w:t>chool</w:t>
      </w:r>
      <w:r w:rsidR="00127999" w:rsidRPr="00C965DD">
        <w:rPr>
          <w:rStyle w:val="EndnoteReference"/>
          <w:color w:val="000000" w:themeColor="text1"/>
        </w:rPr>
        <w:endnoteReference w:id="2"/>
      </w:r>
      <w:r w:rsidR="00127999" w:rsidRPr="00C965DD">
        <w:rPr>
          <w:color w:val="000000" w:themeColor="text1"/>
        </w:rPr>
        <w:t xml:space="preserve">, with students drawn from a range of 13 different BA(Hons) and </w:t>
      </w:r>
      <w:proofErr w:type="gramStart"/>
      <w:r w:rsidR="00127999" w:rsidRPr="00C965DD">
        <w:rPr>
          <w:color w:val="000000" w:themeColor="text1"/>
        </w:rPr>
        <w:t>BSc(</w:t>
      </w:r>
      <w:proofErr w:type="gramEnd"/>
      <w:r w:rsidR="00127999" w:rsidRPr="00C965DD">
        <w:rPr>
          <w:color w:val="000000" w:themeColor="text1"/>
        </w:rPr>
        <w:t xml:space="preserve">Hons) business and management-related programmes, including Sport Business Management, Fashion Marketing and Tourism and Destination Management, I made no assumptions concerning the abilities or motivations of the students towards EE. </w:t>
      </w:r>
    </w:p>
    <w:p w14:paraId="555C1C1F" w14:textId="7119EACC" w:rsidR="00127999" w:rsidRPr="00C965DD" w:rsidRDefault="00127999" w:rsidP="001A26BC">
      <w:pPr>
        <w:rPr>
          <w:color w:val="000000" w:themeColor="text1"/>
        </w:rPr>
      </w:pPr>
      <w:r w:rsidRPr="00C965DD">
        <w:rPr>
          <w:color w:val="000000" w:themeColor="text1"/>
        </w:rPr>
        <w:t xml:space="preserve">     The stated aim of the module is: </w:t>
      </w:r>
      <w:r w:rsidRPr="00C965DD">
        <w:rPr>
          <w:i/>
          <w:iCs/>
          <w:color w:val="000000" w:themeColor="text1"/>
        </w:rPr>
        <w:t>“…</w:t>
      </w:r>
      <w:r w:rsidRPr="00C965DD">
        <w:rPr>
          <w:rFonts w:eastAsia="Times New Roman" w:cs="Arial"/>
          <w:i/>
          <w:iCs/>
          <w:color w:val="000000" w:themeColor="text1"/>
          <w:lang w:eastAsia="en-GB"/>
        </w:rPr>
        <w:t xml:space="preserve">to develop confident, enterprising and creative graduates who will be able to cope with the </w:t>
      </w:r>
      <w:proofErr w:type="gramStart"/>
      <w:r w:rsidRPr="00C965DD">
        <w:rPr>
          <w:rFonts w:eastAsia="Times New Roman" w:cs="Arial"/>
          <w:i/>
          <w:iCs/>
          <w:color w:val="000000" w:themeColor="text1"/>
          <w:lang w:eastAsia="en-GB"/>
        </w:rPr>
        <w:t>ever changing</w:t>
      </w:r>
      <w:proofErr w:type="gramEnd"/>
      <w:r w:rsidRPr="00C965DD">
        <w:rPr>
          <w:rFonts w:eastAsia="Times New Roman" w:cs="Arial"/>
          <w:i/>
          <w:iCs/>
          <w:color w:val="000000" w:themeColor="text1"/>
          <w:lang w:eastAsia="en-GB"/>
        </w:rPr>
        <w:t xml:space="preserve"> business environment, recognise opportunities and to take responsible and measured risks.</w:t>
      </w:r>
      <w:r w:rsidRPr="00C965DD">
        <w:rPr>
          <w:rStyle w:val="EndnoteReference"/>
          <w:rFonts w:eastAsia="Times New Roman" w:cs="Arial"/>
          <w:i/>
          <w:iCs/>
          <w:color w:val="000000" w:themeColor="text1"/>
          <w:lang w:eastAsia="en-GB"/>
        </w:rPr>
        <w:t xml:space="preserve"> </w:t>
      </w:r>
      <w:r w:rsidRPr="00C965DD">
        <w:rPr>
          <w:rStyle w:val="EndnoteReference"/>
          <w:color w:val="000000" w:themeColor="text1"/>
        </w:rPr>
        <w:endnoteReference w:id="3"/>
      </w:r>
      <w:r w:rsidRPr="00C965DD">
        <w:rPr>
          <w:rFonts w:eastAsia="Times New Roman" w:cs="Arial"/>
          <w:i/>
          <w:iCs/>
          <w:color w:val="000000" w:themeColor="text1"/>
          <w:lang w:eastAsia="en-GB"/>
        </w:rPr>
        <w:t xml:space="preserve"> </w:t>
      </w:r>
      <w:r w:rsidRPr="00C965DD">
        <w:rPr>
          <w:rFonts w:eastAsia="Times New Roman" w:cs="Arial"/>
          <w:color w:val="000000" w:themeColor="text1"/>
          <w:lang w:eastAsia="en-GB"/>
        </w:rPr>
        <w:t>This draws on the belief that EE will stimulate enterprise, encouraging individuals to consider self-employment or develop enterprising employees who can contribute to organisational success through intrapreneurship.</w:t>
      </w:r>
      <w:r w:rsidRPr="00C965DD">
        <w:rPr>
          <w:color w:val="000000" w:themeColor="text1"/>
        </w:rPr>
        <w:t xml:space="preserve"> </w:t>
      </w:r>
      <w:r w:rsidR="00010316">
        <w:rPr>
          <w:color w:val="000000" w:themeColor="text1"/>
        </w:rPr>
        <w:t>Although t</w:t>
      </w:r>
      <w:r w:rsidRPr="00C965DD">
        <w:rPr>
          <w:color w:val="000000" w:themeColor="text1"/>
        </w:rPr>
        <w:t xml:space="preserve">he learning objectives and assessment method were modelled on </w:t>
      </w:r>
      <w:r w:rsidR="00F51575">
        <w:rPr>
          <w:color w:val="000000" w:themeColor="text1"/>
        </w:rPr>
        <w:t>a</w:t>
      </w:r>
      <w:r w:rsidR="00010316">
        <w:rPr>
          <w:color w:val="000000" w:themeColor="text1"/>
        </w:rPr>
        <w:t xml:space="preserve"> relatively </w:t>
      </w:r>
      <w:r w:rsidR="00BB730E">
        <w:rPr>
          <w:color w:val="000000" w:themeColor="text1"/>
        </w:rPr>
        <w:t>typical</w:t>
      </w:r>
      <w:r w:rsidR="00010316">
        <w:rPr>
          <w:color w:val="000000" w:themeColor="text1"/>
        </w:rPr>
        <w:t xml:space="preserve"> approach to EE</w:t>
      </w:r>
      <w:r w:rsidR="00BB730E">
        <w:rPr>
          <w:color w:val="000000" w:themeColor="text1"/>
        </w:rPr>
        <w:t xml:space="preserve"> education</w:t>
      </w:r>
      <w:r w:rsidR="00010316">
        <w:rPr>
          <w:color w:val="000000" w:themeColor="text1"/>
        </w:rPr>
        <w:t xml:space="preserve">, </w:t>
      </w:r>
      <w:r w:rsidRPr="00C965DD">
        <w:rPr>
          <w:color w:val="000000" w:themeColor="text1"/>
        </w:rPr>
        <w:t xml:space="preserve">my </w:t>
      </w:r>
      <w:r w:rsidR="00BB730E">
        <w:rPr>
          <w:color w:val="000000" w:themeColor="text1"/>
        </w:rPr>
        <w:t xml:space="preserve">module </w:t>
      </w:r>
      <w:r w:rsidRPr="00C965DD">
        <w:rPr>
          <w:color w:val="000000" w:themeColor="text1"/>
        </w:rPr>
        <w:t>design and delivery drew on the heterodox</w:t>
      </w:r>
      <w:r w:rsidR="00BB730E">
        <w:rPr>
          <w:color w:val="000000" w:themeColor="text1"/>
        </w:rPr>
        <w:t xml:space="preserve">, </w:t>
      </w:r>
      <w:r w:rsidRPr="00C965DD">
        <w:rPr>
          <w:color w:val="000000" w:themeColor="text1"/>
        </w:rPr>
        <w:t>critical Conjunctive Theory of Artistic practice (CTA)</w:t>
      </w:r>
      <w:r w:rsidR="00BB730E">
        <w:rPr>
          <w:color w:val="000000" w:themeColor="text1"/>
        </w:rPr>
        <w:t xml:space="preserve"> (Atkinson, 2007)</w:t>
      </w:r>
      <w:r w:rsidRPr="00C965DD">
        <w:rPr>
          <w:color w:val="000000" w:themeColor="text1"/>
        </w:rPr>
        <w:t xml:space="preserve"> and my significant practical experience of EE. </w:t>
      </w:r>
    </w:p>
    <w:p w14:paraId="6C9EB663" w14:textId="1DC22616" w:rsidR="00127999" w:rsidRPr="00C965DD" w:rsidRDefault="00127999" w:rsidP="001A26BC">
      <w:pPr>
        <w:rPr>
          <w:color w:val="000000" w:themeColor="text1"/>
        </w:rPr>
      </w:pPr>
      <w:r w:rsidRPr="00C965DD">
        <w:rPr>
          <w:color w:val="000000" w:themeColor="text1"/>
        </w:rPr>
        <w:t xml:space="preserve">     While meeting the specified objectives, I grounded the content in a non-normative ontology of Socially Negotiated Alternativism (SNA), and a methodology of Applied Negative Dialectics (AND). Here, I re-present the concept being taught (entrepreneurship) as an emergent non-concept, through a learning focus on its (enterprising) conditions of emergence (vision, creativity and enterprising skills). The data I obtained from anonymous feedback, seminar questionnaires, student outcomes, and their (assessed) personal reflections, provide the means of immanent critique within the reflection section to follow. Before I set the critical theoretical basis of SNA’s non-normative ontology and its AND methodology in context, it is worth making a comment on my pedagogical approach. </w:t>
      </w:r>
    </w:p>
    <w:p w14:paraId="46034218" w14:textId="65CDFD55" w:rsidR="00127999" w:rsidRPr="00C965DD" w:rsidRDefault="00127999" w:rsidP="00CF1A47">
      <w:pPr>
        <w:pStyle w:val="Heading1"/>
      </w:pPr>
      <w:r w:rsidRPr="00CF1A47">
        <w:lastRenderedPageBreak/>
        <w:t>EE</w:t>
      </w:r>
      <w:r w:rsidRPr="00C965DD">
        <w:t xml:space="preserve"> scholarship: </w:t>
      </w:r>
      <w:proofErr w:type="spellStart"/>
      <w:r w:rsidRPr="00C965DD">
        <w:t>Academagogy</w:t>
      </w:r>
      <w:proofErr w:type="spellEnd"/>
      <w:r w:rsidRPr="00C965DD">
        <w:t>—one size fits all?</w:t>
      </w:r>
    </w:p>
    <w:p w14:paraId="7F9E07D0" w14:textId="207A5564" w:rsidR="00127999" w:rsidRPr="00C965DD" w:rsidRDefault="00127999" w:rsidP="00D1684D">
      <w:pPr>
        <w:rPr>
          <w:color w:val="000000" w:themeColor="text1"/>
        </w:rPr>
      </w:pPr>
      <w:r w:rsidRPr="00C965DD">
        <w:rPr>
          <w:color w:val="000000" w:themeColor="text1"/>
        </w:rPr>
        <w:t xml:space="preserve">Although I did not set out with a given educational approach, in the course of the research I determined that there was a strong alignment with Jones, Penaluna and Penaluna’s </w:t>
      </w:r>
      <w:r w:rsidRPr="00C965DD">
        <w:rPr>
          <w:color w:val="000000" w:themeColor="text1"/>
        </w:rPr>
        <w:fldChar w:fldCharType="begin" w:fldLock="1"/>
      </w:r>
      <w:r w:rsidRPr="00C965DD">
        <w:rPr>
          <w:color w:val="000000" w:themeColor="text1"/>
        </w:rPr>
        <w:instrText>ADDIN CSL_CITATION {"citationItems":[{"id":"ITEM-1","itemData":{"DOI":"10.1108/ET-10-2018-0211","ISSN":"00400912","abstract":"Purpose: The purpose of this paper is to address the recent development of heutagogy in the domain of enterprise and entrepreneurship education (EE). Responding to recent thinking within our domain of education, this paper discusses the origins of heutagogy, its adoption within enterprise and EE and offers suggestions as to the further development of such thinking in this domain. Design/methodology/approach: This conceptual paper revisits the original thinking that developed the process of heutagogy, or self-determined learning. Revisiting the conceptual foundations of heutagogy, comparing it to andragogy and to the idea of academagogy enables the process of academagogical process knowledge (APK) to be outlined. Through this process, the authors argue it is possible to envisage the real potential value of heutagogy to enterprise and EE. Findings: In advocating for the development of APK, the authors highlight the importance of six specific knowledge bases; knowledge of self, knowledge of entrepreneurship theories, knowledge of transformational learning approaches, knowledge of authentic assessment processes, knowledge of student engagement and knowledge of how to scholarly lead. The authors argue that the development of scholarship of teaching and learning for enterprise and EE can be advanced through these six knowledge bases. Practical implications: There are important implications that arise for all enterprise and entrepreneurship educators in the discussions presented here, especially if we consider entrepreneurial approaches within disciplines and interests that anchor the studies, as opposed to more generic approaches found in entrepreneurship courses. Most importantly, that heutagogy must be evaluated alongside the blended contributions of pedagogy, andragogy and academagogy. Originality/value: This paper advances the readers’ understanding of the potential role of heutagogy in enterprise and EE. In doing so, differing opinions related to the use of heutagogy in the domain have been addressed, and a developmental pathway outlined.","author":[{"dropping-particle":"","family":"Jones","given":"Colin","non-dropping-particle":"","parse-names":false,"suffix":""},{"dropping-particle":"","family":"Penaluna","given":"Kathryn","non-dropping-particle":"","parse-names":false,"suffix":""},{"dropping-particle":"","family":"Penaluna","given":"Andy","non-dropping-particle":"","parse-names":false,"suffix":""}],"container-title":"Education and Training","id":"ITEM-1","issue":"9","issued":{"date-parts":[["2019"]]},"page":"1170-1186","title":"The promise of andragogy, heutagogy and academagogy to enterprise and entrepreneurship education pedagogy","type":"article-journal","volume":"61"},"suppress-author":1,"uris":["http://www.mendeley.com/documents/?uuid=ab0ba60a-5e95-4f23-8f68-d4fc90a168a9"]}],"mendeley":{"formattedCitation":"(2019)","plainTextFormattedCitation":"(2019)","previouslyFormattedCitation":"(2019)"},"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(2019)</w:t>
      </w:r>
      <w:r w:rsidRPr="00C965DD">
        <w:rPr>
          <w:color w:val="000000" w:themeColor="text1"/>
        </w:rPr>
        <w:fldChar w:fldCharType="end"/>
      </w:r>
      <w:r w:rsidRPr="00C965DD">
        <w:rPr>
          <w:color w:val="000000" w:themeColor="text1"/>
        </w:rPr>
        <w:t xml:space="preserve"> description of ‘</w:t>
      </w:r>
      <w:proofErr w:type="spellStart"/>
      <w:r w:rsidRPr="00C965DD">
        <w:rPr>
          <w:color w:val="000000" w:themeColor="text1"/>
        </w:rPr>
        <w:t>Academagogy</w:t>
      </w:r>
      <w:proofErr w:type="spellEnd"/>
      <w:r w:rsidRPr="00C965DD">
        <w:rPr>
          <w:color w:val="000000" w:themeColor="text1"/>
        </w:rPr>
        <w:t>’: a mediating process by which the educator blends three other ‘</w:t>
      </w:r>
      <w:proofErr w:type="spellStart"/>
      <w:r w:rsidRPr="00C965DD">
        <w:rPr>
          <w:color w:val="000000" w:themeColor="text1"/>
        </w:rPr>
        <w:t>gogies</w:t>
      </w:r>
      <w:proofErr w:type="spellEnd"/>
      <w:r w:rsidRPr="00C965DD">
        <w:rPr>
          <w:color w:val="000000" w:themeColor="text1"/>
        </w:rPr>
        <w:t>’. On this basis, the approach to scholarship I offer may be interpreted as a blend of:</w:t>
      </w:r>
    </w:p>
    <w:p w14:paraId="23E3C19E" w14:textId="74CEBF40" w:rsidR="00127999" w:rsidRPr="00C965DD" w:rsidRDefault="00127999" w:rsidP="003639A1">
      <w:pPr>
        <w:pStyle w:val="ListParagraph"/>
        <w:numPr>
          <w:ilvl w:val="0"/>
          <w:numId w:val="3"/>
        </w:numPr>
        <w:rPr>
          <w:color w:val="000000" w:themeColor="text1"/>
        </w:rPr>
      </w:pPr>
      <w:r w:rsidRPr="00C965DD">
        <w:rPr>
          <w:color w:val="000000" w:themeColor="text1"/>
        </w:rPr>
        <w:t xml:space="preserve">Pedagogy—in which the educator independently acts to support student learning toward the formal learning objectives. In the subject module, I set out a specific theoretical perspective on EE as a framework within which the other elements of Andragogy and Heutagogy are enabled. This is delivered through traditional lectures. </w:t>
      </w:r>
    </w:p>
    <w:p w14:paraId="5AE922E5" w14:textId="1D499822" w:rsidR="00127999" w:rsidRPr="00C965DD" w:rsidRDefault="00127999" w:rsidP="003639A1">
      <w:pPr>
        <w:pStyle w:val="ListParagraph"/>
        <w:numPr>
          <w:ilvl w:val="0"/>
          <w:numId w:val="3"/>
        </w:numPr>
        <w:rPr>
          <w:color w:val="000000" w:themeColor="text1"/>
        </w:rPr>
      </w:pPr>
      <w:r w:rsidRPr="00C965DD">
        <w:rPr>
          <w:color w:val="000000" w:themeColor="text1"/>
        </w:rPr>
        <w:t xml:space="preserve">Andragogy—in which students are given the opportunity for self-directedness and autonomy within the learning objectives. In the subject module, a series of seminars gives students the freedom (and encouragement) to think about and develop their own ideas about EE within the broadly defined framework. </w:t>
      </w:r>
    </w:p>
    <w:p w14:paraId="28D85551" w14:textId="459738A7" w:rsidR="00127999" w:rsidRPr="00C965DD" w:rsidRDefault="00127999" w:rsidP="003639A1">
      <w:pPr>
        <w:pStyle w:val="ListParagraph"/>
        <w:numPr>
          <w:ilvl w:val="0"/>
          <w:numId w:val="3"/>
        </w:numPr>
        <w:rPr>
          <w:color w:val="000000" w:themeColor="text1"/>
        </w:rPr>
      </w:pPr>
      <w:r w:rsidRPr="00C965DD">
        <w:rPr>
          <w:color w:val="000000" w:themeColor="text1"/>
        </w:rPr>
        <w:t>Heutagogy—in which students can choose to determine the focus of their learning and negotiate learning outcomes. Although the form of assessment (both written work and presentation) is pre-determined to meet establishment requirements, the structure and content required to verify agreed learning is negotiable between student and educator.</w:t>
      </w:r>
    </w:p>
    <w:p w14:paraId="282A45F9" w14:textId="76D91E2D" w:rsidR="00127999" w:rsidRPr="00C965DD" w:rsidRDefault="00127999" w:rsidP="003B2E77">
      <w:pPr>
        <w:rPr>
          <w:color w:val="000000" w:themeColor="text1"/>
        </w:rPr>
      </w:pPr>
      <w:r w:rsidRPr="00C965DD">
        <w:rPr>
          <w:color w:val="000000" w:themeColor="text1"/>
        </w:rPr>
        <w:t>While some might question how well 2</w:t>
      </w:r>
      <w:r w:rsidRPr="00C965DD">
        <w:rPr>
          <w:color w:val="000000" w:themeColor="text1"/>
          <w:vertAlign w:val="superscript"/>
        </w:rPr>
        <w:t>nd</w:t>
      </w:r>
      <w:r w:rsidRPr="00C965DD">
        <w:rPr>
          <w:color w:val="000000" w:themeColor="text1"/>
        </w:rPr>
        <w:t xml:space="preserve"> year undergraduates are able to negotiate learning outcomes, my response is that the majority of students are not expected to.</w:t>
      </w:r>
      <w:r w:rsidRPr="00C965DD">
        <w:rPr>
          <w:rFonts w:ascii="Segoe UI" w:hAnsi="Segoe UI" w:cs="Segoe UI"/>
          <w:color w:val="000000" w:themeColor="text1"/>
          <w:sz w:val="21"/>
          <w:szCs w:val="21"/>
        </w:rPr>
        <w:t xml:space="preserve"> </w:t>
      </w:r>
      <w:r w:rsidRPr="00C965DD">
        <w:rPr>
          <w:color w:val="000000" w:themeColor="text1"/>
        </w:rPr>
        <w:t xml:space="preserve">The transition from pedagogy (traditionally the teaching of children) toward the adult-focussed teaching approaches of andragogy and heutagogy has been advocated in EE, particularly in the US with its focus on entrepreneurship </w:t>
      </w:r>
      <w:r w:rsidRPr="00C965DD">
        <w:rPr>
          <w:color w:val="000000" w:themeColor="text1"/>
        </w:rPr>
        <w:fldChar w:fldCharType="begin" w:fldLock="1"/>
      </w:r>
      <w:r w:rsidRPr="00C965DD">
        <w:rPr>
          <w:color w:val="000000" w:themeColor="text1"/>
        </w:rPr>
        <w:instrText>ADDIN CSL_CITATION {"citationItems":[{"id":"ITEM-1","itemData":{"DOI":"10.1177/2515127417737286","ISSN":"2515-1274","abstract":"Entrepreneurship education (EE) research is not advancing as fast as general entrepreneurship because it is not subject to the same level of scholarship. Grounded in the Scholarship of Teaching and Learning from the field of adult education and using an expert Delphi Panel approach, we offer a glimpse into the minds of top entrepreneurship educators. We suggest studying EE through a teaching lens offers insights and elevates teaching as a form of scholarship on par with traditional, more accepted forms of research. Our Delphi analysis suggests a definition of EE as developing the mindset, skill set, and practice necessary for starting new ventures, yet acknowledging the outcomes of such education are far reaching. We introduce five continuums of EE that encourage a transition to teaching approaches based on adult learning, namely andragogy and heutagogy. Implications for entrepreneurship educator training, the need for practice, and the future of EE research are discussed.","author":[{"dropping-particle":"","family":"Neck","given":"Heidi M.","non-dropping-particle":"","parse-names":false,"suffix":""},{"dropping-particle":"","family":"Corbett","given":"Andrew C.","non-dropping-particle":"","parse-names":false,"suffix":""}],"container-title":"Entrepreneurship Education and Pedagogy","id":"ITEM-1","issue":"1","issued":{"date-parts":[["2018"]]},"page":"8-41","title":"The Scholarship of Teaching and Learning Entrepreneurship","type":"article-journal","volume":"1"},"uris":["http://www.mendeley.com/documents/?uuid=fe2a9072-7f5b-4bcf-9996-99cdf7c714d7"]}],"mendeley":{"formattedCitation":"(Neck and Corbett, 2018)","plainTextFormattedCitation":"(Neck and Corbett, 2018)","previouslyFormattedCitation":"(Neck and Corbett, 2018)"},"properties":{"noteIndex":0},"schema":"https://github.com/citation-style-language/schema/raw/master/csl-citation.json"}</w:instrText>
      </w:r>
      <w:r w:rsidRPr="00C965DD">
        <w:rPr>
          <w:color w:val="000000" w:themeColor="text1"/>
        </w:rPr>
        <w:fldChar w:fldCharType="separate"/>
      </w:r>
      <w:r w:rsidRPr="00C965DD">
        <w:rPr>
          <w:noProof/>
          <w:color w:val="000000" w:themeColor="text1"/>
        </w:rPr>
        <w:t>(Neck and Corbett, 2018)</w:t>
      </w:r>
      <w:r w:rsidRPr="00C965DD">
        <w:rPr>
          <w:color w:val="000000" w:themeColor="text1"/>
        </w:rPr>
        <w:fldChar w:fldCharType="end"/>
      </w:r>
      <w:r w:rsidRPr="00C965DD">
        <w:rPr>
          <w:color w:val="000000" w:themeColor="text1"/>
        </w:rPr>
        <w:t xml:space="preserve">. However, not all HE students will be comfortable with the opportunity for self-direction, nor the notion of negotiating their own learning outcomes. Thus, underpinned by a sound pedagogy, my incorporation of andragogical and </w:t>
      </w:r>
      <w:proofErr w:type="spellStart"/>
      <w:r w:rsidRPr="00C965DD">
        <w:rPr>
          <w:color w:val="000000" w:themeColor="text1"/>
        </w:rPr>
        <w:t>heutagogical</w:t>
      </w:r>
      <w:proofErr w:type="spellEnd"/>
      <w:r w:rsidRPr="00C965DD">
        <w:rPr>
          <w:color w:val="000000" w:themeColor="text1"/>
        </w:rPr>
        <w:t xml:space="preserve"> elements simply allows those students who are more comfortable with self-direction to take full advantage of its freedoms. Those less comfortable are free to experiment in a supportive environment, playing to a requirement for inclusivity. </w:t>
      </w:r>
    </w:p>
    <w:p w14:paraId="16B84D1E" w14:textId="73D3B3EA" w:rsidR="00127999" w:rsidRPr="00C965DD" w:rsidRDefault="00127999" w:rsidP="00F14B63">
      <w:pPr>
        <w:rPr>
          <w:color w:val="000000" w:themeColor="text1"/>
        </w:rPr>
      </w:pPr>
      <w:r w:rsidRPr="00C965DD">
        <w:rPr>
          <w:color w:val="000000" w:themeColor="text1"/>
        </w:rPr>
        <w:t xml:space="preserve">     </w:t>
      </w:r>
      <w:r w:rsidRPr="00C965DD">
        <w:rPr>
          <w:noProof/>
          <w:color w:val="000000" w:themeColor="text1"/>
        </w:rPr>
        <w:t>Hägg and Kurczewska</w:t>
      </w:r>
      <w:r w:rsidRPr="00C965DD">
        <w:rPr>
          <w:color w:val="000000" w:themeColor="text1"/>
        </w:rPr>
        <w:t xml:space="preserve"> </w:t>
      </w:r>
      <w:r w:rsidRPr="00C965DD">
        <w:rPr>
          <w:color w:val="000000" w:themeColor="text1"/>
        </w:rPr>
        <w:fldChar w:fldCharType="begin" w:fldLock="1"/>
      </w:r>
      <w:r w:rsidR="00F3282A" w:rsidRPr="00C965DD">
        <w:rPr>
          <w:color w:val="000000" w:themeColor="text1"/>
        </w:rPr>
        <w:instrText>ADDIN CSL_CITATION {"citationItems":[{"id":"ITEM-1","itemData":{"DOI":"10.1111/jsbm.12496","ISSN":"1540627X","abstract":"Although entrepreneurship education is promoted through an active learning approach, critical concerns regarding how to educate potential entrepreneurs has increased. To remedy this, we pose the question: “Who is the student entrepreneur?” Building on conceptual work from developmental psychology, expertise research, pedagogy, and andragogy, we problematize based on the key characteristics of the emerging adult; a construct originating from developmental psychology. We illustrate an educational process moving from a pedagogical phase into an andragogical phase where the learner becomes in control of the learning process. As a result, we propose a continuum model of entrepreneurship education for emerging adults.","author":[{"dropping-particle":"","family":"Hägg","given":"Gustav","non-dropping-particle":"","parse-names":false,"suffix":""},{"dropping-particle":"","family":"Kurczewska","given":"Agnieszka","non-dropping-particle":"","parse-names":false,"suffix":""}],"container-title":"Journal of Small Business Management","id":"ITEM-1","issue":"S1","issued":{"date-parts":[["2019"]]},"page":"130-147","title":"Who Is the Student Entrepreneur? Understanding the Emergent Adult through the Pedagogy and Andragogy Interplay","type":"article-journal","volume":"57"},"suppress-author":1,"uris":["http://www.mendeley.com/documents/?uuid=e9a86e7d-6aa6-4e07-83b7-646aeb68afc5"]},{"id":"ITEM-2","itemData":{"DOI":"10.1108/ET-03-2020-0069","ISSN":"00400912","abstract":"Purpose: The purpose of the paper is to build on current discussions about the need for and role of guidance in learning and teaching, as well as to theoretically develop its specifics to further advance our scholarly understanding of how to structure and enhance entrepreneurship education. Design/methodology/approach: The paper takes a synthesizing conceptual approach, built on developmental psychology, instructional science, expertise research as well as the pedagogy–andragogy discussion and the role of guidance in contemporary entrepreneurship education research. In addition, a new term, odigogy, is developed. Findings: Odigogy, from the Greek word odigós (to guide), addresses how to navigate student entrepreneurs in higher education. The term seeks to correspond both to the specifics of entrepreneurship as a subject and the characteristics of students in the classroom who are in a transitional phase between adolescence and adulthood. Practical implications: The paper contributes to current entrepreneurship education discussions by offering a more balanced terminology positioned between how to teach (pedagogy) and how adults learn (andragogy). The paper provides insights for teachers when developing teaching methods and learning activities in higher education. Originality/value: By introducing the term odigogy the paper seeks to contribute an enhanced understanding of the entrepreneurial learning process in higher education, which does not match pedagogical assumptions on how to teach children or adolescents, nor andragogical assumptions on how adults learn, or how to engage students in self-directed learning as presented in heutagogy.","author":[{"dropping-particle":"","family":"Hägg","given":"Gustav","non-dropping-particle":"","parse-names":false,"suffix":""},{"dropping-particle":"","family":"Kurczewska","given":"Agnieszka","non-dropping-particle":"","parse-names":false,"suffix":""}],"container-title":"Education and Training","id":"ITEM-2","issue":"7-8","issued":{"date-parts":[["2020"]]},"page":"759-777","title":"Guiding the student entrepreneur – Considering the emergent adult within the pedagogy–andragogy continuum in entrepreneurship education","type":"article-journal","volume":"62"},"uris":["http://www.mendeley.com/documents/?uuid=bce647b0-4f34-4328-adf9-a0e43d5d445b"]}],"mendeley":{"formattedCitation":"(2019, 2020)","plainTextFormattedCitation":"(2019, 2020)","previouslyFormattedCitation":"(2019, 2020)"},"properties":{"noteIndex":0},"schema":"https://github.com/citation-style-language/schema/raw/master/csl-citation.json"}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(2019, 2020)</w:t>
      </w:r>
      <w:r w:rsidRPr="00C965DD">
        <w:rPr>
          <w:color w:val="000000" w:themeColor="text1"/>
        </w:rPr>
        <w:fldChar w:fldCharType="end"/>
      </w:r>
      <w:r w:rsidRPr="00C965DD">
        <w:rPr>
          <w:color w:val="000000" w:themeColor="text1"/>
        </w:rPr>
        <w:t xml:space="preserve"> characterise the typical undergraduate EE student as an ‘emerging adult’—in developmental psychology terms, one full of ambiguity, instability and experimentation. They may experience learning as a major developmental challenge. It is </w:t>
      </w:r>
      <w:r w:rsidRPr="00C965DD">
        <w:rPr>
          <w:color w:val="000000" w:themeColor="text1"/>
        </w:rPr>
        <w:lastRenderedPageBreak/>
        <w:t xml:space="preserve">a characterisation that rests on an assumption that pedagogy does not fully capture the emerging ‘in-betweenness’ that is characteristic of HE students today. However, given the last decades’ changing socio-economic structures, I reason some students may prefer pedagogy while others, particularly those on UK degree apprenticeships or mature students, may not. Rather than guiding students along </w:t>
      </w:r>
      <w:r w:rsidR="00BB730E">
        <w:rPr>
          <w:color w:val="000000" w:themeColor="text1"/>
        </w:rPr>
        <w:t xml:space="preserve">a </w:t>
      </w:r>
      <w:r w:rsidRPr="00C965DD">
        <w:rPr>
          <w:color w:val="000000" w:themeColor="text1"/>
        </w:rPr>
        <w:t>phased continuum of ‘</w:t>
      </w:r>
      <w:proofErr w:type="spellStart"/>
      <w:r w:rsidRPr="00C965DD">
        <w:rPr>
          <w:color w:val="000000" w:themeColor="text1"/>
        </w:rPr>
        <w:t>gogies</w:t>
      </w:r>
      <w:proofErr w:type="spellEnd"/>
      <w:r w:rsidRPr="00C965DD">
        <w:rPr>
          <w:color w:val="000000" w:themeColor="text1"/>
        </w:rPr>
        <w:t xml:space="preserve">’ </w:t>
      </w:r>
      <w:r w:rsidRPr="00C965DD">
        <w:rPr>
          <w:color w:val="000000" w:themeColor="text1"/>
        </w:rPr>
        <w:fldChar w:fldCharType="begin" w:fldLock="1"/>
      </w:r>
      <w:r w:rsidRPr="00C965DD">
        <w:rPr>
          <w:color w:val="000000" w:themeColor="text1"/>
        </w:rPr>
        <w:instrText>ADDIN CSL_CITATION {"citationItems":[{"id":"ITEM-1","itemData":{"DOI":"10.1108/ET-03-2020-0069","ISSN":"00400912","abstract":"Purpose: The purpose of the paper is to build on current discussions about the need for and role of guidance in learning and teaching, as well as to theoretically develop its specifics to further advance our scholarly understanding of how to structure and enhance entrepreneurship education. Design/methodology/approach: The paper takes a synthesizing conceptual approach, built on developmental psychology, instructional science, expertise research as well as the pedagogy–andragogy discussion and the role of guidance in contemporary entrepreneurship education research. In addition, a new term, odigogy, is developed. Findings: Odigogy, from the Greek word odigós (to guide), addresses how to navigate student entrepreneurs in higher education. The term seeks to correspond both to the specifics of entrepreneurship as a subject and the characteristics of students in the classroom who are in a transitional phase between adolescence and adulthood. Practical implications: The paper contributes to current entrepreneurship education discussions by offering a more balanced terminology positioned between how to teach (pedagogy) and how adults learn (andragogy). The paper provides insights for teachers when developing teaching methods and learning activities in higher education. Originality/value: By introducing the term odigogy the paper seeks to contribute an enhanced understanding of the entrepreneurial learning process in higher education, which does not match pedagogical assumptions on how to teach children or adolescents, nor andragogical assumptions on how adults learn, or how to engage students in self-directed learning as presented in heutagogy.","author":[{"dropping-particle":"","family":"Hägg","given":"Gustav","non-dropping-particle":"","parse-names":false,"suffix":""},{"dropping-particle":"","family":"Kurczewska","given":"Agnieszka","non-dropping-particle":"","parse-names":false,"suffix":""}],"container-title":"Education and Training","id":"ITEM-1","issue":"7-8","issued":{"date-parts":[["2020"]]},"page":"759-777","title":"Guiding the student entrepreneur – Considering the emergent adult within the pedagogy–andragogy continuum in entrepreneurship education","type":"article-journal","volume":"62"},"uris":["http://www.mendeley.com/documents/?uuid=bce647b0-4f34-4328-adf9-a0e43d5d445b"]}],"mendeley":{"formattedCitation":"(Hägg and Kurczewska, 2020)","plainTextFormattedCitation":"(Hägg and Kurczewska, 2020)","previouslyFormattedCitation":"(Hägg and Kurczewska, 2020)"},"properties":{"noteIndex":0},"schema":"https://github.com/citation-style-language/schema/raw/master/csl-citation.json"}</w:instrText>
      </w:r>
      <w:r w:rsidRPr="00C965DD">
        <w:rPr>
          <w:color w:val="000000" w:themeColor="text1"/>
        </w:rPr>
        <w:fldChar w:fldCharType="separate"/>
      </w:r>
      <w:r w:rsidRPr="00C965DD">
        <w:rPr>
          <w:noProof/>
          <w:color w:val="000000" w:themeColor="text1"/>
        </w:rPr>
        <w:t>(Hägg and Kurczewska, 2020)</w:t>
      </w:r>
      <w:r w:rsidRPr="00C965DD">
        <w:rPr>
          <w:color w:val="000000" w:themeColor="text1"/>
        </w:rPr>
        <w:fldChar w:fldCharType="end"/>
      </w:r>
      <w:r w:rsidRPr="00C965DD">
        <w:rPr>
          <w:color w:val="000000" w:themeColor="text1"/>
        </w:rPr>
        <w:t xml:space="preserve">, I see </w:t>
      </w:r>
      <w:proofErr w:type="spellStart"/>
      <w:r w:rsidRPr="00C965DD">
        <w:rPr>
          <w:color w:val="000000" w:themeColor="text1"/>
        </w:rPr>
        <w:t>academagogy</w:t>
      </w:r>
      <w:proofErr w:type="spellEnd"/>
      <w:r w:rsidRPr="00C965DD">
        <w:rPr>
          <w:color w:val="000000" w:themeColor="text1"/>
        </w:rPr>
        <w:t xml:space="preserve"> as simply facilitating an individualised negotiation of enterprising learning.</w:t>
      </w:r>
    </w:p>
    <w:p w14:paraId="07F4936E" w14:textId="69B0AB95" w:rsidR="00127999" w:rsidRPr="00C965DD" w:rsidRDefault="00127999" w:rsidP="00CF1A47">
      <w:pPr>
        <w:pStyle w:val="Heading1"/>
      </w:pPr>
      <w:r w:rsidRPr="00C965DD">
        <w:t>The module: a critical theory perspective</w:t>
      </w:r>
    </w:p>
    <w:p w14:paraId="266CEB02" w14:textId="44E0D87E" w:rsidR="00127999" w:rsidRPr="00C965DD" w:rsidRDefault="00127999" w:rsidP="009566AF">
      <w:pPr>
        <w:rPr>
          <w:color w:val="000000" w:themeColor="text1"/>
        </w:rPr>
      </w:pPr>
      <w:r w:rsidRPr="00C965DD">
        <w:rPr>
          <w:color w:val="000000" w:themeColor="text1"/>
        </w:rPr>
        <w:t xml:space="preserve">From the traditional pedagogical perspective, the module specification is grounded in the implicit conceptualisation of entrepreneurship embedded in the module’s learning objectives. Three of the five objectives specified are that students are able to: </w:t>
      </w:r>
    </w:p>
    <w:p w14:paraId="22481EFD" w14:textId="16C368D8" w:rsidR="00127999" w:rsidRPr="00C965DD" w:rsidRDefault="00127999" w:rsidP="00FB668E">
      <w:pPr>
        <w:pStyle w:val="ListParagraph"/>
        <w:numPr>
          <w:ilvl w:val="0"/>
          <w:numId w:val="4"/>
        </w:numPr>
        <w:rPr>
          <w:color w:val="000000" w:themeColor="text1"/>
        </w:rPr>
      </w:pPr>
      <w:r w:rsidRPr="00C965DD">
        <w:rPr>
          <w:color w:val="000000" w:themeColor="text1"/>
        </w:rPr>
        <w:t>Demonstrate how the principles of creativity, innovation and entrepreneurship or intrapreneurship transfer into a practical context.</w:t>
      </w:r>
    </w:p>
    <w:p w14:paraId="1581009A" w14:textId="59250706" w:rsidR="00127999" w:rsidRPr="00C965DD" w:rsidRDefault="00127999" w:rsidP="00FB668E">
      <w:pPr>
        <w:pStyle w:val="ListParagraph"/>
        <w:numPr>
          <w:ilvl w:val="0"/>
          <w:numId w:val="4"/>
        </w:numPr>
        <w:rPr>
          <w:color w:val="000000" w:themeColor="text1"/>
        </w:rPr>
      </w:pPr>
      <w:r w:rsidRPr="00C965DD">
        <w:rPr>
          <w:color w:val="000000" w:themeColor="text1"/>
        </w:rPr>
        <w:t>Apply the concepts learned and the techniques and intellectual skills developed to suit different markets and situations and to the entrepreneurial process, to start up and manage a business venture</w:t>
      </w:r>
    </w:p>
    <w:p w14:paraId="4A5CC709" w14:textId="0374DDCF" w:rsidR="00127999" w:rsidRPr="00C965DD" w:rsidRDefault="00127999" w:rsidP="00FB668E">
      <w:pPr>
        <w:pStyle w:val="ListParagraph"/>
        <w:numPr>
          <w:ilvl w:val="0"/>
          <w:numId w:val="4"/>
        </w:numPr>
        <w:rPr>
          <w:color w:val="000000" w:themeColor="text1"/>
        </w:rPr>
      </w:pPr>
      <w:r w:rsidRPr="00C965DD">
        <w:rPr>
          <w:color w:val="000000" w:themeColor="text1"/>
        </w:rPr>
        <w:t>Reflect on personal development needs and the development, skills and attributes of entrepreneurial and intrapreneurial behaviour</w:t>
      </w:r>
    </w:p>
    <w:p w14:paraId="7AC9D8D9" w14:textId="07013816" w:rsidR="00127999" w:rsidRPr="00C965DD" w:rsidRDefault="00127999" w:rsidP="009566AF">
      <w:pPr>
        <w:rPr>
          <w:color w:val="000000" w:themeColor="text1"/>
        </w:rPr>
      </w:pPr>
      <w:r w:rsidRPr="00C965DD">
        <w:rPr>
          <w:color w:val="000000" w:themeColor="text1"/>
        </w:rPr>
        <w:t xml:space="preserve">I argue that the module’s enterprising promise of a generalised ‘Business, Creativity and Opportunism’ learning for ‘the Workplace’, is </w:t>
      </w:r>
      <w:r w:rsidR="00195011">
        <w:rPr>
          <w:color w:val="000000" w:themeColor="text1"/>
        </w:rPr>
        <w:t xml:space="preserve">not </w:t>
      </w:r>
      <w:r w:rsidRPr="00C965DD">
        <w:rPr>
          <w:color w:val="000000" w:themeColor="text1"/>
        </w:rPr>
        <w:t>reflected in the implicit focus on the entrepreneurial process of starting and managing a business venture. This is problematic in relation to the two research questions. Firstly, despite (as an educator) having over 20 years’ experience in setting up and managing a range of business ventures in a range of sectors, I argue the subject holds little of ‘educational’ interest in a general sense that would appeal to those not predisposed to learn about it. Secondly</w:t>
      </w:r>
      <w:r w:rsidR="00195011">
        <w:rPr>
          <w:color w:val="000000" w:themeColor="text1"/>
        </w:rPr>
        <w:t>—</w:t>
      </w:r>
      <w:r w:rsidRPr="00C965DD">
        <w:rPr>
          <w:color w:val="000000" w:themeColor="text1"/>
        </w:rPr>
        <w:t>eschewing any push toward entrepreneurial identity</w:t>
      </w:r>
      <w:r w:rsidR="00195011">
        <w:rPr>
          <w:color w:val="000000" w:themeColor="text1"/>
        </w:rPr>
        <w:t>—</w:t>
      </w:r>
      <w:r w:rsidRPr="00C965DD">
        <w:rPr>
          <w:color w:val="000000" w:themeColor="text1"/>
        </w:rPr>
        <w:t>I</w:t>
      </w:r>
      <w:r w:rsidR="00195011">
        <w:rPr>
          <w:color w:val="000000" w:themeColor="text1"/>
        </w:rPr>
        <w:t xml:space="preserve"> </w:t>
      </w:r>
      <w:r w:rsidRPr="00C965DD">
        <w:rPr>
          <w:color w:val="000000" w:themeColor="text1"/>
        </w:rPr>
        <w:t xml:space="preserve">believe </w:t>
      </w:r>
      <w:r w:rsidR="006D0AE3">
        <w:rPr>
          <w:color w:val="000000" w:themeColor="text1"/>
        </w:rPr>
        <w:t xml:space="preserve">that </w:t>
      </w:r>
      <w:r w:rsidRPr="00C965DD">
        <w:rPr>
          <w:color w:val="000000" w:themeColor="text1"/>
        </w:rPr>
        <w:t>for many students with high levels of CI, the ideal ‘workplace’ may remain undecided</w:t>
      </w:r>
      <w:r w:rsidR="00195011">
        <w:rPr>
          <w:color w:val="000000" w:themeColor="text1"/>
        </w:rPr>
        <w:t>. I</w:t>
      </w:r>
      <w:r w:rsidRPr="00C965DD">
        <w:rPr>
          <w:color w:val="000000" w:themeColor="text1"/>
        </w:rPr>
        <w:t xml:space="preserve">t may not be the cut and thrust, and risk and uncertainty of a start-up. Also, for many employers, I believe the ideal graduate applicant may not be one </w:t>
      </w:r>
      <w:r w:rsidRPr="00C965DD">
        <w:rPr>
          <w:color w:val="000000" w:themeColor="text1"/>
        </w:rPr>
        <w:lastRenderedPageBreak/>
        <w:t xml:space="preserve">who is entrepreneurial. </w:t>
      </w:r>
      <w:r w:rsidR="006D0AE3">
        <w:rPr>
          <w:color w:val="000000" w:themeColor="text1"/>
        </w:rPr>
        <w:t>T</w:t>
      </w:r>
      <w:r w:rsidRPr="00C965DD">
        <w:rPr>
          <w:color w:val="000000" w:themeColor="text1"/>
        </w:rPr>
        <w:t xml:space="preserve">he idea of learning EE simply through setting up a business venture, sets the possibility of exclusion and failure for those students either not inclined to engage with such a narrow, conceptual focus, or not at least in possession of some level of EI. </w:t>
      </w:r>
    </w:p>
    <w:p w14:paraId="330BB0DC" w14:textId="15DD1084" w:rsidR="00127999" w:rsidRPr="00C965DD" w:rsidRDefault="00127999" w:rsidP="006D0AE3">
      <w:pPr>
        <w:pStyle w:val="Heading2"/>
      </w:pPr>
      <w:r w:rsidRPr="00C965DD">
        <w:t xml:space="preserve">AND: </w:t>
      </w:r>
      <w:r w:rsidRPr="006D0AE3">
        <w:t>Entrepreneurship</w:t>
      </w:r>
      <w:r w:rsidRPr="00C965DD">
        <w:t xml:space="preserve"> as a non-concept     </w:t>
      </w:r>
    </w:p>
    <w:p w14:paraId="17934C60" w14:textId="3895D9D0" w:rsidR="00127999" w:rsidRPr="00C965DD" w:rsidRDefault="00127999" w:rsidP="00643157">
      <w:pPr>
        <w:rPr>
          <w:color w:val="000000" w:themeColor="text1"/>
        </w:rPr>
      </w:pPr>
      <w:r w:rsidRPr="00C965DD">
        <w:rPr>
          <w:color w:val="000000" w:themeColor="text1"/>
        </w:rPr>
        <w:t>To overcome the narrow, ill-defined conceptualisation of entrepreneurship as the subject of the module, I re-present entrepreneurship as an emergent non-concept. Here, the learning focus is not the concept ‘entrepreneurship’, but its (enterprising) conditions of emergence (through vision, creativity and enterprising skills). This shift of focus is an application of Critical Theorist Theodor W. Adorno’s Negative Dialectics</w:t>
      </w:r>
      <w:r w:rsidRPr="00C965DD">
        <w:rPr>
          <w:rStyle w:val="EndnoteReference"/>
          <w:color w:val="000000" w:themeColor="text1"/>
        </w:rPr>
        <w:endnoteReference w:id="4"/>
      </w:r>
      <w:r w:rsidRPr="00C965DD">
        <w:rPr>
          <w:color w:val="000000" w:themeColor="text1"/>
        </w:rPr>
        <w:t xml:space="preserve"> </w:t>
      </w:r>
      <w:r w:rsidRPr="00C965DD">
        <w:rPr>
          <w:color w:val="000000" w:themeColor="text1"/>
        </w:rPr>
        <w:fldChar w:fldCharType="begin" w:fldLock="1"/>
      </w:r>
      <w:r w:rsidR="006D0AE3">
        <w:rPr>
          <w:color w:val="000000" w:themeColor="text1"/>
        </w:rPr>
        <w:instrText>ADDIN CSL_CITATION {"citationItems":[{"id":"ITEM-1","itemData":{"ISBN":"978-0-7456-3510-1","author":[{"dropping-particle":"","family":"Adorno","given":"Theodor W.","non-dropping-particle":"","parse-names":false,"suffix":""}],"edition":"English","editor":[{"dropping-particle":"","family":"Tiedemann","given":"Rolf","non-dropping-particle":"","parse-names":false,"suffix":""},{"dropping-particle":"","family":"Livingstone","given":"Rodney","non-dropping-particle":"","parse-names":false,"suffix":""}],"id":"ITEM-1","issued":{"date-parts":[["2008"]]},"publisher":"Polity Press (2003)","publisher-place":"Cambridge, UK","title":"Lectures on Negative Dialectics","type":"book"},"uris":["http://www.mendeley.com/documents/?uuid=2126eab5-7829-4efe-b1ad-07f3d820e8ff"]},{"id":"ITEM-2","itemData":{"author":[{"dropping-particle":"","family":"Atkinson","given":"David M.","non-dropping-particle":"","parse-names":false,"suffix":""}],"id":"ITEM-2","issued":{"date-parts":[["0"]]},"publisher":"Vernon Press (forthcoming)","title":"Reimagining Capitalism: Applying Negative Dialectics for a Better Future","type":"book"},"uris":["http://www.mendeley.com/documents/?uuid=cd0ffb45-b147-4c15-88a0-9da8a725fe22"]}],"mendeley":{"formattedCitation":"(Atkinson, no date; Adorno, 2008)","plainTextFormattedCitation":"(Atkinson, no date; Adorno, 2008)","previouslyFormattedCitation":"(Atkinson, no date; Adorno, 2008)"},"properties":{"noteIndex":0},"schema":"https://github.com/citation-style-language/schema/raw/master/csl-citation.json"}</w:instrText>
      </w:r>
      <w:r w:rsidRPr="00C965DD">
        <w:rPr>
          <w:color w:val="000000" w:themeColor="text1"/>
        </w:rPr>
        <w:fldChar w:fldCharType="separate"/>
      </w:r>
      <w:r w:rsidRPr="00C965DD">
        <w:rPr>
          <w:noProof/>
          <w:color w:val="000000" w:themeColor="text1"/>
        </w:rPr>
        <w:t>(Atkinson, no date; Adorno, 2008)</w:t>
      </w:r>
      <w:r w:rsidRPr="00C965DD">
        <w:rPr>
          <w:color w:val="000000" w:themeColor="text1"/>
        </w:rPr>
        <w:fldChar w:fldCharType="end"/>
      </w:r>
      <w:r w:rsidRPr="00C965DD">
        <w:rPr>
          <w:color w:val="000000" w:themeColor="text1"/>
        </w:rPr>
        <w:t xml:space="preserve">. I argue this focuses study on the idea of the non-concept (or context) as the negative of the concept. It is like considering a photographic negative—by focussing on the reverse of the image itself. For example, in considering entrepreneurship, my focus is not on the dialectic specifics of entrepreneurship as might be defined by the authority of some traditional theorist, but on its context—that is the social and material conditions in which entrepreneurship emerges. In this case, I define the context along the dimensions of a general enterprising work, the application of creativity, and the potential of vision. Such an application of negative dialectics extends the range of enterprising possibilities determined by the variation in conjunctions, in this case between the dimensions of enterprising skills, creative capacity and visionary ability. </w:t>
      </w:r>
    </w:p>
    <w:p w14:paraId="55080C54" w14:textId="3945C0E5" w:rsidR="00127999" w:rsidRPr="00C965DD" w:rsidRDefault="00127999" w:rsidP="006D0AE3">
      <w:pPr>
        <w:pStyle w:val="Heading2"/>
      </w:pPr>
      <w:r w:rsidRPr="00C965DD">
        <w:t xml:space="preserve">CTA: Defining conditions of emergence </w:t>
      </w:r>
    </w:p>
    <w:p w14:paraId="249CF30C" w14:textId="0D2F0F32" w:rsidR="00127999" w:rsidRPr="00C965DD" w:rsidRDefault="00127999" w:rsidP="00D64688">
      <w:pPr>
        <w:rPr>
          <w:color w:val="000000" w:themeColor="text1"/>
        </w:rPr>
      </w:pPr>
      <w:r w:rsidRPr="00B8775E">
        <w:rPr>
          <w:color w:val="000000" w:themeColor="text1"/>
        </w:rPr>
        <w:t>The choice of the three dimensions of social and material conditions (or factors) is determined by CTA, a heterodox critical theory</w:t>
      </w:r>
      <w:r w:rsidRPr="00C965DD">
        <w:rPr>
          <w:color w:val="000000" w:themeColor="text1"/>
        </w:rPr>
        <w:t xml:space="preserve"> of artistic work </w:t>
      </w:r>
      <w:r w:rsidRPr="00C965DD">
        <w:rPr>
          <w:color w:val="000000" w:themeColor="text1"/>
        </w:rPr>
        <w:fldChar w:fldCharType="begin" w:fldLock="1"/>
      </w:r>
      <w:r w:rsidRPr="00C965DD">
        <w:rPr>
          <w:color w:val="000000" w:themeColor="text1"/>
        </w:rPr>
        <w:instrText>ADDIN CSL_CITATION {"citationItems":[{"id":"ITEM-1","itemData":{"DOI":"10.1057/9780230589988","ISBN":"9780230589988","abstract":"Management-science or management-art? This text addresses this question through a philosophy of an art-related management practice, contributing a paradigmatic thesis of management practiced as an art-form. It goes beyond the extension of aesthetic understanding to management and organization study to aid understanding of management.","author":[{"dropping-particle":"","family":"Atkinson","given":"David M.","non-dropping-particle":"","parse-names":false,"suffix":""}],"id":"ITEM-1","issued":{"date-parts":[["2007","10"]]},"number-of-pages":"1-280","publisher":"Palgrave Macmillan","title":"Thinking the art of management: Stepping into 'Heidegger's shoes'","type":"book"},"uris":["http://www.mendeley.com/documents/?uuid=07f0d867-0a30-4846-b5f8-073c7428c69d"]}],"mendeley":{"formattedCitation":"(Atkinson, 2007)","plainTextFormattedCitation":"(Atkinson, 2007)","previouslyFormattedCitation":"(Atkinson, 2007)"},"properties":{"noteIndex":0},"schema":"https://github.com/citation-style-language/schema/raw/master/csl-citation.json"}</w:instrText>
      </w:r>
      <w:r w:rsidRPr="00C965DD">
        <w:rPr>
          <w:color w:val="000000" w:themeColor="text1"/>
        </w:rPr>
        <w:fldChar w:fldCharType="separate"/>
      </w:r>
      <w:r w:rsidRPr="00C965DD">
        <w:rPr>
          <w:noProof/>
          <w:color w:val="000000" w:themeColor="text1"/>
        </w:rPr>
        <w:t>(Atkinson, 2007)</w:t>
      </w:r>
      <w:r w:rsidRPr="00C965DD">
        <w:rPr>
          <w:color w:val="000000" w:themeColor="text1"/>
        </w:rPr>
        <w:fldChar w:fldCharType="end"/>
      </w:r>
      <w:r w:rsidRPr="00C965DD">
        <w:rPr>
          <w:color w:val="000000" w:themeColor="text1"/>
        </w:rPr>
        <w:t xml:space="preserve">. This provides an application of the artistic metaphor to the creative exercise of any given craft skill, in this case the craft of enterprising work. Here, entrepreneurship—as the ‘art of enterprise’—emerges as the conjunction of three core elements, the exercise of the identified </w:t>
      </w:r>
      <w:r w:rsidRPr="00C965DD">
        <w:rPr>
          <w:color w:val="000000" w:themeColor="text1"/>
        </w:rPr>
        <w:lastRenderedPageBreak/>
        <w:t xml:space="preserve">craft skill (of enterprising work), with creative innovation, in experiencing a mimetic realisation of some aspect of the lived-in-world. I argue this approach is the negative dialectic of a notion that enterprise leans on a broad definition of entrepreneurship </w:t>
      </w:r>
      <w:r w:rsidRPr="00C965DD">
        <w:rPr>
          <w:color w:val="000000" w:themeColor="text1"/>
        </w:rPr>
        <w:fldChar w:fldCharType="begin" w:fldLock="1"/>
      </w:r>
      <w:r w:rsidRPr="00C965DD">
        <w:rPr>
          <w:color w:val="000000" w:themeColor="text1"/>
        </w:rPr>
        <w:instrText>ADDIN CSL_CITATION {"citationItems":[{"id":"ITEM-1","itemData":{"DOI":"10.1108/JSBED-04-2019-402","ISSN":"14626004","author":[{"dropping-particle":"","family":"Liguori","given":"Eric","non-dropping-particle":"","parse-names":false,"suffix":""},{"dropping-particle":"","family":"Corbin","given":"Rebecca","non-dropping-particle":"","parse-names":false,"suffix":""},{"dropping-particle":"","family":"Lackéus","given":"Martin","non-dropping-particle":"","parse-names":false,"suffix":""},{"dropping-particle":"","family":"Solomon","given":"Shelby John","non-dropping-particle":"","parse-names":false,"suffix":""}],"container-title":"Journal of Small Business and Enterprise Development","id":"ITEM-1","issue":"2","issued":{"date-parts":[["2019"]]},"page":"182-189","title":"Under-researched domains in entrepreneurship and enterprise education: primary school, community colleges and vocational education and training programs","type":"article-journal","volume":"26"},"uris":["http://www.mendeley.com/documents/?uuid=dfa4a22e-a268-427f-9b55-6cfc9670aa11"]},{"id":"ITEM-2","itemData":{"DOI":"10.5367/000000004773863273","ISSN":"1465-7503","abstract":"Enterprise, entrepreneurship and entrepreneurs are terms that are subject to particular depictions and representations that do not always reflect their actual nature. Publicly held and shared perceptions and preconceptions tend to lead to stereotypes, caricatures and distortions that preclude or obstruct real insight into these phenomena. A case is made for a reconsideration of the key terms, particularly via a grounding of analysis and experience in actual events and conditions. The paper concludes by defining entrepreneurship as being both a state – of being an entrepreneur, and a behaviour – of being entrepreneurial. From this perspective, entrepreneurship extends beyond limited conceptualizations of its close association with business start-up and growth to incorporate enterprising activity and dynamics across society and its institutions.","author":[{"dropping-particle":"","family":"Atherton","given":"Andrew","non-dropping-particle":"","parse-names":false,"suffix":""}],"container-title":"The International Journal of Entrepreneurship and Innovation","id":"ITEM-2","issue":"2","issued":{"date-parts":[["2004"]]},"page":"121-127","title":"Unbundling Enterprise and Entrepreneurship","type":"article-journal","volume":"5"},"uris":["http://www.mendeley.com/documents/?uuid=6b6487c7-a8da-4bd2-9722-191047b51b95"]}],"mendeley":{"formattedCitation":"(Atherton, 2004; Liguori &lt;i&gt;et al.&lt;/i&gt;, 2019)","plainTextFormattedCitation":"(Atherton, 2004; Liguori et al., 2019)","previouslyFormattedCitation":"(Atherton, 2004; Liguori &lt;i&gt;et al.&lt;/i&gt;, 2019)"},"properties":{"noteIndex":0},"schema":"https://github.com/citation-style-language/schema/raw/master/csl-citation.json"}</w:instrText>
      </w:r>
      <w:r w:rsidRPr="00C965DD">
        <w:rPr>
          <w:color w:val="000000" w:themeColor="text1"/>
        </w:rPr>
        <w:fldChar w:fldCharType="separate"/>
      </w:r>
      <w:r w:rsidRPr="00C965DD">
        <w:rPr>
          <w:noProof/>
          <w:color w:val="000000" w:themeColor="text1"/>
        </w:rPr>
        <w:t xml:space="preserve">(Atherton, 2004; Liguori </w:t>
      </w:r>
      <w:r w:rsidRPr="00C965DD">
        <w:rPr>
          <w:i/>
          <w:noProof/>
          <w:color w:val="000000" w:themeColor="text1"/>
        </w:rPr>
        <w:t>et al.</w:t>
      </w:r>
      <w:r w:rsidRPr="00C965DD">
        <w:rPr>
          <w:noProof/>
          <w:color w:val="000000" w:themeColor="text1"/>
        </w:rPr>
        <w:t>, 2019)</w:t>
      </w:r>
      <w:r w:rsidRPr="00C965DD">
        <w:rPr>
          <w:color w:val="000000" w:themeColor="text1"/>
        </w:rPr>
        <w:fldChar w:fldCharType="end"/>
      </w:r>
      <w:r w:rsidRPr="00C965DD">
        <w:rPr>
          <w:color w:val="000000" w:themeColor="text1"/>
        </w:rPr>
        <w:t>. Rather, it plays to the origins of entrepreneurship’s emergent evolution in the context of a broader concept of enterprise</w:t>
      </w:r>
      <w:r w:rsidRPr="00C965DD">
        <w:rPr>
          <w:rStyle w:val="EndnoteReference"/>
          <w:color w:val="000000" w:themeColor="text1"/>
        </w:rPr>
        <w:endnoteReference w:id="5"/>
      </w:r>
      <w:r w:rsidRPr="00C965DD">
        <w:rPr>
          <w:color w:val="000000" w:themeColor="text1"/>
        </w:rPr>
        <w:t xml:space="preserve">, for example: as an anti-management separation from the traditional organisation of enterprise </w:t>
      </w:r>
      <w:r w:rsidRPr="00C965DD">
        <w:rPr>
          <w:color w:val="000000" w:themeColor="text1"/>
        </w:rPr>
        <w:fldChar w:fldCharType="begin" w:fldLock="1"/>
      </w:r>
      <w:r w:rsidRPr="00C965DD">
        <w:rPr>
          <w:color w:val="000000" w:themeColor="text1"/>
        </w:rPr>
        <w:instrText>ADDIN CSL_CITATION {"citationItems":[{"id":"ITEM-1","itemData":{"author":[{"dropping-particle":"","family":"Kaplan","given":"Roger","non-dropping-particle":"","parse-names":false,"suffix":""}],"container-title":"Harvard Business Review","id":"ITEM-1","issue":"May-June","issued":{"date-parts":[["1987"]]},"page":"84-89","title":"Entrepreneurship reconsidered: the antimanagement bias","type":"article-journal"},"uris":["http://www.mendeley.com/documents/?uuid=edb9e9ea-9866-4069-94b1-5054c1f60592"]}],"mendeley":{"formattedCitation":"(Kaplan, 1987)","plainTextFormattedCitation":"(Kaplan, 1987)","previouslyFormattedCitation":"(Kaplan, 1987)"},"properties":{"noteIndex":0},"schema":"https://github.com/citation-style-language/schema/raw/master/csl-citation.json"}</w:instrText>
      </w:r>
      <w:r w:rsidRPr="00C965DD">
        <w:rPr>
          <w:color w:val="000000" w:themeColor="text1"/>
        </w:rPr>
        <w:fldChar w:fldCharType="separate"/>
      </w:r>
      <w:r w:rsidRPr="00C965DD">
        <w:rPr>
          <w:noProof/>
          <w:color w:val="000000" w:themeColor="text1"/>
        </w:rPr>
        <w:t>(Kaplan, 1987)</w:t>
      </w:r>
      <w:r w:rsidRPr="00C965DD">
        <w:rPr>
          <w:color w:val="000000" w:themeColor="text1"/>
        </w:rPr>
        <w:fldChar w:fldCharType="end"/>
      </w:r>
      <w:r w:rsidRPr="00C965DD">
        <w:rPr>
          <w:color w:val="000000" w:themeColor="text1"/>
        </w:rPr>
        <w:t xml:space="preserve">; or as highlighted by the opportunities in advancing economies for both advancement in some enterprise or other and for entrepreneurship </w:t>
      </w:r>
      <w:r w:rsidRPr="00C965DD">
        <w:rPr>
          <w:color w:val="000000" w:themeColor="text1"/>
        </w:rPr>
        <w:fldChar w:fldCharType="begin" w:fldLock="1"/>
      </w:r>
      <w:r w:rsidRPr="00C965DD">
        <w:rPr>
          <w:color w:val="000000" w:themeColor="text1"/>
        </w:rPr>
        <w:instrText>ADDIN CSL_CITATION {"citationItems":[{"id":"ITEM-1","itemData":{"ISSN":"00028282","abstract":"In this article the author discusses the relation of entrepreneurship to economic growth by focusing on the role of entrepreneurship in the twentieth century in the U.S. economy. He refers to the extraordinary economic advance, which according to him has been raising hob with the traditional economic theory. The author analyses whether there are not, in the recently evolved structure of American entrepreneurship, elements of self-justifying practices and points of view, which have important economic or social consequences, whether the course of development within American business life, in part forced by alterations in social structure and by concurrent sophistication of governmental controls, does not hold promise of a somewhat enduring compromise position between the supposed necessary alternatives of unfettered free enterprise and a planned economy. He believe that enterprises of lesser size have shared, in appreciable measure in the phenomena displayed by other companies and it seems the lesson of history that the remaining units in the country have followed the practices and attitudes displayed by the leaders in the business world.","author":[{"dropping-particle":"","family":"Cole","given":"Arthur H.","non-dropping-particle":"","parse-names":false,"suffix":""}],"container-title":"American Economic Review","id":"ITEM-1","issue":"2","issued":{"date-parts":[["1954"]]},"page":"35","title":"Twentieth-Century Entrepreneurship in the United States and Economic Growth.","type":"article","volume":"44"},"uris":["http://www.mendeley.com/documents/?uuid=81f18e8e-ea18-4c45-b2ca-da974cd829ef"]}],"mendeley":{"formattedCitation":"(Cole, 1954)","plainTextFormattedCitation":"(Cole, 1954)","previouslyFormattedCitation":"(Cole, 1954)"},"properties":{"noteIndex":0},"schema":"https://github.com/citation-style-language/schema/raw/master/csl-citation.json"}</w:instrText>
      </w:r>
      <w:r w:rsidRPr="00C965DD">
        <w:rPr>
          <w:color w:val="000000" w:themeColor="text1"/>
        </w:rPr>
        <w:fldChar w:fldCharType="separate"/>
      </w:r>
      <w:r w:rsidRPr="00C965DD">
        <w:rPr>
          <w:noProof/>
          <w:color w:val="000000" w:themeColor="text1"/>
        </w:rPr>
        <w:t>(Cole, 1954)</w:t>
      </w:r>
      <w:r w:rsidRPr="00C965DD">
        <w:rPr>
          <w:color w:val="000000" w:themeColor="text1"/>
        </w:rPr>
        <w:fldChar w:fldCharType="end"/>
      </w:r>
      <w:r w:rsidRPr="00C965DD">
        <w:rPr>
          <w:color w:val="000000" w:themeColor="text1"/>
        </w:rPr>
        <w:t xml:space="preserve">; or simply by the evolving perspectives on who ‘businessmen’ [sic] are </w:t>
      </w:r>
      <w:r w:rsidRPr="00C965DD">
        <w:rPr>
          <w:color w:val="000000" w:themeColor="text1"/>
        </w:rPr>
        <w:fldChar w:fldCharType="begin" w:fldLock="1"/>
      </w:r>
      <w:r w:rsidRPr="00C965DD">
        <w:rPr>
          <w:color w:val="000000" w:themeColor="text1"/>
        </w:rPr>
        <w:instrText>ADDIN CSL_CITATION {"citationItems":[{"id":"ITEM-1","itemData":{"author":[{"dropping-particle":"","family":"Cole","given":"Arthur H.","non-dropping-particle":"","parse-names":false,"suffix":""}],"container-title":"Harvard Business Review","id":"ITEM-1","issue":"1","issued":{"date-parts":[["1949"]]},"page":"123-128","title":"The evolving perspective of businessmen","type":"article-journal","volume":"27"},"uris":["http://www.mendeley.com/documents/?uuid=7bc7011d-f556-491a-9c2c-f0cef2be52e2"]}],"mendeley":{"formattedCitation":"(Cole, 1949)","plainTextFormattedCitation":"(Cole, 1949)","previouslyFormattedCitation":"(Cole, 1949)"},"properties":{"noteIndex":0},"schema":"https://github.com/citation-style-language/schema/raw/master/csl-citation.json"}</w:instrText>
      </w:r>
      <w:r w:rsidRPr="00C965DD">
        <w:rPr>
          <w:color w:val="000000" w:themeColor="text1"/>
        </w:rPr>
        <w:fldChar w:fldCharType="separate"/>
      </w:r>
      <w:r w:rsidRPr="00C965DD">
        <w:rPr>
          <w:noProof/>
          <w:color w:val="000000" w:themeColor="text1"/>
        </w:rPr>
        <w:t>(Cole, 1949)</w:t>
      </w:r>
      <w:r w:rsidRPr="00C965DD">
        <w:rPr>
          <w:color w:val="000000" w:themeColor="text1"/>
        </w:rPr>
        <w:fldChar w:fldCharType="end"/>
      </w:r>
      <w:r w:rsidRPr="00C965DD">
        <w:rPr>
          <w:color w:val="000000" w:themeColor="text1"/>
        </w:rPr>
        <w:t xml:space="preserve">; or the relationship of entrepreneurship to free-enterprise, a qualification of more bureaucratic, less-free forms of enterprise </w:t>
      </w:r>
      <w:r w:rsidRPr="00C965DD">
        <w:rPr>
          <w:color w:val="000000" w:themeColor="text1"/>
        </w:rPr>
        <w:fldChar w:fldCharType="begin" w:fldLock="1"/>
      </w:r>
      <w:r w:rsidRPr="00C965DD">
        <w:rPr>
          <w:color w:val="000000" w:themeColor="text1"/>
        </w:rPr>
        <w:instrText>ADDIN CSL_CITATION {"citationItems":[{"id":"ITEM-1","itemData":{"ISSN":"00028282","abstract":"In this article the author suggests possibilities for a realistic theory of entrepreneurship. He also focuses on the contrast between the preoccupations of economists in the 1930s and in the late 1940s. According to the author criticism rests, on the generality of the concept of entrepreneur, a result of the failure to identify him with any specific set of conditions, institutional and ideological. For comparative study of long-period change, the author found the entrepreneur most useful if visualized as an ideal type in the Weber sense, and hence to be regarded as an objectively possible entity even though one we would not expect to find in all its purity in real life. This ideal type may be taken as one responding to a free competitive market, making his decisions, innovating and managing in response to competitive market forces, in short, an idealized economic category operating freely in an idealized institutional environment. The entrepreneur, then, maximizes his net income as his primary motivation, the ideal authoritarian form maximizes period of existence as its most come pelling purpose. Maximization of income with the limitations set by the market is the criterion in the one instance; in the other, dominance of the market provides the means of ensuring continuity of income as more significant than highest returns.","author":[{"dropping-particle":"","family":"Easterbrook","given":"W T","non-dropping-particle":"","parse-names":false,"suffix":""}],"container-title":"American Economic Review","id":"ITEM-1","issue":"3","issued":{"date-parts":[["1949"]]},"page":"322-335","title":"Possibilities for a Realistic Theory of Entrepreneurship. the Climate of Enterprise.","type":"article-journal","volume":"39"},"uris":["http://www.mendeley.com/documents/?uuid=a391a7f0-0444-4782-a086-9edf0ebedeb1"]}],"mendeley":{"formattedCitation":"(Easterbrook, 1949)","plainTextFormattedCitation":"(Easterbrook, 1949)","previouslyFormattedCitation":"(Easterbrook, 1949)"},"properties":{"noteIndex":0},"schema":"https://github.com/citation-style-language/schema/raw/master/csl-citation.json"}</w:instrText>
      </w:r>
      <w:r w:rsidRPr="00C965DD">
        <w:rPr>
          <w:color w:val="000000" w:themeColor="text1"/>
        </w:rPr>
        <w:fldChar w:fldCharType="separate"/>
      </w:r>
      <w:r w:rsidRPr="00C965DD">
        <w:rPr>
          <w:noProof/>
          <w:color w:val="000000" w:themeColor="text1"/>
        </w:rPr>
        <w:t>(Easterbrook, 1949)</w:t>
      </w:r>
      <w:r w:rsidRPr="00C965DD">
        <w:rPr>
          <w:color w:val="000000" w:themeColor="text1"/>
        </w:rPr>
        <w:fldChar w:fldCharType="end"/>
      </w:r>
      <w:r w:rsidRPr="00C965DD">
        <w:rPr>
          <w:color w:val="000000" w:themeColor="text1"/>
        </w:rPr>
        <w:t xml:space="preserve">; or the emergent function of the entrepreneur as an agent of production within the corporate form of an enterprise </w:t>
      </w:r>
      <w:r w:rsidRPr="00C965DD">
        <w:rPr>
          <w:color w:val="000000" w:themeColor="text1"/>
        </w:rPr>
        <w:fldChar w:fldCharType="begin" w:fldLock="1"/>
      </w:r>
      <w:r w:rsidRPr="00C965DD">
        <w:rPr>
          <w:color w:val="000000" w:themeColor="text1"/>
        </w:rPr>
        <w:instrText>ADDIN CSL_CITATION {"citationItems":[{"id":"ITEM-1","itemData":{"abstract":"The article focuses on the function of entrepreneurs as final functional agents of production and recipient of a final functional share of income, particularly with the manifestation of entrepreneurship in the corporate form of business organization. An accurate definition of the entrepreneurial function will limit that function to, first, the taking of responsibility of enterprise, i.e., willing that enterprise shall go on, second, such making of ultimate, final decisions as can not be delegated, i.e., the making of decisions inseparably connected with original investment in enterprise in anticipation of a contingent, residual return and finally bearing of the peculiar uncertainties necessary to the institution and inevitable in the case of business enterprise. In the case of the single proprietorship the entrepreneur is located in the owner, the single proprietor. That this same individual typically performs other functions of active decision making which, if he should so choose, he could hire others to perform for him, neither adds to nor detracts from his function as an entrepreneur. The article focuses on the function of entrepreneurs as final functional agents of production and recipient of a final functional share of income, particularly with the manifestation of entrepreneurship in the corporate form of business organization. An accurate definition of the entrepreneurial function will limit that function to, first, the taking of responsibility of enterprise, i.e., willing that enterprise shall go on, second, such making of ultimate, final decisions as can not be delegated, i.e., the making of decisions inseparably connected with original investment in enterprise in anticipation of a contingent, residual return and finally bearing of the peculiar uncertainties necessary to the institution and inevitable in the case of business enterprise. In the case of the single proprietorship the entrepreneur is located in the owner, the single proprietor. That this same individual typically performs other functions of active decision making which, if he should so choose, he could hire others to perform for him, neither adds to nor detracts from his function as an entrepreneur.","author":[{"dropping-particle":"","family":"Lewis","given":"Ben W.","non-dropping-particle":"","parse-names":false,"suffix":""}],"container-title":"Quarterly Journal of Economics","id":"ITEM-1","issue":"3","issued":{"date-parts":[["1937"]]},"page":"535-544","title":"The Corporate Entrepreneur","type":"article-journal","volume":"51"},"uris":["http://www.mendeley.com/documents/?uuid=c81d5d38-2cce-4780-9fb5-5974164d9d7a"]}],"mendeley":{"formattedCitation":"(Lewis, 1937)","plainTextFormattedCitation":"(Lewis, 1937)","previouslyFormattedCitation":"(Lewis, 1937)"},"properties":{"noteIndex":0},"schema":"https://github.com/citation-style-language/schema/raw/master/csl-citation.json"}</w:instrText>
      </w:r>
      <w:r w:rsidRPr="00C965DD">
        <w:rPr>
          <w:color w:val="000000" w:themeColor="text1"/>
        </w:rPr>
        <w:fldChar w:fldCharType="separate"/>
      </w:r>
      <w:r w:rsidRPr="00C965DD">
        <w:rPr>
          <w:noProof/>
          <w:color w:val="000000" w:themeColor="text1"/>
        </w:rPr>
        <w:t>(Lewis, 1937)</w:t>
      </w:r>
      <w:r w:rsidRPr="00C965DD">
        <w:rPr>
          <w:color w:val="000000" w:themeColor="text1"/>
        </w:rPr>
        <w:fldChar w:fldCharType="end"/>
      </w:r>
      <w:r w:rsidRPr="00C965DD">
        <w:rPr>
          <w:color w:val="000000" w:themeColor="text1"/>
        </w:rPr>
        <w:t xml:space="preserve">.    </w:t>
      </w:r>
    </w:p>
    <w:p w14:paraId="77A31A46" w14:textId="603F0F0E" w:rsidR="00127999" w:rsidRPr="00C965DD" w:rsidRDefault="00127999" w:rsidP="00D64688">
      <w:pPr>
        <w:rPr>
          <w:color w:val="000000" w:themeColor="text1"/>
        </w:rPr>
      </w:pPr>
      <w:r w:rsidRPr="00C965DD">
        <w:rPr>
          <w:color w:val="000000" w:themeColor="text1"/>
        </w:rPr>
        <w:t xml:space="preserve">     In briefly introducing CTA, </w:t>
      </w:r>
      <w:r w:rsidRPr="00C965DD">
        <w:rPr>
          <w:color w:val="000000" w:themeColor="text1"/>
        </w:rPr>
        <w:fldChar w:fldCharType="begin"/>
      </w:r>
      <w:r w:rsidRPr="00C965DD">
        <w:rPr>
          <w:color w:val="000000" w:themeColor="text1"/>
        </w:rPr>
        <w:instrText xml:space="preserve"> REF _Ref107401684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w:t>
      </w:r>
      <w:r w:rsidRPr="00C965DD">
        <w:rPr>
          <w:color w:val="000000" w:themeColor="text1"/>
        </w:rPr>
        <w:fldChar w:fldCharType="end"/>
      </w:r>
      <w:r w:rsidRPr="00C965DD">
        <w:rPr>
          <w:color w:val="000000" w:themeColor="text1"/>
        </w:rPr>
        <w:t xml:space="preserve"> shows the circle with the shaded portion as representative of the world and what is both known and unknown within it. The shaded unknown space is that space within which artist and audience (entrepreneur and the social-economy) engage in the process of mediating a (new) sense of place, coming to a (new) ‘shared’ sense of being-in-this-world. This shaded area is dissected by the imaginary plane, delineating an area in which access to knowledge of the unknown is through the imagination. The un-shaded area represents what is currently known—that which exists predominantly on the real plane. The separation between real and imaginary planes is </w:t>
      </w:r>
      <w:r w:rsidRPr="00B8775E">
        <w:rPr>
          <w:color w:val="000000" w:themeColor="text1"/>
        </w:rPr>
        <w:t>the antagonistic horizon.</w:t>
      </w:r>
      <w:r w:rsidRPr="00B8775E">
        <w:rPr>
          <w:rStyle w:val="EndnoteReference"/>
          <w:color w:val="000000" w:themeColor="text1"/>
        </w:rPr>
        <w:endnoteReference w:id="6"/>
      </w:r>
    </w:p>
    <w:p w14:paraId="04634CF6" w14:textId="5E8914E0" w:rsidR="00127999" w:rsidRPr="00C965DD" w:rsidRDefault="00127999" w:rsidP="00853BBA">
      <w:pPr>
        <w:rPr>
          <w:color w:val="000000" w:themeColor="text1"/>
        </w:rPr>
      </w:pPr>
      <w:r w:rsidRPr="00C965DD">
        <w:rPr>
          <w:color w:val="000000" w:themeColor="text1"/>
        </w:rPr>
        <w:t xml:space="preserve">     In considering an example of enterprising work, I posit that the Craft object ‘C’ is a convention of enterprising work practice; a design ‘D’ is an adaptation or variation of such a convention. The idea ‘I’ within an innovative activity is that which is purely new, emerging solely from the activity of creative play. The experiment ‘E’ is the application of an idea to the process of mimesis, revealing an aspect of the unknown. The mimetic experience ‘M’ is </w:t>
      </w:r>
      <w:r w:rsidRPr="00C965DD">
        <w:rPr>
          <w:color w:val="000000" w:themeColor="text1"/>
        </w:rPr>
        <w:lastRenderedPageBreak/>
        <w:t>that which exists in the unknown with the potential for a sensible affect that triggers an aesthetic response (anticipation) within the audience (in this case the social economy). The representation ‘R’ is what is capable of being reproduced by virtue of the conventions of enterprising work’s practice. The space represented by the union of C, M and I is analogous to the space in which the enterprising work is practiced. Here I identify the structures of that space, defining positions of reference for varied practitioners of a fluid enterprising work.</w:t>
      </w:r>
    </w:p>
    <w:p w14:paraId="2550BD06" w14:textId="22AB9517" w:rsidR="00127999" w:rsidRPr="00C965DD" w:rsidRDefault="00127999" w:rsidP="005644B7">
      <w:pPr>
        <w:keepNext/>
        <w:jc w:val="center"/>
        <w:rPr>
          <w:color w:val="000000" w:themeColor="text1"/>
        </w:rPr>
      </w:pPr>
      <w:r w:rsidRPr="00C965DD">
        <w:rPr>
          <w:noProof/>
          <w:color w:val="000000" w:themeColor="text1"/>
        </w:rPr>
        <w:drawing>
          <wp:inline distT="0" distB="0" distL="0" distR="0" wp14:anchorId="06A102C0" wp14:editId="0432069A">
            <wp:extent cx="2624400" cy="20880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400" cy="2088000"/>
                    </a:xfrm>
                    <a:prstGeom prst="rect">
                      <a:avLst/>
                    </a:prstGeom>
                    <a:noFill/>
                  </pic:spPr>
                </pic:pic>
              </a:graphicData>
            </a:graphic>
          </wp:inline>
        </w:drawing>
      </w:r>
    </w:p>
    <w:p w14:paraId="5C6C1CC1" w14:textId="5A0BCCCA" w:rsidR="00127999" w:rsidRPr="00C965DD" w:rsidRDefault="00127999" w:rsidP="00CF1A47">
      <w:pPr>
        <w:pStyle w:val="Caption"/>
      </w:pPr>
      <w:bookmarkStart w:id="0" w:name="_Ref107401684"/>
      <w:r w:rsidRPr="00C965DD">
        <w:t xml:space="preserve">Figure </w:t>
      </w:r>
      <w:fldSimple w:instr=" SEQ Figure \* ARABIC ">
        <w:r w:rsidRPr="00C965DD">
          <w:rPr>
            <w:noProof/>
          </w:rPr>
          <w:t>1</w:t>
        </w:r>
      </w:fldSimple>
      <w:bookmarkEnd w:id="0"/>
      <w:r w:rsidRPr="00C965DD">
        <w:t xml:space="preserve"> - Reframing entrepreneurship through CTA (adapted from Atkinson, 2007)</w:t>
      </w:r>
    </w:p>
    <w:p w14:paraId="43DF9788" w14:textId="5431E589" w:rsidR="00127999" w:rsidRPr="00C965DD" w:rsidRDefault="00127999" w:rsidP="004B4BB2">
      <w:pPr>
        <w:rPr>
          <w:color w:val="000000" w:themeColor="text1"/>
        </w:rPr>
      </w:pPr>
      <w:r w:rsidRPr="00C965DD">
        <w:rPr>
          <w:color w:val="000000" w:themeColor="text1"/>
        </w:rPr>
        <w:t xml:space="preserve">In adopting CTA as a framework for exploring the emergence of entrepreneurial practice within a broadly defined craft of enterprising work, I allow that some forms of the practice may tend to entrepreneuring, as the Art of enterprise ‘A’, while other forms of practice may co-emerge, without in any sense being othered, or otherwise marginalised. This allows me the possibility of de-othering the entrepreneur in the context of their work—a negative dialectic of the entrepreneur, in which the entrepreneur can only emerge from its non-concept of enterprising work. This allows a greater, more inclusive range of co-actors to emerge. So, as shown in </w:t>
      </w:r>
      <w:r w:rsidRPr="00C965DD">
        <w:rPr>
          <w:color w:val="000000" w:themeColor="text1"/>
        </w:rPr>
        <w:fldChar w:fldCharType="begin"/>
      </w:r>
      <w:r w:rsidRPr="00C965DD">
        <w:rPr>
          <w:color w:val="000000" w:themeColor="text1"/>
        </w:rPr>
        <w:instrText xml:space="preserve"> REF _Ref107401650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2</w:t>
      </w:r>
      <w:r w:rsidRPr="00C965DD">
        <w:rPr>
          <w:color w:val="000000" w:themeColor="text1"/>
        </w:rPr>
        <w:fldChar w:fldCharType="end"/>
      </w:r>
      <w:r w:rsidRPr="00C965DD">
        <w:rPr>
          <w:color w:val="000000" w:themeColor="text1"/>
        </w:rPr>
        <w:t xml:space="preserve">, alongside the artist—as the entrepreneur—we have the dreamer (or mimetic visionary), the reproducer, the craftsperson, the designer, the innovator, and the experimenter. </w:t>
      </w:r>
    </w:p>
    <w:p w14:paraId="0A651D0E" w14:textId="64184EBE" w:rsidR="00127999" w:rsidRPr="00C965DD" w:rsidRDefault="00127999" w:rsidP="004B4BB2">
      <w:pPr>
        <w:rPr>
          <w:color w:val="000000" w:themeColor="text1"/>
        </w:rPr>
      </w:pPr>
    </w:p>
    <w:p w14:paraId="7273764B" w14:textId="77777777" w:rsidR="00127999" w:rsidRPr="00C965DD" w:rsidRDefault="00127999" w:rsidP="005644B7">
      <w:pPr>
        <w:keepNext/>
        <w:jc w:val="center"/>
        <w:rPr>
          <w:color w:val="000000" w:themeColor="text1"/>
        </w:rPr>
      </w:pPr>
      <w:r w:rsidRPr="00C965DD">
        <w:rPr>
          <w:noProof/>
          <w:color w:val="000000" w:themeColor="text1"/>
        </w:rPr>
        <w:lastRenderedPageBreak/>
        <w:drawing>
          <wp:inline distT="0" distB="0" distL="0" distR="0" wp14:anchorId="6CC67578" wp14:editId="0E33F02E">
            <wp:extent cx="3297600" cy="208800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297600" cy="2088000"/>
                    </a:xfrm>
                    <a:prstGeom prst="rect">
                      <a:avLst/>
                    </a:prstGeom>
                    <a:noFill/>
                  </pic:spPr>
                </pic:pic>
              </a:graphicData>
            </a:graphic>
          </wp:inline>
        </w:drawing>
      </w:r>
    </w:p>
    <w:p w14:paraId="1391B2C2" w14:textId="3E10339C" w:rsidR="00127999" w:rsidRPr="00C965DD" w:rsidRDefault="00127999" w:rsidP="009104D0">
      <w:pPr>
        <w:pStyle w:val="Caption"/>
      </w:pPr>
      <w:bookmarkStart w:id="1" w:name="_Ref107401650"/>
      <w:r w:rsidRPr="00C965DD">
        <w:t xml:space="preserve">Figure </w:t>
      </w:r>
      <w:fldSimple w:instr=" SEQ Figure \* ARABIC ">
        <w:r w:rsidRPr="00C965DD">
          <w:rPr>
            <w:noProof/>
          </w:rPr>
          <w:t>2</w:t>
        </w:r>
      </w:fldSimple>
      <w:bookmarkEnd w:id="1"/>
      <w:r w:rsidRPr="00C965DD">
        <w:t xml:space="preserve"> - Co-actors in the craft of enterprise (adapted from Atkinson, 2007)</w:t>
      </w:r>
    </w:p>
    <w:p w14:paraId="516E7774" w14:textId="2F2371CD" w:rsidR="00127999" w:rsidRPr="00C965DD" w:rsidRDefault="00127999" w:rsidP="006D0AE3">
      <w:pPr>
        <w:pStyle w:val="Heading2"/>
      </w:pPr>
      <w:r w:rsidRPr="00C965DD">
        <w:t>SNA: Negotiation the emergent form</w:t>
      </w:r>
    </w:p>
    <w:p w14:paraId="2D1DBADA" w14:textId="1F44BBB4" w:rsidR="00127999" w:rsidRPr="00C965DD" w:rsidRDefault="00127999" w:rsidP="00DC5B1C">
      <w:pPr>
        <w:rPr>
          <w:color w:val="000000" w:themeColor="text1"/>
        </w:rPr>
      </w:pPr>
      <w:r w:rsidRPr="00C965DD">
        <w:rPr>
          <w:color w:val="000000" w:themeColor="text1"/>
        </w:rPr>
        <w:t xml:space="preserve">I underpin this reframing of entrepreneurship in </w:t>
      </w:r>
      <w:r w:rsidR="009104D0">
        <w:rPr>
          <w:color w:val="000000" w:themeColor="text1"/>
        </w:rPr>
        <w:t>the</w:t>
      </w:r>
      <w:r w:rsidRPr="00C965DD">
        <w:rPr>
          <w:color w:val="000000" w:themeColor="text1"/>
        </w:rPr>
        <w:t xml:space="preserve"> context of </w:t>
      </w:r>
      <w:r w:rsidR="009104D0">
        <w:rPr>
          <w:color w:val="000000" w:themeColor="text1"/>
        </w:rPr>
        <w:t xml:space="preserve">a </w:t>
      </w:r>
      <w:r w:rsidR="00E80A29" w:rsidRPr="00C965DD">
        <w:rPr>
          <w:color w:val="000000" w:themeColor="text1"/>
        </w:rPr>
        <w:t xml:space="preserve">critical theory of </w:t>
      </w:r>
      <w:r w:rsidRPr="00C965DD">
        <w:rPr>
          <w:color w:val="000000" w:themeColor="text1"/>
        </w:rPr>
        <w:t xml:space="preserve">enterprising work with a non-normative ontology of SNA </w:t>
      </w:r>
      <w:r w:rsidRPr="00C965DD">
        <w:rPr>
          <w:color w:val="000000" w:themeColor="text1"/>
        </w:rPr>
        <w:fldChar w:fldCharType="begin" w:fldLock="1"/>
      </w:r>
      <w:r w:rsidRPr="00C965DD">
        <w:rPr>
          <w:color w:val="000000" w:themeColor="text1"/>
        </w:rPr>
        <w:instrText>ADDIN CSL_CITATION {"citationItems":[{"id":"ITEM-1","itemData":{"DOI":"10.1057/9780230589988","ISBN":"9780230589988","abstract":"Management-science or management-art? This text addresses this question through a philosophy of an art-related management practice, contributing a paradigmatic thesis of management practiced as an art-form. It goes beyond the extension of aesthetic understanding to management and organization study to aid understanding of management.","author":[{"dropping-particle":"","family":"Atkinson","given":"David M.","non-dropping-particle":"","parse-names":false,"suffix":""}],"id":"ITEM-1","issued":{"date-parts":[["2007","10"]]},"number-of-pages":"1-280","publisher":"Palgrave Macmillan","title":"Thinking the art of management: Stepping into 'Heidegger's shoes'","type":"book"},"uris":["http://www.mendeley.com/documents/?uuid=07f0d867-0a30-4846-b5f8-073c7428c69d"]}],"mendeley":{"formattedCitation":"(Atkinson, 2007)","plainTextFormattedCitation":"(Atkinson, 2007)","previouslyFormattedCitation":"(Atkinson, 2007)"},"properties":{"noteIndex":0},"schema":"https://github.com/citation-style-language/schema/raw/master/csl-citation.json"}</w:instrText>
      </w:r>
      <w:r w:rsidRPr="00C965DD">
        <w:rPr>
          <w:color w:val="000000" w:themeColor="text1"/>
        </w:rPr>
        <w:fldChar w:fldCharType="separate"/>
      </w:r>
      <w:r w:rsidRPr="00C965DD">
        <w:rPr>
          <w:noProof/>
          <w:color w:val="000000" w:themeColor="text1"/>
        </w:rPr>
        <w:t>(Atkinson, 2007)</w:t>
      </w:r>
      <w:r w:rsidRPr="00C965DD">
        <w:rPr>
          <w:color w:val="000000" w:themeColor="text1"/>
        </w:rPr>
        <w:fldChar w:fldCharType="end"/>
      </w:r>
      <w:r w:rsidRPr="00C965DD">
        <w:rPr>
          <w:color w:val="000000" w:themeColor="text1"/>
        </w:rPr>
        <w:t xml:space="preserve">. This is more a philosophy; SNA is not founded on a single ontological position. Rather, the world is one world to be viewed from alternate perspectives. It is constantly subject to change; that is, I argue that the nature of the socio-economic world is transitory, as elements of it and other associated phenomena are added, negotiated, revised and subtracted or replaced as required. Therefore, SNA legitimises not only theories of representations in thought and representations in experience, but also theories of representations in ideas and fictions. As a basis for an ontology, </w:t>
      </w:r>
      <w:r w:rsidR="00E80A29" w:rsidRPr="00C965DD">
        <w:rPr>
          <w:color w:val="000000" w:themeColor="text1"/>
        </w:rPr>
        <w:t>it</w:t>
      </w:r>
      <w:r w:rsidRPr="00C965DD">
        <w:rPr>
          <w:color w:val="000000" w:themeColor="text1"/>
        </w:rPr>
        <w:t xml:space="preserve"> is not fallible—as is the case with critical realism—however individual (or groups of) elements and phenomena within it may be. The implication is that a philosophy of SNA does not deny the concurrent existence of multiple ontological subsets (for example positivism, social construction, critical realism and so on); each subset may also provide for a limited, context sensitive ontology.</w:t>
      </w:r>
    </w:p>
    <w:p w14:paraId="3D56091D" w14:textId="2AE1A90E" w:rsidR="00127999" w:rsidRPr="00C965DD" w:rsidRDefault="00127999" w:rsidP="00D64688">
      <w:pPr>
        <w:rPr>
          <w:color w:val="000000" w:themeColor="text1"/>
        </w:rPr>
      </w:pPr>
      <w:r w:rsidRPr="00C965DD">
        <w:rPr>
          <w:color w:val="000000" w:themeColor="text1"/>
        </w:rPr>
        <w:t xml:space="preserve">     In context, SNA implies an infinitely malleable ontology—a meta-theoretical framework. It allows a fluid ontological view of a negotiated reality to form a new socio-cultural narrative of EE. I argue it presents a view of the social-economic world of EE that is open to various legitimate interpretations—a negotiation of the meaning of EE between both educator </w:t>
      </w:r>
      <w:r w:rsidRPr="00C965DD">
        <w:rPr>
          <w:color w:val="000000" w:themeColor="text1"/>
        </w:rPr>
        <w:lastRenderedPageBreak/>
        <w:t xml:space="preserve">and student. Here, my focus on dimensions of enterprising practice, rather than any specific conceptualisation of that practice, allows that practice to retain an emergent, non-determinative form, in which alternative views may be negotiated in respect of individualistic socio-economic contexts. While a detailed review of SNA is beyond this paper’s scope, its infinitely malleable ontology of enterprising work offers a fluid view of EE work that is open to various legitimate interpretations. This provides me an anti-foundationalist epistemology which accepts that </w:t>
      </w:r>
      <w:r w:rsidRPr="00C965DD">
        <w:rPr>
          <w:i/>
          <w:iCs/>
          <w:color w:val="000000" w:themeColor="text1"/>
        </w:rPr>
        <w:t>‘[all] concepts can be considered as legitimate candidates to a (negotiated) knowledge of the world’</w:t>
      </w:r>
      <w:r w:rsidRPr="00C965DD">
        <w:rPr>
          <w:color w:val="000000" w:themeColor="text1"/>
        </w:rPr>
        <w:t xml:space="preserve"> </w:t>
      </w:r>
      <w:r w:rsidRPr="00C965DD">
        <w:rPr>
          <w:color w:val="000000" w:themeColor="text1"/>
        </w:rPr>
        <w:fldChar w:fldCharType="begin" w:fldLock="1"/>
      </w:r>
      <w:r w:rsidRPr="00C965DD">
        <w:rPr>
          <w:color w:val="000000" w:themeColor="text1"/>
        </w:rPr>
        <w:instrText>ADDIN CSL_CITATION {"citationItems":[{"id":"ITEM-1","itemData":{"DOI":"10.1057/9780230589988","ISBN":"9780230589988","abstract":"Management-science or management-art? This text addresses this question through a philosophy of an art-related management practice, contributing a paradigmatic thesis of management practiced as an art-form. It goes beyond the extension of aesthetic understanding to management and organization study to aid understanding of management.","author":[{"dropping-particle":"","family":"Atkinson","given":"David M.","non-dropping-particle":"","parse-names":false,"suffix":""}],"id":"ITEM-1","issued":{"date-parts":[["2007","10"]]},"number-of-pages":"1-280","publisher":"Palgrave Macmillan","title":"Thinking the art of management: Stepping into 'Heidegger's shoes'","type":"book"},"locator":"155","uris":["http://www.mendeley.com/documents/?uuid=07f0d867-0a30-4846-b5f8-073c7428c69d"]}],"mendeley":{"formattedCitation":"(Atkinson, 2007, p. 155)","plainTextFormattedCitation":"(Atkinson, 2007, p. 155)","previouslyFormattedCitation":"(Atkinson, 2007, p. 155)"},"properties":{"noteIndex":0},"schema":"https://github.com/citation-style-language/schema/raw/master/csl-citation.json"}</w:instrText>
      </w:r>
      <w:r w:rsidRPr="00C965DD">
        <w:rPr>
          <w:color w:val="000000" w:themeColor="text1"/>
        </w:rPr>
        <w:fldChar w:fldCharType="separate"/>
      </w:r>
      <w:r w:rsidRPr="00C965DD">
        <w:rPr>
          <w:noProof/>
          <w:color w:val="000000" w:themeColor="text1"/>
        </w:rPr>
        <w:t>(Atkinson, 2007, p. 155)</w:t>
      </w:r>
      <w:r w:rsidRPr="00C965DD">
        <w:rPr>
          <w:color w:val="000000" w:themeColor="text1"/>
        </w:rPr>
        <w:fldChar w:fldCharType="end"/>
      </w:r>
      <w:r w:rsidRPr="00C965DD">
        <w:rPr>
          <w:color w:val="000000" w:themeColor="text1"/>
        </w:rPr>
        <w:t>. This includes the educator’s and students’ own ideas about it.</w:t>
      </w:r>
    </w:p>
    <w:p w14:paraId="7D0EC546" w14:textId="1B46819C" w:rsidR="00127999" w:rsidRPr="00C965DD" w:rsidRDefault="00127999" w:rsidP="00CF1A47">
      <w:pPr>
        <w:pStyle w:val="Heading1"/>
      </w:pPr>
      <w:r w:rsidRPr="00C965DD">
        <w:t>The module: delivery</w:t>
      </w:r>
    </w:p>
    <w:p w14:paraId="17995CB9" w14:textId="1DDF6040" w:rsidR="00127999" w:rsidRPr="00C965DD" w:rsidRDefault="00127999" w:rsidP="00BD784F">
      <w:pPr>
        <w:rPr>
          <w:color w:val="000000" w:themeColor="text1"/>
        </w:rPr>
      </w:pPr>
      <w:r w:rsidRPr="00C965DD">
        <w:rPr>
          <w:color w:val="000000" w:themeColor="text1"/>
        </w:rPr>
        <w:t xml:space="preserve">Pedagogically, I structured the module for a single semester delivery over a 12-week period. Each week comprised 1.5 hours of traditional lecture time. Each lecture comprised two parts, with a short (context-related) TED-type </w:t>
      </w:r>
      <w:r w:rsidR="009104D0">
        <w:rPr>
          <w:color w:val="000000" w:themeColor="text1"/>
        </w:rPr>
        <w:t xml:space="preserve">(video) </w:t>
      </w:r>
      <w:r w:rsidRPr="00C965DD">
        <w:rPr>
          <w:color w:val="000000" w:themeColor="text1"/>
        </w:rPr>
        <w:t xml:space="preserve">talk used to break up the formal delivery. I made full transcripts and slides for the lecture content available using the institution’s Virtual Learning Environment (VLE) several hours before the start of each lecture. I also made seminar material available after the completion of all group seminar sessions. </w:t>
      </w:r>
    </w:p>
    <w:p w14:paraId="7AE70EAB" w14:textId="27790527" w:rsidR="00127999" w:rsidRPr="00C965DD" w:rsidRDefault="00127999" w:rsidP="00D15B46">
      <w:pPr>
        <w:rPr>
          <w:color w:val="000000" w:themeColor="text1"/>
        </w:rPr>
      </w:pPr>
      <w:r w:rsidRPr="00C965DD">
        <w:rPr>
          <w:color w:val="000000" w:themeColor="text1"/>
        </w:rPr>
        <w:t xml:space="preserve">     With reference to </w:t>
      </w:r>
      <w:r w:rsidRPr="00C965DD">
        <w:rPr>
          <w:color w:val="000000" w:themeColor="text1"/>
        </w:rPr>
        <w:fldChar w:fldCharType="begin"/>
      </w:r>
      <w:r w:rsidRPr="00C965DD">
        <w:rPr>
          <w:color w:val="000000" w:themeColor="text1"/>
        </w:rPr>
        <w:instrText xml:space="preserve"> REF _Ref107402018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3</w:t>
      </w:r>
      <w:r w:rsidRPr="00C965DD">
        <w:rPr>
          <w:color w:val="000000" w:themeColor="text1"/>
        </w:rPr>
        <w:fldChar w:fldCharType="end"/>
      </w:r>
      <w:r w:rsidRPr="00C965DD">
        <w:rPr>
          <w:color w:val="000000" w:themeColor="text1"/>
        </w:rPr>
        <w:t>, in Week 1, as the educator, I presented the students with an introduction to the complete module, in which I simply outlined the course structure and learning expectations. In this first week, the second part provides for a lecture on failure in enterprise, and its interpretation. In Week 2, I introduce the students to a general theory of enterprise, with the point made that the module is not a theory-laden academic course, but that knowledge of some theory is necessary in the context of any practice.</w:t>
      </w:r>
    </w:p>
    <w:p w14:paraId="35B65068" w14:textId="77777777" w:rsidR="00127999" w:rsidRPr="00C965DD" w:rsidRDefault="00127999" w:rsidP="009104D0">
      <w:pPr>
        <w:pStyle w:val="Caption"/>
      </w:pPr>
      <w:r w:rsidRPr="00C965DD">
        <w:rPr>
          <w:noProof/>
        </w:rPr>
        <w:lastRenderedPageBreak/>
        <w:drawing>
          <wp:inline distT="0" distB="0" distL="0" distR="0" wp14:anchorId="6F819D0C" wp14:editId="2DBAC6DD">
            <wp:extent cx="3495600" cy="120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00" cy="1206000"/>
                    </a:xfrm>
                    <a:prstGeom prst="rect">
                      <a:avLst/>
                    </a:prstGeom>
                    <a:noFill/>
                  </pic:spPr>
                </pic:pic>
              </a:graphicData>
            </a:graphic>
          </wp:inline>
        </w:drawing>
      </w:r>
    </w:p>
    <w:p w14:paraId="0AE3549A" w14:textId="68C76F86" w:rsidR="00127999" w:rsidRPr="00C965DD" w:rsidRDefault="00127999" w:rsidP="007504C9">
      <w:pPr>
        <w:pStyle w:val="Caption"/>
      </w:pPr>
      <w:bookmarkStart w:id="2" w:name="_Ref107402018"/>
      <w:r w:rsidRPr="00C965DD">
        <w:t xml:space="preserve">Figure </w:t>
      </w:r>
      <w:fldSimple w:instr=" SEQ Figure \* ARABIC ">
        <w:r w:rsidRPr="00C965DD">
          <w:rPr>
            <w:noProof/>
          </w:rPr>
          <w:t>3</w:t>
        </w:r>
      </w:fldSimple>
      <w:bookmarkEnd w:id="2"/>
      <w:r w:rsidRPr="00C965DD">
        <w:t xml:space="preserve"> - Module Structure, Weeks 1 to 6</w:t>
      </w:r>
    </w:p>
    <w:p w14:paraId="4D0F2D55" w14:textId="7A657472" w:rsidR="00127999" w:rsidRPr="00C965DD" w:rsidRDefault="00127999" w:rsidP="00E85BD8">
      <w:pPr>
        <w:rPr>
          <w:color w:val="000000" w:themeColor="text1"/>
        </w:rPr>
      </w:pPr>
      <w:r w:rsidRPr="00C965DD">
        <w:rPr>
          <w:color w:val="000000" w:themeColor="text1"/>
        </w:rPr>
        <w:t xml:space="preserve">While Week 2 presents what I term the traditional view of EE, it is in Week 3 that I introduce the new theory (or framework) of a potentially artistic form of enterprising work. </w:t>
      </w:r>
      <w:r w:rsidR="002C33F5" w:rsidRPr="00C965DD">
        <w:rPr>
          <w:color w:val="000000" w:themeColor="text1"/>
        </w:rPr>
        <w:t xml:space="preserve">However, </w:t>
      </w:r>
      <w:r w:rsidR="0088092A" w:rsidRPr="00C965DD">
        <w:rPr>
          <w:color w:val="000000" w:themeColor="text1"/>
        </w:rPr>
        <w:t xml:space="preserve">I did not position this as a critical theory. </w:t>
      </w:r>
      <w:r w:rsidRPr="00C965DD">
        <w:rPr>
          <w:color w:val="000000" w:themeColor="text1"/>
        </w:rPr>
        <w:t>Over successive weeks, I explore the dimensions and key conjunctions of enterprising practice. In Weeks 4 to 6, I unpack and contextualise the core dimensions of ‘mimesis’, ‘craft’ and ‘creative innovation’. In Week 4, for example, I use the idea of mimesis to identify the market for enterprising ideas and discuss values and ethics. In Week 5, I turn to the ‘craft’ of enterprise and how it plays on ideas of personal and continuing professional development. Importantly, the content does not call for an in-depth knowledge of business and management functions. In Week 6, I unpack the notion of ‘creative innovation’, revealing the need for space to play creatively with ideas and the implications of power-relations in the sanctioning of that space.</w:t>
      </w:r>
    </w:p>
    <w:p w14:paraId="4379FF70" w14:textId="213137BF" w:rsidR="00127999" w:rsidRPr="00C965DD" w:rsidRDefault="00127999" w:rsidP="000969DA">
      <w:pPr>
        <w:rPr>
          <w:color w:val="000000" w:themeColor="text1"/>
        </w:rPr>
      </w:pPr>
      <w:r w:rsidRPr="00C965DD">
        <w:rPr>
          <w:color w:val="000000" w:themeColor="text1"/>
        </w:rPr>
        <w:t xml:space="preserve">     It is during this first half of the module, in adjacent weekly seminars, that I encourage students to come up with and start to develop an idea they might have about their future place in an enterprising workplace.  This could be anything from a career development idea, such as how to enter a desired industry, through the writing and publishing of a book or the development of a career as a social media influencer, to the more common EE idea for a new business start-up. The objective of the lectures is not to provide a knowledgebase to be internalised and examined, but to expose the students to different ways of thinking about the dimensions of a creative and opportunistic working practice. I encourage all students to </w:t>
      </w:r>
      <w:r w:rsidRPr="00C965DD">
        <w:rPr>
          <w:color w:val="000000" w:themeColor="text1"/>
        </w:rPr>
        <w:lastRenderedPageBreak/>
        <w:t>submit a draft outline of their chosen idea at the end of Week 6. This is an ideal opportunity for educator and student to negotiate expectations on the assessment of their learning.</w:t>
      </w:r>
    </w:p>
    <w:p w14:paraId="4A282836" w14:textId="388DC36B" w:rsidR="00127999" w:rsidRPr="00C965DD" w:rsidRDefault="00127999" w:rsidP="006717D9">
      <w:pPr>
        <w:rPr>
          <w:color w:val="000000" w:themeColor="text1"/>
        </w:rPr>
      </w:pPr>
      <w:r w:rsidRPr="00C965DD">
        <w:rPr>
          <w:color w:val="000000" w:themeColor="text1"/>
        </w:rPr>
        <w:t xml:space="preserve">     In the spirit of experiential learning about structured thinking, I encourage the students to ‘think’ </w:t>
      </w:r>
      <w:r w:rsidRPr="00B8775E">
        <w:rPr>
          <w:color w:val="000000" w:themeColor="text1"/>
        </w:rPr>
        <w:t>critically</w:t>
      </w:r>
      <w:r w:rsidR="0088092A" w:rsidRPr="00B8775E">
        <w:rPr>
          <w:color w:val="000000" w:themeColor="text1"/>
        </w:rPr>
        <w:t xml:space="preserve"> (as in an </w:t>
      </w:r>
      <w:r w:rsidRPr="00B8775E">
        <w:rPr>
          <w:color w:val="000000" w:themeColor="text1"/>
        </w:rPr>
        <w:t>exacting</w:t>
      </w:r>
      <w:r w:rsidR="0088092A" w:rsidRPr="00B8775E">
        <w:rPr>
          <w:color w:val="000000" w:themeColor="text1"/>
        </w:rPr>
        <w:t xml:space="preserve"> way)</w:t>
      </w:r>
      <w:r w:rsidRPr="00C965DD">
        <w:rPr>
          <w:color w:val="000000" w:themeColor="text1"/>
        </w:rPr>
        <w:t xml:space="preserve"> about their idea. In regard to </w:t>
      </w:r>
      <w:r w:rsidRPr="00C965DD">
        <w:rPr>
          <w:color w:val="000000" w:themeColor="text1"/>
        </w:rPr>
        <w:fldChar w:fldCharType="begin"/>
      </w:r>
      <w:r w:rsidRPr="00C965DD">
        <w:rPr>
          <w:color w:val="000000" w:themeColor="text1"/>
        </w:rPr>
        <w:instrText xml:space="preserve"> REF _Ref107403790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4</w:t>
      </w:r>
      <w:r w:rsidRPr="00C965DD">
        <w:rPr>
          <w:color w:val="000000" w:themeColor="text1"/>
        </w:rPr>
        <w:fldChar w:fldCharType="end"/>
      </w:r>
      <w:r w:rsidRPr="00C965DD">
        <w:rPr>
          <w:color w:val="000000" w:themeColor="text1"/>
        </w:rPr>
        <w:t xml:space="preserve">, I provide the students </w:t>
      </w:r>
      <w:r w:rsidR="00523A54" w:rsidRPr="00C965DD">
        <w:rPr>
          <w:color w:val="000000" w:themeColor="text1"/>
        </w:rPr>
        <w:t xml:space="preserve">with </w:t>
      </w:r>
      <w:r w:rsidRPr="00C965DD">
        <w:rPr>
          <w:color w:val="000000" w:themeColor="text1"/>
        </w:rPr>
        <w:t xml:space="preserve">a doing-thinking-week </w:t>
      </w:r>
      <w:r w:rsidR="0088092A" w:rsidRPr="00C965DD">
        <w:rPr>
          <w:color w:val="000000" w:themeColor="text1"/>
        </w:rPr>
        <w:t>in</w:t>
      </w:r>
      <w:r w:rsidRPr="00C965DD">
        <w:rPr>
          <w:color w:val="000000" w:themeColor="text1"/>
        </w:rPr>
        <w:t xml:space="preserve"> Week 7. </w:t>
      </w:r>
    </w:p>
    <w:p w14:paraId="0B940A09" w14:textId="793067F6" w:rsidR="00127999" w:rsidRPr="00C965DD" w:rsidRDefault="00127999" w:rsidP="006A4FFD">
      <w:pPr>
        <w:keepNext/>
        <w:jc w:val="center"/>
        <w:rPr>
          <w:color w:val="000000" w:themeColor="text1"/>
        </w:rPr>
      </w:pPr>
      <w:r w:rsidRPr="00C965DD">
        <w:rPr>
          <w:noProof/>
          <w:color w:val="000000" w:themeColor="text1"/>
        </w:rPr>
        <w:drawing>
          <wp:inline distT="0" distB="0" distL="0" distR="0" wp14:anchorId="1FD48D6D" wp14:editId="6C6D596C">
            <wp:extent cx="3488400" cy="120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8400" cy="1206000"/>
                    </a:xfrm>
                    <a:prstGeom prst="rect">
                      <a:avLst/>
                    </a:prstGeom>
                    <a:noFill/>
                  </pic:spPr>
                </pic:pic>
              </a:graphicData>
            </a:graphic>
          </wp:inline>
        </w:drawing>
      </w:r>
    </w:p>
    <w:p w14:paraId="75F67EA6" w14:textId="52CA5E3A" w:rsidR="00127999" w:rsidRPr="00C965DD" w:rsidRDefault="00127999" w:rsidP="007504C9">
      <w:pPr>
        <w:pStyle w:val="Caption"/>
      </w:pPr>
      <w:bookmarkStart w:id="3" w:name="_Ref107403790"/>
      <w:r w:rsidRPr="00C965DD">
        <w:t xml:space="preserve">Figure </w:t>
      </w:r>
      <w:fldSimple w:instr=" SEQ Figure \* ARABIC ">
        <w:r w:rsidRPr="00C965DD">
          <w:rPr>
            <w:noProof/>
          </w:rPr>
          <w:t>4</w:t>
        </w:r>
      </w:fldSimple>
      <w:bookmarkEnd w:id="3"/>
      <w:r w:rsidRPr="00C965DD">
        <w:t xml:space="preserve"> - Module Structure, Weeks 7 to 12</w:t>
      </w:r>
    </w:p>
    <w:p w14:paraId="3E92A58D" w14:textId="02B8C1DF" w:rsidR="00523A54" w:rsidRPr="00C965DD" w:rsidRDefault="00523A54" w:rsidP="00523A54">
      <w:pPr>
        <w:rPr>
          <w:color w:val="000000" w:themeColor="text1"/>
        </w:rPr>
      </w:pPr>
      <w:r w:rsidRPr="00C965DD">
        <w:rPr>
          <w:color w:val="000000" w:themeColor="text1"/>
        </w:rPr>
        <w:t>During Week 7, I have ample opportunity to evaluate the ideas presented in draft form and provide formative feedback. This can range from highlighting relevant pedagogic elements, to commenting on andragogical choices, or negotiating learning objectives, dependent on student capabilities and their desire or capacity for self-direction.</w:t>
      </w:r>
    </w:p>
    <w:p w14:paraId="22E52839" w14:textId="7FA1DBDA" w:rsidR="00127999" w:rsidRPr="00C965DD" w:rsidRDefault="00523A54" w:rsidP="008C297B">
      <w:pPr>
        <w:rPr>
          <w:color w:val="000000" w:themeColor="text1"/>
        </w:rPr>
      </w:pPr>
      <w:r w:rsidRPr="00C965DD">
        <w:rPr>
          <w:color w:val="000000" w:themeColor="text1"/>
        </w:rPr>
        <w:t xml:space="preserve">     </w:t>
      </w:r>
      <w:r w:rsidR="00127999" w:rsidRPr="00C965DD">
        <w:rPr>
          <w:color w:val="000000" w:themeColor="text1"/>
        </w:rPr>
        <w:t xml:space="preserve">In Weeks 8, 9 and 10, I focus on the major conjunctions between the three key dimensions, highlighting how craft, mimesis and innovation can be combined to different effect in the workplace. The three primary conjunctions represent alternative strategic approaches to enterprise. Firstly, in Week 8, I explore reproduction as simply doing (or copying) existing enterprising work. Secondly, in Week 9, I unfold a focus on design as innovation in or through the craft of enterprise. </w:t>
      </w:r>
      <w:r w:rsidR="00BD54A3">
        <w:rPr>
          <w:color w:val="000000" w:themeColor="text1"/>
        </w:rPr>
        <w:t>F</w:t>
      </w:r>
      <w:r w:rsidR="00127999" w:rsidRPr="00C965DD">
        <w:rPr>
          <w:color w:val="000000" w:themeColor="text1"/>
        </w:rPr>
        <w:t xml:space="preserve">inally, in Week 10, I present the students with the notion of experimentation as mimetic innovation in the world. Over the course of Weeks 4 to 10, I expose the students to the essential work of the six enterprising personas: the dreamer (or mimetic visionary), the reproducer, the craftsperson, the designer, the innovator, and the experimenter. The remaining persona, the entrepreneur, is the one persona that adopts all three dimensions. </w:t>
      </w:r>
    </w:p>
    <w:p w14:paraId="4CD2EE39" w14:textId="5A7A4082" w:rsidR="00127999" w:rsidRPr="00C965DD" w:rsidRDefault="00127999" w:rsidP="009566AF">
      <w:pPr>
        <w:rPr>
          <w:color w:val="000000" w:themeColor="text1"/>
        </w:rPr>
      </w:pPr>
      <w:r w:rsidRPr="00C965DD">
        <w:rPr>
          <w:color w:val="000000" w:themeColor="text1"/>
        </w:rPr>
        <w:lastRenderedPageBreak/>
        <w:t xml:space="preserve">     As the module nears its completion, I invite the students to comment on the type of persona they believe themselves to reflect at that time, and the type they aspire to in their initial post-graduation work environment. The student responses, and their responses to Week 1 and 11 questionnaires concerning their perceptions of their own levels of creativity, vision and enterprising skills, and their confidence in their post-university career direction, are the basis for a Week 11 lecture on </w:t>
      </w:r>
      <w:r w:rsidR="001C3B1B" w:rsidRPr="00B8775E">
        <w:rPr>
          <w:color w:val="000000" w:themeColor="text1"/>
        </w:rPr>
        <w:t>(critical)</w:t>
      </w:r>
      <w:r w:rsidRPr="00C965DD">
        <w:rPr>
          <w:color w:val="000000" w:themeColor="text1"/>
        </w:rPr>
        <w:t xml:space="preserve"> reflection</w:t>
      </w:r>
      <w:r w:rsidR="00F3282A" w:rsidRPr="00C965DD">
        <w:rPr>
          <w:rStyle w:val="EndnoteReference"/>
          <w:color w:val="000000" w:themeColor="text1"/>
        </w:rPr>
        <w:endnoteReference w:id="7"/>
      </w:r>
      <w:r w:rsidRPr="00C965DD">
        <w:rPr>
          <w:color w:val="000000" w:themeColor="text1"/>
        </w:rPr>
        <w:t xml:space="preserve"> and reflective learning. </w:t>
      </w:r>
    </w:p>
    <w:p w14:paraId="3BD328D7" w14:textId="11BC4929" w:rsidR="00127999" w:rsidRPr="00C965DD" w:rsidRDefault="00127999" w:rsidP="009566AF">
      <w:pPr>
        <w:rPr>
          <w:color w:val="000000" w:themeColor="text1"/>
        </w:rPr>
      </w:pPr>
      <w:r w:rsidRPr="00C965DD">
        <w:rPr>
          <w:color w:val="000000" w:themeColor="text1"/>
        </w:rPr>
        <w:t xml:space="preserve">     Finally, in Week 12, I revisit the art of enterprising work, with entrepreneurship as the conjunction of enterprising craft skills, creative innovation and mimetic vision. The students are assessed on both a 1750-word written idea development essay/plan and a 10-minute recorded presentation. The presentation has two distinct parts, one is an opportunity to pitch their idea for a general audience, the other is to offer a personal</w:t>
      </w:r>
      <w:r w:rsidRPr="00B8775E">
        <w:rPr>
          <w:color w:val="000000" w:themeColor="text1"/>
        </w:rPr>
        <w:t xml:space="preserve">, </w:t>
      </w:r>
      <w:r w:rsidR="001C3B1B" w:rsidRPr="00B8775E">
        <w:rPr>
          <w:color w:val="000000" w:themeColor="text1"/>
        </w:rPr>
        <w:t>(critical)</w:t>
      </w:r>
      <w:r w:rsidRPr="00C965DD">
        <w:rPr>
          <w:color w:val="000000" w:themeColor="text1"/>
        </w:rPr>
        <w:t xml:space="preserve"> reflection on their learning. Overall mark/grade weightings applied are 60% for the written work, and 20% each for the two parts of the presentation. Data from anonymous feedback, responses to seminar questionnaires, and the (assessed) personal reflections of students, leads me to suggest the module merits further </w:t>
      </w:r>
      <w:r w:rsidR="001C3B1B" w:rsidRPr="00B8775E">
        <w:rPr>
          <w:color w:val="000000" w:themeColor="text1"/>
        </w:rPr>
        <w:t>critical</w:t>
      </w:r>
      <w:r w:rsidRPr="00B8775E">
        <w:rPr>
          <w:color w:val="000000" w:themeColor="text1"/>
        </w:rPr>
        <w:t xml:space="preserve"> reflection for its potential to address both the academic appeal of EE to teachers and managers in education, and the paradox of </w:t>
      </w:r>
      <w:r w:rsidR="00B953D2" w:rsidRPr="00B8775E">
        <w:rPr>
          <w:color w:val="000000" w:themeColor="text1"/>
        </w:rPr>
        <w:t>CI</w:t>
      </w:r>
      <w:r w:rsidRPr="00B8775E">
        <w:rPr>
          <w:color w:val="000000" w:themeColor="text1"/>
        </w:rPr>
        <w:t>.</w:t>
      </w:r>
      <w:r w:rsidRPr="00C965DD">
        <w:rPr>
          <w:color w:val="000000" w:themeColor="text1"/>
        </w:rPr>
        <w:t xml:space="preserve"> </w:t>
      </w:r>
    </w:p>
    <w:p w14:paraId="452BF64A" w14:textId="77777777" w:rsidR="00127999" w:rsidRPr="00C965DD" w:rsidRDefault="00127999" w:rsidP="00CF1A47">
      <w:pPr>
        <w:pStyle w:val="Heading1"/>
      </w:pPr>
      <w:r w:rsidRPr="00C965DD">
        <w:t>The module: outcomes</w:t>
      </w:r>
    </w:p>
    <w:p w14:paraId="7BCF98C2" w14:textId="78500DBE" w:rsidR="00127999" w:rsidRPr="00C965DD" w:rsidRDefault="00127999" w:rsidP="00A107BA">
      <w:pPr>
        <w:rPr>
          <w:color w:val="000000" w:themeColor="text1"/>
        </w:rPr>
      </w:pPr>
      <w:r w:rsidRPr="00C965DD">
        <w:rPr>
          <w:color w:val="000000" w:themeColor="text1"/>
        </w:rPr>
        <w:t xml:space="preserve">To offer a frame of analysis, I draw on Hannon’s </w:t>
      </w:r>
      <w:r w:rsidRPr="00C965DD">
        <w:rPr>
          <w:color w:val="000000" w:themeColor="text1"/>
        </w:rPr>
        <w:fldChar w:fldCharType="begin" w:fldLock="1"/>
      </w:r>
      <w:r w:rsidRPr="00C965DD">
        <w:rPr>
          <w:color w:val="000000" w:themeColor="text1"/>
        </w:rPr>
        <w:instrText>ADDIN CSL_CITATION {"citationItems":[{"id":"ITEM-1","itemData":{"DOI":"10.5367/0000000053966876","ISSN":"1465-7503","abstract":"This conceptual paper presents critical thoughts and observations on the recent phenomenon of entrepreneurship education in higher education in the UK. The key challenge the paper emphasizes is the need for greater insight into the conceptual and theoretical development of that phenomenon and a more robust locating of the philosophical foundations of entrepreneurship education within a higher education institution (HEI) adult-learning context. Although concepts and models of entrepreneurship abound, it is difficult to find related concepts and models of entrepreneurship education and, in particular, their underpinning philosophical foundations. Philosophies of adult education have emerged, but there appears to have been no attempt to locate entrepreneurship education within these contextual theoretical paradigms. This is somewhat surprising, as the underpinning philosophy of an educational programme will partially determine the outcomes of the educational process and influence the educational experience. However, this insight may help to explain why, conceptually, entrepreneurship education has mixed meanings and a conflicting discourse. The paper introduces a framework of adult-learning philosophies as a foundation for reflecting and analysing current approaches against philosophical beliefs. The application of the framework leads to a discussion about the potential contrasts and conflicts between underpinning foundations and purpose-in-action. The paper concludes with various perspectives on the building of an emerging robust concept of entrepreneurship education within an HEI adult-learning context.","author":[{"dropping-particle":"","family":"Hannon","given":"Paul D.","non-dropping-particle":"","parse-names":false,"suffix":""}],"container-title":"The International Journal of Entrepreneurship and Innovation","id":"ITEM-1","issue":"2","issued":{"date-parts":[["2005"]]},"page":"105-114","title":"Philosophies of Enterprise and Entrepreneurship Education and Challenges for Higher Education in the UK","type":"article-journal","volume":"6"},"suppress-author":1,"uris":["http://www.mendeley.com/documents/?uuid=6583d08a-bc5f-4895-ab07-e4db5d9b3c8f"]}],"mendeley":{"formattedCitation":"(2005)","plainTextFormattedCitation":"(2005)","previouslyFormattedCitation":"(2005)"},"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(2005)</w:t>
      </w:r>
      <w:r w:rsidRPr="00C965DD">
        <w:rPr>
          <w:color w:val="000000" w:themeColor="text1"/>
        </w:rPr>
        <w:fldChar w:fldCharType="end"/>
      </w:r>
      <w:r w:rsidRPr="00C965DD">
        <w:rPr>
          <w:color w:val="000000" w:themeColor="text1"/>
        </w:rPr>
        <w:t xml:space="preserve"> principle differences between enterprise and entrepreneurship, providing four tenets for a theoretical perspective. Firstly, entrepreneurship is a focussed application of enterprise. Secondly, the desire and/or capability</w:t>
      </w:r>
      <w:r w:rsidRPr="00C965DD">
        <w:rPr>
          <w:rStyle w:val="EndnoteReference"/>
          <w:color w:val="000000" w:themeColor="text1"/>
        </w:rPr>
        <w:endnoteReference w:id="8"/>
      </w:r>
      <w:r w:rsidRPr="00C965DD">
        <w:rPr>
          <w:color w:val="000000" w:themeColor="text1"/>
        </w:rPr>
        <w:t xml:space="preserve"> to be enterprising and/or entrepreneurial is contingent and may ebb and flow over time. Thirdly, individuals can learn to be more enterprising, developing and applying capabilities at varying levels in varying contexts. </w:t>
      </w:r>
      <w:r w:rsidR="00BD54A3">
        <w:rPr>
          <w:color w:val="000000" w:themeColor="text1"/>
        </w:rPr>
        <w:t>F</w:t>
      </w:r>
      <w:r w:rsidRPr="00C965DD">
        <w:rPr>
          <w:color w:val="000000" w:themeColor="text1"/>
        </w:rPr>
        <w:t xml:space="preserve">ourthly, not all individuals will desire to practice enterprise in an entrepreneurial context </w:t>
      </w:r>
      <w:r w:rsidRPr="00C965DD">
        <w:rPr>
          <w:color w:val="000000" w:themeColor="text1"/>
        </w:rPr>
        <w:fldChar w:fldCharType="begin" w:fldLock="1"/>
      </w:r>
      <w:r w:rsidRPr="00C965DD">
        <w:rPr>
          <w:color w:val="000000" w:themeColor="text1"/>
        </w:rPr>
        <w:instrText>ADDIN CSL_CITATION {"citationItems":[{"id":"ITEM-1","itemData":{"DOI":"10.5367/0000000053966876","ISSN":"1465-7503","abstract":"This conceptual paper presents critical thoughts and observations on the recent phenomenon of entrepreneurship education in higher education in the UK. The key challenge the paper emphasizes is the need for greater insight into the conceptual and theoretical development of that phenomenon and a more robust locating of the philosophical foundations of entrepreneurship education within a higher education institution (HEI) adult-learning context. Although concepts and models of entrepreneurship abound, it is difficult to find related concepts and models of entrepreneurship education and, in particular, their underpinning philosophical foundations. Philosophies of adult education have emerged, but there appears to have been no attempt to locate entrepreneurship education within these contextual theoretical paradigms. This is somewhat surprising, as the underpinning philosophy of an educational programme will partially determine the outcomes of the educational process and influence the educational experience. However, this insight may help to explain why, conceptually, entrepreneurship education has mixed meanings and a conflicting discourse. The paper introduces a framework of adult-learning philosophies as a foundation for reflecting and analysing current approaches against philosophical beliefs. The application of the framework leads to a discussion about the potential contrasts and conflicts between underpinning foundations and purpose-in-action. The paper concludes with various perspectives on the building of an emerging robust concept of entrepreneurship education within an HEI adult-learning context.","author":[{"dropping-particle":"","family":"Hannon","given":"Paul D.","non-dropping-particle":"","parse-names":false,"suffix":""}],"container-title":"The International Journal of Entrepreneurship and Innovation","id":"ITEM-1","issue":"2","issued":{"date-parts":[["2005"]]},"page":"105-114","title":"Philosophies of Enterprise and Entrepreneurship Education and Challenges for Higher Education in the UK","type":"article-journal","volume":"6"},"locator":"106","uris":["http://www.mendeley.com/documents/?uuid=6583d08a-bc5f-4895-ab07-e4db5d9b3c8f"]}],"mendeley":{"formattedCitation":"(Hannon, 2005, p. 106)","plainTextFormattedCitation":"(Hannon, 2005, p. 106)","previouslyFormattedCitation":"(Hannon, 2005, p. 106)"},"properties":{"noteIndex":0},"schema":"https://github.com/citation-style-language/schema/raw/master/csl-citation.json"}</w:instrText>
      </w:r>
      <w:r w:rsidRPr="00C965DD">
        <w:rPr>
          <w:color w:val="000000" w:themeColor="text1"/>
        </w:rPr>
        <w:fldChar w:fldCharType="separate"/>
      </w:r>
      <w:r w:rsidRPr="00C965DD">
        <w:rPr>
          <w:noProof/>
          <w:color w:val="000000" w:themeColor="text1"/>
        </w:rPr>
        <w:t>(Hannon, 2005, p. 106)</w:t>
      </w:r>
      <w:r w:rsidRPr="00C965DD">
        <w:rPr>
          <w:color w:val="000000" w:themeColor="text1"/>
        </w:rPr>
        <w:fldChar w:fldCharType="end"/>
      </w:r>
      <w:r w:rsidRPr="00C965DD">
        <w:rPr>
          <w:color w:val="000000" w:themeColor="text1"/>
        </w:rPr>
        <w:t xml:space="preserve">. With these core tenets in mind, I </w:t>
      </w:r>
      <w:r w:rsidR="00CF1A47">
        <w:rPr>
          <w:color w:val="000000" w:themeColor="text1"/>
        </w:rPr>
        <w:t xml:space="preserve">now </w:t>
      </w:r>
      <w:r w:rsidRPr="00C965DD">
        <w:rPr>
          <w:color w:val="000000" w:themeColor="text1"/>
        </w:rPr>
        <w:t>introduce some key findings on engagement, results and learning.</w:t>
      </w:r>
    </w:p>
    <w:p w14:paraId="1ABBF6AA" w14:textId="36151A81" w:rsidR="00127999" w:rsidRPr="00C965DD" w:rsidRDefault="00127999" w:rsidP="006D0AE3">
      <w:pPr>
        <w:pStyle w:val="Heading2"/>
      </w:pPr>
      <w:r w:rsidRPr="00C965DD">
        <w:lastRenderedPageBreak/>
        <w:t>Student Engagement</w:t>
      </w:r>
    </w:p>
    <w:p w14:paraId="238356E1" w14:textId="4A51F0C1" w:rsidR="00127999" w:rsidRPr="00C965DD" w:rsidRDefault="00127999" w:rsidP="000C680C">
      <w:pPr>
        <w:rPr>
          <w:color w:val="000000" w:themeColor="text1"/>
        </w:rPr>
      </w:pPr>
      <w:r w:rsidRPr="00C965DD">
        <w:rPr>
          <w:color w:val="000000" w:themeColor="text1"/>
        </w:rPr>
        <w:t xml:space="preserve">Initially, I measured student engagement using the university’s attendance monitoring system. With 65 names assigned to the elective, individual in-person attendance covering both lectures and assigned seminar groups averaged 33.31% of the available teaching hours, with individual values ranging from 0 to 88%. </w:t>
      </w:r>
      <w:r w:rsidRPr="00C965DD">
        <w:rPr>
          <w:color w:val="000000" w:themeColor="text1"/>
        </w:rPr>
        <w:fldChar w:fldCharType="begin"/>
      </w:r>
      <w:r w:rsidRPr="00C965DD">
        <w:rPr>
          <w:color w:val="000000" w:themeColor="text1"/>
        </w:rPr>
        <w:instrText xml:space="preserve"> REF _Ref107409607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5</w:t>
      </w:r>
      <w:r w:rsidRPr="00C965DD">
        <w:rPr>
          <w:color w:val="000000" w:themeColor="text1"/>
        </w:rPr>
        <w:fldChar w:fldCharType="end"/>
      </w:r>
      <w:r w:rsidRPr="00C965DD">
        <w:rPr>
          <w:color w:val="000000" w:themeColor="text1"/>
        </w:rPr>
        <w:t xml:space="preserve"> shows the distribution of these attendance figures. As reported in the UK’s Times Higher Education on-line news source, 76% of 339, mainly UK-based respondents to a 2022 survey reported student in-class participation lower than pre-pandemic levels. In addition, around 55% of respondents experienced average class attendance figures between 21% and 60% </w:t>
      </w:r>
      <w:r w:rsidRPr="00C965DD">
        <w:rPr>
          <w:color w:val="000000" w:themeColor="text1"/>
        </w:rPr>
        <w:fldChar w:fldCharType="begin" w:fldLock="1"/>
      </w:r>
      <w:r w:rsidRPr="00C965DD">
        <w:rPr>
          <w:color w:val="000000" w:themeColor="text1"/>
        </w:rPr>
        <w:instrText>ADDIN CSL_CITATION {"citationItems":[{"id":"ITEM-1","itemData":{"author":[{"dropping-particle":"","family":"Williams","given":"Tom","non-dropping-particle":"","parse-names":false,"suffix":""}],"container-title":"Times Higher Education (THE)","id":"ITEM-1","issued":{"date-parts":[["2022","6","9"]]},"title":"Class attendance plummets post-Covid","type":"article-newspaper"},"uris":["http://www.mendeley.com/documents/?uuid=3c5471a6-d2b0-41cc-a066-5507fc2e0401"]}],"mendeley":{"formattedCitation":"(Williams, 2022)","plainTextFormattedCitation":"(Williams, 2022)","previouslyFormattedCitation":"(Williams, 2022)"},"properties":{"noteIndex":0},"schema":"https://github.com/citation-style-language/schema/raw/master/csl-citation.json"}</w:instrText>
      </w:r>
      <w:r w:rsidRPr="00C965DD">
        <w:rPr>
          <w:color w:val="000000" w:themeColor="text1"/>
        </w:rPr>
        <w:fldChar w:fldCharType="separate"/>
      </w:r>
      <w:r w:rsidRPr="00C965DD">
        <w:rPr>
          <w:noProof/>
          <w:color w:val="000000" w:themeColor="text1"/>
        </w:rPr>
        <w:t>(Williams, 2022)</w:t>
      </w:r>
      <w:r w:rsidRPr="00C965DD">
        <w:rPr>
          <w:color w:val="000000" w:themeColor="text1"/>
        </w:rPr>
        <w:fldChar w:fldCharType="end"/>
      </w:r>
      <w:r w:rsidRPr="00C965DD">
        <w:rPr>
          <w:color w:val="000000" w:themeColor="text1"/>
        </w:rPr>
        <w:t xml:space="preserve">. My experience was that the average lecture attendance was around 50% of the possible total, while seminars were typically at 33%. Such figures are indicative of a trend toward low face-to-face engagement, with significant factors being cited as students not wanting to come to campus, conflicts with paid work commitments, mental health issues and lack of sufficient prior preparation </w:t>
      </w:r>
      <w:r w:rsidRPr="00C965DD">
        <w:rPr>
          <w:color w:val="000000" w:themeColor="text1"/>
        </w:rPr>
        <w:fldChar w:fldCharType="begin" w:fldLock="1"/>
      </w:r>
      <w:r w:rsidRPr="00C965DD">
        <w:rPr>
          <w:color w:val="000000" w:themeColor="text1"/>
        </w:rPr>
        <w:instrText>ADDIN CSL_CITATION {"citationItems":[{"id":"ITEM-1","itemData":{"author":[{"dropping-particle":"","family":"Williams","given":"Tom","non-dropping-particle":"","parse-names":false,"suffix":""}],"container-title":"Times Higher Education (THE)","id":"ITEM-1","issued":{"date-parts":[["2022","6","9"]]},"title":"Class attendance plummets post-Covid","type":"article-newspaper"},"uris":["http://www.mendeley.com/documents/?uuid=3c5471a6-d2b0-41cc-a066-5507fc2e0401"]}],"mendeley":{"formattedCitation":"(Williams, 2022)","plainTextFormattedCitation":"(Williams, 2022)","previouslyFormattedCitation":"(Williams, 2022)"},"properties":{"noteIndex":0},"schema":"https://github.com/citation-style-language/schema/raw/master/csl-citation.json"}</w:instrText>
      </w:r>
      <w:r w:rsidRPr="00C965DD">
        <w:rPr>
          <w:color w:val="000000" w:themeColor="text1"/>
        </w:rPr>
        <w:fldChar w:fldCharType="separate"/>
      </w:r>
      <w:r w:rsidRPr="00C965DD">
        <w:rPr>
          <w:noProof/>
          <w:color w:val="000000" w:themeColor="text1"/>
        </w:rPr>
        <w:t>(Williams, 2022)</w:t>
      </w:r>
      <w:r w:rsidRPr="00C965DD">
        <w:rPr>
          <w:color w:val="000000" w:themeColor="text1"/>
        </w:rPr>
        <w:fldChar w:fldCharType="end"/>
      </w:r>
      <w:r w:rsidRPr="00C965DD">
        <w:rPr>
          <w:color w:val="000000" w:themeColor="text1"/>
        </w:rPr>
        <w:t>.</w:t>
      </w:r>
    </w:p>
    <w:p w14:paraId="2BE0A304" w14:textId="74FAECB5" w:rsidR="00127999" w:rsidRPr="00C965DD" w:rsidRDefault="00127999" w:rsidP="009104D0">
      <w:pPr>
        <w:pStyle w:val="Caption"/>
      </w:pPr>
      <w:r w:rsidRPr="00C965DD">
        <w:rPr>
          <w:noProof/>
        </w:rPr>
        <w:drawing>
          <wp:inline distT="0" distB="0" distL="0" distR="0" wp14:anchorId="09240231" wp14:editId="6157FAB7">
            <wp:extent cx="3301200" cy="198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301200" cy="1980000"/>
                    </a:xfrm>
                    <a:prstGeom prst="rect">
                      <a:avLst/>
                    </a:prstGeom>
                    <a:noFill/>
                  </pic:spPr>
                </pic:pic>
              </a:graphicData>
            </a:graphic>
          </wp:inline>
        </w:drawing>
      </w:r>
    </w:p>
    <w:p w14:paraId="7C054C64" w14:textId="38B2C573" w:rsidR="00127999" w:rsidRPr="00C965DD" w:rsidRDefault="00127999" w:rsidP="007504C9">
      <w:pPr>
        <w:pStyle w:val="Caption"/>
      </w:pPr>
      <w:bookmarkStart w:id="4" w:name="_Ref107409607"/>
      <w:r w:rsidRPr="00C965DD">
        <w:t xml:space="preserve">Figure </w:t>
      </w:r>
      <w:fldSimple w:instr=" SEQ Figure \* ARABIC ">
        <w:r w:rsidRPr="00C965DD">
          <w:rPr>
            <w:noProof/>
          </w:rPr>
          <w:t>5</w:t>
        </w:r>
      </w:fldSimple>
      <w:bookmarkEnd w:id="4"/>
      <w:r w:rsidRPr="00C965DD">
        <w:t xml:space="preserve"> - Distribution of module in-class student attendance</w:t>
      </w:r>
    </w:p>
    <w:p w14:paraId="5D549A95" w14:textId="322C3227" w:rsidR="00127999" w:rsidRPr="00C965DD" w:rsidRDefault="00127999" w:rsidP="004803D6">
      <w:pPr>
        <w:rPr>
          <w:color w:val="000000" w:themeColor="text1"/>
        </w:rPr>
      </w:pPr>
      <w:r w:rsidRPr="00C965DD">
        <w:rPr>
          <w:color w:val="000000" w:themeColor="text1"/>
        </w:rPr>
        <w:t xml:space="preserve">While some lament the fall in face-to-face participation, Wolf-Wendel, Ward and Kinzie </w:t>
      </w:r>
      <w:r w:rsidRPr="00C965DD">
        <w:rPr>
          <w:color w:val="000000" w:themeColor="text1"/>
        </w:rPr>
        <w:fldChar w:fldCharType="begin" w:fldLock="1"/>
      </w:r>
      <w:r w:rsidRPr="00C965DD">
        <w:rPr>
          <w:color w:val="000000" w:themeColor="text1"/>
        </w:rPr>
        <w:instrText>ADDIN CSL_CITATION {"citationItems":[{"id":"ITEM-1","itemData":{"DOI":"10.1353/csd.0.0077","ISSN":"08975264","abstract":"Established theories and constructs long associated with student success, including involvement, engagement, and integration, provide common language and a body of knowledge to inform understanding of the challenges currently facing higher education. This paper examines how the theories and terms have evolved, explores how the terms are currently used, and considers their legacy for understanding contemporary concerns about student development and success.","author":[{"dropping-particle":"","family":"Wolf-Wendel","given":"Lisa","non-dropping-particle":"","parse-names":false,"suffix":""},{"dropping-particle":"","family":"Ward","given":"Kelly","non-dropping-particle":"","parse-names":false,"suffix":""},{"dropping-particle":"","family":"Kinzie","given":"Jillian","non-dropping-particle":"","parse-names":false,"suffix":""}],"container-title":"Journal of College Student Development","id":"ITEM-1","issue":"4","issued":{"date-parts":[["2009"]]},"page":"407-428","title":"A tangled web of terms: The overlap and unique contribution of involvement, engagement, and integration to understanding college student success","type":"article-journal","volume":"50"},"suppress-author":1,"uris":["http://www.mendeley.com/documents/?uuid=09a3140e-2e53-4512-aaa0-81dc8a7af40c"]}],"mendeley":{"formattedCitation":"(2009)","plainTextFormattedCitation":"(2009)","previouslyFormattedCitation":"(2009)"},"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(2009)</w:t>
      </w:r>
      <w:r w:rsidRPr="00C965DD">
        <w:rPr>
          <w:color w:val="000000" w:themeColor="text1"/>
        </w:rPr>
        <w:fldChar w:fldCharType="end"/>
      </w:r>
      <w:r w:rsidRPr="00C965DD">
        <w:rPr>
          <w:color w:val="000000" w:themeColor="text1"/>
        </w:rPr>
        <w:t xml:space="preserve"> suggest engagement reflects both the time and effort students put into their studies and how HE institutions allocate resources and organize learning. Here, the growing conflict between many students’ paid-work commitments, the cost of tuition, and—more recently—</w:t>
      </w:r>
      <w:r w:rsidRPr="00C965DD">
        <w:rPr>
          <w:color w:val="000000" w:themeColor="text1"/>
        </w:rPr>
        <w:lastRenderedPageBreak/>
        <w:t xml:space="preserve">the inflationary pressures of an increasingly uncertain economy, place greater responsibility on HE institutions to accommodate student needs </w:t>
      </w:r>
      <w:r w:rsidRPr="00C965DD">
        <w:rPr>
          <w:color w:val="000000" w:themeColor="text1"/>
        </w:rPr>
        <w:fldChar w:fldCharType="begin" w:fldLock="1"/>
      </w:r>
      <w:r w:rsidRPr="00C965DD">
        <w:rPr>
          <w:color w:val="000000" w:themeColor="text1"/>
        </w:rPr>
        <w:instrText>ADDIN CSL_CITATION {"citationItems":[{"id":"ITEM-1","itemData":{"DOI":"10.1080/0309877X.2019.1576860","ISSN":"14699486","abstract":"This article reports on a systematic review of research into student retention and student engagement in higher education (HE). It discusses the origins and meaning of these terms, their relation to each other, their application and practice, and the issues and critiques that have arisen. The two concepts are seen as alternative ways of seeing and researching the same underlying issue. While student engagement is a more recent focus for research, it has now overtaken student retention in importance. As the responsibility for the financing of HE has shifted from the state to the student, so the understanding of student retention and engagement has shifted from being the student’s responsibility to that of the higher education institution (HEI).","author":[{"dropping-particle":"","family":"Tight","given":"Malcolm","non-dropping-particle":"","parse-names":false,"suffix":""}],"container-title":"Journal of Further and Higher Education","id":"ITEM-1","issue":"5","issued":{"date-parts":[["2020"]]},"page":"689-704","publisher":"Routledge","title":"Student retention and engagement in higher education","type":"article-journal","volume":"44"},"uris":["http://www.mendeley.com/documents/?uuid=70ebce8c-6453-4a98-9308-fd94c5b6e722"]}],"mendeley":{"formattedCitation":"(Tight, 2020)","plainTextFormattedCitation":"(Tight, 2020)","previouslyFormattedCitation":"(Tight, 2020)"},"properties":{"noteIndex":0},"schema":"https://github.com/citation-style-language/schema/raw/master/csl-citation.json"}</w:instrText>
      </w:r>
      <w:r w:rsidRPr="00C965DD">
        <w:rPr>
          <w:color w:val="000000" w:themeColor="text1"/>
        </w:rPr>
        <w:fldChar w:fldCharType="separate"/>
      </w:r>
      <w:r w:rsidRPr="00C965DD">
        <w:rPr>
          <w:noProof/>
          <w:color w:val="000000" w:themeColor="text1"/>
        </w:rPr>
        <w:t>(Tight, 2020)</w:t>
      </w:r>
      <w:r w:rsidRPr="00C965DD">
        <w:rPr>
          <w:color w:val="000000" w:themeColor="text1"/>
        </w:rPr>
        <w:fldChar w:fldCharType="end"/>
      </w:r>
      <w:r w:rsidRPr="00C965DD">
        <w:rPr>
          <w:color w:val="000000" w:themeColor="text1"/>
        </w:rPr>
        <w:t xml:space="preserve">. This responsibility is heightened </w:t>
      </w:r>
      <w:r w:rsidRPr="00C965DD">
        <w:rPr>
          <w:i/>
          <w:iCs/>
          <w:color w:val="000000" w:themeColor="text1"/>
        </w:rPr>
        <w:t>inter alia</w:t>
      </w:r>
      <w:r w:rsidRPr="00C965DD">
        <w:rPr>
          <w:color w:val="000000" w:themeColor="text1"/>
        </w:rPr>
        <w:t xml:space="preserve"> by a growing need to accommodate the diverse learning styles of a range of students, such as those assessed as dyslexic </w:t>
      </w:r>
      <w:r w:rsidRPr="00C965DD">
        <w:rPr>
          <w:color w:val="000000" w:themeColor="text1"/>
        </w:rPr>
        <w:fldChar w:fldCharType="begin" w:fldLock="1"/>
      </w:r>
      <w:r w:rsidRPr="00C965DD">
        <w:rPr>
          <w:color w:val="000000" w:themeColor="text1"/>
        </w:rPr>
        <w:instrText>ADDIN CSL_CITATION {"citationItems":[{"id":"ITEM-1","itemData":{"DOI":"10.1007/s10734-020-00513-6","ISSN":"1573174X","abstract":"Neurodiversity is an umbrella term, including dyspraxia, dyslexia, attention deficit hyperactivity disorder, dyscalculia, autistic spectrum and Tourette syndrome. The increasing number of students with learning difficulties associated with neurodiversity entering higher education (HE) poses a shared and growing challenge internationally for teachers and institutional leaders. This narrative synthesis draws together a corpus of international literature on how neurodiverse students experience higher education and the ways in which higher education institutions respond to the cluster of neurodiverse conditions. A systematic review was carried out to search, retrieve, appraise and synthesize the available evidence to provide an original contribution to the literature and significant insights of worth to higher education internationally. An inclusive approach to data extraction was used to ensure that all the relevant studies were included. All stages of the review process, including the initial search, screening, sample selection and analysis, are described. Three main themes and 11 subthemes were identified. Although the majority of publications focus on either dyslexia, autistic spectrum disorder, or ADHD, some common themes are evident in student experience across learning difficulties associated with neurodiversity. Although support services and technologies are available to meet students’ specific needs, there is an apparent dislocation between the two. Fear of stigmatization and labelling worsens the divide between what is needed and what is available to ensure neurodiverse students’ success in higher education, where good intentions are evidently not enough.","author":[{"dropping-particle":"","family":"Clouder","given":"Lynn","non-dropping-particle":"","parse-names":false,"suffix":""},{"dropping-particle":"","family":"Karakus","given":"Mehmet","non-dropping-particle":"","parse-names":false,"suffix":""},{"dropping-particle":"","family":"Cinotti","given":"Alessia","non-dropping-particle":"","parse-names":false,"suffix":""},{"dropping-particle":"","family":"Ferreyra","given":"María Virginia","non-dropping-particle":"","parse-names":false,"suffix":""},{"dropping-particle":"","family":"Fierros","given":"Genoveva Amador","non-dropping-particle":"","parse-names":false,"suffix":""},{"dropping-particle":"","family":"Rojo","given":"Patricia","non-dropping-particle":"","parse-names":false,"suffix":""}],"container-title":"Higher Education","id":"ITEM-1","issue":"4","issued":{"date-parts":[["2020"]]},"page":"757-778","title":"Neurodiversity in higher education: a narrative synthesis","type":"article-journal","volume":"80"},"prefix":"for example, see:","uris":["http://www.mendeley.com/documents/?uuid=77282bd4-4797-42f1-8ebf-99ed7432fc59"]}],"mendeley":{"formattedCitation":"(for example, see: Clouder &lt;i&gt;et al.&lt;/i&gt;, 2020)","plainTextFormattedCitation":"(for example, see: Clouder et al., 2020)","previouslyFormattedCitation":"(for example, see: Clouder &lt;i&gt;et al.&lt;/i&gt;, 2020)"},"properties":{"noteIndex":0},"schema":"https://github.com/citation-style-language/schema/raw/master/csl-citation.json"}</w:instrText>
      </w:r>
      <w:r w:rsidRPr="00C965DD">
        <w:rPr>
          <w:color w:val="000000" w:themeColor="text1"/>
        </w:rPr>
        <w:fldChar w:fldCharType="separate"/>
      </w:r>
      <w:r w:rsidRPr="00C965DD">
        <w:rPr>
          <w:noProof/>
          <w:color w:val="000000" w:themeColor="text1"/>
        </w:rPr>
        <w:t xml:space="preserve">(for example, see: Clouder </w:t>
      </w:r>
      <w:r w:rsidRPr="00C965DD">
        <w:rPr>
          <w:i/>
          <w:noProof/>
          <w:color w:val="000000" w:themeColor="text1"/>
        </w:rPr>
        <w:t>et al.</w:t>
      </w:r>
      <w:r w:rsidRPr="00C965DD">
        <w:rPr>
          <w:noProof/>
          <w:color w:val="000000" w:themeColor="text1"/>
        </w:rPr>
        <w:t>, 2020)</w:t>
      </w:r>
      <w:r w:rsidRPr="00C965DD">
        <w:rPr>
          <w:color w:val="000000" w:themeColor="text1"/>
        </w:rPr>
        <w:fldChar w:fldCharType="end"/>
      </w:r>
      <w:r w:rsidRPr="00C965DD">
        <w:rPr>
          <w:color w:val="000000" w:themeColor="text1"/>
        </w:rPr>
        <w:t xml:space="preserve">. Accepting a need for a diverse engagement with educational material, I also assessed </w:t>
      </w:r>
      <w:r w:rsidR="00994F16" w:rsidRPr="00C965DD">
        <w:rPr>
          <w:color w:val="000000" w:themeColor="text1"/>
        </w:rPr>
        <w:t>it</w:t>
      </w:r>
      <w:r w:rsidRPr="00C965DD">
        <w:rPr>
          <w:color w:val="000000" w:themeColor="text1"/>
        </w:rPr>
        <w:t xml:space="preserve"> by reference to VLE reports on students’ engagement with the module’s on-line materials. </w:t>
      </w:r>
    </w:p>
    <w:p w14:paraId="702AF28C" w14:textId="7DE02664" w:rsidR="00127999" w:rsidRPr="00C965DD" w:rsidRDefault="00127999" w:rsidP="000C680C">
      <w:pPr>
        <w:rPr>
          <w:color w:val="000000" w:themeColor="text1"/>
        </w:rPr>
      </w:pPr>
      <w:r w:rsidRPr="00C965DD">
        <w:rPr>
          <w:color w:val="000000" w:themeColor="text1"/>
        </w:rPr>
        <w:t xml:space="preserve">     I based engagement with the VLE on the number of times a student accessed the on-line content. I applied a simple weighting so that a single access to a single lecture or seminar part (32 parts in total) was equivalent to attending that part, whereas an access of two times, scored 1.1, three times scored 1.2 and so on, to a maximum of 2.0 (representing access to a single part on 11 or more occasions. I express a student’s VLE engagement as a percentage of a maximum of 32. </w:t>
      </w:r>
      <w:r w:rsidRPr="00C965DD">
        <w:rPr>
          <w:color w:val="000000" w:themeColor="text1"/>
        </w:rPr>
        <w:fldChar w:fldCharType="begin"/>
      </w:r>
      <w:r w:rsidRPr="00C965DD">
        <w:rPr>
          <w:color w:val="000000" w:themeColor="text1"/>
        </w:rPr>
        <w:instrText xml:space="preserve"> REF _Ref107409963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6</w:t>
      </w:r>
      <w:r w:rsidRPr="00C965DD">
        <w:rPr>
          <w:color w:val="000000" w:themeColor="text1"/>
        </w:rPr>
        <w:fldChar w:fldCharType="end"/>
      </w:r>
      <w:r w:rsidRPr="00C965DD">
        <w:rPr>
          <w:color w:val="000000" w:themeColor="text1"/>
        </w:rPr>
        <w:t xml:space="preserve"> shows a distribution of VLE access by the 65 students signed to the elective. Here, the average student access to the total available VLE material was marginally higher, at 37.59%, than the average in-class attendance, with individual values ranging from 0 to 100%. </w:t>
      </w:r>
    </w:p>
    <w:p w14:paraId="44C2E1F2" w14:textId="77777777" w:rsidR="00127999" w:rsidRPr="00C965DD" w:rsidRDefault="00127999" w:rsidP="000F2CF0">
      <w:pPr>
        <w:keepNext/>
        <w:jc w:val="center"/>
        <w:rPr>
          <w:color w:val="000000" w:themeColor="text1"/>
        </w:rPr>
      </w:pPr>
      <w:r w:rsidRPr="00C965DD">
        <w:rPr>
          <w:noProof/>
          <w:color w:val="000000" w:themeColor="text1"/>
        </w:rPr>
        <w:drawing>
          <wp:inline distT="0" distB="0" distL="0" distR="0" wp14:anchorId="7AC0D71E" wp14:editId="03D2C3DD">
            <wp:extent cx="3301200"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301200" cy="1980000"/>
                    </a:xfrm>
                    <a:prstGeom prst="rect">
                      <a:avLst/>
                    </a:prstGeom>
                    <a:noFill/>
                  </pic:spPr>
                </pic:pic>
              </a:graphicData>
            </a:graphic>
          </wp:inline>
        </w:drawing>
      </w:r>
    </w:p>
    <w:p w14:paraId="58C7EDB6" w14:textId="3D4DA86A" w:rsidR="00127999" w:rsidRPr="00C965DD" w:rsidRDefault="00127999" w:rsidP="007504C9">
      <w:pPr>
        <w:pStyle w:val="Caption"/>
      </w:pPr>
      <w:bookmarkStart w:id="5" w:name="_Ref107409963"/>
      <w:r w:rsidRPr="00C965DD">
        <w:t xml:space="preserve">Figure </w:t>
      </w:r>
      <w:fldSimple w:instr=" SEQ Figure \* ARABIC ">
        <w:r w:rsidRPr="00C965DD">
          <w:t>6</w:t>
        </w:r>
      </w:fldSimple>
      <w:bookmarkEnd w:id="5"/>
      <w:r w:rsidRPr="00C965DD">
        <w:t xml:space="preserve"> - Distribution of VLE module student access</w:t>
      </w:r>
    </w:p>
    <w:p w14:paraId="1060523E" w14:textId="4F560A50" w:rsidR="00127999" w:rsidRPr="00C965DD" w:rsidRDefault="00127999" w:rsidP="005D764C">
      <w:pPr>
        <w:rPr>
          <w:color w:val="000000" w:themeColor="text1"/>
        </w:rPr>
      </w:pPr>
      <w:r w:rsidRPr="00C965DD">
        <w:rPr>
          <w:color w:val="000000" w:themeColor="text1"/>
        </w:rPr>
        <w:t xml:space="preserve">Overall, the VLE provided a marginally preferable access route to the module’s pedagogic content; both in-class and VLE routes exhibit similar patterns of distribution. However, it is informative to take view on how module engagement is seen in the round. While no more </w:t>
      </w:r>
      <w:r w:rsidRPr="00C965DD">
        <w:rPr>
          <w:color w:val="000000" w:themeColor="text1"/>
        </w:rPr>
        <w:lastRenderedPageBreak/>
        <w:t xml:space="preserve">than an indicative approximation of student engagement, </w:t>
      </w:r>
      <w:r w:rsidRPr="00C965DD">
        <w:rPr>
          <w:color w:val="000000" w:themeColor="text1"/>
        </w:rPr>
        <w:fldChar w:fldCharType="begin"/>
      </w:r>
      <w:r w:rsidRPr="00C965DD">
        <w:rPr>
          <w:color w:val="000000" w:themeColor="text1"/>
        </w:rPr>
        <w:instrText xml:space="preserve"> REF _Ref107410096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7</w:t>
      </w:r>
      <w:r w:rsidRPr="00C965DD">
        <w:rPr>
          <w:color w:val="000000" w:themeColor="text1"/>
        </w:rPr>
        <w:fldChar w:fldCharType="end"/>
      </w:r>
      <w:r w:rsidRPr="00C965DD">
        <w:rPr>
          <w:color w:val="000000" w:themeColor="text1"/>
        </w:rPr>
        <w:t xml:space="preserve"> provides a graphic distribution of the per-student summation of in-class attendance and VLE access percentages. </w:t>
      </w:r>
    </w:p>
    <w:p w14:paraId="76AB366A" w14:textId="77777777" w:rsidR="00127999" w:rsidRPr="00C965DD" w:rsidRDefault="00127999" w:rsidP="005A2DE6">
      <w:pPr>
        <w:keepNext/>
        <w:jc w:val="center"/>
        <w:rPr>
          <w:color w:val="000000" w:themeColor="text1"/>
        </w:rPr>
      </w:pPr>
      <w:r w:rsidRPr="00C965DD">
        <w:rPr>
          <w:noProof/>
          <w:color w:val="000000" w:themeColor="text1"/>
        </w:rPr>
        <w:drawing>
          <wp:inline distT="0" distB="0" distL="0" distR="0" wp14:anchorId="581C5BB4" wp14:editId="47B0B68C">
            <wp:extent cx="3301200" cy="19800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301200" cy="1980000"/>
                    </a:xfrm>
                    <a:prstGeom prst="rect">
                      <a:avLst/>
                    </a:prstGeom>
                    <a:noFill/>
                  </pic:spPr>
                </pic:pic>
              </a:graphicData>
            </a:graphic>
          </wp:inline>
        </w:drawing>
      </w:r>
    </w:p>
    <w:p w14:paraId="2878C35D" w14:textId="084AF24F" w:rsidR="00127999" w:rsidRPr="00C965DD" w:rsidRDefault="00127999" w:rsidP="007504C9">
      <w:pPr>
        <w:pStyle w:val="Caption"/>
      </w:pPr>
      <w:bookmarkStart w:id="6" w:name="_Ref107410096"/>
      <w:r w:rsidRPr="00C965DD">
        <w:t xml:space="preserve">Figure </w:t>
      </w:r>
      <w:fldSimple w:instr=" SEQ Figure \* ARABIC ">
        <w:r w:rsidRPr="00C965DD">
          <w:rPr>
            <w:noProof/>
          </w:rPr>
          <w:t>7</w:t>
        </w:r>
      </w:fldSimple>
      <w:bookmarkEnd w:id="6"/>
      <w:r w:rsidRPr="00C965DD">
        <w:t xml:space="preserve"> - Distribution of module student engagement</w:t>
      </w:r>
    </w:p>
    <w:p w14:paraId="6701855E" w14:textId="66B51E2F" w:rsidR="00127999" w:rsidRPr="00C965DD" w:rsidRDefault="00127999" w:rsidP="00D10351">
      <w:pPr>
        <w:rPr>
          <w:color w:val="000000" w:themeColor="text1"/>
        </w:rPr>
      </w:pPr>
      <w:r w:rsidRPr="00C965DD">
        <w:rPr>
          <w:color w:val="000000" w:themeColor="text1"/>
        </w:rPr>
        <w:t xml:space="preserve">Here, an approximation of </w:t>
      </w:r>
      <w:r w:rsidR="00CF1A47">
        <w:rPr>
          <w:color w:val="000000" w:themeColor="text1"/>
        </w:rPr>
        <w:t xml:space="preserve">the </w:t>
      </w:r>
      <w:r w:rsidRPr="00C965DD">
        <w:rPr>
          <w:color w:val="000000" w:themeColor="text1"/>
        </w:rPr>
        <w:t xml:space="preserve">average student engagement is 62.5% of the available material. Of the 12 students with 25% or less engagement, five attended no classes nor engaged with the VLE at all, and only four of these submitted assignments for assessment. Of nine students with 15% or less engagement, only one (10%) submitted assignments for assessment.  </w:t>
      </w:r>
    </w:p>
    <w:p w14:paraId="2706E8D8" w14:textId="2C1D0A63" w:rsidR="00127999" w:rsidRPr="00C965DD" w:rsidRDefault="00127999" w:rsidP="006D0AE3">
      <w:pPr>
        <w:pStyle w:val="Heading2"/>
      </w:pPr>
      <w:r w:rsidRPr="00C965DD">
        <w:t>Student Results</w:t>
      </w:r>
    </w:p>
    <w:p w14:paraId="47DD794C" w14:textId="106501C4" w:rsidR="00127999" w:rsidRPr="00C965DD" w:rsidRDefault="00127999" w:rsidP="00A5666A">
      <w:pPr>
        <w:rPr>
          <w:color w:val="000000" w:themeColor="text1"/>
        </w:rPr>
      </w:pPr>
      <w:r w:rsidRPr="00C965DD">
        <w:rPr>
          <w:color w:val="000000" w:themeColor="text1"/>
        </w:rPr>
        <w:t xml:space="preserve">Of the 65 students signed to the elective, five having no engagement with the module content also made no assignment submissions by the due date. In addition to these five, a further seven with engagement varying from 9% to 100% also made no submissions; although two students of the three in this group with over 50% engagement (100%, 52%) had been granted extensions to the submission date beyond the write up of this paper. </w:t>
      </w:r>
    </w:p>
    <w:p w14:paraId="65A2A740" w14:textId="5BD6A39A" w:rsidR="00127999" w:rsidRPr="00C965DD" w:rsidRDefault="00127999" w:rsidP="00A5666A">
      <w:pPr>
        <w:rPr>
          <w:color w:val="000000" w:themeColor="text1"/>
        </w:rPr>
      </w:pPr>
      <w:r w:rsidRPr="00C965DD">
        <w:rPr>
          <w:color w:val="000000" w:themeColor="text1"/>
        </w:rPr>
        <w:t xml:space="preserve">     Of the submitted assignments, the average for Assignment 1 (written work) was 56%, with Assignment 2 (presentation) Part I being 59.94% and Part II being 51.19%. Combined with the weightings of 60% (Assignment 1), 20% (Assignment 2, Part I) and 20% (Assignment 2, Part II), the overall average mark achieved was 55.83%. </w:t>
      </w:r>
      <w:r w:rsidRPr="00C965DD">
        <w:rPr>
          <w:color w:val="000000" w:themeColor="text1"/>
        </w:rPr>
        <w:fldChar w:fldCharType="begin"/>
      </w:r>
      <w:r w:rsidRPr="00C965DD">
        <w:rPr>
          <w:color w:val="000000" w:themeColor="text1"/>
        </w:rPr>
        <w:instrText xml:space="preserve"> REF _Ref107410531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8</w:t>
      </w:r>
      <w:r w:rsidRPr="00C965DD">
        <w:rPr>
          <w:color w:val="000000" w:themeColor="text1"/>
        </w:rPr>
        <w:fldChar w:fldCharType="end"/>
      </w:r>
      <w:r w:rsidRPr="00C965DD">
        <w:rPr>
          <w:color w:val="000000" w:themeColor="text1"/>
        </w:rPr>
        <w:t xml:space="preserve"> maps individual student marks (including non-submissions) against </w:t>
      </w:r>
      <w:r w:rsidR="00CF1A47">
        <w:rPr>
          <w:color w:val="000000" w:themeColor="text1"/>
        </w:rPr>
        <w:t xml:space="preserve">their </w:t>
      </w:r>
      <w:r w:rsidRPr="00C965DD">
        <w:rPr>
          <w:color w:val="000000" w:themeColor="text1"/>
        </w:rPr>
        <w:t>estimated engagement</w:t>
      </w:r>
      <w:r w:rsidR="00CF1A47">
        <w:rPr>
          <w:color w:val="000000" w:themeColor="text1"/>
        </w:rPr>
        <w:t xml:space="preserve"> with the module.</w:t>
      </w:r>
      <w:r w:rsidRPr="00C965DD">
        <w:rPr>
          <w:color w:val="000000" w:themeColor="text1"/>
        </w:rPr>
        <w:t xml:space="preserve"> </w:t>
      </w:r>
    </w:p>
    <w:p w14:paraId="21E736F5" w14:textId="77777777" w:rsidR="00127999" w:rsidRPr="00C965DD" w:rsidRDefault="00127999" w:rsidP="00400592">
      <w:pPr>
        <w:keepNext/>
        <w:jc w:val="center"/>
        <w:rPr>
          <w:color w:val="000000" w:themeColor="text1"/>
        </w:rPr>
      </w:pPr>
      <w:r w:rsidRPr="00C965DD">
        <w:rPr>
          <w:noProof/>
          <w:color w:val="000000" w:themeColor="text1"/>
        </w:rPr>
        <w:lastRenderedPageBreak/>
        <w:drawing>
          <wp:inline distT="0" distB="0" distL="0" distR="0" wp14:anchorId="24B59E29" wp14:editId="2B49D480">
            <wp:extent cx="5691468" cy="421497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707" cy="4221075"/>
                    </a:xfrm>
                    <a:prstGeom prst="rect">
                      <a:avLst/>
                    </a:prstGeom>
                    <a:noFill/>
                  </pic:spPr>
                </pic:pic>
              </a:graphicData>
            </a:graphic>
          </wp:inline>
        </w:drawing>
      </w:r>
    </w:p>
    <w:p w14:paraId="2C0F00DD" w14:textId="7C97188B" w:rsidR="00127999" w:rsidRPr="00C965DD" w:rsidRDefault="00127999" w:rsidP="007504C9">
      <w:pPr>
        <w:pStyle w:val="Caption"/>
      </w:pPr>
      <w:bookmarkStart w:id="7" w:name="_Ref107410531"/>
      <w:r w:rsidRPr="00C965DD">
        <w:t xml:space="preserve">Figure </w:t>
      </w:r>
      <w:fldSimple w:instr=" SEQ Figure \* ARABIC ">
        <w:r w:rsidRPr="00C965DD">
          <w:rPr>
            <w:noProof/>
          </w:rPr>
          <w:t>8</w:t>
        </w:r>
      </w:fldSimple>
      <w:bookmarkEnd w:id="7"/>
      <w:r w:rsidRPr="00C965DD">
        <w:t xml:space="preserve"> - Student assignment marks</w:t>
      </w:r>
    </w:p>
    <w:p w14:paraId="7D368AA3" w14:textId="78218CA2" w:rsidR="00127999" w:rsidRPr="00C965DD" w:rsidRDefault="00127999" w:rsidP="00A0312E">
      <w:pPr>
        <w:rPr>
          <w:color w:val="000000" w:themeColor="text1"/>
        </w:rPr>
      </w:pPr>
      <w:r w:rsidRPr="00C965DD">
        <w:rPr>
          <w:color w:val="000000" w:themeColor="text1"/>
        </w:rPr>
        <w:t xml:space="preserve">The close mapping of the overall trend with the trend for Assignment 1 is in large part explained by the greater weighting applied to Assignment 1. Whereas the separation between the trendlines for the different elements of the presentation assignment reflects a relative level of difficulty. Assignment 2 Part I—essentially an exercise in communication—trends with a relatively higher average than for the written work. Assignment 2 Part II—an exercise in </w:t>
      </w:r>
      <w:r w:rsidR="00C26059" w:rsidRPr="00B8775E">
        <w:rPr>
          <w:color w:val="000000" w:themeColor="text1"/>
        </w:rPr>
        <w:t>(</w:t>
      </w:r>
      <w:r w:rsidRPr="00B8775E">
        <w:rPr>
          <w:color w:val="000000" w:themeColor="text1"/>
        </w:rPr>
        <w:t>critical</w:t>
      </w:r>
      <w:r w:rsidR="00C26059" w:rsidRPr="00B8775E">
        <w:rPr>
          <w:color w:val="000000" w:themeColor="text1"/>
        </w:rPr>
        <w:t>)</w:t>
      </w:r>
      <w:r w:rsidRPr="00C965DD">
        <w:rPr>
          <w:color w:val="000000" w:themeColor="text1"/>
        </w:rPr>
        <w:t xml:space="preserve"> reflective practice—trends with an average lower mark than for the written work.</w:t>
      </w:r>
    </w:p>
    <w:p w14:paraId="401A36B6" w14:textId="044FC02B" w:rsidR="00127999" w:rsidRPr="00C965DD" w:rsidRDefault="00127999" w:rsidP="006D0AE3">
      <w:pPr>
        <w:pStyle w:val="Heading2"/>
      </w:pPr>
      <w:r w:rsidRPr="00C965DD">
        <w:t>Student Perceptions</w:t>
      </w:r>
    </w:p>
    <w:p w14:paraId="028BDB6F" w14:textId="7F625DC8" w:rsidR="00127999" w:rsidRPr="00C965DD" w:rsidRDefault="00127999" w:rsidP="00CE1688">
      <w:pPr>
        <w:rPr>
          <w:color w:val="000000" w:themeColor="text1"/>
        </w:rPr>
      </w:pPr>
      <w:r w:rsidRPr="00C965DD">
        <w:rPr>
          <w:color w:val="000000" w:themeColor="text1"/>
        </w:rPr>
        <w:t xml:space="preserve">The design and delivery of a module seeking to both engage its students and facilitate their achievement of learning objectives is only part of the impact equation. How the content is both internalised and influences their future thinking is another. Therefore, the educator must also ask: in what way or ways does the module meet its aim? That is, in what way or ways </w:t>
      </w:r>
      <w:r w:rsidRPr="00C965DD">
        <w:rPr>
          <w:color w:val="000000" w:themeColor="text1"/>
        </w:rPr>
        <w:lastRenderedPageBreak/>
        <w:t>does it</w:t>
      </w:r>
      <w:r w:rsidRPr="00C965DD">
        <w:rPr>
          <w:i/>
          <w:iCs/>
          <w:color w:val="000000" w:themeColor="text1"/>
        </w:rPr>
        <w:t xml:space="preserve"> “…</w:t>
      </w:r>
      <w:r w:rsidRPr="00C965DD">
        <w:rPr>
          <w:rFonts w:eastAsia="Times New Roman" w:cs="Arial"/>
          <w:i/>
          <w:iCs/>
          <w:color w:val="000000" w:themeColor="text1"/>
          <w:lang w:eastAsia="en-GB"/>
        </w:rPr>
        <w:t xml:space="preserve">develop confident, enterprising and creative graduates who will be able to cope with the </w:t>
      </w:r>
      <w:proofErr w:type="gramStart"/>
      <w:r w:rsidRPr="00C965DD">
        <w:rPr>
          <w:rFonts w:eastAsia="Times New Roman" w:cs="Arial"/>
          <w:i/>
          <w:iCs/>
          <w:color w:val="000000" w:themeColor="text1"/>
          <w:lang w:eastAsia="en-GB"/>
        </w:rPr>
        <w:t>ever changing</w:t>
      </w:r>
      <w:proofErr w:type="gramEnd"/>
      <w:r w:rsidRPr="00C965DD">
        <w:rPr>
          <w:rFonts w:eastAsia="Times New Roman" w:cs="Arial"/>
          <w:i/>
          <w:iCs/>
          <w:color w:val="000000" w:themeColor="text1"/>
          <w:lang w:eastAsia="en-GB"/>
        </w:rPr>
        <w:t xml:space="preserve"> business environment, recognise opportunities and to take responsible and measured risks…”</w:t>
      </w:r>
      <w:r w:rsidRPr="00C965DD">
        <w:rPr>
          <w:rFonts w:eastAsia="Times New Roman" w:cs="Arial"/>
          <w:color w:val="000000" w:themeColor="text1"/>
          <w:lang w:eastAsia="en-GB"/>
        </w:rPr>
        <w:t>?</w:t>
      </w:r>
      <w:r w:rsidRPr="00C965DD">
        <w:rPr>
          <w:rFonts w:eastAsia="Times New Roman" w:cs="Arial"/>
          <w:i/>
          <w:iCs/>
          <w:color w:val="000000" w:themeColor="text1"/>
          <w:lang w:eastAsia="en-GB"/>
        </w:rPr>
        <w:t xml:space="preserve"> </w:t>
      </w:r>
      <w:r w:rsidRPr="00C965DD">
        <w:rPr>
          <w:rFonts w:eastAsia="Times New Roman" w:cs="Arial"/>
          <w:color w:val="000000" w:themeColor="text1"/>
          <w:lang w:eastAsia="en-GB"/>
        </w:rPr>
        <w:t>Here, I included short seminar questionnaires focussed on both the students’ own perceptions of their capabilities and capacities in respect of CTA’s core dimensions, and their alignment of their ‘self’ with CTA’s enterprising personas. However, before I introduce the data, I will highlight a simplistic textual analysis of the lecture content.</w:t>
      </w:r>
    </w:p>
    <w:p w14:paraId="434415B5" w14:textId="2B992979" w:rsidR="00127999" w:rsidRPr="00C965DD" w:rsidRDefault="00127999" w:rsidP="008805C5">
      <w:pPr>
        <w:pStyle w:val="Heading3"/>
        <w:rPr>
          <w:color w:val="000000" w:themeColor="text1"/>
        </w:rPr>
      </w:pPr>
      <w:r w:rsidRPr="00C965DD">
        <w:rPr>
          <w:color w:val="000000" w:themeColor="text1"/>
        </w:rPr>
        <w:t>Enterprising futures (entrepreneurship as a focussed application of enterprise)</w:t>
      </w:r>
    </w:p>
    <w:p w14:paraId="77D5A7BA" w14:textId="7347B7A6" w:rsidR="00127999" w:rsidRPr="00C965DD" w:rsidRDefault="00127999" w:rsidP="006C5266">
      <w:pPr>
        <w:rPr>
          <w:color w:val="000000" w:themeColor="text1"/>
        </w:rPr>
      </w:pPr>
      <w:r w:rsidRPr="00C965DD">
        <w:rPr>
          <w:color w:val="000000" w:themeColor="text1"/>
        </w:rPr>
        <w:t>By invoking negative dialectics, I position entrepreneurship as a phenomenon emergent from a focused application of enterprise. Using a freely available word-cloud tool</w:t>
      </w:r>
      <w:r w:rsidRPr="00C965DD">
        <w:rPr>
          <w:rStyle w:val="EndnoteReference"/>
          <w:color w:val="000000" w:themeColor="text1"/>
        </w:rPr>
        <w:endnoteReference w:id="9"/>
      </w:r>
      <w:r w:rsidRPr="00C965DD">
        <w:rPr>
          <w:color w:val="000000" w:themeColor="text1"/>
        </w:rPr>
        <w:t xml:space="preserve">, a simple visual analysis of key themes arising in all 22 lecture transcripts </w:t>
      </w:r>
      <w:r w:rsidR="00673E2A">
        <w:rPr>
          <w:color w:val="000000" w:themeColor="text1"/>
        </w:rPr>
        <w:t>shows</w:t>
      </w:r>
      <w:r w:rsidRPr="00C965DD">
        <w:rPr>
          <w:color w:val="000000" w:themeColor="text1"/>
        </w:rPr>
        <w:t xml:space="preserve"> </w:t>
      </w:r>
      <w:r w:rsidR="00673E2A">
        <w:rPr>
          <w:color w:val="000000" w:themeColor="text1"/>
        </w:rPr>
        <w:t xml:space="preserve">that in </w:t>
      </w:r>
      <w:r w:rsidRPr="00C965DD">
        <w:rPr>
          <w:color w:val="000000" w:themeColor="text1"/>
        </w:rPr>
        <w:t xml:space="preserve">only one of the 22 lecture sessions </w:t>
      </w:r>
      <w:r w:rsidR="00673E2A">
        <w:rPr>
          <w:color w:val="000000" w:themeColor="text1"/>
        </w:rPr>
        <w:t xml:space="preserve">do I </w:t>
      </w:r>
      <w:r w:rsidRPr="00C965DD">
        <w:rPr>
          <w:color w:val="000000" w:themeColor="text1"/>
        </w:rPr>
        <w:t>introduce</w:t>
      </w:r>
      <w:r w:rsidR="00673E2A" w:rsidRPr="00C965DD">
        <w:rPr>
          <w:color w:val="000000" w:themeColor="text1"/>
        </w:rPr>
        <w:t xml:space="preserve"> the word entrepreneur (and its derivatives) </w:t>
      </w:r>
      <w:r w:rsidRPr="00C965DD">
        <w:rPr>
          <w:color w:val="000000" w:themeColor="text1"/>
        </w:rPr>
        <w:t xml:space="preserve">to any great extent. </w:t>
      </w:r>
      <w:r w:rsidRPr="00C965DD">
        <w:rPr>
          <w:color w:val="000000" w:themeColor="text1"/>
        </w:rPr>
        <w:fldChar w:fldCharType="begin"/>
      </w:r>
      <w:r w:rsidRPr="00C965DD">
        <w:rPr>
          <w:color w:val="000000" w:themeColor="text1"/>
        </w:rPr>
        <w:instrText xml:space="preserve"> REF _Ref107410958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9</w:t>
      </w:r>
      <w:r w:rsidRPr="00C965DD">
        <w:rPr>
          <w:color w:val="000000" w:themeColor="text1"/>
        </w:rPr>
        <w:fldChar w:fldCharType="end"/>
      </w:r>
      <w:r w:rsidRPr="00C965DD">
        <w:rPr>
          <w:color w:val="000000" w:themeColor="text1"/>
        </w:rPr>
        <w:t xml:space="preserve"> shows the word cloud </w:t>
      </w:r>
      <w:r w:rsidR="00673E2A">
        <w:rPr>
          <w:color w:val="000000" w:themeColor="text1"/>
        </w:rPr>
        <w:t>for</w:t>
      </w:r>
      <w:r w:rsidRPr="00C965DD">
        <w:rPr>
          <w:color w:val="000000" w:themeColor="text1"/>
        </w:rPr>
        <w:t xml:space="preserve"> Week 2’s Part 2 lecture</w:t>
      </w:r>
      <w:r w:rsidR="00673E2A">
        <w:rPr>
          <w:color w:val="000000" w:themeColor="text1"/>
        </w:rPr>
        <w:t>,</w:t>
      </w:r>
      <w:r w:rsidRPr="00C965DD">
        <w:rPr>
          <w:color w:val="000000" w:themeColor="text1"/>
        </w:rPr>
        <w:t xml:space="preserve"> covering the traditional view of a Theory of Enterprise. In acknowledging the limitations of such a visual representation of data, I use it here </w:t>
      </w:r>
      <w:r w:rsidR="00673E2A">
        <w:rPr>
          <w:color w:val="000000" w:themeColor="text1"/>
        </w:rPr>
        <w:t xml:space="preserve">merely </w:t>
      </w:r>
      <w:r w:rsidRPr="00C965DD">
        <w:rPr>
          <w:color w:val="000000" w:themeColor="text1"/>
        </w:rPr>
        <w:t xml:space="preserve">as an early-stage evaluation tool </w:t>
      </w:r>
      <w:r w:rsidRPr="00C965DD">
        <w:rPr>
          <w:color w:val="000000" w:themeColor="text1"/>
        </w:rPr>
        <w:fldChar w:fldCharType="begin" w:fldLock="1"/>
      </w:r>
      <w:r w:rsidRPr="00C965DD">
        <w:rPr>
          <w:color w:val="000000" w:themeColor="text1"/>
        </w:rPr>
        <w:instrText>ADDIN CSL_CITATION {"citationItems":[{"id":"ITEM-1","itemData":{"abstract":"This chapter introduces data visualization techniques for qualitative data. These techniques can be used in most stages of evaluations, including early planning and design, data analysis, and reporting. Qualitative data visualization can also be used in different approaches to evaluation, for instance, traditional process and summative, developmental, utilization, participatory, and mixed-methods evaluations. The authors first describe a conceptual framework for understanding the different types of qualitative data visualizations before providing examples of visualizations in various evaluation","author":[{"dropping-particle":"","family":"Henderson","given":"Stuart","non-dropping-particle":"","parse-names":false,"suffix":""},{"dropping-particle":"","family":"Segal","given":"Eden H.","non-dropping-particle":"","parse-names":false,"suffix":""}],"chapter-number":"3","container-title":"Data visualization, part 1. New Directions for Evaluation","editor":[{"dropping-particle":"","family":"Azzam","given":"T.","non-dropping-particle":"","parse-names":false,"suffix":""},{"dropping-particle":"","family":"Evergreen","given":"S.","non-dropping-particle":"","parse-names":false,"suffix":""}],"id":"ITEM-1","issue":"139","issued":{"date-parts":[["2013"]]},"page":"53-71","publisher":"Wiley Periodicals","title":"Visualizing qualitative data in evaluation research","type":"chapter"},"uris":["http://www.mendeley.com/documents/?uuid=3fe41a99-d06a-4067-b023-463fe3e5261a"]}],"mendeley":{"formattedCitation":"(Henderson and Segal, 2013)","plainTextFormattedCitation":"(Henderson and Segal, 2013)","previouslyFormattedCitation":"(Henderson and Segal, 2013)"},"properties":{"noteIndex":0},"schema":"https://github.com/citation-style-language/schema/raw/master/csl-citation.json"}</w:instrText>
      </w:r>
      <w:r w:rsidRPr="00C965DD">
        <w:rPr>
          <w:color w:val="000000" w:themeColor="text1"/>
        </w:rPr>
        <w:fldChar w:fldCharType="separate"/>
      </w:r>
      <w:r w:rsidRPr="00C965DD">
        <w:rPr>
          <w:noProof/>
          <w:color w:val="000000" w:themeColor="text1"/>
        </w:rPr>
        <w:t>(Henderson and Segal, 2013)</w:t>
      </w:r>
      <w:r w:rsidRPr="00C965DD">
        <w:rPr>
          <w:color w:val="000000" w:themeColor="text1"/>
        </w:rPr>
        <w:fldChar w:fldCharType="end"/>
      </w:r>
      <w:r w:rsidRPr="00C965DD">
        <w:rPr>
          <w:color w:val="000000" w:themeColor="text1"/>
        </w:rPr>
        <w:t xml:space="preserve">. </w:t>
      </w:r>
    </w:p>
    <w:p w14:paraId="3583A6DE" w14:textId="215D56F0" w:rsidR="00127999" w:rsidRPr="00C965DD" w:rsidRDefault="00127999" w:rsidP="006C5266">
      <w:pPr>
        <w:rPr>
          <w:color w:val="000000" w:themeColor="text1"/>
        </w:rPr>
      </w:pPr>
      <w:r w:rsidRPr="00C965DD">
        <w:rPr>
          <w:color w:val="000000" w:themeColor="text1"/>
        </w:rPr>
        <w:t xml:space="preserve">     From the raw data downloaded from </w:t>
      </w:r>
      <w:proofErr w:type="spellStart"/>
      <w:r w:rsidRPr="00C965DD">
        <w:rPr>
          <w:color w:val="000000" w:themeColor="text1"/>
        </w:rPr>
        <w:t>MonkeyLearn</w:t>
      </w:r>
      <w:proofErr w:type="spellEnd"/>
      <w:r w:rsidRPr="00C965DD">
        <w:rPr>
          <w:color w:val="000000" w:themeColor="text1"/>
        </w:rPr>
        <w:t xml:space="preserve">, the search string </w:t>
      </w:r>
      <w:proofErr w:type="gramStart"/>
      <w:r w:rsidRPr="00C965DD">
        <w:rPr>
          <w:color w:val="000000" w:themeColor="text1"/>
        </w:rPr>
        <w:t>&lt;“</w:t>
      </w:r>
      <w:proofErr w:type="spellStart"/>
      <w:proofErr w:type="gramEnd"/>
      <w:r w:rsidRPr="00C965DD">
        <w:rPr>
          <w:color w:val="000000" w:themeColor="text1"/>
        </w:rPr>
        <w:t>preneur</w:t>
      </w:r>
      <w:proofErr w:type="spellEnd"/>
      <w:r w:rsidRPr="00C965DD">
        <w:rPr>
          <w:color w:val="000000" w:themeColor="text1"/>
        </w:rPr>
        <w:t xml:space="preserve">”&gt; occurs 142 times in the transcript of 4722 words (circa 3%). By contrast, the only other notable lecture word-cloud featuring the same string, occurs in Week 3, Part 2; there, the terms “definition of entrepreneurship and “entrepreneurial journey” both </w:t>
      </w:r>
      <w:proofErr w:type="gramStart"/>
      <w:r w:rsidRPr="00C965DD">
        <w:rPr>
          <w:color w:val="000000" w:themeColor="text1"/>
        </w:rPr>
        <w:t>feature</w:t>
      </w:r>
      <w:proofErr w:type="gramEnd"/>
      <w:r w:rsidRPr="00C965DD">
        <w:rPr>
          <w:color w:val="000000" w:themeColor="text1"/>
        </w:rPr>
        <w:t xml:space="preserve"> only twice in 4191 words. While this is not meant to be a definitive textual analysis, it is relativistic of a module content that in no way privileges entrepreneurship as a focus for EE study. It is therefore somewhat insightful that, on responding to a questionnaire on enterprising personas (n=38), whereas no student positioned themselves as currently being an entrepreneur, 13 students expressed a desire to become an entrepreneur </w:t>
      </w:r>
      <w:r w:rsidR="00673E2A">
        <w:rPr>
          <w:color w:val="000000" w:themeColor="text1"/>
        </w:rPr>
        <w:t>A</w:t>
      </w:r>
      <w:r w:rsidRPr="00C965DD">
        <w:rPr>
          <w:color w:val="000000" w:themeColor="text1"/>
        </w:rPr>
        <w:t xml:space="preserve">in the future. </w:t>
      </w:r>
    </w:p>
    <w:p w14:paraId="4BD271F6" w14:textId="77777777" w:rsidR="00127999" w:rsidRPr="00C965DD" w:rsidRDefault="00127999" w:rsidP="00400592">
      <w:pPr>
        <w:keepNext/>
        <w:jc w:val="center"/>
        <w:rPr>
          <w:color w:val="000000" w:themeColor="text1"/>
        </w:rPr>
      </w:pPr>
      <w:r w:rsidRPr="00C965DD">
        <w:rPr>
          <w:noProof/>
          <w:color w:val="000000" w:themeColor="text1"/>
        </w:rPr>
        <w:lastRenderedPageBreak/>
        <w:drawing>
          <wp:inline distT="0" distB="0" distL="0" distR="0" wp14:anchorId="1F6E840C" wp14:editId="513FC1AC">
            <wp:extent cx="4011561" cy="21344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5364" cy="2136488"/>
                    </a:xfrm>
                    <a:prstGeom prst="rect">
                      <a:avLst/>
                    </a:prstGeom>
                    <a:noFill/>
                  </pic:spPr>
                </pic:pic>
              </a:graphicData>
            </a:graphic>
          </wp:inline>
        </w:drawing>
      </w:r>
    </w:p>
    <w:p w14:paraId="1BE15F13" w14:textId="4B958308" w:rsidR="00127999" w:rsidRPr="00C965DD" w:rsidRDefault="00127999" w:rsidP="007504C9">
      <w:pPr>
        <w:pStyle w:val="Caption"/>
      </w:pPr>
      <w:bookmarkStart w:id="8" w:name="_Ref107410958"/>
      <w:r w:rsidRPr="00C965DD">
        <w:t xml:space="preserve">Figure </w:t>
      </w:r>
      <w:fldSimple w:instr=" SEQ Figure \* ARABIC ">
        <w:r w:rsidRPr="00C965DD">
          <w:rPr>
            <w:noProof/>
          </w:rPr>
          <w:t>9</w:t>
        </w:r>
      </w:fldSimple>
      <w:bookmarkEnd w:id="8"/>
      <w:r w:rsidRPr="00C965DD">
        <w:t xml:space="preserve"> - Word cloud picture Lecture Week 2 Part II (adapted from source: author’s text and </w:t>
      </w:r>
      <w:proofErr w:type="spellStart"/>
      <w:r w:rsidRPr="00C965DD">
        <w:t>MonkeyLearn</w:t>
      </w:r>
      <w:proofErr w:type="spellEnd"/>
      <w:r w:rsidRPr="00C965DD">
        <w:t>)</w:t>
      </w:r>
    </w:p>
    <w:p w14:paraId="1988B335" w14:textId="2FD09DE2" w:rsidR="00127999" w:rsidRPr="00C965DD" w:rsidRDefault="00127999" w:rsidP="006E47D4">
      <w:pPr>
        <w:rPr>
          <w:color w:val="000000" w:themeColor="text1"/>
        </w:rPr>
      </w:pPr>
      <w:r w:rsidRPr="00C965DD">
        <w:rPr>
          <w:color w:val="000000" w:themeColor="text1"/>
        </w:rPr>
        <w:t xml:space="preserve">Thus, a focus on enterprise rather than entrepreneurship still has the ability to increase EI. This respects Hannon’s principle that </w:t>
      </w:r>
      <w:r w:rsidRPr="00C965DD">
        <w:rPr>
          <w:i/>
          <w:iCs/>
          <w:color w:val="000000" w:themeColor="text1"/>
        </w:rPr>
        <w:t>“[if] all individuals have the potential to be enterprising, then some may choose to apply such characteristics, behaviours and attributes within a business context, and as such may be described as being entrepreneurial”</w:t>
      </w:r>
      <w:r w:rsidRPr="00C965DD">
        <w:rPr>
          <w:color w:val="000000" w:themeColor="text1"/>
        </w:rPr>
        <w:t xml:space="preserve"> </w:t>
      </w:r>
      <w:r w:rsidRPr="00C965DD">
        <w:rPr>
          <w:color w:val="000000" w:themeColor="text1"/>
        </w:rPr>
        <w:fldChar w:fldCharType="begin" w:fldLock="1"/>
      </w:r>
      <w:r w:rsidRPr="00C965DD">
        <w:rPr>
          <w:color w:val="000000" w:themeColor="text1"/>
        </w:rPr>
        <w:instrText>ADDIN CSL_CITATION {"citationItems":[{"id":"ITEM-1","itemData":{"DOI":"10.5367/0000000053966876","ISSN":"1465-7503","abstract":"This conceptual paper presents critical thoughts and observations on the recent phenomenon of entrepreneurship education in higher education in the UK. The key challenge the paper emphasizes is the need for greater insight into the conceptual and theoretical development of that phenomenon and a more robust locating of the philosophical foundations of entrepreneurship education within a higher education institution (HEI) adult-learning context. Although concepts and models of entrepreneurship abound, it is difficult to find related concepts and models of entrepreneurship education and, in particular, their underpinning philosophical foundations. Philosophies of adult education have emerged, but there appears to have been no attempt to locate entrepreneurship education within these contextual theoretical paradigms. This is somewhat surprising, as the underpinning philosophy of an educational programme will partially determine the outcomes of the educational process and influence the educational experience. However, this insight may help to explain why, conceptually, entrepreneurship education has mixed meanings and a conflicting discourse. The paper introduces a framework of adult-learning philosophies as a foundation for reflecting and analysing current approaches against philosophical beliefs. The application of the framework leads to a discussion about the potential contrasts and conflicts between underpinning foundations and purpose-in-action. The paper concludes with various perspectives on the building of an emerging robust concept of entrepreneurship education within an HEI adult-learning context.","author":[{"dropping-particle":"","family":"Hannon","given":"Paul D.","non-dropping-particle":"","parse-names":false,"suffix":""}],"container-title":"The International Journal of Entrepreneurship and Innovation","id":"ITEM-1","issue":"2","issued":{"date-parts":[["2005"]]},"page":"105-114","title":"Philosophies of Enterprise and Entrepreneurship Education and Challenges for Higher Education in the UK","type":"article-journal","volume":"6"},"locator":"106","uris":["http://www.mendeley.com/documents/?uuid=6583d08a-bc5f-4895-ab07-e4db5d9b3c8f"]}],"mendeley":{"formattedCitation":"(Hannon, 2005, p. 106)","plainTextFormattedCitation":"(Hannon, 2005, p. 106)","previouslyFormattedCitation":"(Hannon, 2005, p. 106)"},"properties":{"noteIndex":0},"schema":"https://github.com/citation-style-language/schema/raw/master/csl-citation.json"}</w:instrText>
      </w:r>
      <w:r w:rsidRPr="00C965DD">
        <w:rPr>
          <w:color w:val="000000" w:themeColor="text1"/>
        </w:rPr>
        <w:fldChar w:fldCharType="separate"/>
      </w:r>
      <w:r w:rsidRPr="00C965DD">
        <w:rPr>
          <w:noProof/>
          <w:color w:val="000000" w:themeColor="text1"/>
        </w:rPr>
        <w:t>(Hannon, 2005, p. 106)</w:t>
      </w:r>
      <w:r w:rsidRPr="00C965DD">
        <w:rPr>
          <w:color w:val="000000" w:themeColor="text1"/>
        </w:rPr>
        <w:fldChar w:fldCharType="end"/>
      </w:r>
      <w:r w:rsidRPr="00C965DD">
        <w:rPr>
          <w:color w:val="000000" w:themeColor="text1"/>
        </w:rPr>
        <w:t xml:space="preserve">. </w:t>
      </w:r>
    </w:p>
    <w:p w14:paraId="57F6673C" w14:textId="0D868141" w:rsidR="00127999" w:rsidRPr="00C965DD" w:rsidRDefault="00127999" w:rsidP="008805C5">
      <w:pPr>
        <w:pStyle w:val="Heading3"/>
        <w:rPr>
          <w:color w:val="000000" w:themeColor="text1"/>
        </w:rPr>
      </w:pPr>
      <w:r w:rsidRPr="00C965DD">
        <w:rPr>
          <w:color w:val="000000" w:themeColor="text1"/>
        </w:rPr>
        <w:t>Enterprising capabilities (contingency and ebb and flow)</w:t>
      </w:r>
    </w:p>
    <w:p w14:paraId="08D19080" w14:textId="41D0B188" w:rsidR="00127999" w:rsidRPr="00C965DD" w:rsidRDefault="00127999" w:rsidP="00151C0F">
      <w:pPr>
        <w:rPr>
          <w:color w:val="000000" w:themeColor="text1"/>
        </w:rPr>
      </w:pPr>
      <w:r w:rsidRPr="00C965DD">
        <w:rPr>
          <w:color w:val="000000" w:themeColor="text1"/>
        </w:rPr>
        <w:t xml:space="preserve">From a theoretical perspective, a successful EE pedagogy that frames enterprising activity within the conjunction of enterprising craft skills, creative innovation and mimetic vision, should reflect a potential to influence a student’s desire and/or capability to be enterprising and/or entrepreneurial in a manner that Hannon </w:t>
      </w:r>
      <w:r w:rsidRPr="00C965DD">
        <w:rPr>
          <w:color w:val="000000" w:themeColor="text1"/>
        </w:rPr>
        <w:fldChar w:fldCharType="begin" w:fldLock="1"/>
      </w:r>
      <w:r w:rsidRPr="00C965DD">
        <w:rPr>
          <w:color w:val="000000" w:themeColor="text1"/>
        </w:rPr>
        <w:instrText>ADDIN CSL_CITATION {"citationItems":[{"id":"ITEM-1","itemData":{"DOI":"10.5367/0000000053966876","ISSN":"1465-7503","abstract":"This conceptual paper presents critical thoughts and observations on the recent phenomenon of entrepreneurship education in higher education in the UK. The key challenge the paper emphasizes is the need for greater insight into the conceptual and theoretical development of that phenomenon and a more robust locating of the philosophical foundations of entrepreneurship education within a higher education institution (HEI) adult-learning context. Although concepts and models of entrepreneurship abound, it is difficult to find related concepts and models of entrepreneurship education and, in particular, their underpinning philosophical foundations. Philosophies of adult education have emerged, but there appears to have been no attempt to locate entrepreneurship education within these contextual theoretical paradigms. This is somewhat surprising, as the underpinning philosophy of an educational programme will partially determine the outcomes of the educational process and influence the educational experience. However, this insight may help to explain why, conceptually, entrepreneurship education has mixed meanings and a conflicting discourse. The paper introduces a framework of adult-learning philosophies as a foundation for reflecting and analysing current approaches against philosophical beliefs. The application of the framework leads to a discussion about the potential contrasts and conflicts between underpinning foundations and purpose-in-action. The paper concludes with various perspectives on the building of an emerging robust concept of entrepreneurship education within an HEI adult-learning context.","author":[{"dropping-particle":"","family":"Hannon","given":"Paul D.","non-dropping-particle":"","parse-names":false,"suffix":""}],"container-title":"The International Journal of Entrepreneurship and Innovation","id":"ITEM-1","issue":"2","issued":{"date-parts":[["2005"]]},"page":"105-114","title":"Philosophies of Enterprise and Entrepreneurship Education and Challenges for Higher Education in the UK","type":"article-journal","volume":"6"},"suppress-author":1,"uris":["http://www.mendeley.com/documents/?uuid=6583d08a-bc5f-4895-ab07-e4db5d9b3c8f"]}],"mendeley":{"formattedCitation":"(2005)","plainTextFormattedCitation":"(2005)","previouslyFormattedCitation":"(2005)"},"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(2005)</w:t>
      </w:r>
      <w:r w:rsidRPr="00C965DD">
        <w:rPr>
          <w:color w:val="000000" w:themeColor="text1"/>
        </w:rPr>
        <w:fldChar w:fldCharType="end"/>
      </w:r>
      <w:r w:rsidRPr="00C965DD">
        <w:rPr>
          <w:color w:val="000000" w:themeColor="text1"/>
        </w:rPr>
        <w:t xml:space="preserve"> suggested, ebbs and flows over time. Here, two questionnaires inviting students to reflect on their perceived capabilities are insightful. In Week 1 and Week 11, I invited students to record their perceived level of enterprising craft skills (</w:t>
      </w:r>
      <w:proofErr w:type="spellStart"/>
      <w:r w:rsidRPr="00C965DD">
        <w:rPr>
          <w:color w:val="000000" w:themeColor="text1"/>
        </w:rPr>
        <w:t>Sk</w:t>
      </w:r>
      <w:proofErr w:type="spellEnd"/>
      <w:r w:rsidRPr="00C965DD">
        <w:rPr>
          <w:color w:val="000000" w:themeColor="text1"/>
        </w:rPr>
        <w:t xml:space="preserve">), creative innovation (Cr) and mimetic vision (Vs), alongside their perceived confidence in their future enterprising career/work direction. Responses were based on a simple Likert scale of 1 (low level) to 5 (high level). </w:t>
      </w:r>
      <w:r w:rsidRPr="00C965DD">
        <w:rPr>
          <w:color w:val="000000" w:themeColor="text1"/>
        </w:rPr>
        <w:fldChar w:fldCharType="begin"/>
      </w:r>
      <w:r w:rsidRPr="00C965DD">
        <w:rPr>
          <w:color w:val="000000" w:themeColor="text1"/>
        </w:rPr>
        <w:instrText xml:space="preserve"> REF _Ref107411270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10</w:t>
      </w:r>
      <w:r w:rsidRPr="00C965DD">
        <w:rPr>
          <w:color w:val="000000" w:themeColor="text1"/>
        </w:rPr>
        <w:fldChar w:fldCharType="end"/>
      </w:r>
      <w:r w:rsidRPr="00C965DD">
        <w:rPr>
          <w:color w:val="000000" w:themeColor="text1"/>
        </w:rPr>
        <w:t xml:space="preserve"> and </w:t>
      </w:r>
      <w:r w:rsidRPr="00C965DD">
        <w:rPr>
          <w:color w:val="000000" w:themeColor="text1"/>
        </w:rPr>
        <w:fldChar w:fldCharType="begin"/>
      </w:r>
      <w:r w:rsidRPr="00C965DD">
        <w:rPr>
          <w:color w:val="000000" w:themeColor="text1"/>
        </w:rPr>
        <w:instrText xml:space="preserve"> REF _Ref107411289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11</w:t>
      </w:r>
      <w:r w:rsidRPr="00C965DD">
        <w:rPr>
          <w:color w:val="000000" w:themeColor="text1"/>
        </w:rPr>
        <w:fldChar w:fldCharType="end"/>
      </w:r>
      <w:r w:rsidRPr="00C965DD">
        <w:rPr>
          <w:color w:val="000000" w:themeColor="text1"/>
        </w:rPr>
        <w:t xml:space="preserve"> plot the averages of the influencing factors as they ebb and flow over the duration of the module and as student’s (n=33) form and reform their views on their future enterprising selves.</w:t>
      </w:r>
    </w:p>
    <w:p w14:paraId="47E41D3F" w14:textId="6C660D21" w:rsidR="00127999" w:rsidRPr="00C965DD" w:rsidRDefault="00127999" w:rsidP="00F6236E">
      <w:pPr>
        <w:keepNext/>
        <w:jc w:val="center"/>
        <w:rPr>
          <w:color w:val="000000" w:themeColor="text1"/>
        </w:rPr>
      </w:pPr>
      <w:r w:rsidRPr="00C965DD">
        <w:rPr>
          <w:noProof/>
          <w:color w:val="000000" w:themeColor="text1"/>
        </w:rPr>
        <w:lastRenderedPageBreak/>
        <w:drawing>
          <wp:inline distT="0" distB="0" distL="0" distR="0" wp14:anchorId="1710130A" wp14:editId="1F15150B">
            <wp:extent cx="3592800" cy="21600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2800" cy="2160000"/>
                    </a:xfrm>
                    <a:prstGeom prst="rect">
                      <a:avLst/>
                    </a:prstGeom>
                    <a:noFill/>
                  </pic:spPr>
                </pic:pic>
              </a:graphicData>
            </a:graphic>
          </wp:inline>
        </w:drawing>
      </w:r>
    </w:p>
    <w:p w14:paraId="097231DF" w14:textId="7E379042" w:rsidR="00C26059" w:rsidRPr="00C965DD" w:rsidRDefault="00127999" w:rsidP="007504C9">
      <w:pPr>
        <w:pStyle w:val="Caption"/>
      </w:pPr>
      <w:bookmarkStart w:id="9" w:name="_Ref107411270"/>
      <w:r w:rsidRPr="00C965DD">
        <w:t xml:space="preserve">Figure </w:t>
      </w:r>
      <w:fldSimple w:instr=" SEQ Figure \* ARABIC ">
        <w:r w:rsidRPr="00C965DD">
          <w:rPr>
            <w:noProof/>
          </w:rPr>
          <w:t>10</w:t>
        </w:r>
      </w:fldSimple>
      <w:bookmarkEnd w:id="9"/>
      <w:r w:rsidRPr="00C965DD">
        <w:t xml:space="preserve"> - Student influencing factors, Week 1</w:t>
      </w:r>
    </w:p>
    <w:p w14:paraId="793AECBD" w14:textId="0FBE74E3" w:rsidR="00127999" w:rsidRPr="00C965DD" w:rsidRDefault="00127999" w:rsidP="00D3575D">
      <w:pPr>
        <w:keepNext/>
        <w:jc w:val="center"/>
        <w:rPr>
          <w:color w:val="000000" w:themeColor="text1"/>
        </w:rPr>
      </w:pPr>
      <w:r w:rsidRPr="00C965DD">
        <w:rPr>
          <w:noProof/>
          <w:color w:val="000000" w:themeColor="text1"/>
        </w:rPr>
        <w:drawing>
          <wp:inline distT="0" distB="0" distL="0" distR="0" wp14:anchorId="74A8732D" wp14:editId="0129986F">
            <wp:extent cx="3596400" cy="2160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400" cy="2160000"/>
                    </a:xfrm>
                    <a:prstGeom prst="rect">
                      <a:avLst/>
                    </a:prstGeom>
                    <a:noFill/>
                  </pic:spPr>
                </pic:pic>
              </a:graphicData>
            </a:graphic>
          </wp:inline>
        </w:drawing>
      </w:r>
    </w:p>
    <w:p w14:paraId="7784E297" w14:textId="17DB15B1" w:rsidR="00127999" w:rsidRPr="00C965DD" w:rsidRDefault="00127999" w:rsidP="009104D0">
      <w:pPr>
        <w:pStyle w:val="Caption"/>
      </w:pPr>
      <w:bookmarkStart w:id="10" w:name="_Ref107411289"/>
      <w:r w:rsidRPr="00C965DD">
        <w:t xml:space="preserve">Figure </w:t>
      </w:r>
      <w:fldSimple w:instr=" SEQ Figure \* ARABIC ">
        <w:r w:rsidRPr="00C965DD">
          <w:rPr>
            <w:noProof/>
          </w:rPr>
          <w:t>11</w:t>
        </w:r>
      </w:fldSimple>
      <w:bookmarkEnd w:id="10"/>
      <w:r w:rsidRPr="00C965DD">
        <w:t xml:space="preserve"> - Student influencing factors, Week 11</w:t>
      </w:r>
    </w:p>
    <w:p w14:paraId="1B2E4D3A" w14:textId="653F9FA3" w:rsidR="00127999" w:rsidRPr="00C965DD" w:rsidRDefault="00127999" w:rsidP="008805C5">
      <w:pPr>
        <w:pStyle w:val="Heading3"/>
        <w:rPr>
          <w:color w:val="000000" w:themeColor="text1"/>
        </w:rPr>
      </w:pPr>
      <w:r w:rsidRPr="00C965DD">
        <w:rPr>
          <w:color w:val="000000" w:themeColor="text1"/>
        </w:rPr>
        <w:t>Enterprising learning (varying levels in varying contexts)</w:t>
      </w:r>
    </w:p>
    <w:p w14:paraId="043BB03B" w14:textId="34A63CB9" w:rsidR="00127999" w:rsidRPr="00C965DD" w:rsidRDefault="00127999" w:rsidP="00DC2B73">
      <w:pPr>
        <w:rPr>
          <w:color w:val="000000" w:themeColor="text1"/>
        </w:rPr>
      </w:pPr>
      <w:r w:rsidRPr="00C965DD">
        <w:rPr>
          <w:color w:val="000000" w:themeColor="text1"/>
        </w:rPr>
        <w:t xml:space="preserve">Across the sample of students completing both Week 1 and Week 11 questionnaires (n=33), the change in average perception of enterprising factor capabilities reflected a 21% increase in Vs, a 39% increase in Cr, and a 9% increase in </w:t>
      </w:r>
      <w:proofErr w:type="spellStart"/>
      <w:r w:rsidRPr="00C965DD">
        <w:rPr>
          <w:color w:val="000000" w:themeColor="text1"/>
        </w:rPr>
        <w:t>Sk</w:t>
      </w:r>
      <w:proofErr w:type="spellEnd"/>
      <w:r w:rsidRPr="00C965DD">
        <w:rPr>
          <w:color w:val="000000" w:themeColor="text1"/>
        </w:rPr>
        <w:t xml:space="preserve">, with a 42% increase in the average student confidence concerning their future career direction. </w:t>
      </w:r>
      <w:r w:rsidRPr="00C965DD">
        <w:rPr>
          <w:color w:val="000000" w:themeColor="text1"/>
        </w:rPr>
        <w:fldChar w:fldCharType="begin"/>
      </w:r>
      <w:r w:rsidRPr="00C965DD">
        <w:rPr>
          <w:color w:val="000000" w:themeColor="text1"/>
        </w:rPr>
        <w:instrText xml:space="preserve"> REF _Ref107411570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12</w:t>
      </w:r>
      <w:r w:rsidRPr="00C965DD">
        <w:rPr>
          <w:color w:val="000000" w:themeColor="text1"/>
        </w:rPr>
        <w:fldChar w:fldCharType="end"/>
      </w:r>
      <w:r w:rsidRPr="00C965DD">
        <w:rPr>
          <w:color w:val="000000" w:themeColor="text1"/>
        </w:rPr>
        <w:t xml:space="preserve"> provides a graphic representation of the average change in enterprising factors across the sample. At a general level, this outcome is indicative of a measure of learning (about enterprise). However, it is further insightful to consider the variety of contexts that individual student learning is reflected within.</w:t>
      </w:r>
    </w:p>
    <w:p w14:paraId="7D5D343B" w14:textId="72CB24D4" w:rsidR="00127999" w:rsidRPr="00C965DD" w:rsidRDefault="00127999" w:rsidP="008F55C6">
      <w:pPr>
        <w:keepNext/>
        <w:jc w:val="center"/>
        <w:rPr>
          <w:color w:val="000000" w:themeColor="text1"/>
        </w:rPr>
      </w:pPr>
      <w:r w:rsidRPr="00C965DD">
        <w:rPr>
          <w:noProof/>
          <w:color w:val="000000" w:themeColor="text1"/>
        </w:rPr>
        <w:lastRenderedPageBreak/>
        <w:drawing>
          <wp:inline distT="0" distB="0" distL="0" distR="0" wp14:anchorId="4375FA7A" wp14:editId="51D13A9A">
            <wp:extent cx="3448800" cy="2070000"/>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448800" cy="2070000"/>
                    </a:xfrm>
                    <a:prstGeom prst="rect">
                      <a:avLst/>
                    </a:prstGeom>
                    <a:noFill/>
                  </pic:spPr>
                </pic:pic>
              </a:graphicData>
            </a:graphic>
          </wp:inline>
        </w:drawing>
      </w:r>
    </w:p>
    <w:p w14:paraId="5F3A6B3A" w14:textId="68744BB6" w:rsidR="00127999" w:rsidRPr="00C965DD" w:rsidRDefault="00127999" w:rsidP="007504C9">
      <w:pPr>
        <w:pStyle w:val="Caption"/>
      </w:pPr>
      <w:bookmarkStart w:id="11" w:name="_Ref107411570"/>
      <w:r w:rsidRPr="00C965DD">
        <w:t xml:space="preserve">Figure </w:t>
      </w:r>
      <w:fldSimple w:instr=" SEQ Figure \* ARABIC ">
        <w:r w:rsidRPr="00C965DD">
          <w:rPr>
            <w:noProof/>
          </w:rPr>
          <w:t>12</w:t>
        </w:r>
      </w:fldSimple>
      <w:bookmarkEnd w:id="11"/>
      <w:r w:rsidRPr="00C965DD">
        <w:t xml:space="preserve"> - Average change in student enterprising factors</w:t>
      </w:r>
    </w:p>
    <w:p w14:paraId="7622DCAA" w14:textId="344B19D8" w:rsidR="00127999" w:rsidRPr="00C965DD" w:rsidRDefault="00127999" w:rsidP="00783907">
      <w:pPr>
        <w:rPr>
          <w:color w:val="000000" w:themeColor="text1"/>
        </w:rPr>
      </w:pPr>
      <w:r w:rsidRPr="00C965DD">
        <w:rPr>
          <w:color w:val="000000" w:themeColor="text1"/>
        </w:rPr>
        <w:t xml:space="preserve">Four exemplars will suffice. </w:t>
      </w:r>
      <w:r w:rsidRPr="00C965DD">
        <w:rPr>
          <w:color w:val="000000" w:themeColor="text1"/>
        </w:rPr>
        <w:fldChar w:fldCharType="begin"/>
      </w:r>
      <w:r w:rsidRPr="00C965DD">
        <w:rPr>
          <w:color w:val="000000" w:themeColor="text1"/>
        </w:rPr>
        <w:instrText xml:space="preserve"> REF _Ref107913878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13</w:t>
      </w:r>
      <w:r w:rsidRPr="00C965DD">
        <w:rPr>
          <w:color w:val="000000" w:themeColor="text1"/>
        </w:rPr>
        <w:fldChar w:fldCharType="end"/>
      </w:r>
      <w:r w:rsidRPr="00C965DD">
        <w:rPr>
          <w:color w:val="000000" w:themeColor="text1"/>
        </w:rPr>
        <w:t xml:space="preserve"> to </w:t>
      </w:r>
      <w:r w:rsidRPr="00C965DD">
        <w:rPr>
          <w:color w:val="000000" w:themeColor="text1"/>
        </w:rPr>
        <w:fldChar w:fldCharType="begin"/>
      </w:r>
      <w:r w:rsidRPr="00C965DD">
        <w:rPr>
          <w:color w:val="000000" w:themeColor="text1"/>
        </w:rPr>
        <w:instrText xml:space="preserve"> REF _Ref107411895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16</w:t>
      </w:r>
      <w:r w:rsidRPr="00C965DD">
        <w:rPr>
          <w:color w:val="000000" w:themeColor="text1"/>
        </w:rPr>
        <w:fldChar w:fldCharType="end"/>
      </w:r>
      <w:r w:rsidRPr="00C965DD">
        <w:rPr>
          <w:color w:val="000000" w:themeColor="text1"/>
        </w:rPr>
        <w:t>, are views of four individual students, each of whom initially positioned themselves as enterprising reproducers. These views also include a further questionnaire completed at Week 7, in which I invited the students to share their perceptions of enterprising factor capabilities in relation to the idea being developed in their assignments. Here, a limited response was received (n=15) from those also completing Week 1 and 11 questionnaires.</w:t>
      </w:r>
    </w:p>
    <w:p w14:paraId="580E4266" w14:textId="4D07D8F8" w:rsidR="00127999" w:rsidRPr="00C965DD" w:rsidRDefault="00127999" w:rsidP="00783907">
      <w:pPr>
        <w:rPr>
          <w:color w:val="000000" w:themeColor="text1"/>
        </w:rPr>
      </w:pPr>
      <w:r w:rsidRPr="00C965DD">
        <w:rPr>
          <w:color w:val="000000" w:themeColor="text1"/>
        </w:rPr>
        <w:t xml:space="preserve">     In </w:t>
      </w:r>
      <w:r w:rsidRPr="00C965DD">
        <w:rPr>
          <w:color w:val="000000" w:themeColor="text1"/>
        </w:rPr>
        <w:fldChar w:fldCharType="begin"/>
      </w:r>
      <w:r w:rsidRPr="00C965DD">
        <w:rPr>
          <w:color w:val="000000" w:themeColor="text1"/>
        </w:rPr>
        <w:instrText xml:space="preserve"> REF _Ref107913878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13</w:t>
      </w:r>
      <w:r w:rsidRPr="00C965DD">
        <w:rPr>
          <w:color w:val="000000" w:themeColor="text1"/>
        </w:rPr>
        <w:fldChar w:fldCharType="end"/>
      </w:r>
      <w:r w:rsidRPr="00C965DD">
        <w:rPr>
          <w:color w:val="000000" w:themeColor="text1"/>
        </w:rPr>
        <w:t>, we learn from student 1, a Fashion Marketing student with excellent engagement, that they experienced a 33% increase in confidence in their future career direction. Meanwhile, their perception of influencing factors has not changed, scoring relatively highly (4s) in both weeks 1 and 11. Here, the student comments in their reflective assignment:</w:t>
      </w:r>
    </w:p>
    <w:p w14:paraId="0B873609" w14:textId="411B9363" w:rsidR="00127999" w:rsidRPr="00C965DD" w:rsidRDefault="00127999" w:rsidP="007504C9">
      <w:pPr>
        <w:spacing w:after="240" w:line="360" w:lineRule="auto"/>
        <w:ind w:left="720"/>
        <w:rPr>
          <w:i/>
          <w:iCs/>
          <w:color w:val="000000" w:themeColor="text1"/>
        </w:rPr>
      </w:pPr>
      <w:r w:rsidRPr="00C965DD">
        <w:rPr>
          <w:i/>
          <w:iCs/>
          <w:color w:val="000000" w:themeColor="text1"/>
        </w:rPr>
        <w:t>‘…I tended to score 4s for most of the questions which is quite high, because I’d already had a confidence, and gained skills, and been able to experiment through the workplace, by having… four years [work] experience [in fashion retail management] …The area that did change was the confidence in post graduate career, and that did improve as this course, I felt like I learnt a lot of new skills and approaches which gave me the confidence to take the steps I need to achieve the goal, instead of procrastinating or over planning…’  (Student 1, Assignment 2 Part II).</w:t>
      </w:r>
    </w:p>
    <w:p w14:paraId="7086AF50" w14:textId="7355D6BB" w:rsidR="00127999" w:rsidRPr="00C965DD" w:rsidRDefault="00127999" w:rsidP="00783907">
      <w:pPr>
        <w:rPr>
          <w:color w:val="000000" w:themeColor="text1"/>
        </w:rPr>
      </w:pPr>
      <w:r w:rsidRPr="00C965DD">
        <w:rPr>
          <w:color w:val="000000" w:themeColor="text1"/>
        </w:rPr>
        <w:lastRenderedPageBreak/>
        <w:t xml:space="preserve">This student’s future career thinking had moved from potential employment in a typical reproductive enterprising capacity, toward potential entrepreneurship. As the student reflects: </w:t>
      </w:r>
    </w:p>
    <w:p w14:paraId="434F7B08" w14:textId="74949A93" w:rsidR="00127999" w:rsidRPr="00C965DD" w:rsidRDefault="00127999" w:rsidP="007504C9">
      <w:pPr>
        <w:spacing w:after="360" w:line="360" w:lineRule="auto"/>
        <w:ind w:left="720"/>
        <w:rPr>
          <w:i/>
          <w:iCs/>
          <w:color w:val="000000" w:themeColor="text1"/>
        </w:rPr>
      </w:pPr>
      <w:r w:rsidRPr="00C965DD">
        <w:rPr>
          <w:i/>
          <w:iCs/>
          <w:color w:val="000000" w:themeColor="text1"/>
        </w:rPr>
        <w:t>‘…Currently, I would say I am a reproducer—enterprising but with a vision. …Moving forward I think this will change into an entrepreneur… [and] hopefully, successfully combine elements of vision, innovation and craft skills by creating my own fashion line, for [my] Collection…’ (Student 1, Assignment 2 Part II).</w:t>
      </w:r>
    </w:p>
    <w:p w14:paraId="46F4B2D7" w14:textId="77777777" w:rsidR="00127999" w:rsidRPr="00C965DD" w:rsidRDefault="00127999" w:rsidP="00D466F0">
      <w:pPr>
        <w:keepNext/>
        <w:jc w:val="center"/>
        <w:rPr>
          <w:color w:val="000000" w:themeColor="text1"/>
        </w:rPr>
      </w:pPr>
      <w:r w:rsidRPr="00C965DD">
        <w:rPr>
          <w:noProof/>
          <w:color w:val="000000" w:themeColor="text1"/>
        </w:rPr>
        <w:drawing>
          <wp:inline distT="0" distB="0" distL="0" distR="0" wp14:anchorId="54753D8B" wp14:editId="62C2143D">
            <wp:extent cx="3445200" cy="2070000"/>
            <wp:effectExtent l="0" t="0" r="3175" b="6985"/>
            <wp:docPr id="44" name="Picture 4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ubble chart&#10;&#10;Description automatically generated"/>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445200" cy="2070000"/>
                    </a:xfrm>
                    <a:prstGeom prst="rect">
                      <a:avLst/>
                    </a:prstGeom>
                    <a:noFill/>
                  </pic:spPr>
                </pic:pic>
              </a:graphicData>
            </a:graphic>
          </wp:inline>
        </w:drawing>
      </w:r>
    </w:p>
    <w:p w14:paraId="00D94843" w14:textId="777B6180" w:rsidR="00127999" w:rsidRPr="00C965DD" w:rsidRDefault="00127999" w:rsidP="007504C9">
      <w:pPr>
        <w:pStyle w:val="Caption"/>
      </w:pPr>
      <w:bookmarkStart w:id="12" w:name="_Ref107913878"/>
      <w:bookmarkStart w:id="13" w:name="_Ref107913762"/>
      <w:r w:rsidRPr="00C965DD">
        <w:t xml:space="preserve">Figure </w:t>
      </w:r>
      <w:fldSimple w:instr=" SEQ Figure \* ARABIC ">
        <w:r w:rsidRPr="00C965DD">
          <w:rPr>
            <w:noProof/>
          </w:rPr>
          <w:t>13</w:t>
        </w:r>
      </w:fldSimple>
      <w:bookmarkEnd w:id="12"/>
      <w:r w:rsidRPr="00C965DD">
        <w:t xml:space="preserve"> - Learning from reproducer 1</w:t>
      </w:r>
      <w:bookmarkEnd w:id="13"/>
    </w:p>
    <w:p w14:paraId="7BE835FF" w14:textId="7C270AE1" w:rsidR="00127999" w:rsidRPr="00C965DD" w:rsidRDefault="00127999" w:rsidP="00783907">
      <w:pPr>
        <w:rPr>
          <w:color w:val="000000" w:themeColor="text1"/>
        </w:rPr>
      </w:pPr>
      <w:r w:rsidRPr="00C965DD">
        <w:rPr>
          <w:color w:val="000000" w:themeColor="text1"/>
        </w:rPr>
        <w:t>Certainly, an entrepreneurial role plays better to the student’s perceived strengths in all three factors. Here, we can reflect that the student’s perception of their idea—a curated e-commerce site specialising in non-exploitative independent artisan fashions brands—suggests 25% less vision and 50% fewer skills than they perceive are available to them. In their written assignment, the student’s idea development did not reflect a particularly visionary goal, yet their unprompted inclusion of an effective piece of market research showed clear creativity in applying some essentially basic enterprising skills. As feedback on their assignment reflected:</w:t>
      </w:r>
    </w:p>
    <w:p w14:paraId="57D160C9" w14:textId="77732718" w:rsidR="00127999" w:rsidRPr="00C965DD" w:rsidRDefault="00127999" w:rsidP="007504C9">
      <w:pPr>
        <w:spacing w:after="360" w:line="360" w:lineRule="auto"/>
        <w:ind w:left="720"/>
        <w:rPr>
          <w:i/>
          <w:iCs/>
          <w:color w:val="000000" w:themeColor="text1"/>
        </w:rPr>
      </w:pPr>
      <w:r w:rsidRPr="00C965DD">
        <w:rPr>
          <w:i/>
          <w:iCs/>
          <w:color w:val="000000" w:themeColor="text1"/>
        </w:rPr>
        <w:t>‘…The student… demonstrated a strong and sustained level of original and critical thought in the development of their idea… The strength of the analysis is… the inclusion of a consumer survey. While this survey is not effectively introduced… its impact on the development of the idea is key...’ (Educator feedback on Student 1, Assignment 1).</w:t>
      </w:r>
    </w:p>
    <w:p w14:paraId="4FA823D5" w14:textId="3DA1CE92" w:rsidR="00127999" w:rsidRPr="00C965DD" w:rsidRDefault="00127999" w:rsidP="00121BF9">
      <w:pPr>
        <w:rPr>
          <w:color w:val="000000" w:themeColor="text1"/>
        </w:rPr>
      </w:pPr>
      <w:r w:rsidRPr="00C965DD">
        <w:rPr>
          <w:color w:val="000000" w:themeColor="text1"/>
        </w:rPr>
        <w:lastRenderedPageBreak/>
        <w:t xml:space="preserve">To consider a further example, in </w:t>
      </w:r>
      <w:r w:rsidRPr="00C965DD">
        <w:rPr>
          <w:color w:val="000000" w:themeColor="text1"/>
        </w:rPr>
        <w:fldChar w:fldCharType="begin"/>
      </w:r>
      <w:r w:rsidRPr="00C965DD">
        <w:rPr>
          <w:color w:val="000000" w:themeColor="text1"/>
        </w:rPr>
        <w:instrText xml:space="preserve"> REF _Ref108117164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14</w:t>
      </w:r>
      <w:r w:rsidRPr="00C965DD">
        <w:rPr>
          <w:color w:val="000000" w:themeColor="text1"/>
        </w:rPr>
        <w:fldChar w:fldCharType="end"/>
      </w:r>
      <w:r w:rsidRPr="00C965DD">
        <w:rPr>
          <w:color w:val="000000" w:themeColor="text1"/>
        </w:rPr>
        <w:t xml:space="preserve"> we learn from Student 2 enrolled on a Business Management degree. Here the student’s perceptions of their vision and creative capability increased (100% and 33% respectively), while their perception of enterprising skill levels is unchanged. Also, this student maintains, unchanged, a relatively high level of confidence in their future career direction, but with a shift in focus from replication to innovation. </w:t>
      </w:r>
    </w:p>
    <w:p w14:paraId="2E17E589" w14:textId="77777777" w:rsidR="00127999" w:rsidRPr="00C965DD" w:rsidRDefault="00127999" w:rsidP="00614152">
      <w:pPr>
        <w:keepNext/>
        <w:jc w:val="center"/>
        <w:rPr>
          <w:color w:val="000000" w:themeColor="text1"/>
        </w:rPr>
      </w:pPr>
      <w:r w:rsidRPr="00C965DD">
        <w:rPr>
          <w:noProof/>
          <w:color w:val="000000" w:themeColor="text1"/>
        </w:rPr>
        <w:drawing>
          <wp:inline distT="0" distB="0" distL="0" distR="0" wp14:anchorId="1795BDD8" wp14:editId="4A8F5063">
            <wp:extent cx="3438000" cy="2070000"/>
            <wp:effectExtent l="0" t="0" r="0" b="6985"/>
            <wp:docPr id="45" name="Picture 4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ubble chart&#10;&#10;Description automatically generated"/>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438000" cy="2070000"/>
                    </a:xfrm>
                    <a:prstGeom prst="rect">
                      <a:avLst/>
                    </a:prstGeom>
                    <a:noFill/>
                  </pic:spPr>
                </pic:pic>
              </a:graphicData>
            </a:graphic>
          </wp:inline>
        </w:drawing>
      </w:r>
    </w:p>
    <w:p w14:paraId="7B60E231" w14:textId="037E8EEF" w:rsidR="00127999" w:rsidRPr="00C965DD" w:rsidRDefault="00127999" w:rsidP="007504C9">
      <w:pPr>
        <w:pStyle w:val="Caption"/>
      </w:pPr>
      <w:bookmarkStart w:id="14" w:name="_Ref108117164"/>
      <w:r w:rsidRPr="00C965DD">
        <w:t xml:space="preserve">Figure </w:t>
      </w:r>
      <w:fldSimple w:instr=" SEQ Figure \* ARABIC ">
        <w:r w:rsidRPr="00C965DD">
          <w:rPr>
            <w:noProof/>
          </w:rPr>
          <w:t>14</w:t>
        </w:r>
      </w:fldSimple>
      <w:bookmarkEnd w:id="14"/>
      <w:r w:rsidRPr="00C965DD">
        <w:t xml:space="preserve"> - Learning from reproducer 2</w:t>
      </w:r>
    </w:p>
    <w:p w14:paraId="76576CB1" w14:textId="40ECFD63" w:rsidR="00127999" w:rsidRPr="00C965DD" w:rsidRDefault="00127999" w:rsidP="00121BF9">
      <w:pPr>
        <w:rPr>
          <w:color w:val="000000" w:themeColor="text1"/>
        </w:rPr>
      </w:pPr>
      <w:r w:rsidRPr="00C965DD">
        <w:rPr>
          <w:color w:val="000000" w:themeColor="text1"/>
        </w:rPr>
        <w:t>As the student reflects:</w:t>
      </w:r>
    </w:p>
    <w:p w14:paraId="5E530A6B" w14:textId="3610BE12" w:rsidR="00127999" w:rsidRPr="00C965DD" w:rsidRDefault="00127999" w:rsidP="007504C9">
      <w:pPr>
        <w:spacing w:after="360" w:line="360" w:lineRule="auto"/>
        <w:ind w:left="720"/>
        <w:rPr>
          <w:i/>
          <w:iCs/>
          <w:color w:val="000000" w:themeColor="text1"/>
        </w:rPr>
      </w:pPr>
      <w:r w:rsidRPr="00C965DD">
        <w:rPr>
          <w:i/>
          <w:iCs/>
          <w:color w:val="000000" w:themeColor="text1"/>
        </w:rPr>
        <w:t>‘…When I first started the course, I believed I was and perhaps still am, a reproducer. My mindset was always quite narrow, restricting my creative thinking. This showed in my early concept ideas in which I tried developing both a social platform for gamers to meet, and 3-D printing housing. Both were either reproductions or had design flaws… Before this module, I’d never considered the possibility of creating and developing my own business. I was positive that I would become a manager or rise through the ranks of an established business, to maintain a secure job mitigating any risk. However, as I progressed through the course, I began transitioning to a dreamer, someone who wonders what the future might hold. The enterprising person I wish to be in the future is both an entrepreneur and an innovator…’ (Student 2, Assignment 2 Part II).</w:t>
      </w:r>
    </w:p>
    <w:p w14:paraId="46DFB832" w14:textId="24953D37" w:rsidR="00127999" w:rsidRPr="00C965DD" w:rsidRDefault="00127999" w:rsidP="007504C9">
      <w:pPr>
        <w:rPr>
          <w:color w:val="000000" w:themeColor="text1"/>
        </w:rPr>
      </w:pPr>
      <w:r w:rsidRPr="00C965DD">
        <w:rPr>
          <w:color w:val="000000" w:themeColor="text1"/>
        </w:rPr>
        <w:t>Here, we observe this student’s transition thinking in Week 7, when their idea focus reflects a 100% increase in the factor of vision, central to the position of the dreamer persona.</w:t>
      </w:r>
    </w:p>
    <w:p w14:paraId="0CC03B21" w14:textId="77777777" w:rsidR="00127999" w:rsidRPr="00C965DD" w:rsidRDefault="00127999" w:rsidP="008204BF">
      <w:pPr>
        <w:keepNext/>
        <w:jc w:val="center"/>
        <w:rPr>
          <w:color w:val="000000" w:themeColor="text1"/>
        </w:rPr>
      </w:pPr>
      <w:r w:rsidRPr="00C965DD">
        <w:rPr>
          <w:noProof/>
          <w:color w:val="000000" w:themeColor="text1"/>
        </w:rPr>
        <w:lastRenderedPageBreak/>
        <w:drawing>
          <wp:inline distT="0" distB="0" distL="0" distR="0" wp14:anchorId="5773A7FF" wp14:editId="3184B9E7">
            <wp:extent cx="3445200" cy="2070000"/>
            <wp:effectExtent l="0" t="0" r="317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3445200" cy="2070000"/>
                    </a:xfrm>
                    <a:prstGeom prst="rect">
                      <a:avLst/>
                    </a:prstGeom>
                    <a:noFill/>
                  </pic:spPr>
                </pic:pic>
              </a:graphicData>
            </a:graphic>
          </wp:inline>
        </w:drawing>
      </w:r>
    </w:p>
    <w:p w14:paraId="18EBB627" w14:textId="0C5A306A" w:rsidR="00127999" w:rsidRPr="00C965DD" w:rsidRDefault="00127999" w:rsidP="007504C9">
      <w:pPr>
        <w:pStyle w:val="Caption"/>
      </w:pPr>
      <w:bookmarkStart w:id="15" w:name="_Ref107578533"/>
      <w:r w:rsidRPr="00C965DD">
        <w:t xml:space="preserve">Figure </w:t>
      </w:r>
      <w:fldSimple w:instr=" SEQ Figure \* ARABIC ">
        <w:r w:rsidRPr="00C965DD">
          <w:rPr>
            <w:noProof/>
          </w:rPr>
          <w:t>15</w:t>
        </w:r>
      </w:fldSimple>
      <w:bookmarkEnd w:id="15"/>
      <w:r w:rsidRPr="00C965DD">
        <w:t xml:space="preserve"> - Learning from reproducer 3</w:t>
      </w:r>
    </w:p>
    <w:bookmarkStart w:id="16" w:name="_Hlk107353328"/>
    <w:p w14:paraId="7C2D2364" w14:textId="4F37A2D2" w:rsidR="00127999" w:rsidRPr="00C965DD" w:rsidRDefault="00127999" w:rsidP="00D83E47">
      <w:pPr>
        <w:rPr>
          <w:color w:val="000000" w:themeColor="text1"/>
        </w:rPr>
      </w:pPr>
      <w:r w:rsidRPr="00C965DD">
        <w:rPr>
          <w:color w:val="000000" w:themeColor="text1"/>
        </w:rPr>
        <w:fldChar w:fldCharType="begin"/>
      </w:r>
      <w:r w:rsidRPr="00C965DD">
        <w:rPr>
          <w:color w:val="000000" w:themeColor="text1"/>
        </w:rPr>
        <w:instrText xml:space="preserve"> REF _Ref107578533 \h  \* MERGEFORMAT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15</w:t>
      </w:r>
      <w:r w:rsidRPr="00C965DD">
        <w:rPr>
          <w:color w:val="000000" w:themeColor="text1"/>
        </w:rPr>
        <w:fldChar w:fldCharType="end"/>
      </w:r>
      <w:r w:rsidRPr="00C965DD">
        <w:rPr>
          <w:color w:val="000000" w:themeColor="text1"/>
        </w:rPr>
        <w:t xml:space="preserve"> presents Student 3, an undergraduate in Economics and finance, who wrote about their development of an idea for a new gym start-up. Here we see no variation in relatively low levels of vision and creativity, and a 33% reduction in enterprising craft skills. Yet the idea-focus in Week 7 shows the student to be exercising a 50% increase in visionary capability and 100% increase in creative thinking. As the student reflects:</w:t>
      </w:r>
    </w:p>
    <w:p w14:paraId="6AB3B2C7" w14:textId="77777777" w:rsidR="00127999" w:rsidRPr="00C965DD" w:rsidRDefault="00127999" w:rsidP="00D83E47">
      <w:pPr>
        <w:spacing w:line="360" w:lineRule="auto"/>
        <w:ind w:left="720"/>
        <w:rPr>
          <w:color w:val="000000" w:themeColor="text1"/>
        </w:rPr>
      </w:pPr>
      <w:r w:rsidRPr="00C965DD">
        <w:rPr>
          <w:i/>
          <w:iCs/>
          <w:color w:val="000000" w:themeColor="text1"/>
        </w:rPr>
        <w:t xml:space="preserve">‘…Before the development plan and consideration of what I would require </w:t>
      </w:r>
      <w:proofErr w:type="gramStart"/>
      <w:r w:rsidRPr="00C965DD">
        <w:rPr>
          <w:i/>
          <w:iCs/>
          <w:color w:val="000000" w:themeColor="text1"/>
        </w:rPr>
        <w:t>to attempt</w:t>
      </w:r>
      <w:proofErr w:type="gramEnd"/>
      <w:r w:rsidRPr="00C965DD">
        <w:rPr>
          <w:i/>
          <w:iCs/>
          <w:color w:val="000000" w:themeColor="text1"/>
        </w:rPr>
        <w:t xml:space="preserve"> such a career development, I would say I had never considered the type of person in respect to—I am not forward looking and in fact live in the moment not the future. Furthermore, I would say I was entirely a reproducer, preferring to follow the trend and not think outside the box. However, upon the development plan I have found [myself] to be more of an experimenter and beginning to look through the eyes of a dreamer, to help allow my development in becoming a more creative person and having a more visionary approach to my future, rather than living in the moment.</w:t>
      </w:r>
      <w:r w:rsidRPr="00C965DD">
        <w:rPr>
          <w:color w:val="000000" w:themeColor="text1"/>
        </w:rPr>
        <w:t xml:space="preserve"> </w:t>
      </w:r>
    </w:p>
    <w:p w14:paraId="0ADE7B73" w14:textId="77777777" w:rsidR="00127999" w:rsidRPr="00C965DD" w:rsidRDefault="00127999" w:rsidP="007504C9">
      <w:pPr>
        <w:spacing w:after="360" w:line="360" w:lineRule="auto"/>
        <w:ind w:left="720"/>
        <w:rPr>
          <w:i/>
          <w:iCs/>
          <w:color w:val="000000" w:themeColor="text1"/>
        </w:rPr>
      </w:pPr>
      <w:r w:rsidRPr="00C965DD">
        <w:rPr>
          <w:i/>
          <w:iCs/>
          <w:color w:val="000000" w:themeColor="text1"/>
        </w:rPr>
        <w:t>…With myself being extremely analytical—and wanting things to be perfect through a keen eye of logical and detailed ideas—consequently I know this results in my very weakness of lacking spontaneity and the possible risk of being over-analytical and rejecting things that in my eyes do not fit.</w:t>
      </w:r>
      <w:r w:rsidRPr="00C965DD">
        <w:rPr>
          <w:color w:val="000000" w:themeColor="text1"/>
        </w:rPr>
        <w:t xml:space="preserve"> </w:t>
      </w:r>
      <w:r w:rsidRPr="00C965DD">
        <w:rPr>
          <w:i/>
          <w:iCs/>
          <w:color w:val="000000" w:themeColor="text1"/>
        </w:rPr>
        <w:t>(Student 3, Assignment 2 Part II).</w:t>
      </w:r>
    </w:p>
    <w:bookmarkEnd w:id="16"/>
    <w:p w14:paraId="4069DC8C" w14:textId="3148CE59" w:rsidR="00127999" w:rsidRPr="00C965DD" w:rsidRDefault="00127999" w:rsidP="00FE1C03">
      <w:pPr>
        <w:rPr>
          <w:color w:val="000000" w:themeColor="text1"/>
        </w:rPr>
      </w:pPr>
      <w:r w:rsidRPr="00C965DD">
        <w:rPr>
          <w:color w:val="000000" w:themeColor="text1"/>
        </w:rPr>
        <w:t xml:space="preserve">Anecdotally, one might well expect a finance and economics student to be less creative and visionary. Here, the module appears to have given the student a safe space to be creative in thinking about their career possibilities. </w:t>
      </w:r>
      <w:r w:rsidR="00BD54A3">
        <w:rPr>
          <w:color w:val="000000" w:themeColor="text1"/>
        </w:rPr>
        <w:t>Moreover</w:t>
      </w:r>
      <w:r w:rsidRPr="00C965DD">
        <w:rPr>
          <w:color w:val="000000" w:themeColor="text1"/>
        </w:rPr>
        <w:t xml:space="preserve">, as the student suggests, they have found </w:t>
      </w:r>
      <w:r w:rsidRPr="00C965DD">
        <w:rPr>
          <w:color w:val="000000" w:themeColor="text1"/>
        </w:rPr>
        <w:lastRenderedPageBreak/>
        <w:t>themself to be more experimenter than reproducer. Here, the reduction in enterprising craft skills could certainly be explained by their consciousness that their over-analytical mindset requires some further work to allow more creative and experimental thinking and action.</w:t>
      </w:r>
    </w:p>
    <w:p w14:paraId="6E1C57A4" w14:textId="4E9EDBA8" w:rsidR="00B8775E" w:rsidRPr="00C965DD" w:rsidRDefault="00127999" w:rsidP="00277021">
      <w:pPr>
        <w:rPr>
          <w:color w:val="000000" w:themeColor="text1"/>
        </w:rPr>
      </w:pPr>
      <w:r w:rsidRPr="00C965DD">
        <w:rPr>
          <w:color w:val="000000" w:themeColor="text1"/>
        </w:rPr>
        <w:t xml:space="preserve">    </w:t>
      </w:r>
      <w:r w:rsidR="00673E2A">
        <w:rPr>
          <w:color w:val="000000" w:themeColor="text1"/>
        </w:rPr>
        <w:t xml:space="preserve"> </w:t>
      </w:r>
      <w:r w:rsidRPr="00C965DD">
        <w:rPr>
          <w:color w:val="000000" w:themeColor="text1"/>
        </w:rPr>
        <w:t xml:space="preserve">Finally, </w:t>
      </w:r>
      <w:r w:rsidRPr="00C965DD">
        <w:rPr>
          <w:color w:val="000000" w:themeColor="text1"/>
        </w:rPr>
        <w:fldChar w:fldCharType="begin"/>
      </w:r>
      <w:r w:rsidRPr="00C965DD">
        <w:rPr>
          <w:color w:val="000000" w:themeColor="text1"/>
        </w:rPr>
        <w:instrText xml:space="preserve"> REF _Ref107411895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16</w:t>
      </w:r>
      <w:r w:rsidRPr="00C965DD">
        <w:rPr>
          <w:color w:val="000000" w:themeColor="text1"/>
        </w:rPr>
        <w:fldChar w:fldCharType="end"/>
      </w:r>
      <w:r w:rsidRPr="00C965DD">
        <w:rPr>
          <w:color w:val="000000" w:themeColor="text1"/>
        </w:rPr>
        <w:t xml:space="preserve"> presents Student 4: an undergraduate in Business Management who developed an idea for a mobile pet-grooming service. Similar to Student 2 (another Business Management undergraduate), Case 4 also experienced perceived increases in their vision and creative capability of 100% and 33% respectively. </w:t>
      </w:r>
      <w:r w:rsidR="00AB6CFC">
        <w:rPr>
          <w:color w:val="000000" w:themeColor="text1"/>
        </w:rPr>
        <w:t>F</w:t>
      </w:r>
      <w:r w:rsidRPr="00C965DD">
        <w:rPr>
          <w:color w:val="000000" w:themeColor="text1"/>
        </w:rPr>
        <w:t xml:space="preserve">or this student, there is a 25% increase in perceived enterprising skill level. Furthermore, for this student, although their confidence in their future career direction was initially very low, it increased over the course of the module, with a shift in focus from replication to design. </w:t>
      </w:r>
    </w:p>
    <w:p w14:paraId="4F61655B" w14:textId="77777777" w:rsidR="00127999" w:rsidRPr="00C965DD" w:rsidRDefault="00127999" w:rsidP="008204BF">
      <w:pPr>
        <w:keepNext/>
        <w:jc w:val="center"/>
        <w:rPr>
          <w:color w:val="000000" w:themeColor="text1"/>
        </w:rPr>
      </w:pPr>
      <w:r w:rsidRPr="00C965DD">
        <w:rPr>
          <w:noProof/>
          <w:color w:val="000000" w:themeColor="text1"/>
        </w:rPr>
        <w:drawing>
          <wp:inline distT="0" distB="0" distL="0" distR="0" wp14:anchorId="241D898F" wp14:editId="4BDC95C1">
            <wp:extent cx="3448800" cy="207000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448800" cy="2070000"/>
                    </a:xfrm>
                    <a:prstGeom prst="rect">
                      <a:avLst/>
                    </a:prstGeom>
                    <a:noFill/>
                  </pic:spPr>
                </pic:pic>
              </a:graphicData>
            </a:graphic>
          </wp:inline>
        </w:drawing>
      </w:r>
    </w:p>
    <w:p w14:paraId="32D62794" w14:textId="5822D013" w:rsidR="00127999" w:rsidRPr="00C965DD" w:rsidRDefault="00127999" w:rsidP="007504C9">
      <w:pPr>
        <w:pStyle w:val="Caption"/>
      </w:pPr>
      <w:bookmarkStart w:id="17" w:name="_Ref107411895"/>
      <w:r w:rsidRPr="00C965DD">
        <w:t xml:space="preserve">Figure </w:t>
      </w:r>
      <w:fldSimple w:instr=" SEQ Figure \* ARABIC ">
        <w:r w:rsidRPr="00C965DD">
          <w:rPr>
            <w:noProof/>
          </w:rPr>
          <w:t>16</w:t>
        </w:r>
      </w:fldSimple>
      <w:bookmarkEnd w:id="17"/>
      <w:r w:rsidRPr="00C965DD">
        <w:t xml:space="preserve"> - Learning from reproducer 4</w:t>
      </w:r>
    </w:p>
    <w:p w14:paraId="5719505D" w14:textId="55AF918A" w:rsidR="00127999" w:rsidRPr="00C965DD" w:rsidRDefault="00127999" w:rsidP="00C81825">
      <w:pPr>
        <w:rPr>
          <w:color w:val="000000" w:themeColor="text1"/>
        </w:rPr>
      </w:pPr>
      <w:r w:rsidRPr="00C965DD">
        <w:rPr>
          <w:color w:val="000000" w:themeColor="text1"/>
        </w:rPr>
        <w:t xml:space="preserve">As the student reflects: </w:t>
      </w:r>
    </w:p>
    <w:p w14:paraId="17888530" w14:textId="545C125D" w:rsidR="00127999" w:rsidRPr="00C965DD" w:rsidRDefault="00127999" w:rsidP="00881EF8">
      <w:pPr>
        <w:spacing w:line="360" w:lineRule="auto"/>
        <w:ind w:left="720"/>
        <w:rPr>
          <w:i/>
          <w:iCs/>
          <w:color w:val="000000" w:themeColor="text1"/>
        </w:rPr>
      </w:pPr>
      <w:r w:rsidRPr="00C965DD">
        <w:rPr>
          <w:i/>
          <w:iCs/>
          <w:color w:val="000000" w:themeColor="text1"/>
        </w:rPr>
        <w:t>‘…The fourth question saw the biggest change, which was how visionary am I? As doing this proposed business plan has allowed me to become more visionary in the future, we can also see how this project has allowed me to see how truly creative I can actually be. It has also opened my eyes to the skills and knowledge that I would need, to be successful in an enterprising workplace…</w:t>
      </w:r>
    </w:p>
    <w:p w14:paraId="64E80BC5" w14:textId="10725C80" w:rsidR="00127999" w:rsidRPr="00C965DD" w:rsidRDefault="00127999" w:rsidP="007504C9">
      <w:pPr>
        <w:spacing w:after="360" w:line="360" w:lineRule="auto"/>
        <w:ind w:left="720"/>
        <w:rPr>
          <w:i/>
          <w:iCs/>
          <w:color w:val="000000" w:themeColor="text1"/>
        </w:rPr>
      </w:pPr>
      <w:r w:rsidRPr="00C965DD">
        <w:rPr>
          <w:i/>
          <w:iCs/>
          <w:color w:val="000000" w:themeColor="text1"/>
        </w:rPr>
        <w:t xml:space="preserve">…My current position is a reproducer as, so far, I have only developed mimetic [copy] visions. But in the future, I’d like to develop into a designer as this will allow me to have more freedom and be in control to pursue my own ideas. To do this, I need </w:t>
      </w:r>
      <w:r w:rsidRPr="00C965DD">
        <w:rPr>
          <w:i/>
          <w:iCs/>
          <w:color w:val="000000" w:themeColor="text1"/>
        </w:rPr>
        <w:lastRenderedPageBreak/>
        <w:t>to advance my creative skills further… making more time for cohesive creative thinking and not being afraid of trying something new…’</w:t>
      </w:r>
    </w:p>
    <w:p w14:paraId="68D3D8ED" w14:textId="1F61C12E" w:rsidR="00127999" w:rsidRPr="00C965DD" w:rsidRDefault="00127999" w:rsidP="004A2FBD">
      <w:pPr>
        <w:rPr>
          <w:color w:val="000000" w:themeColor="text1"/>
        </w:rPr>
      </w:pPr>
      <w:r w:rsidRPr="00C965DD">
        <w:rPr>
          <w:color w:val="000000" w:themeColor="text1"/>
        </w:rPr>
        <w:t xml:space="preserve">Certainly, for Student 4, the Week 7 focus on the idea shows limited evidence of the creativity aspired to </w:t>
      </w:r>
      <w:r w:rsidR="004A2FBD" w:rsidRPr="00C965DD">
        <w:rPr>
          <w:color w:val="000000" w:themeColor="text1"/>
        </w:rPr>
        <w:t>in</w:t>
      </w:r>
      <w:r w:rsidRPr="00C965DD">
        <w:rPr>
          <w:color w:val="000000" w:themeColor="text1"/>
        </w:rPr>
        <w:t xml:space="preserve"> Week 11, supporting the student’s assessment of their need to develop their creativity capacity.</w:t>
      </w:r>
    </w:p>
    <w:p w14:paraId="59EF4B12" w14:textId="45FC1BCF" w:rsidR="00127999" w:rsidRPr="00C965DD" w:rsidRDefault="00127999" w:rsidP="008805C5">
      <w:pPr>
        <w:pStyle w:val="Heading3"/>
        <w:rPr>
          <w:color w:val="000000" w:themeColor="text1"/>
        </w:rPr>
      </w:pPr>
      <w:r w:rsidRPr="00C965DD">
        <w:rPr>
          <w:color w:val="000000" w:themeColor="text1"/>
        </w:rPr>
        <w:t>Inclusivity and the non-entrepreneur (enterprise without entrepreneurship)</w:t>
      </w:r>
    </w:p>
    <w:p w14:paraId="73C3B574" w14:textId="15F104D6" w:rsidR="00127999" w:rsidRPr="00C965DD" w:rsidRDefault="00127999" w:rsidP="00BD7A82">
      <w:pPr>
        <w:rPr>
          <w:color w:val="000000" w:themeColor="text1"/>
        </w:rPr>
      </w:pPr>
      <w:r w:rsidRPr="00C965DD">
        <w:rPr>
          <w:color w:val="000000" w:themeColor="text1"/>
        </w:rPr>
        <w:t xml:space="preserve">The data and reflections of each student tell individual, contextual stories about </w:t>
      </w:r>
      <w:r w:rsidR="004A2FBD" w:rsidRPr="00C965DD">
        <w:rPr>
          <w:color w:val="000000" w:themeColor="text1"/>
        </w:rPr>
        <w:t xml:space="preserve">EE </w:t>
      </w:r>
      <w:r w:rsidRPr="00C965DD">
        <w:rPr>
          <w:color w:val="000000" w:themeColor="text1"/>
        </w:rPr>
        <w:t xml:space="preserve">learning. They do not focus on entrepreneurship but cover a range of enterprising outcomes. This is enterprise without reifying entrepreneurship. As </w:t>
      </w:r>
      <w:r w:rsidRPr="00C965DD">
        <w:rPr>
          <w:color w:val="000000" w:themeColor="text1"/>
        </w:rPr>
        <w:fldChar w:fldCharType="begin"/>
      </w:r>
      <w:r w:rsidRPr="00C965DD">
        <w:rPr>
          <w:color w:val="000000" w:themeColor="text1"/>
        </w:rPr>
        <w:instrText xml:space="preserve"> REF _Ref107586009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17</w:t>
      </w:r>
      <w:r w:rsidRPr="00C965DD">
        <w:rPr>
          <w:color w:val="000000" w:themeColor="text1"/>
        </w:rPr>
        <w:fldChar w:fldCharType="end"/>
      </w:r>
      <w:r w:rsidRPr="00C965DD">
        <w:rPr>
          <w:color w:val="000000" w:themeColor="text1"/>
        </w:rPr>
        <w:t xml:space="preserve"> shows, of the 39 responses to the questionnaire concerning enterprising type—both at the end of the module and as post-graduation career aspiration—no student professed </w:t>
      </w:r>
      <w:proofErr w:type="gramStart"/>
      <w:r w:rsidRPr="00C965DD">
        <w:rPr>
          <w:color w:val="000000" w:themeColor="text1"/>
        </w:rPr>
        <w:t>to</w:t>
      </w:r>
      <w:proofErr w:type="gramEnd"/>
      <w:r w:rsidRPr="00C965DD">
        <w:rPr>
          <w:color w:val="000000" w:themeColor="text1"/>
        </w:rPr>
        <w:t xml:space="preserve"> currently being entrepreneurial. Yet, without specifically being taught entrepreneurship, 36% of the students learnt to become aspiring entrepreneurs.   </w:t>
      </w:r>
    </w:p>
    <w:p w14:paraId="65F2882A" w14:textId="582C8259" w:rsidR="00127999" w:rsidRPr="00C965DD" w:rsidRDefault="00127999" w:rsidP="00AD76F0">
      <w:pPr>
        <w:keepNext/>
        <w:jc w:val="center"/>
        <w:rPr>
          <w:color w:val="000000" w:themeColor="text1"/>
        </w:rPr>
      </w:pPr>
      <w:r w:rsidRPr="00C965DD">
        <w:rPr>
          <w:noProof/>
          <w:color w:val="000000" w:themeColor="text1"/>
        </w:rPr>
        <w:drawing>
          <wp:inline distT="0" distB="0" distL="0" distR="0" wp14:anchorId="7FD83351" wp14:editId="302159F5">
            <wp:extent cx="5669192" cy="29227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9192" cy="2922786"/>
                    </a:xfrm>
                    <a:prstGeom prst="rect">
                      <a:avLst/>
                    </a:prstGeom>
                    <a:noFill/>
                  </pic:spPr>
                </pic:pic>
              </a:graphicData>
            </a:graphic>
          </wp:inline>
        </w:drawing>
      </w:r>
    </w:p>
    <w:p w14:paraId="27166548" w14:textId="10BA1AB2" w:rsidR="00673E2A" w:rsidRDefault="00127999" w:rsidP="00673E2A">
      <w:pPr>
        <w:pStyle w:val="Caption"/>
      </w:pPr>
      <w:bookmarkStart w:id="18" w:name="_Ref107586009"/>
      <w:r w:rsidRPr="00C965DD">
        <w:t xml:space="preserve">Figure </w:t>
      </w:r>
      <w:fldSimple w:instr=" SEQ Figure \* ARABIC ">
        <w:r w:rsidRPr="00C965DD">
          <w:rPr>
            <w:noProof/>
          </w:rPr>
          <w:t>17</w:t>
        </w:r>
      </w:fldSimple>
      <w:bookmarkEnd w:id="18"/>
      <w:r w:rsidRPr="00C965DD">
        <w:t xml:space="preserve"> - Career aspirations for class of 2022</w:t>
      </w:r>
    </w:p>
    <w:p w14:paraId="4232F03C" w14:textId="77777777" w:rsidR="00673E2A" w:rsidRDefault="00673E2A" w:rsidP="00337B0C">
      <w:pPr>
        <w:rPr>
          <w:color w:val="000000" w:themeColor="text1"/>
        </w:rPr>
      </w:pPr>
      <w:r w:rsidRPr="00C965DD">
        <w:rPr>
          <w:color w:val="000000" w:themeColor="text1"/>
        </w:rPr>
        <w:t xml:space="preserve">While the four cases introduced here represent the total of those who perceived their current position to be reproductively enterprising, it would appear that, following this module, not </w:t>
      </w:r>
      <w:r w:rsidRPr="00C965DD">
        <w:rPr>
          <w:color w:val="000000" w:themeColor="text1"/>
        </w:rPr>
        <w:lastRenderedPageBreak/>
        <w:t xml:space="preserve">one student of the 39 responding would be happy to aspire to the routine of reproductive work. To these students, creativity and vision now matter in their thinking about future careers. </w:t>
      </w:r>
      <w:r>
        <w:rPr>
          <w:color w:val="000000" w:themeColor="text1"/>
        </w:rPr>
        <w:t>Yet</w:t>
      </w:r>
      <w:r w:rsidRPr="00C965DD">
        <w:rPr>
          <w:color w:val="000000" w:themeColor="text1"/>
        </w:rPr>
        <w:t>, with only 36% aspiring to be entrepreneurs, the learning outcomes are not simply an expression of the entrepreneur versus the non-entrepreneur. Among the class of 2022, we also have aspiring designers, innovators, and experimenters.</w:t>
      </w:r>
    </w:p>
    <w:p w14:paraId="6178AAA7" w14:textId="5015BA1A" w:rsidR="00127999" w:rsidRPr="00C965DD" w:rsidRDefault="00673E2A" w:rsidP="00673E2A">
      <w:r>
        <w:t xml:space="preserve">     </w:t>
      </w:r>
      <w:r w:rsidR="00127999" w:rsidRPr="00C965DD">
        <w:fldChar w:fldCharType="begin"/>
      </w:r>
      <w:r w:rsidR="00127999" w:rsidRPr="00C965DD">
        <w:instrText xml:space="preserve"> REF _Ref107586009 \h </w:instrText>
      </w:r>
      <w:r w:rsidR="00127999" w:rsidRPr="00C965DD">
        <w:fldChar w:fldCharType="separate"/>
      </w:r>
      <w:r w:rsidR="00127999" w:rsidRPr="00C965DD">
        <w:t xml:space="preserve">Figure </w:t>
      </w:r>
      <w:r w:rsidR="00127999" w:rsidRPr="00C965DD">
        <w:rPr>
          <w:noProof/>
        </w:rPr>
        <w:t>17</w:t>
      </w:r>
      <w:r w:rsidR="00127999" w:rsidRPr="00C965DD">
        <w:fldChar w:fldCharType="end"/>
      </w:r>
      <w:r w:rsidR="00127999" w:rsidRPr="00C965DD">
        <w:t xml:space="preserve"> does not, however, show the variation in change of enterprising personas. For example, it does not reflect the net variations and the additional insight the</w:t>
      </w:r>
      <w:r w:rsidR="00E43601">
        <w:t>se</w:t>
      </w:r>
      <w:r w:rsidR="00127999" w:rsidRPr="00C965DD">
        <w:t xml:space="preserve"> bring. </w:t>
      </w:r>
      <w:r w:rsidR="00E43601">
        <w:t xml:space="preserve">Rather, these variations can be seen in </w:t>
      </w:r>
      <w:r w:rsidR="00127999" w:rsidRPr="00C965DD">
        <w:fldChar w:fldCharType="begin"/>
      </w:r>
      <w:r w:rsidR="00127999" w:rsidRPr="00C965DD">
        <w:instrText xml:space="preserve"> REF _Ref107590501 \h </w:instrText>
      </w:r>
      <w:r w:rsidR="00127999" w:rsidRPr="00C965DD">
        <w:fldChar w:fldCharType="separate"/>
      </w:r>
      <w:r w:rsidR="00127999" w:rsidRPr="00C965DD">
        <w:t xml:space="preserve">Figure </w:t>
      </w:r>
      <w:r w:rsidR="00127999" w:rsidRPr="00C965DD">
        <w:rPr>
          <w:noProof/>
        </w:rPr>
        <w:t>18</w:t>
      </w:r>
      <w:r w:rsidR="00127999" w:rsidRPr="00C965DD">
        <w:fldChar w:fldCharType="end"/>
      </w:r>
      <w:r w:rsidR="00E43601">
        <w:t>, which maps</w:t>
      </w:r>
      <w:r w:rsidR="00127999" w:rsidRPr="00C965DD">
        <w:t xml:space="preserve"> the students’ perceptions of change in their enterprising career aspirations. </w:t>
      </w:r>
    </w:p>
    <w:p w14:paraId="55F3471A" w14:textId="77777777" w:rsidR="00127999" w:rsidRPr="00C965DD" w:rsidRDefault="00127999" w:rsidP="004B1DC8">
      <w:pPr>
        <w:keepNext/>
        <w:jc w:val="center"/>
        <w:rPr>
          <w:color w:val="000000" w:themeColor="text1"/>
        </w:rPr>
      </w:pPr>
      <w:r w:rsidRPr="00C965DD">
        <w:rPr>
          <w:noProof/>
          <w:color w:val="000000" w:themeColor="text1"/>
        </w:rPr>
        <w:drawing>
          <wp:inline distT="0" distB="0" distL="0" distR="0" wp14:anchorId="0F356D01" wp14:editId="37654BC4">
            <wp:extent cx="3477548" cy="3465979"/>
            <wp:effectExtent l="0" t="0" r="889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478160" cy="3466589"/>
                    </a:xfrm>
                    <a:prstGeom prst="rect">
                      <a:avLst/>
                    </a:prstGeom>
                    <a:noFill/>
                  </pic:spPr>
                </pic:pic>
              </a:graphicData>
            </a:graphic>
          </wp:inline>
        </w:drawing>
      </w:r>
    </w:p>
    <w:p w14:paraId="0BB83783" w14:textId="5CEC8BEE" w:rsidR="00127999" w:rsidRPr="00C965DD" w:rsidRDefault="00127999" w:rsidP="009104D0">
      <w:pPr>
        <w:pStyle w:val="Caption"/>
      </w:pPr>
      <w:bookmarkStart w:id="19" w:name="_Ref107590501"/>
      <w:r w:rsidRPr="00C965DD">
        <w:t xml:space="preserve">Figure </w:t>
      </w:r>
      <w:fldSimple w:instr=" SEQ Figure \* ARABIC ">
        <w:r w:rsidRPr="00C965DD">
          <w:rPr>
            <w:noProof/>
          </w:rPr>
          <w:t>18</w:t>
        </w:r>
      </w:fldSimple>
      <w:bookmarkEnd w:id="19"/>
      <w:r w:rsidRPr="00C965DD">
        <w:t xml:space="preserve"> - Changes in aspirational enterprising personas, class of 2022</w:t>
      </w:r>
    </w:p>
    <w:p w14:paraId="2391A18E" w14:textId="77777777" w:rsidR="004A2FBD" w:rsidRPr="00C965DD" w:rsidRDefault="004A2FBD" w:rsidP="00337B0C">
      <w:pPr>
        <w:rPr>
          <w:color w:val="000000" w:themeColor="text1"/>
        </w:rPr>
      </w:pPr>
      <w:r w:rsidRPr="00C965DD">
        <w:rPr>
          <w:color w:val="000000" w:themeColor="text1"/>
        </w:rPr>
        <w:t xml:space="preserve">At the end of Week 11, no student considered themselves to be either a craftsperson (in a general enterprising sense) or an entrepreneur. As </w:t>
      </w:r>
      <w:r w:rsidRPr="00C965DD">
        <w:rPr>
          <w:color w:val="000000" w:themeColor="text1"/>
        </w:rPr>
        <w:fldChar w:fldCharType="begin"/>
      </w:r>
      <w:r w:rsidRPr="00C965DD">
        <w:rPr>
          <w:color w:val="000000" w:themeColor="text1"/>
        </w:rPr>
        <w:instrText xml:space="preserve"> REF _Ref107586009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17</w:t>
      </w:r>
      <w:r w:rsidRPr="00C965DD">
        <w:rPr>
          <w:color w:val="000000" w:themeColor="text1"/>
        </w:rPr>
        <w:fldChar w:fldCharType="end"/>
      </w:r>
      <w:r w:rsidRPr="00C965DD">
        <w:rPr>
          <w:color w:val="000000" w:themeColor="text1"/>
        </w:rPr>
        <w:t xml:space="preserve"> shows, at this point, the clear majority of students (62%) saw themselves as dreamers, presumably openly contemplating their future opportunities. Yet, while five aspired to remain dreamers, most of the 24 dreamer respondents had, through learning about enterprise in a general sense, determined their paths </w:t>
      </w:r>
      <w:r w:rsidRPr="00C965DD">
        <w:rPr>
          <w:color w:val="000000" w:themeColor="text1"/>
        </w:rPr>
        <w:lastRenderedPageBreak/>
        <w:t>lay in becoming entrepreneurs (9), designers (1), innovators (5) or experimenters (4). For the students, gaining such knowledge at this stage of their studies certainty opens the door to a more effective and targeted 3</w:t>
      </w:r>
      <w:r w:rsidRPr="00C965DD">
        <w:rPr>
          <w:color w:val="000000" w:themeColor="text1"/>
          <w:vertAlign w:val="superscript"/>
        </w:rPr>
        <w:t>rd</w:t>
      </w:r>
      <w:r w:rsidRPr="00C965DD">
        <w:rPr>
          <w:color w:val="000000" w:themeColor="text1"/>
        </w:rPr>
        <w:t xml:space="preserve"> year of study. It is certainly indicative of the underlying nature of the positive change in future confidence in career direction—working to decrease CI.</w:t>
      </w:r>
    </w:p>
    <w:p w14:paraId="2BDE7ED7" w14:textId="54F0EFFB" w:rsidR="00127999" w:rsidRPr="00C965DD" w:rsidRDefault="004A2FBD" w:rsidP="00337B0C">
      <w:pPr>
        <w:rPr>
          <w:color w:val="000000" w:themeColor="text1"/>
        </w:rPr>
      </w:pPr>
      <w:r w:rsidRPr="00C965DD">
        <w:rPr>
          <w:color w:val="000000" w:themeColor="text1"/>
        </w:rPr>
        <w:t xml:space="preserve">     </w:t>
      </w:r>
      <w:r w:rsidR="00127999" w:rsidRPr="00C965DD">
        <w:rPr>
          <w:color w:val="000000" w:themeColor="text1"/>
        </w:rPr>
        <w:t xml:space="preserve">While the dreamers and the reproducers were clear losing personas, with entrepreneurs and innovators clear winning ones, there were other transitions of interest. For example, while two students aspired to move from being designers to becoming experimenters, one who perceived themselves to be an experimenter saw their future self as more designer. Such a transition is indicative of a move away from pure creative vision making, to take a more disciplined approach to idea development, such as might be practiced through design thinking. Whereas the move from design to experimentation is indicative of a desire for even greater creative freedom and vision making. Thus—moving from the privileging of the entrepreneur that risks the othering of the rest—the data suggests the module’s inclusive approach to learning about enterprise, allows a range of non-entrepreneurial co-actors to emerge, learning enterprise without learning entrepreneurship. Rather than experiencing any student resistance to some hidden neoliberal identity construction agenda </w:t>
      </w:r>
      <w:r w:rsidR="00127999" w:rsidRPr="00C965DD">
        <w:rPr>
          <w:color w:val="000000" w:themeColor="text1"/>
        </w:rPr>
        <w:fldChar w:fldCharType="begin" w:fldLock="1"/>
      </w:r>
      <w:r w:rsidR="00127999" w:rsidRPr="00C965DD">
        <w:rPr>
          <w:color w:val="000000" w:themeColor="text1"/>
        </w:rPr>
        <w:instrText>ADDIN CSL_CITATION {"citationItems":[{"id":"ITEM-1","itemData":{"DOI":"10.1177/0266242619889527","ISSN":"17412870","abstract":"Entrepreneurship education (EE) theory and practice show increasing interest in the concept of identity work as integral to entrepreneurial learning. EE offers various approaches to guiding students towards entrepreneurial identities, but critics note that these meet neoliberal manifestations of the entrepreneurial self, leaving little room for alternative identities to be cultivated in EE. Concerned with this critique, we aim to contribute to the EE literature through a detailed investigation of the identity work practices enacted in a case of EE, which explicitly seeks to facilitate the entrepreneurial identity construction of students. Through an in-depth analysis of teacher–student interactions, we identify three practices: setting new rules to activate the entrepreneurial self, playing by the rules by figuring the script and bending the rules protecting the self. Our analysis highlights the significance of resistance and notions of authenticity, which leads us to rethink the meaning and conditions of entrepreneurial identity work in EE.","author":[{"dropping-particle":"","family":"Frederiksen","given":"Signe Hedeboe","non-dropping-particle":"","parse-names":false,"suffix":""},{"dropping-particle":"","family":"Berglund","given":"Karin","non-dropping-particle":"","parse-names":false,"suffix":""}],"container-title":"International Small Business Journal: Researching Entrepreneurship","id":"ITEM-1","issue":"4","issued":{"date-parts":[["2020"]]},"page":"271-292","title":"Identity work in entrepreneurship education: Activating, scripting and resisting the entrepreneurial self","type":"article-journal","volume":"38"},"uris":["http://www.mendeley.com/documents/?uuid=d19e4194-578a-4d63-b175-40b7e59c65df"]}],"mendeley":{"formattedCitation":"(Frederiksen and Berglund, 2020)","plainTextFormattedCitation":"(Frederiksen and Berglund, 2020)","previouslyFormattedCitation":"(Frederiksen and Berglund, 2020)"},"properties":{"noteIndex":0},"schema":"https://github.com/citation-style-language/schema/raw/master/csl-citation.json"}</w:instrText>
      </w:r>
      <w:r w:rsidR="00127999" w:rsidRPr="00C965DD">
        <w:rPr>
          <w:color w:val="000000" w:themeColor="text1"/>
        </w:rPr>
        <w:fldChar w:fldCharType="separate"/>
      </w:r>
      <w:r w:rsidR="00127999" w:rsidRPr="00C965DD">
        <w:rPr>
          <w:noProof/>
          <w:color w:val="000000" w:themeColor="text1"/>
        </w:rPr>
        <w:t>(Frederiksen and Berglund, 2020)</w:t>
      </w:r>
      <w:r w:rsidR="00127999" w:rsidRPr="00C965DD">
        <w:rPr>
          <w:color w:val="000000" w:themeColor="text1"/>
        </w:rPr>
        <w:fldChar w:fldCharType="end"/>
      </w:r>
      <w:r w:rsidR="00127999" w:rsidRPr="00C965DD">
        <w:rPr>
          <w:color w:val="000000" w:themeColor="text1"/>
        </w:rPr>
        <w:t>, a range of enterprising student identities has been allowed to emerge.</w:t>
      </w:r>
    </w:p>
    <w:p w14:paraId="576EF397" w14:textId="5E0862FF" w:rsidR="00127999" w:rsidRPr="00C965DD" w:rsidRDefault="00127999" w:rsidP="00CF1A47">
      <w:pPr>
        <w:pStyle w:val="Heading1"/>
      </w:pPr>
      <w:r w:rsidRPr="00C965DD">
        <w:t>Reflection</w:t>
      </w:r>
    </w:p>
    <w:p w14:paraId="0DE70E39" w14:textId="02CB5075" w:rsidR="00127999" w:rsidRPr="00C965DD" w:rsidRDefault="00127999" w:rsidP="0063454B">
      <w:pPr>
        <w:rPr>
          <w:color w:val="000000" w:themeColor="text1"/>
        </w:rPr>
      </w:pPr>
      <w:r w:rsidRPr="00C965DD">
        <w:rPr>
          <w:color w:val="000000" w:themeColor="text1"/>
        </w:rPr>
        <w:t xml:space="preserve">I consider that the module’s design approach is reflected in the analogy of growing salt crystals in the classroom. Here, a selected seed crystal (the student’s idea) is suspended in a concentrated salt solution (a pedagogy/knowledge of enterprising activity). </w:t>
      </w:r>
      <w:r w:rsidRPr="00C01FA4">
        <w:rPr>
          <w:color w:val="000000" w:themeColor="text1"/>
        </w:rPr>
        <w:t>It is free</w:t>
      </w:r>
      <w:r w:rsidR="006B00FC" w:rsidRPr="00C01FA4">
        <w:rPr>
          <w:color w:val="000000" w:themeColor="text1"/>
        </w:rPr>
        <w:t>—</w:t>
      </w:r>
      <w:r w:rsidRPr="00C01FA4">
        <w:rPr>
          <w:color w:val="000000" w:themeColor="text1"/>
        </w:rPr>
        <w:t>within</w:t>
      </w:r>
      <w:r w:rsidR="006B00FC" w:rsidRPr="00C01FA4">
        <w:rPr>
          <w:color w:val="000000" w:themeColor="text1"/>
        </w:rPr>
        <w:t xml:space="preserve"> </w:t>
      </w:r>
      <w:r w:rsidRPr="00C01FA4">
        <w:rPr>
          <w:color w:val="000000" w:themeColor="text1"/>
        </w:rPr>
        <w:t>the boundary of what it is to become a certain crystal type</w:t>
      </w:r>
      <w:r w:rsidR="006B00FC" w:rsidRPr="00C01FA4">
        <w:rPr>
          <w:color w:val="000000" w:themeColor="text1"/>
        </w:rPr>
        <w:t>—</w:t>
      </w:r>
      <w:r w:rsidRPr="00C965DD">
        <w:rPr>
          <w:color w:val="000000" w:themeColor="text1"/>
        </w:rPr>
        <w:t>to take up its own shape as it grows. As I suggest, the notion of ‘</w:t>
      </w:r>
      <w:proofErr w:type="spellStart"/>
      <w:r w:rsidRPr="00C965DD">
        <w:rPr>
          <w:color w:val="000000" w:themeColor="text1"/>
        </w:rPr>
        <w:t>academagogy</w:t>
      </w:r>
      <w:proofErr w:type="spellEnd"/>
      <w:r w:rsidRPr="00C965DD">
        <w:rPr>
          <w:color w:val="000000" w:themeColor="text1"/>
        </w:rPr>
        <w:t xml:space="preserve">’ </w:t>
      </w:r>
      <w:r w:rsidRPr="00C965DD">
        <w:rPr>
          <w:color w:val="000000" w:themeColor="text1"/>
        </w:rPr>
        <w:fldChar w:fldCharType="begin" w:fldLock="1"/>
      </w:r>
      <w:r w:rsidRPr="00C965DD">
        <w:rPr>
          <w:color w:val="000000" w:themeColor="text1"/>
        </w:rPr>
        <w:instrText>ADDIN CSL_CITATION {"citationItems":[{"id":"ITEM-1","itemData":{"DOI":"10.1108/ET-10-2018-0211","ISSN":"00400912","abstract":"Purpose: The purpose of this paper is to address the recent development of heutagogy in the domain of enterprise and entrepreneurship education (EE). Responding to recent thinking within our domain of education, this paper discusses the origins of heutagogy, its adoption within enterprise and EE and offers suggestions as to the further development of such thinking in this domain. Design/methodology/approach: This conceptual paper revisits the original thinking that developed the process of heutagogy, or self-determined learning. Revisiting the conceptual foundations of heutagogy, comparing it to andragogy and to the idea of academagogy enables the process of academagogical process knowledge (APK) to be outlined. Through this process, the authors argue it is possible to envisage the real potential value of heutagogy to enterprise and EE. Findings: In advocating for the development of APK, the authors highlight the importance of six specific knowledge bases; knowledge of self, knowledge of entrepreneurship theories, knowledge of transformational learning approaches, knowledge of authentic assessment processes, knowledge of student engagement and knowledge of how to scholarly lead. The authors argue that the development of scholarship of teaching and learning for enterprise and EE can be advanced through these six knowledge bases. Practical implications: There are important implications that arise for all enterprise and entrepreneurship educators in the discussions presented here, especially if we consider entrepreneurial approaches within disciplines and interests that anchor the studies, as opposed to more generic approaches found in entrepreneurship courses. Most importantly, that heutagogy must be evaluated alongside the blended contributions of pedagogy, andragogy and academagogy. Originality/value: This paper advances the readers’ understanding of the potential role of heutagogy in enterprise and EE. In doing so, differing opinions related to the use of heutagogy in the domain have been addressed, and a developmental pathway outlined.","author":[{"dropping-particle":"","family":"Jones","given":"Colin","non-dropping-particle":"","parse-names":false,"suffix":""},{"dropping-particle":"","family":"Penaluna","given":"Kathryn","non-dropping-particle":"","parse-names":false,"suffix":""},{"dropping-particle":"","family":"Penaluna","given":"Andy","non-dropping-particle":"","parse-names":false,"suffix":""}],"container-title":"Education and Training","id":"ITEM-1","issue":"9","issued":{"date-parts":[["2019"]]},"page":"1170-1186","title":"The promise of andragogy, heutagogy and academagogy to enterprise and entrepreneurship education pedagogy","type":"article-journal","volume":"61"},"uris":["http://www.mendeley.com/documents/?uuid=ab0ba60a-5e95-4f23-8f68-d4fc90a168a9"]}],"mendeley":{"formattedCitation":"(Jones, Penaluna and Penaluna, 2019)","plainTextFormattedCitation":"(Jones, Penaluna and Penaluna, 2019)","previouslyFormattedCitation":"(Jones, Penaluna and Penaluna, 2019)"},"properties":{"noteIndex":0},"schema":"https://github.com/citation-style-language/schema/raw/master/csl-citation.json"}</w:instrText>
      </w:r>
      <w:r w:rsidRPr="00C965DD">
        <w:rPr>
          <w:color w:val="000000" w:themeColor="text1"/>
        </w:rPr>
        <w:fldChar w:fldCharType="separate"/>
      </w:r>
      <w:r w:rsidRPr="00C965DD">
        <w:rPr>
          <w:noProof/>
          <w:color w:val="000000" w:themeColor="text1"/>
        </w:rPr>
        <w:t>(Jones, Penaluna and Penaluna, 2019)</w:t>
      </w:r>
      <w:r w:rsidRPr="00C965DD">
        <w:rPr>
          <w:color w:val="000000" w:themeColor="text1"/>
        </w:rPr>
        <w:fldChar w:fldCharType="end"/>
      </w:r>
      <w:r w:rsidRPr="00C965DD">
        <w:rPr>
          <w:color w:val="000000" w:themeColor="text1"/>
        </w:rPr>
        <w:t xml:space="preserve"> fits well with this approach. While </w:t>
      </w:r>
      <w:r w:rsidR="006B00FC" w:rsidRPr="00C965DD">
        <w:rPr>
          <w:color w:val="000000" w:themeColor="text1"/>
        </w:rPr>
        <w:t>a</w:t>
      </w:r>
      <w:r w:rsidRPr="00C965DD">
        <w:rPr>
          <w:color w:val="000000" w:themeColor="text1"/>
        </w:rPr>
        <w:t xml:space="preserve"> knowledge of enterprising activity forms the essential pedagogy, the students may exercise the</w:t>
      </w:r>
      <w:r w:rsidR="006B00FC" w:rsidRPr="00C965DD">
        <w:rPr>
          <w:color w:val="000000" w:themeColor="text1"/>
        </w:rPr>
        <w:t>ir</w:t>
      </w:r>
      <w:r w:rsidRPr="00C965DD">
        <w:rPr>
          <w:color w:val="000000" w:themeColor="text1"/>
        </w:rPr>
        <w:t xml:space="preserve"> potential for self-direction to the extent they are </w:t>
      </w:r>
      <w:r w:rsidRPr="00C965DD">
        <w:rPr>
          <w:color w:val="000000" w:themeColor="text1"/>
        </w:rPr>
        <w:lastRenderedPageBreak/>
        <w:t xml:space="preserve">comfortable. Here, the notion of andragogy is respected to the extent that I give the students opportunity for self-directedness and autonomy—the idea is their own; it shapes their learning. There is no suggestion that any one enterprising persona is to be privileged over another. Within the scope of the learning objectives, the students are able to self-identify with one or another persona. Importantly, that identity remains fluid and open to adjustment through learning. </w:t>
      </w:r>
    </w:p>
    <w:p w14:paraId="4F2C6947" w14:textId="0049863A" w:rsidR="00127999" w:rsidRPr="00C965DD" w:rsidRDefault="00127999" w:rsidP="00424D47">
      <w:pPr>
        <w:rPr>
          <w:color w:val="000000" w:themeColor="text1"/>
        </w:rPr>
      </w:pPr>
      <w:r w:rsidRPr="00C965DD">
        <w:rPr>
          <w:color w:val="000000" w:themeColor="text1"/>
        </w:rPr>
        <w:t xml:space="preserve">     With an openness to heutagogy, there were clearly those students who appeared more able to determine the focus of their own learning. Where students took advantage of the opportunity to engage with me as the educator—either on a one-to-one basis through questions and answers concerning their ideas, or through the submission of a formative draft at the end of Week 6—they were, in effect, entering into a negotiation concerning their learning outcomes. The seed idea, and its shape as it grew, became the focus for the absorption of only relevant (knowledge) molecules from the ‘saturated solution’ presented. I made no suggestion that this or that item of lecture or seminar material had to appear, in rote fashion, in the student’s submitted work. </w:t>
      </w:r>
      <w:r w:rsidR="00BD54A3">
        <w:rPr>
          <w:color w:val="000000" w:themeColor="text1"/>
        </w:rPr>
        <w:t>Yet</w:t>
      </w:r>
      <w:r w:rsidRPr="00C965DD">
        <w:rPr>
          <w:color w:val="000000" w:themeColor="text1"/>
        </w:rPr>
        <w:t xml:space="preserve"> not all students were comfortable with the freedom this notion of learning offered. In an anonymous mid-semester review of the module, conducted at the end of Week 6, 20 students responded with feedback (30% of enrolled, 37% of engaged or partially engaged students). While a majority of comments were complimentary, here I reflect on the more </w:t>
      </w:r>
      <w:r w:rsidRPr="00C01FA4">
        <w:rPr>
          <w:color w:val="000000" w:themeColor="text1"/>
        </w:rPr>
        <w:t>critical</w:t>
      </w:r>
      <w:r w:rsidRPr="00C965DD">
        <w:rPr>
          <w:color w:val="000000" w:themeColor="text1"/>
        </w:rPr>
        <w:t xml:space="preserve"> aspects. </w:t>
      </w:r>
    </w:p>
    <w:p w14:paraId="44AFF7A5" w14:textId="45FCA48A" w:rsidR="00127999" w:rsidRPr="00C965DD" w:rsidRDefault="00127999" w:rsidP="00466A66">
      <w:pPr>
        <w:rPr>
          <w:color w:val="000000" w:themeColor="text1"/>
        </w:rPr>
      </w:pPr>
      <w:r w:rsidRPr="00C965DD">
        <w:rPr>
          <w:color w:val="000000" w:themeColor="text1"/>
        </w:rPr>
        <w:t xml:space="preserve">     Of the 20 respondents: two (10%) thought the subject not interesting; three (15%) thought the subject not challenging; one (5%) thought the module not well organised; and three (15%) thought the assessment guidance not clear. These responses represented a total of five individuals (25%). In contrast, a further five individuals provided strongly positive views to these same concerns. Overall, only three students (15%) were not satisfied with the module, three (15%) were neutral, and the remaining 14 (70%) expressed satisfaction, with three of </w:t>
      </w:r>
      <w:r w:rsidRPr="00C965DD">
        <w:rPr>
          <w:color w:val="000000" w:themeColor="text1"/>
        </w:rPr>
        <w:lastRenderedPageBreak/>
        <w:t xml:space="preserve">those (15%) strongly satisfied. Anecdotally, I observed that several students simply wanted to know what they had to do to pass the module assignment. This is a clear preference for a pedagogic-style of learning </w:t>
      </w:r>
      <w:r w:rsidRPr="00C965DD">
        <w:rPr>
          <w:color w:val="000000" w:themeColor="text1"/>
        </w:rPr>
        <w:fldChar w:fldCharType="begin" w:fldLock="1"/>
      </w:r>
      <w:r w:rsidRPr="00C965DD">
        <w:rPr>
          <w:color w:val="000000" w:themeColor="text1"/>
        </w:rPr>
        <w:instrText>ADDIN CSL_CITATION {"citationItems":[{"id":"ITEM-1","itemData":{"DOI":"10.1177/2515127417737286","ISSN":"2515-1274","abstract":"Entrepreneurship education (EE) research is not advancing as fast as general entrepreneurship because it is not subject to the same level of scholarship. Grounded in the Scholarship of Teaching and Learning from the field of adult education and using an expert Delphi Panel approach, we offer a glimpse into the minds of top entrepreneurship educators. We suggest studying EE through a teaching lens offers insights and elevates teaching as a form of scholarship on par with traditional, more accepted forms of research. Our Delphi analysis suggests a definition of EE as developing the mindset, skill set, and practice necessary for starting new ventures, yet acknowledging the outcomes of such education are far reaching. We introduce five continuums of EE that encourage a transition to teaching approaches based on adult learning, namely andragogy and heutagogy. Implications for entrepreneurship educator training, the need for practice, and the future of EE research are discussed.","author":[{"dropping-particle":"","family":"Neck","given":"Heidi M.","non-dropping-particle":"","parse-names":false,"suffix":""},{"dropping-particle":"","family":"Corbett","given":"Andrew C.","non-dropping-particle":"","parse-names":false,"suffix":""}],"container-title":"Entrepreneurship Education and Pedagogy","id":"ITEM-1","issue":"1","issued":{"date-parts":[["2018"]]},"page":"8-41","title":"The Scholarship of Teaching and Learning Entrepreneurship","type":"article-journal","volume":"1"},"locator":"15","uris":["http://www.mendeley.com/documents/?uuid=fe2a9072-7f5b-4bcf-9996-99cdf7c714d7"]}],"mendeley":{"formattedCitation":"(Neck and Corbett, 2018, p. 15)","plainTextFormattedCitation":"(Neck and Corbett, 2018, p. 15)","previouslyFormattedCitation":"(Neck and Corbett, 2018, p. 15)"},"properties":{"noteIndex":0},"schema":"https://github.com/citation-style-language/schema/raw/master/csl-citation.json"}</w:instrText>
      </w:r>
      <w:r w:rsidRPr="00C965DD">
        <w:rPr>
          <w:color w:val="000000" w:themeColor="text1"/>
        </w:rPr>
        <w:fldChar w:fldCharType="separate"/>
      </w:r>
      <w:r w:rsidRPr="00C965DD">
        <w:rPr>
          <w:noProof/>
          <w:color w:val="000000" w:themeColor="text1"/>
        </w:rPr>
        <w:t>(Neck and Corbett, 2018, p. 15)</w:t>
      </w:r>
      <w:r w:rsidRPr="00C965DD">
        <w:rPr>
          <w:color w:val="000000" w:themeColor="text1"/>
        </w:rPr>
        <w:fldChar w:fldCharType="end"/>
      </w:r>
      <w:r w:rsidRPr="00C965DD">
        <w:rPr>
          <w:color w:val="000000" w:themeColor="text1"/>
        </w:rPr>
        <w:t>. In my opinion, such students were either not comfortable with the open nature of the topic and its learning (anticipating a traditional pedagogical approach), or they had enrolled simply because the module appeared the least bad option of their available electives.</w:t>
      </w:r>
    </w:p>
    <w:p w14:paraId="5C9DA139" w14:textId="02CABD96" w:rsidR="00127999" w:rsidRPr="00C965DD" w:rsidRDefault="00127999" w:rsidP="00B9496C">
      <w:pPr>
        <w:rPr>
          <w:color w:val="000000" w:themeColor="text1"/>
        </w:rPr>
      </w:pPr>
      <w:r w:rsidRPr="00C965DD">
        <w:rPr>
          <w:color w:val="000000" w:themeColor="text1"/>
        </w:rPr>
        <w:t xml:space="preserve">     Alongside the positive satisfaction levels of 70%, some 11 remarks/comments/suggestions for improvement were received. Of these, four were either a variation on a theme or indicated an exception that did not add value. The remaining remarks are picked up in the two following themes. Firstly, clearest of the remarks was a request for more engaging lectures. To an extent, this was anticipated. I am an openly autistic educator; stylistically, my lectures are scripted and relatively dense. However, this has the advantage that full transcripts of the knowledge content are available to the students. </w:t>
      </w:r>
    </w:p>
    <w:p w14:paraId="428DFC4F" w14:textId="4589E245" w:rsidR="00127999" w:rsidRPr="00C965DD" w:rsidRDefault="00127999" w:rsidP="00B9496C">
      <w:pPr>
        <w:rPr>
          <w:color w:val="000000" w:themeColor="text1"/>
        </w:rPr>
      </w:pPr>
      <w:r w:rsidRPr="00C965DD">
        <w:rPr>
          <w:color w:val="000000" w:themeColor="text1"/>
        </w:rPr>
        <w:t xml:space="preserve">     In the second theme, one student commented that lectures could contain less content, as it’s hard to absorb so much information in a short amount of time. Another student commented that the theory wasn’t clear—that it was mixed in with scenarios that made it difficult knowing what models and theory to use in the assignment. This was similar in nature to a comment that lectures should explain about the assignment, or the link between the content and how to write the assignment, with other students requesting copies of past papers. Yet another student highlighted that lot of the content in the lectures was irrelevant to the seminars and assignments. </w:t>
      </w:r>
    </w:p>
    <w:p w14:paraId="3B4AC4C8" w14:textId="287160FF" w:rsidR="00127999" w:rsidRPr="00C965DD" w:rsidRDefault="00127999" w:rsidP="00466A66">
      <w:pPr>
        <w:rPr>
          <w:color w:val="000000" w:themeColor="text1"/>
        </w:rPr>
      </w:pPr>
      <w:r w:rsidRPr="00C965DD">
        <w:rPr>
          <w:color w:val="000000" w:themeColor="text1"/>
        </w:rPr>
        <w:t xml:space="preserve">     In considering this second critique, </w:t>
      </w:r>
      <w:r w:rsidRPr="00C965DD">
        <w:rPr>
          <w:noProof/>
          <w:color w:val="000000" w:themeColor="text1"/>
        </w:rPr>
        <w:t>Neck and Corbett’s comparison</w:t>
      </w:r>
      <w:r w:rsidR="000E3929" w:rsidRPr="00C965DD">
        <w:rPr>
          <w:noProof/>
          <w:color w:val="000000" w:themeColor="text1"/>
        </w:rPr>
        <w:t>s</w:t>
      </w:r>
      <w:r w:rsidRPr="00C965DD">
        <w:rPr>
          <w:noProof/>
          <w:color w:val="000000" w:themeColor="text1"/>
        </w:rPr>
        <w:t xml:space="preserve"> of andragogy and pedagogy</w:t>
      </w:r>
      <w:r w:rsidRPr="00C965DD">
        <w:rPr>
          <w:color w:val="000000" w:themeColor="text1"/>
        </w:rPr>
        <w:t xml:space="preserve">—which draw on the adult-worker writing of Knowles, et al. </w:t>
      </w:r>
      <w:r w:rsidRPr="00C965DD">
        <w:rPr>
          <w:color w:val="000000" w:themeColor="text1"/>
        </w:rPr>
        <w:fldChar w:fldCharType="begin" w:fldLock="1"/>
      </w:r>
      <w:r w:rsidRPr="00C965DD">
        <w:rPr>
          <w:color w:val="000000" w:themeColor="text1"/>
        </w:rPr>
        <w:instrText>ADDIN CSL_CITATION {"citationItems":[{"id":"ITEM-1","itemData":{"author":[{"dropping-particle":"","family":"Knowles","given":"Malcolm S.","non-dropping-particle":"","parse-names":false,"suffix":""},{"dropping-particle":"","family":"Holton III","given":"Elwood F.","non-dropping-particle":"","parse-names":false,"suffix":""},{"dropping-particle":"","family":"Swanson","given":"Richard A","non-dropping-particle":"","parse-names":false,"suffix":""},{"dropping-particle":"","family":"Robinson","given":"Petra A.","non-dropping-particle":"","parse-names":false,"suffix":""}],"edition":"8th Ed.","id":"ITEM-1","issued":{"date-parts":[["2015"]]},"publisher":"Routledge","publisher-place":"New York, NY","title":"The Adult Learner: The Definitive Classic in Adult Education and Human Resource Development","type":"book"},"suppress-author":1,"uris":["http://www.mendeley.com/documents/?uuid=c8748246-6937-46c2-8abd-dc62689e3cd1"]}],"mendeley":{"formattedCitation":"(2015)","plainTextFormattedCitation":"(2015)","previouslyFormattedCitation":"(2015)"},"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(2015)</w:t>
      </w:r>
      <w:r w:rsidRPr="00C965DD">
        <w:rPr>
          <w:color w:val="000000" w:themeColor="text1"/>
        </w:rPr>
        <w:fldChar w:fldCharType="end"/>
      </w:r>
      <w:r w:rsidRPr="00C965DD">
        <w:rPr>
          <w:color w:val="000000" w:themeColor="text1"/>
        </w:rPr>
        <w:t>—</w:t>
      </w:r>
      <w:r w:rsidR="000E3929" w:rsidRPr="00C965DD">
        <w:rPr>
          <w:color w:val="000000" w:themeColor="text1"/>
        </w:rPr>
        <w:t>are</w:t>
      </w:r>
      <w:r w:rsidRPr="00C965DD">
        <w:rPr>
          <w:color w:val="000000" w:themeColor="text1"/>
        </w:rPr>
        <w:t xml:space="preserve"> insightful. Here, a student’s readiness to learn in a pedagogic style is reflected in their expectations of what to learn in order to get a passing grade; this is a readiness the pedagogic </w:t>
      </w:r>
      <w:r w:rsidRPr="00C965DD">
        <w:rPr>
          <w:color w:val="000000" w:themeColor="text1"/>
        </w:rPr>
        <w:lastRenderedPageBreak/>
        <w:t xml:space="preserve">educator assumes </w:t>
      </w:r>
      <w:r w:rsidRPr="00C965DD">
        <w:rPr>
          <w:color w:val="000000" w:themeColor="text1"/>
        </w:rPr>
        <w:fldChar w:fldCharType="begin" w:fldLock="1"/>
      </w:r>
      <w:r w:rsidRPr="00C965DD">
        <w:rPr>
          <w:color w:val="000000" w:themeColor="text1"/>
        </w:rPr>
        <w:instrText>ADDIN CSL_CITATION {"citationItems":[{"id":"ITEM-1","itemData":{"DOI":"10.1177/2515127417737286","ISSN":"2515-1274","abstract":"Entrepreneurship education (EE) research is not advancing as fast as general entrepreneurship because it is not subject to the same level of scholarship. Grounded in the Scholarship of Teaching and Learning from the field of adult education and using an expert Delphi Panel approach, we offer a glimpse into the minds of top entrepreneurship educators. We suggest studying EE through a teaching lens offers insights and elevates teaching as a form of scholarship on par with traditional, more accepted forms of research. Our Delphi analysis suggests a definition of EE as developing the mindset, skill set, and practice necessary for starting new ventures, yet acknowledging the outcomes of such education are far reaching. We introduce five continuums of EE that encourage a transition to teaching approaches based on adult learning, namely andragogy and heutagogy. Implications for entrepreneurship educator training, the need for practice, and the future of EE research are discussed.","author":[{"dropping-particle":"","family":"Neck","given":"Heidi M.","non-dropping-particle":"","parse-names":false,"suffix":""},{"dropping-particle":"","family":"Corbett","given":"Andrew C.","non-dropping-particle":"","parse-names":false,"suffix":""}],"container-title":"Entrepreneurship Education and Pedagogy","id":"ITEM-1","issue":"1","issued":{"date-parts":[["2018"]]},"page":"8-41","title":"The Scholarship of Teaching and Learning Entrepreneurship","type":"article-journal","volume":"1"},"locator":"15","uris":["http://www.mendeley.com/documents/?uuid=fe2a9072-7f5b-4bcf-9996-99cdf7c714d7"]}],"mendeley":{"formattedCitation":"(Neck and Corbett, 2018, p. 15)","plainTextFormattedCitation":"(Neck and Corbett, 2018, p. 15)","previouslyFormattedCitation":"(Neck and Corbett, 2018, p. 15)"},"properties":{"noteIndex":0},"schema":"https://github.com/citation-style-language/schema/raw/master/csl-citation.json"}</w:instrText>
      </w:r>
      <w:r w:rsidRPr="00C965DD">
        <w:rPr>
          <w:color w:val="000000" w:themeColor="text1"/>
        </w:rPr>
        <w:fldChar w:fldCharType="separate"/>
      </w:r>
      <w:r w:rsidRPr="00C965DD">
        <w:rPr>
          <w:noProof/>
          <w:color w:val="000000" w:themeColor="text1"/>
        </w:rPr>
        <w:t>(Neck and Corbett, 2018, p. 15)</w:t>
      </w:r>
      <w:r w:rsidRPr="00C965DD">
        <w:rPr>
          <w:color w:val="000000" w:themeColor="text1"/>
        </w:rPr>
        <w:fldChar w:fldCharType="end"/>
      </w:r>
      <w:r w:rsidRPr="00C965DD">
        <w:rPr>
          <w:color w:val="000000" w:themeColor="text1"/>
        </w:rPr>
        <w:t xml:space="preserve">. </w:t>
      </w:r>
      <w:r w:rsidR="00BD54A3">
        <w:rPr>
          <w:color w:val="000000" w:themeColor="text1"/>
        </w:rPr>
        <w:t>However</w:t>
      </w:r>
      <w:r w:rsidRPr="00C965DD">
        <w:rPr>
          <w:color w:val="000000" w:themeColor="text1"/>
        </w:rPr>
        <w:t xml:space="preserve">, as previously highlighted, I did not set out the academagogical approach in advance of the module design. I addressed this pedagogic ‘readiness to learn’ assumption in a seminar in which I discussed the student’s responses to the review. It was here that I used the ‘growing crystals in the classroom’ metaphor to highlight to students that the content was saturated for a reason, and that they were not expected to learn it, but to draw from it as they saw fit to develop their own idea (and learning). </w:t>
      </w:r>
    </w:p>
    <w:p w14:paraId="4F0DBDF3" w14:textId="3A334959" w:rsidR="00127999" w:rsidRPr="00C965DD" w:rsidRDefault="00127999" w:rsidP="00466A66">
      <w:pPr>
        <w:rPr>
          <w:color w:val="000000" w:themeColor="text1"/>
        </w:rPr>
      </w:pPr>
      <w:r w:rsidRPr="00C965DD">
        <w:rPr>
          <w:color w:val="000000" w:themeColor="text1"/>
        </w:rPr>
        <w:t xml:space="preserve">     Where students are not ‘ready’ to pick out an appropriate path through the knowledge presented, it is the educator’s responsibility to set a minimum usable path in line with a student’s learning expectations. To an extent, I consider I had acknowledged this requirement with Seminar 1</w:t>
      </w:r>
      <w:r w:rsidR="000E3929" w:rsidRPr="00C965DD">
        <w:rPr>
          <w:color w:val="000000" w:themeColor="text1"/>
        </w:rPr>
        <w:t>, in which I s</w:t>
      </w:r>
      <w:r w:rsidRPr="00C965DD">
        <w:rPr>
          <w:color w:val="000000" w:themeColor="text1"/>
        </w:rPr>
        <w:t xml:space="preserve">et out </w:t>
      </w:r>
      <w:r w:rsidR="000E3929" w:rsidRPr="00C965DD">
        <w:rPr>
          <w:color w:val="000000" w:themeColor="text1"/>
        </w:rPr>
        <w:t>my</w:t>
      </w:r>
      <w:r w:rsidRPr="00C965DD">
        <w:rPr>
          <w:color w:val="000000" w:themeColor="text1"/>
        </w:rPr>
        <w:t xml:space="preserve"> basic expectations of the assessments. However, while the lectures provided the pedagogic framework, it was the seminars where </w:t>
      </w:r>
      <w:r w:rsidR="000E3929" w:rsidRPr="00C965DD">
        <w:rPr>
          <w:color w:val="000000" w:themeColor="text1"/>
        </w:rPr>
        <w:t xml:space="preserve">I encouraged </w:t>
      </w:r>
      <w:r w:rsidRPr="00C965DD">
        <w:rPr>
          <w:color w:val="000000" w:themeColor="text1"/>
        </w:rPr>
        <w:t xml:space="preserve">students and supported </w:t>
      </w:r>
      <w:r w:rsidR="000E3929" w:rsidRPr="00C965DD">
        <w:rPr>
          <w:color w:val="000000" w:themeColor="text1"/>
        </w:rPr>
        <w:t xml:space="preserve">them </w:t>
      </w:r>
      <w:r w:rsidRPr="00C965DD">
        <w:rPr>
          <w:color w:val="000000" w:themeColor="text1"/>
        </w:rPr>
        <w:t xml:space="preserve">to be more self-directed in their learning. As noted, attendance at seminars was lower than for lectures. Therefore, it is reasonable to assume the comments in this theme relate to those who chose only to engage with the lectures, and not the seminars. However, accepting some students will engage only with lectures, there is scope to introduce more detail in the introductory lecture. </w:t>
      </w:r>
    </w:p>
    <w:p w14:paraId="31916607" w14:textId="36D7DB04" w:rsidR="00127999" w:rsidRPr="00C965DD" w:rsidRDefault="00127999" w:rsidP="00CF1A47">
      <w:pPr>
        <w:pStyle w:val="Heading1"/>
      </w:pPr>
      <w:r w:rsidRPr="00C965DD">
        <w:t>The sorting hat: insight and implications</w:t>
      </w:r>
    </w:p>
    <w:p w14:paraId="67F186BE" w14:textId="2CB6B91B" w:rsidR="00127999" w:rsidRPr="00C965DD" w:rsidRDefault="00127999" w:rsidP="00E81991">
      <w:pPr>
        <w:rPr>
          <w:color w:val="000000" w:themeColor="text1"/>
        </w:rPr>
      </w:pPr>
      <w:r w:rsidRPr="00C965DD">
        <w:rPr>
          <w:color w:val="000000" w:themeColor="text1"/>
        </w:rPr>
        <w:t xml:space="preserve">I return to the </w:t>
      </w:r>
      <w:r w:rsidR="00FA1BAF" w:rsidRPr="00C965DD">
        <w:rPr>
          <w:color w:val="000000" w:themeColor="text1"/>
        </w:rPr>
        <w:t xml:space="preserve">two </w:t>
      </w:r>
      <w:r w:rsidRPr="00C965DD">
        <w:rPr>
          <w:color w:val="000000" w:themeColor="text1"/>
        </w:rPr>
        <w:t xml:space="preserve">research questions </w:t>
      </w:r>
      <w:r w:rsidR="00FA1BAF" w:rsidRPr="00C965DD">
        <w:rPr>
          <w:color w:val="000000" w:themeColor="text1"/>
        </w:rPr>
        <w:t>I sought to investigate.</w:t>
      </w:r>
      <w:r w:rsidRPr="00C965DD">
        <w:rPr>
          <w:color w:val="000000" w:themeColor="text1"/>
        </w:rPr>
        <w:t xml:space="preserve"> </w:t>
      </w:r>
      <w:r w:rsidRPr="007504C9">
        <w:rPr>
          <w:color w:val="000000" w:themeColor="text1"/>
        </w:rPr>
        <w:t>Firstly, “can EE be made more appealing to teachers and managers in education? And secondly, “can EE provide better guidance to students concerning the EE opportunities and choices available to them?</w:t>
      </w:r>
      <w:r w:rsidRPr="00C965DD">
        <w:rPr>
          <w:color w:val="000000" w:themeColor="text1"/>
        </w:rPr>
        <w:t xml:space="preserve"> </w:t>
      </w:r>
    </w:p>
    <w:p w14:paraId="166BC129" w14:textId="7F02DCD1" w:rsidR="00127999" w:rsidRPr="00C965DD" w:rsidRDefault="00127999" w:rsidP="00E81991">
      <w:pPr>
        <w:rPr>
          <w:rFonts w:cs="Arial"/>
          <w:color w:val="000000" w:themeColor="text1"/>
          <w:lang w:eastAsia="en-GB"/>
        </w:rPr>
      </w:pPr>
      <w:r w:rsidRPr="00C965DD">
        <w:rPr>
          <w:color w:val="000000" w:themeColor="text1"/>
        </w:rPr>
        <w:t xml:space="preserve">     Firstly then, I do not address the idea of ‘appealing’ as, in some way, masking a minority agenda for EE, simply to gain greater acceptance of its marginalised nature—rooted in the ‘academic business school corner’. This mirrors the</w:t>
      </w:r>
      <w:r w:rsidRPr="00C965DD">
        <w:rPr>
          <w:rFonts w:cs="Tahoma"/>
          <w:bCs/>
          <w:color w:val="000000" w:themeColor="text1"/>
        </w:rPr>
        <w:t xml:space="preserve"> critique of others concerning, for example, the business plan’s colonisation of enterprise education. It is exemplified by an </w:t>
      </w:r>
      <w:r w:rsidRPr="00C965DD">
        <w:rPr>
          <w:rFonts w:cs="Tahoma"/>
          <w:bCs/>
          <w:color w:val="000000" w:themeColor="text1"/>
        </w:rPr>
        <w:lastRenderedPageBreak/>
        <w:t xml:space="preserve">estimated 90% of a student population that might not engage with entrepreneurial learning activity </w:t>
      </w:r>
      <w:r w:rsidRPr="00C965DD">
        <w:rPr>
          <w:rFonts w:cs="Tahoma"/>
          <w:bCs/>
          <w:color w:val="000000" w:themeColor="text1"/>
        </w:rPr>
        <w:fldChar w:fldCharType="begin" w:fldLock="1"/>
      </w:r>
      <w:r w:rsidRPr="00C965DD">
        <w:rPr>
          <w:rFonts w:cs="Tahoma"/>
          <w:bCs/>
          <w:color w:val="000000" w:themeColor="text1"/>
        </w:rPr>
        <w:instrText>ADDIN CSL_CITATION {"citationItems":[{"id":"ITEM-1","itemData":{"DOI":"10.1108/ET-03-2019-0050","ISSN":"00400912","abstract":"Purpose: A case study was undertaken to evaluate the use of self-reflection in enterprise education in a UK university, where the taught content was tailored to ensure relevance to the students who were from a variety of subject disciplines. Design/methodology/approach: Enterprise taught content was established in masters level 7 programmes across a range of subject disciplines. Taught content was designed using problem based learning, and evaluated using self-reflective methodologies. The paper reflects on the current position of enterprise education and asks the research question of whether the use of self-reflective teaching methodologies are valid for enterprise education. Findings: Results suggest that the students appreciated the introduction of enterprise into their course and in the main did not view it as disjointed or irrelevant to their wider aims. More so, the students commented favourably towards the integration of enterprise into their primary discipline, and noted an enhanced learning experience because of this integration. Research limitations/implications: For the University: A novel approach to enterprise teaching has been developed at a UK university, focusing on teaching non-business students how to be more valuable to a business within their degree subject context. This has empowered the students with an enhanced understanding of commercial issues and increased employability (Rae 2007; Huq and Gilbert 2017). This has also led to enhanced relationships with industry and given students a wider understanding of their degree area. Practical implications: For the educator: The use of self-reflective teaching methodologies (Hayward 2000) are noted to be vital in order to deliver enterprise education in a way that is relevant to the student cohort body. By reflecting on one’s teaching style and delivery method, the authors were able to engage non-business students in enterprise education, and receive a high level of student satisfaction. It is noted that self-reflection was a valuable process for delivery to each degree discipline. By employing problem based learning and self-reflective teaching methodologies, an increased synergy between the business taught elements and the science subjects was created. Originality/value: This approach is shown to empower the students with an enhanced understanding of commercial issues and an increased employability. This has led to enhanced relationships between academia and industry, and given students …","author":[{"dropping-particle":"","family":"Clarke","given":"Andrew Paul","non-dropping-particle":"","parse-names":false,"suffix":""},{"dropping-particle":"","family":"Cornes","given":"Clare","non-dropping-particle":"","parse-names":false,"suffix":""},{"dropping-particle":"","family":"Ferry","given":"Natalie","non-dropping-particle":"","parse-names":false,"suffix":""}],"container-title":"Education and Training","id":"ITEM-1","issue":"5","issued":{"date-parts":[["2020"]]},"page":"581-598","title":"The use of self-reflection for enhanced enterprise education: a case study","type":"article-journal","volume":"62"},"uris":["http://www.mendeley.com/documents/?uuid=a1298324-a44e-4270-9e12-18b0ad6a2a30"]}],"mendeley":{"formattedCitation":"(Clarke, Cornes and Ferry, 2020)","plainTextFormattedCitation":"(Clarke, Cornes and Ferry, 2020)","previouslyFormattedCitation":"(Clarke, Cornes and Ferry, 2020)"},"properties":{"noteIndex":0},"schema":"https://github.com/citation-style-language/schema/raw/master/csl-citation.json"}</w:instrText>
      </w:r>
      <w:r w:rsidRPr="00C965DD">
        <w:rPr>
          <w:rFonts w:cs="Tahoma"/>
          <w:bCs/>
          <w:color w:val="000000" w:themeColor="text1"/>
        </w:rPr>
        <w:fldChar w:fldCharType="separate"/>
      </w:r>
      <w:r w:rsidRPr="00C965DD">
        <w:rPr>
          <w:rFonts w:cs="Tahoma"/>
          <w:bCs/>
          <w:noProof/>
          <w:color w:val="000000" w:themeColor="text1"/>
        </w:rPr>
        <w:t>(Clarke, Cornes and Ferry, 2020)</w:t>
      </w:r>
      <w:r w:rsidRPr="00C965DD">
        <w:rPr>
          <w:rFonts w:cs="Tahoma"/>
          <w:bCs/>
          <w:color w:val="000000" w:themeColor="text1"/>
        </w:rPr>
        <w:fldChar w:fldCharType="end"/>
      </w:r>
      <w:r w:rsidRPr="00C965DD">
        <w:rPr>
          <w:rFonts w:cs="Tahoma"/>
          <w:bCs/>
          <w:color w:val="000000" w:themeColor="text1"/>
        </w:rPr>
        <w:t>. While 10% of a student population might be pre-disposed to learning entrepreneurship through developing a business plan or starting a venture, such as a writing and publishing an e-book, or running a pop-up shop in a university space, what about the 90% who are not so predisposed? What about those young people and emerging adults who are still searching for their future enterprising identity? Where is the academic appeal in that?</w:t>
      </w:r>
    </w:p>
    <w:p w14:paraId="5926D996" w14:textId="206971A3" w:rsidR="00127999" w:rsidRPr="00C965DD" w:rsidRDefault="00127999" w:rsidP="00E81991">
      <w:pPr>
        <w:rPr>
          <w:color w:val="000000" w:themeColor="text1"/>
        </w:rPr>
      </w:pPr>
      <w:r w:rsidRPr="00C965DD">
        <w:rPr>
          <w:rFonts w:cs="Arial"/>
          <w:color w:val="000000" w:themeColor="text1"/>
          <w:lang w:eastAsia="en-GB"/>
        </w:rPr>
        <w:t xml:space="preserve">     </w:t>
      </w:r>
      <w:r w:rsidRPr="00C965DD">
        <w:rPr>
          <w:color w:val="000000" w:themeColor="text1"/>
        </w:rPr>
        <w:t xml:space="preserve">What is required is an appeal to EE as a means of integration across academic subjects, aiding rather than denying inclusivity of thought about enterprise. Here, we may ask, as </w:t>
      </w:r>
      <w:proofErr w:type="spellStart"/>
      <w:r w:rsidRPr="00C965DD">
        <w:rPr>
          <w:color w:val="000000" w:themeColor="text1"/>
        </w:rPr>
        <w:t>Thomassen</w:t>
      </w:r>
      <w:proofErr w:type="spellEnd"/>
      <w:r w:rsidRPr="00C965DD">
        <w:rPr>
          <w:color w:val="000000" w:themeColor="text1"/>
        </w:rPr>
        <w:t xml:space="preserve"> </w:t>
      </w:r>
      <w:r w:rsidRPr="00C965DD">
        <w:rPr>
          <w:color w:val="000000" w:themeColor="text1"/>
        </w:rPr>
        <w:fldChar w:fldCharType="begin" w:fldLock="1"/>
      </w:r>
      <w:r w:rsidRPr="00C965DD">
        <w:rPr>
          <w:color w:val="000000" w:themeColor="text1"/>
        </w:rPr>
        <w:instrText>ADDIN CSL_CITATION {"citationItems":[{"id":"ITEM-1","itemData":{"author":[{"dropping-particle":"","family":"Thomassen","given":"Mette Lindahl","non-dropping-particle":"","parse-names":false,"suffix":""}],"container-title":"ECSB Entrepreneurship Education Conference - Cork, Ireland 10/05/17 - 12/05/17.","id":"ITEM-1","issued":{"date-parts":[["2017"]]},"publisher":"Danish University Colleges","title":"Gryffindor, Hufflepuff, Ravenclaw or Slytherin: Your Context influences Your Future. -How to address context in Entrepreneurship Education?","type":"paper-conference"},"locator":"4","suppress-author":1,"uris":["http://www.mendeley.com/documents/?uuid=d8e5f52c-d997-419d-990e-d84dbcadb71d"]}],"mendeley":{"formattedCitation":"(2017, p. 4)","plainTextFormattedCitation":"(2017, p. 4)","previouslyFormattedCitation":"(2017, p. 4)"},"properties":{"noteIndex":0},"schema":"https://github.com/citation-style-language/schema/raw/master/csl-citation.json"}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(2017, p. 4)</w:t>
      </w:r>
      <w:r w:rsidRPr="00C965DD">
        <w:rPr>
          <w:color w:val="000000" w:themeColor="text1"/>
        </w:rPr>
        <w:fldChar w:fldCharType="end"/>
      </w:r>
      <w:r w:rsidRPr="00C965DD">
        <w:rPr>
          <w:color w:val="000000" w:themeColor="text1"/>
        </w:rPr>
        <w:t xml:space="preserve"> asks: </w:t>
      </w:r>
      <w:r w:rsidRPr="00C965DD">
        <w:rPr>
          <w:i/>
          <w:iCs/>
          <w:color w:val="000000" w:themeColor="text1"/>
        </w:rPr>
        <w:t>‘is learning achieved because the individual is interested in or predisposed to learning, or because the learning context is “rich” in offering support during the learning process and providing superior learning opportunities?’</w:t>
      </w:r>
      <w:r w:rsidRPr="00C965DD">
        <w:rPr>
          <w:color w:val="000000" w:themeColor="text1"/>
        </w:rPr>
        <w:t xml:space="preserve"> In my interpretation of this question, a positive answer to a 10% predisposition to EE learning assumes entrepreneurship and enterprise are well defined concepts with boundaries and contexts that can be effectively replicated in an educational context. This is a prerequisite to teaching for and through EE. Here I reason that such a ‘learning for EE’ can only be (academically) appealing within the field to which the defined context applies—leading to a siloed approach to EE, while ‘learning through EE’ also requires a stable, unchanging context that does little to prepare a student for the uncertainty beyond. </w:t>
      </w:r>
    </w:p>
    <w:p w14:paraId="28C0EB23" w14:textId="3901F431" w:rsidR="00127999" w:rsidRPr="00C965DD" w:rsidRDefault="00127999" w:rsidP="006E3A09">
      <w:pPr>
        <w:rPr>
          <w:color w:val="000000" w:themeColor="text1"/>
        </w:rPr>
      </w:pPr>
      <w:r w:rsidRPr="00C965DD">
        <w:rPr>
          <w:color w:val="000000" w:themeColor="text1"/>
        </w:rPr>
        <w:t xml:space="preserve">     </w:t>
      </w:r>
      <w:r w:rsidR="00E43601">
        <w:rPr>
          <w:color w:val="000000" w:themeColor="text1"/>
        </w:rPr>
        <w:t>I posit that</w:t>
      </w:r>
      <w:r w:rsidRPr="00C965DD">
        <w:rPr>
          <w:color w:val="000000" w:themeColor="text1"/>
        </w:rPr>
        <w:t xml:space="preserve"> a 90% negative predisposition to EE is likely to achieve little in student learning outcomes. In this sense, does a positive response to a rich and supported learning context fair better? </w:t>
      </w:r>
      <w:r w:rsidRPr="007504C9">
        <w:rPr>
          <w:color w:val="000000" w:themeColor="text1"/>
        </w:rPr>
        <w:t>Can EE be made more appealing to teachers and managers in education?</w:t>
      </w:r>
      <w:r w:rsidRPr="00C965DD">
        <w:rPr>
          <w:color w:val="000000" w:themeColor="text1"/>
        </w:rPr>
        <w:t xml:space="preserve"> The evidence from the preliminary data in this paper suggests it can be. From the educator perspective, aiming at the 90% seems a far more academically appealing challenge with greater potential for positive outcomes. However, </w:t>
      </w:r>
      <w:proofErr w:type="spellStart"/>
      <w:r w:rsidRPr="00C965DD">
        <w:rPr>
          <w:color w:val="000000" w:themeColor="text1"/>
        </w:rPr>
        <w:t>Hase</w:t>
      </w:r>
      <w:proofErr w:type="spellEnd"/>
      <w:r w:rsidRPr="00C965DD">
        <w:rPr>
          <w:color w:val="000000" w:themeColor="text1"/>
        </w:rPr>
        <w:t xml:space="preserve"> and Kenyon (introducers of the </w:t>
      </w:r>
      <w:r w:rsidRPr="00C965DD">
        <w:rPr>
          <w:color w:val="000000" w:themeColor="text1"/>
        </w:rPr>
        <w:lastRenderedPageBreak/>
        <w:t xml:space="preserve">concept of heutagogy) suggest </w:t>
      </w:r>
      <w:r w:rsidR="00E43601">
        <w:rPr>
          <w:color w:val="000000" w:themeColor="text1"/>
        </w:rPr>
        <w:t xml:space="preserve">that </w:t>
      </w:r>
      <w:r w:rsidRPr="00C965DD">
        <w:rPr>
          <w:color w:val="000000" w:themeColor="text1"/>
        </w:rPr>
        <w:t xml:space="preserve">learning—as a form of change in the student’s knowledge base—only effectively occurs in response to a very clear need. It usually involves </w:t>
      </w:r>
      <w:r w:rsidRPr="00C965DD">
        <w:rPr>
          <w:i/>
          <w:iCs/>
          <w:color w:val="000000" w:themeColor="text1"/>
        </w:rPr>
        <w:t xml:space="preserve">‘distress such as confusion, dissonance, and fear or a more positive motive such as intense desire. The satiated and the comfortable are less likely to </w:t>
      </w:r>
      <w:r w:rsidR="00FB0893">
        <w:rPr>
          <w:i/>
          <w:iCs/>
          <w:color w:val="000000" w:themeColor="text1"/>
        </w:rPr>
        <w:t>[change behaviour]</w:t>
      </w:r>
      <w:r w:rsidRPr="00C965DD">
        <w:rPr>
          <w:i/>
          <w:iCs/>
          <w:color w:val="000000" w:themeColor="text1"/>
        </w:rPr>
        <w:t xml:space="preserve"> no matter what others [such as educators] may desire.</w:t>
      </w:r>
      <w:r w:rsidRPr="00C965DD">
        <w:rPr>
          <w:color w:val="000000" w:themeColor="text1"/>
        </w:rPr>
        <w:t xml:space="preserve">’  </w:t>
      </w:r>
      <w:r w:rsidRPr="00C965DD">
        <w:rPr>
          <w:color w:val="000000" w:themeColor="text1"/>
        </w:rPr>
        <w:fldChar w:fldCharType="begin" w:fldLock="1"/>
      </w:r>
      <w:r w:rsidRPr="00C965DD">
        <w:rPr>
          <w:color w:val="000000" w:themeColor="text1"/>
        </w:rPr>
        <w:instrText>ADDIN CSL_CITATION {"citationItems":[{"id":"ITEM-1","itemData":{"author":[{"dropping-particle":"","family":"Hase","given":"Stuart","non-dropping-particle":"","parse-names":false,"suffix":""},{"dropping-particle":"","family":"Kenyon","given":"Chris","non-dropping-particle":"","parse-names":false,"suffix":""}],"container-title":"Complicity: An international journal of complexity in education.","id":"ITEM-1","issue":"1","issued":{"date-parts":[["2007"]]},"page":"111-118","title":"Heutagogy: A Child of Complexity Theory","type":"article-journal","volume":"4"},"locator":"112","suppress-author":1,"uris":["http://www.mendeley.com/documents/?uuid=8b127dd2-97be-4ff8-abbe-5d96ebdd2081"]}],"mendeley":{"formattedCitation":"(2007, p. 112)","plainTextFormattedCitation":"(2007, p. 112)","previouslyFormattedCitation":"(2007, p. 112)"},"properties":{"noteIndex":0},"schema":"https://github.com/citation-style-language/schema/raw/master/csl-citation.json"}</w:instrText>
      </w:r>
      <w:r w:rsidRPr="00C965DD">
        <w:rPr>
          <w:color w:val="000000" w:themeColor="text1"/>
        </w:rPr>
        <w:fldChar w:fldCharType="separate"/>
      </w:r>
      <w:r w:rsidRPr="00C965DD">
        <w:rPr>
          <w:noProof/>
          <w:color w:val="000000" w:themeColor="text1"/>
        </w:rPr>
        <w:t>(2007, p. 112)</w:t>
      </w:r>
      <w:r w:rsidRPr="00C965DD">
        <w:rPr>
          <w:color w:val="000000" w:themeColor="text1"/>
        </w:rPr>
        <w:fldChar w:fldCharType="end"/>
      </w:r>
      <w:r w:rsidRPr="00C965DD">
        <w:rPr>
          <w:color w:val="000000" w:themeColor="text1"/>
        </w:rPr>
        <w:t xml:space="preserve">. While desire </w:t>
      </w:r>
      <w:r w:rsidR="00E43601">
        <w:rPr>
          <w:color w:val="000000" w:themeColor="text1"/>
        </w:rPr>
        <w:t>may</w:t>
      </w:r>
      <w:r w:rsidRPr="00C965DD">
        <w:rPr>
          <w:color w:val="000000" w:themeColor="text1"/>
        </w:rPr>
        <w:t xml:space="preserve"> reflect in a predisposition to EE, an absence of desire (as </w:t>
      </w:r>
      <w:r w:rsidR="00FB0893">
        <w:rPr>
          <w:color w:val="000000" w:themeColor="text1"/>
        </w:rPr>
        <w:t xml:space="preserve">a </w:t>
      </w:r>
      <w:r w:rsidRPr="00C965DD">
        <w:rPr>
          <w:color w:val="000000" w:themeColor="text1"/>
        </w:rPr>
        <w:t xml:space="preserve">negative predisposition) is not the same as distress. </w:t>
      </w:r>
    </w:p>
    <w:p w14:paraId="25E79297" w14:textId="1F16EE6D" w:rsidR="00127999" w:rsidRPr="00C965DD" w:rsidRDefault="00127999" w:rsidP="006E3A09">
      <w:pPr>
        <w:rPr>
          <w:color w:val="000000" w:themeColor="text1"/>
        </w:rPr>
      </w:pPr>
      <w:r w:rsidRPr="00C965DD">
        <w:rPr>
          <w:color w:val="000000" w:themeColor="text1"/>
        </w:rPr>
        <w:t xml:space="preserve">     I reason that if EE is to be more generally and academically appealing, it must relate to the distress of its students. Only by appealing to the element of distress, can the educator seek to engage the greater range of students that might not be predisposed to a subject. The module that is </w:t>
      </w:r>
      <w:r w:rsidR="003B065E" w:rsidRPr="00C965DD">
        <w:rPr>
          <w:color w:val="000000" w:themeColor="text1"/>
        </w:rPr>
        <w:t>my</w:t>
      </w:r>
      <w:r w:rsidRPr="00C965DD">
        <w:rPr>
          <w:color w:val="000000" w:themeColor="text1"/>
        </w:rPr>
        <w:t xml:space="preserve"> focus </w:t>
      </w:r>
      <w:r w:rsidR="003B065E" w:rsidRPr="00C965DD">
        <w:rPr>
          <w:color w:val="000000" w:themeColor="text1"/>
        </w:rPr>
        <w:t>in</w:t>
      </w:r>
      <w:r w:rsidRPr="00C965DD">
        <w:rPr>
          <w:color w:val="000000" w:themeColor="text1"/>
        </w:rPr>
        <w:t xml:space="preserve"> this </w:t>
      </w:r>
      <w:r w:rsidR="003B065E" w:rsidRPr="00C965DD">
        <w:rPr>
          <w:color w:val="000000" w:themeColor="text1"/>
        </w:rPr>
        <w:t>research</w:t>
      </w:r>
      <w:r w:rsidRPr="00C965DD">
        <w:rPr>
          <w:color w:val="000000" w:themeColor="text1"/>
        </w:rPr>
        <w:t xml:space="preserve"> invokes the element of distress by offering a means for students to question and investigate their future career direction in the context of a broad definition of enterprise. It is a traditional ‘teaching about’ EE (broadly defined). However, the incorporation of andragogical and </w:t>
      </w:r>
      <w:proofErr w:type="spellStart"/>
      <w:r w:rsidRPr="00C965DD">
        <w:rPr>
          <w:color w:val="000000" w:themeColor="text1"/>
        </w:rPr>
        <w:t>heutagogical</w:t>
      </w:r>
      <w:proofErr w:type="spellEnd"/>
      <w:r w:rsidRPr="00C965DD">
        <w:rPr>
          <w:color w:val="000000" w:themeColor="text1"/>
        </w:rPr>
        <w:t xml:space="preserve"> elements leaves the way open to students who are more predisposed to </w:t>
      </w:r>
      <w:r w:rsidR="003B065E" w:rsidRPr="00C965DD">
        <w:rPr>
          <w:color w:val="000000" w:themeColor="text1"/>
        </w:rPr>
        <w:t xml:space="preserve">specific aspects of </w:t>
      </w:r>
      <w:r w:rsidRPr="00C965DD">
        <w:rPr>
          <w:color w:val="000000" w:themeColor="text1"/>
        </w:rPr>
        <w:t>EE.</w:t>
      </w:r>
    </w:p>
    <w:p w14:paraId="506E7386" w14:textId="09789216" w:rsidR="00127999" w:rsidRPr="00C965DD" w:rsidRDefault="00127999" w:rsidP="000305E1">
      <w:pPr>
        <w:rPr>
          <w:color w:val="000000" w:themeColor="text1"/>
        </w:rPr>
      </w:pPr>
      <w:r w:rsidRPr="00C965DD">
        <w:rPr>
          <w:color w:val="000000" w:themeColor="text1"/>
        </w:rPr>
        <w:t xml:space="preserve">     </w:t>
      </w:r>
      <w:r w:rsidRPr="00C01FA4">
        <w:rPr>
          <w:color w:val="000000" w:themeColor="text1"/>
        </w:rPr>
        <w:t>Secondly, I turn to address the question</w:t>
      </w:r>
      <w:r w:rsidRPr="007504C9">
        <w:rPr>
          <w:color w:val="000000" w:themeColor="text1"/>
        </w:rPr>
        <w:t>, “can EE provide better guidance to students concerning the EE opportunities and choices available to them?</w:t>
      </w:r>
      <w:r w:rsidRPr="00C965DD">
        <w:rPr>
          <w:color w:val="000000" w:themeColor="text1"/>
        </w:rPr>
        <w:t xml:space="preserve"> Here, if students are not sufficiently engaged by either distress (a need to determine or qualify for an </w:t>
      </w:r>
      <w:r w:rsidR="003B065E" w:rsidRPr="00C965DD">
        <w:rPr>
          <w:color w:val="000000" w:themeColor="text1"/>
        </w:rPr>
        <w:t xml:space="preserve">EE </w:t>
      </w:r>
      <w:r w:rsidRPr="00C965DD">
        <w:rPr>
          <w:color w:val="000000" w:themeColor="text1"/>
        </w:rPr>
        <w:t xml:space="preserve">occupation) or a desire (a pre-disposition for EE), it is unlikely that sufficient learning about EE will address their state of undecidedness. </w:t>
      </w:r>
      <w:r w:rsidR="00BD54A3">
        <w:rPr>
          <w:color w:val="000000" w:themeColor="text1"/>
        </w:rPr>
        <w:t>However</w:t>
      </w:r>
      <w:r w:rsidRPr="00C965DD">
        <w:rPr>
          <w:color w:val="000000" w:themeColor="text1"/>
        </w:rPr>
        <w:t xml:space="preserve">, as </w:t>
      </w:r>
      <w:proofErr w:type="spellStart"/>
      <w:r w:rsidRPr="00C965DD">
        <w:rPr>
          <w:color w:val="000000" w:themeColor="text1"/>
        </w:rPr>
        <w:t>Thomassen</w:t>
      </w:r>
      <w:proofErr w:type="spellEnd"/>
      <w:r w:rsidRPr="00C965DD">
        <w:rPr>
          <w:color w:val="000000" w:themeColor="text1"/>
        </w:rPr>
        <w:t xml:space="preserve"> observed:</w:t>
      </w:r>
    </w:p>
    <w:p w14:paraId="3852AD94" w14:textId="51BEA573" w:rsidR="00127999" w:rsidRPr="00C965DD" w:rsidRDefault="00127999" w:rsidP="000305E1">
      <w:pPr>
        <w:spacing w:line="360" w:lineRule="auto"/>
        <w:ind w:left="720"/>
        <w:rPr>
          <w:i/>
          <w:iCs/>
          <w:color w:val="000000" w:themeColor="text1"/>
          <w:sz w:val="23"/>
          <w:szCs w:val="23"/>
        </w:rPr>
      </w:pPr>
      <w:r w:rsidRPr="00C965DD">
        <w:rPr>
          <w:i/>
          <w:iCs/>
          <w:color w:val="000000" w:themeColor="text1"/>
          <w:sz w:val="23"/>
          <w:szCs w:val="23"/>
        </w:rPr>
        <w:t xml:space="preserve">“…Most learning designs are tailored by educators to move the students towards the educators’ preconceptions, but if the gap between the preconceptions of the educator and his or her students is too large, it will be a very difficult task, and a challenging journey for the students to take (if they even are open to doing so) </w:t>
      </w:r>
      <w:r w:rsidRPr="00C965DD">
        <w:rPr>
          <w:i/>
          <w:iCs/>
          <w:color w:val="000000" w:themeColor="text1"/>
          <w:sz w:val="23"/>
          <w:szCs w:val="23"/>
        </w:rPr>
        <w:fldChar w:fldCharType="begin" w:fldLock="1"/>
      </w:r>
      <w:r w:rsidRPr="00C965DD">
        <w:rPr>
          <w:i/>
          <w:iCs/>
          <w:color w:val="000000" w:themeColor="text1"/>
          <w:sz w:val="23"/>
          <w:szCs w:val="23"/>
        </w:rPr>
        <w:instrText>ADDIN CSL_CITATION {"citationItems":[{"id":"ITEM-1","itemData":{"author":[{"dropping-particle":"","family":"Thomassen","given":"Mette Lindahl","non-dropping-particle":"","parse-names":false,"suffix":""}],"container-title":"ECSB Entrepreneurship Education Conference - Cork, Ireland 10/05/17 - 12/05/17.","id":"ITEM-1","issued":{"date-parts":[["2017"]]},"publisher":"Danish University Colleges","title":"Gryffindor, Hufflepuff, Ravenclaw or Slytherin: Your Context influences Your Future. -How to address context in Entrepreneurship Education?","type":"paper-conference"},"locator":"4","uris":["http://www.mendeley.com/documents/?uuid=d8e5f52c-d997-419d-990e-d84dbcadb71d"]}],"mendeley":{"formattedCitation":"(Thomassen, 2017, p. 4)","plainTextFormattedCitation":"(Thomassen, 2017, p. 4)","previouslyFormattedCitation":"(Thomassen, 2017, p. 4)"},"properties":{"noteIndex":0},"schema":"https://github.com/citation-style-language/schema/raw/master/csl-citation.json"}</w:instrText>
      </w:r>
      <w:r w:rsidRPr="00C965DD">
        <w:rPr>
          <w:i/>
          <w:iCs/>
          <w:color w:val="000000" w:themeColor="text1"/>
          <w:sz w:val="23"/>
          <w:szCs w:val="23"/>
        </w:rPr>
        <w:fldChar w:fldCharType="separate"/>
      </w:r>
      <w:r w:rsidRPr="00C965DD">
        <w:rPr>
          <w:iCs/>
          <w:noProof/>
          <w:color w:val="000000" w:themeColor="text1"/>
          <w:sz w:val="23"/>
          <w:szCs w:val="23"/>
        </w:rPr>
        <w:t>(Thomassen, 2017, p. 4)</w:t>
      </w:r>
      <w:r w:rsidRPr="00C965DD">
        <w:rPr>
          <w:i/>
          <w:iCs/>
          <w:color w:val="000000" w:themeColor="text1"/>
          <w:sz w:val="23"/>
          <w:szCs w:val="23"/>
        </w:rPr>
        <w:fldChar w:fldCharType="end"/>
      </w:r>
      <w:r w:rsidRPr="00C965DD">
        <w:rPr>
          <w:i/>
          <w:iCs/>
          <w:color w:val="000000" w:themeColor="text1"/>
          <w:sz w:val="23"/>
          <w:szCs w:val="23"/>
        </w:rPr>
        <w:t>.</w:t>
      </w:r>
    </w:p>
    <w:p w14:paraId="56D9CEB2" w14:textId="77777777" w:rsidR="00127999" w:rsidRPr="00C965DD" w:rsidRDefault="00127999" w:rsidP="000305E1">
      <w:pPr>
        <w:spacing w:line="360" w:lineRule="auto"/>
        <w:rPr>
          <w:i/>
          <w:iCs/>
          <w:color w:val="000000" w:themeColor="text1"/>
          <w:sz w:val="23"/>
          <w:szCs w:val="23"/>
        </w:rPr>
      </w:pPr>
    </w:p>
    <w:p w14:paraId="261E26EA" w14:textId="50A6B04B" w:rsidR="00127999" w:rsidRPr="00C965DD" w:rsidRDefault="003B065E" w:rsidP="00242E64">
      <w:pPr>
        <w:rPr>
          <w:color w:val="000000" w:themeColor="text1"/>
        </w:rPr>
      </w:pPr>
      <w:r w:rsidRPr="00C965DD">
        <w:rPr>
          <w:color w:val="000000" w:themeColor="text1"/>
        </w:rPr>
        <w:t>Typically</w:t>
      </w:r>
      <w:r w:rsidR="00127999" w:rsidRPr="00C965DD">
        <w:rPr>
          <w:color w:val="000000" w:themeColor="text1"/>
        </w:rPr>
        <w:t xml:space="preserve">, the EE educator—in designing a programme, course or module in EE—is most likely to start with a preconception of what EE is about. Then, with the importance of context in EE education being well established, various contextual factors will be considered </w:t>
      </w:r>
      <w:r w:rsidR="00127999" w:rsidRPr="00C965DD">
        <w:rPr>
          <w:color w:val="000000" w:themeColor="text1"/>
        </w:rPr>
        <w:lastRenderedPageBreak/>
        <w:t xml:space="preserve">including, micro (classroom), </w:t>
      </w:r>
      <w:proofErr w:type="spellStart"/>
      <w:r w:rsidR="00127999" w:rsidRPr="00C965DD">
        <w:rPr>
          <w:color w:val="000000" w:themeColor="text1"/>
        </w:rPr>
        <w:t>meso</w:t>
      </w:r>
      <w:proofErr w:type="spellEnd"/>
      <w:r w:rsidR="00127999" w:rsidRPr="00C965DD">
        <w:rPr>
          <w:color w:val="000000" w:themeColor="text1"/>
        </w:rPr>
        <w:t xml:space="preserve"> (university and programme) and macro (local, regional, national and international). The design of such EE education can thus only be relatively narrowly conceptually and contextually defined. We see the potential risk in setting a concept and context that may appeal to some students, but which may not appeal to others. Furthermore, a narrowly defined concept of EE is also less likely to be seen as a solution to a general level of career ‘distress’. It is almost as if the famous Sorting Hat of J.K. Rowling’s world of witchcraft and wizardry education is required in EE education, to pre-select students for a range of enterprising educational options. </w:t>
      </w:r>
    </w:p>
    <w:p w14:paraId="156D117A" w14:textId="5C91BB04" w:rsidR="00127999" w:rsidRPr="00C965DD" w:rsidRDefault="00127999" w:rsidP="00E81991">
      <w:pPr>
        <w:rPr>
          <w:color w:val="000000" w:themeColor="text1"/>
        </w:rPr>
      </w:pPr>
      <w:r w:rsidRPr="00C965DD">
        <w:rPr>
          <w:color w:val="000000" w:themeColor="text1"/>
        </w:rPr>
        <w:t xml:space="preserve">      The clear implication is that we cannot avoid the learning ‘about’ EE, as a precursor to learning ‘for’ and ‘through’ it. As I discuss above, a narrowly defined and contextualised learning ‘for’ or ‘through’ a practice requires a student predisposition concerning that practice. Here, in the data of our subject class of 2022, this is not at all evident. As </w:t>
      </w:r>
      <w:proofErr w:type="spellStart"/>
      <w:r w:rsidRPr="00C965DD">
        <w:rPr>
          <w:color w:val="000000" w:themeColor="text1"/>
        </w:rPr>
        <w:t>H</w:t>
      </w:r>
      <w:r w:rsidRPr="00C965DD">
        <w:rPr>
          <w:rFonts w:cs="Times New Roman"/>
          <w:color w:val="000000" w:themeColor="text1"/>
        </w:rPr>
        <w:t>ä</w:t>
      </w:r>
      <w:r w:rsidRPr="00C965DD">
        <w:rPr>
          <w:color w:val="000000" w:themeColor="text1"/>
        </w:rPr>
        <w:t>gg</w:t>
      </w:r>
      <w:proofErr w:type="spellEnd"/>
      <w:r w:rsidRPr="00C965DD">
        <w:rPr>
          <w:color w:val="000000" w:themeColor="text1"/>
        </w:rPr>
        <w:t xml:space="preserve"> and </w:t>
      </w:r>
      <w:proofErr w:type="spellStart"/>
      <w:r w:rsidRPr="00C965DD">
        <w:rPr>
          <w:color w:val="000000" w:themeColor="text1"/>
        </w:rPr>
        <w:t>Kurczewska</w:t>
      </w:r>
      <w:proofErr w:type="spellEnd"/>
      <w:r w:rsidRPr="00C965DD">
        <w:rPr>
          <w:color w:val="000000" w:themeColor="text1"/>
        </w:rPr>
        <w:t xml:space="preserve"> </w:t>
      </w:r>
      <w:r w:rsidRPr="00C965DD">
        <w:rPr>
          <w:color w:val="000000" w:themeColor="text1"/>
        </w:rPr>
        <w:fldChar w:fldCharType="begin" w:fldLock="1"/>
      </w:r>
      <w:r w:rsidR="00E33683" w:rsidRPr="00C965DD">
        <w:rPr>
          <w:color w:val="000000" w:themeColor="text1"/>
        </w:rPr>
        <w:instrText>ADDIN CSL_CITATION {"citationItems":[{"id":"ITEM-1","itemData":{"DOI":"10.1108/ET-03-2020-0069","ISSN":"00400912","abstract":"Purpose: The purpose of the paper is to build on current discussions about the need for and role of guidance in learning and teaching, as well as to theoretically develop its specifics to further advance our scholarly understanding of how to structure and enhance entrepreneurship education. Design/methodology/approach: The paper takes a synthesizing conceptual approach, built on developmental psychology, instructional science, expertise research as well as the pedagogy–andragogy discussion and the role of guidance in contemporary entrepreneurship education research. In addition, a new term, odigogy, is developed. Findings: Odigogy, from the Greek word odigós (to guide), addresses how to navigate student entrepreneurs in higher education. The term seeks to correspond both to the specifics of entrepreneurship as a subject and the characteristics of students in the classroom who are in a transitional phase between adolescence and adulthood. Practical implications: The paper contributes to current entrepreneurship education discussions by offering a more balanced terminology positioned between how to teach (pedagogy) and how adults learn (andragogy). The paper provides insights for teachers when developing teaching methods and learning activities in higher education. Originality/value: By introducing the term odigogy the paper seeks to contribute an enhanced understanding of the entrepreneurial learning process in higher education, which does not match pedagogical assumptions on how to teach children or adolescents, nor andragogical assumptions on how adults learn, or how to engage students in self-directed learning as presented in heutagogy.","author":[{"dropping-particle":"","family":"Hägg","given":"Gustav","non-dropping-particle":"","parse-names":false,"suffix":""},{"dropping-particle":"","family":"Kurczewska","given":"Agnieszka","non-dropping-particle":"","parse-names":false,"suffix":""}],"container-title":"Education and Training","id":"ITEM-1","issue":"7-8","issued":{"date-parts":[["2020"]]},"page":"759-777","title":"Guiding the student entrepreneur – Considering the emergent adult within the pedagogy–andragogy continuum in entrepreneurship education","type":"article-journal","volume":"62"},"locator":"760","suppress-author":1,"uris":["http://www.mendeley.com/documents/?uuid=bce647b0-4f34-4328-adf9-a0e43d5d445b"]}],"mendeley":{"formattedCitation":"(2020, p. 760)","plainTextFormattedCitation":"(2020, p. 760)","previouslyFormattedCitation":"(2020, p. 760)"},"properties":{"noteIndex":0},"schema":"https://github.com/citation-style-language/schema/raw/master/csl-citation.json"}</w:instrText>
      </w:r>
      <w:r w:rsidRPr="00C965DD">
        <w:rPr>
          <w:color w:val="000000" w:themeColor="text1"/>
        </w:rPr>
        <w:fldChar w:fldCharType="separate"/>
      </w:r>
      <w:r w:rsidR="00EF644D" w:rsidRPr="00C965DD">
        <w:rPr>
          <w:noProof/>
          <w:color w:val="000000" w:themeColor="text1"/>
        </w:rPr>
        <w:t>(2020, p. 760)</w:t>
      </w:r>
      <w:r w:rsidRPr="00C965DD">
        <w:rPr>
          <w:color w:val="000000" w:themeColor="text1"/>
        </w:rPr>
        <w:fldChar w:fldCharType="end"/>
      </w:r>
      <w:r w:rsidRPr="00C965DD">
        <w:rPr>
          <w:color w:val="000000" w:themeColor="text1"/>
        </w:rPr>
        <w:t xml:space="preserve"> suggest, such students </w:t>
      </w:r>
      <w:r w:rsidRPr="00C965DD">
        <w:rPr>
          <w:i/>
          <w:iCs/>
          <w:color w:val="000000" w:themeColor="text1"/>
        </w:rPr>
        <w:t>“…search for their identities and roles in life, start to take decisions and learn from experiences.”</w:t>
      </w:r>
      <w:r w:rsidRPr="00C965DD">
        <w:rPr>
          <w:color w:val="000000" w:themeColor="text1"/>
        </w:rPr>
        <w:t xml:space="preserve"> In the module </w:t>
      </w:r>
      <w:r w:rsidR="00EF644D" w:rsidRPr="00C965DD">
        <w:rPr>
          <w:color w:val="000000" w:themeColor="text1"/>
        </w:rPr>
        <w:t xml:space="preserve">I </w:t>
      </w:r>
      <w:r w:rsidRPr="00C965DD">
        <w:rPr>
          <w:color w:val="000000" w:themeColor="text1"/>
        </w:rPr>
        <w:t xml:space="preserve">describe </w:t>
      </w:r>
      <w:proofErr w:type="gramStart"/>
      <w:r w:rsidRPr="00C965DD">
        <w:rPr>
          <w:color w:val="000000" w:themeColor="text1"/>
        </w:rPr>
        <w:t>and</w:t>
      </w:r>
      <w:r w:rsidR="00EF644D" w:rsidRPr="00C965DD">
        <w:rPr>
          <w:color w:val="000000" w:themeColor="text1"/>
        </w:rPr>
        <w:t xml:space="preserve"> in</w:t>
      </w:r>
      <w:r w:rsidRPr="00C965DD">
        <w:rPr>
          <w:color w:val="000000" w:themeColor="text1"/>
        </w:rPr>
        <w:t xml:space="preserve"> the data</w:t>
      </w:r>
      <w:proofErr w:type="gramEnd"/>
      <w:r w:rsidRPr="00C965DD">
        <w:rPr>
          <w:color w:val="000000" w:themeColor="text1"/>
        </w:rPr>
        <w:t xml:space="preserve"> presented, 53 students developed their thinking around a range of 53 different ideas (</w:t>
      </w:r>
      <w:r w:rsidRPr="00C965DD">
        <w:rPr>
          <w:color w:val="000000" w:themeColor="text1"/>
        </w:rPr>
        <w:fldChar w:fldCharType="begin"/>
      </w:r>
      <w:r w:rsidRPr="00C965DD">
        <w:rPr>
          <w:color w:val="000000" w:themeColor="text1"/>
        </w:rPr>
        <w:instrText xml:space="preserve"> REF _Ref107845929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19</w:t>
      </w:r>
      <w:r w:rsidRPr="00C965DD">
        <w:rPr>
          <w:color w:val="000000" w:themeColor="text1"/>
        </w:rPr>
        <w:fldChar w:fldCharType="end"/>
      </w:r>
      <w:r w:rsidRPr="00C965DD">
        <w:rPr>
          <w:color w:val="000000" w:themeColor="text1"/>
        </w:rPr>
        <w:t xml:space="preserve">). </w:t>
      </w:r>
    </w:p>
    <w:p w14:paraId="4ED038CF" w14:textId="77777777" w:rsidR="00127999" w:rsidRPr="00C965DD" w:rsidRDefault="00127999" w:rsidP="00791D24">
      <w:pPr>
        <w:jc w:val="center"/>
        <w:rPr>
          <w:color w:val="000000" w:themeColor="text1"/>
        </w:rPr>
      </w:pPr>
      <w:r w:rsidRPr="00C965DD">
        <w:rPr>
          <w:noProof/>
          <w:color w:val="000000" w:themeColor="text1"/>
        </w:rPr>
        <w:drawing>
          <wp:inline distT="0" distB="0" distL="0" distR="0" wp14:anchorId="52F2DCBC" wp14:editId="321ECA10">
            <wp:extent cx="3802156" cy="2901801"/>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611" cy="2908254"/>
                    </a:xfrm>
                    <a:prstGeom prst="rect">
                      <a:avLst/>
                    </a:prstGeom>
                    <a:noFill/>
                  </pic:spPr>
                </pic:pic>
              </a:graphicData>
            </a:graphic>
          </wp:inline>
        </w:drawing>
      </w:r>
    </w:p>
    <w:p w14:paraId="44658223" w14:textId="1DCEEDE1" w:rsidR="00127999" w:rsidRPr="00C965DD" w:rsidRDefault="00127999" w:rsidP="009104D0">
      <w:pPr>
        <w:pStyle w:val="Caption"/>
      </w:pPr>
      <w:bookmarkStart w:id="20" w:name="_Ref107845929"/>
      <w:r w:rsidRPr="00C965DD">
        <w:t xml:space="preserve">Figure </w:t>
      </w:r>
      <w:fldSimple w:instr=" SEQ Figure \* ARABIC ">
        <w:r w:rsidRPr="00C965DD">
          <w:rPr>
            <w:noProof/>
          </w:rPr>
          <w:t>19</w:t>
        </w:r>
      </w:fldSimple>
      <w:bookmarkEnd w:id="20"/>
      <w:r w:rsidRPr="00C965DD">
        <w:t xml:space="preserve"> - A richness of idea types</w:t>
      </w:r>
    </w:p>
    <w:p w14:paraId="147DBCB0" w14:textId="49700597" w:rsidR="00127999" w:rsidRPr="00C965DD" w:rsidRDefault="00EF644D" w:rsidP="0015532E">
      <w:pPr>
        <w:rPr>
          <w:color w:val="000000" w:themeColor="text1"/>
        </w:rPr>
      </w:pPr>
      <w:r w:rsidRPr="00C965DD">
        <w:rPr>
          <w:color w:val="000000" w:themeColor="text1"/>
        </w:rPr>
        <w:lastRenderedPageBreak/>
        <w:t xml:space="preserve">While many were profit-related, others were not. Seventeen non-profit ideas amounted to 32% of the total (ideas for third parties, career development, intrapreneurship and third sector/non-profit). </w:t>
      </w:r>
      <w:r w:rsidR="00BD54A3">
        <w:rPr>
          <w:color w:val="000000" w:themeColor="text1"/>
        </w:rPr>
        <w:t xml:space="preserve">Moreover, </w:t>
      </w:r>
      <w:r w:rsidR="00127999" w:rsidRPr="00C965DD">
        <w:rPr>
          <w:color w:val="000000" w:themeColor="text1"/>
        </w:rPr>
        <w:t>while 36 ideas (68%) were related to profit-making enterprises, only 11 (30%) of these were born of aspiring entrepreneurs (</w:t>
      </w:r>
      <w:r w:rsidR="00127999" w:rsidRPr="00C965DD">
        <w:rPr>
          <w:color w:val="000000" w:themeColor="text1"/>
        </w:rPr>
        <w:fldChar w:fldCharType="begin"/>
      </w:r>
      <w:r w:rsidR="00127999" w:rsidRPr="00C965DD">
        <w:rPr>
          <w:color w:val="000000" w:themeColor="text1"/>
        </w:rPr>
        <w:instrText xml:space="preserve"> REF _Ref107846906 \h </w:instrText>
      </w:r>
      <w:r w:rsidR="00127999" w:rsidRPr="00C965DD">
        <w:rPr>
          <w:color w:val="000000" w:themeColor="text1"/>
        </w:rPr>
      </w:r>
      <w:r w:rsidR="00127999" w:rsidRPr="00C965DD">
        <w:rPr>
          <w:color w:val="000000" w:themeColor="text1"/>
        </w:rPr>
        <w:fldChar w:fldCharType="separate"/>
      </w:r>
      <w:r w:rsidR="00127999" w:rsidRPr="00C965DD">
        <w:rPr>
          <w:color w:val="000000" w:themeColor="text1"/>
        </w:rPr>
        <w:t xml:space="preserve">Figure </w:t>
      </w:r>
      <w:r w:rsidR="00127999" w:rsidRPr="00C965DD">
        <w:rPr>
          <w:noProof/>
          <w:color w:val="000000" w:themeColor="text1"/>
        </w:rPr>
        <w:t>20</w:t>
      </w:r>
      <w:r w:rsidR="00127999" w:rsidRPr="00C965DD">
        <w:rPr>
          <w:color w:val="000000" w:themeColor="text1"/>
        </w:rPr>
        <w:fldChar w:fldCharType="end"/>
      </w:r>
      <w:r w:rsidR="00127999" w:rsidRPr="00C965DD">
        <w:rPr>
          <w:color w:val="000000" w:themeColor="text1"/>
        </w:rPr>
        <w:t>a). In the mix were</w:t>
      </w:r>
      <w:r w:rsidRPr="00C965DD">
        <w:rPr>
          <w:color w:val="000000" w:themeColor="text1"/>
        </w:rPr>
        <w:t xml:space="preserve"> the ideas of</w:t>
      </w:r>
      <w:r w:rsidR="00127999" w:rsidRPr="00C965DD">
        <w:rPr>
          <w:color w:val="000000" w:themeColor="text1"/>
        </w:rPr>
        <w:t xml:space="preserve"> dreamers, designers, innovators and experimenters.</w:t>
      </w:r>
    </w:p>
    <w:p w14:paraId="55D4A961" w14:textId="6A86C586" w:rsidR="00127999" w:rsidRPr="00C965DD" w:rsidRDefault="00127999" w:rsidP="009C1F6A">
      <w:pPr>
        <w:spacing w:line="240" w:lineRule="auto"/>
        <w:ind w:left="2160"/>
        <w:rPr>
          <w:color w:val="000000" w:themeColor="text1"/>
        </w:rPr>
      </w:pPr>
      <w:r w:rsidRPr="00C965DD">
        <w:rPr>
          <w:color w:val="000000" w:themeColor="text1"/>
        </w:rPr>
        <w:t>(a)</w:t>
      </w:r>
      <w:r w:rsidRPr="00C965DD">
        <w:rPr>
          <w:color w:val="000000" w:themeColor="text1"/>
        </w:rPr>
        <w:tab/>
      </w:r>
      <w:r w:rsidRPr="00C965DD">
        <w:rPr>
          <w:color w:val="000000" w:themeColor="text1"/>
        </w:rPr>
        <w:tab/>
      </w:r>
      <w:r w:rsidRPr="00C965DD">
        <w:rPr>
          <w:color w:val="000000" w:themeColor="text1"/>
        </w:rPr>
        <w:tab/>
      </w:r>
      <w:r w:rsidRPr="00C965DD">
        <w:rPr>
          <w:color w:val="000000" w:themeColor="text1"/>
        </w:rPr>
        <w:tab/>
      </w:r>
      <w:r w:rsidRPr="00C965DD">
        <w:rPr>
          <w:color w:val="000000" w:themeColor="text1"/>
        </w:rPr>
        <w:tab/>
      </w:r>
      <w:r w:rsidRPr="00C965DD">
        <w:rPr>
          <w:color w:val="000000" w:themeColor="text1"/>
        </w:rPr>
        <w:tab/>
        <w:t>(b)</w:t>
      </w:r>
    </w:p>
    <w:p w14:paraId="7570FD7F" w14:textId="44B361D7" w:rsidR="00127999" w:rsidRPr="00C965DD" w:rsidRDefault="00127999" w:rsidP="00FB0893">
      <w:pPr>
        <w:jc w:val="right"/>
        <w:rPr>
          <w:color w:val="000000" w:themeColor="text1"/>
        </w:rPr>
      </w:pPr>
      <w:r w:rsidRPr="00C965DD">
        <w:rPr>
          <w:noProof/>
          <w:color w:val="000000" w:themeColor="text1"/>
        </w:rPr>
        <w:drawing>
          <wp:inline distT="0" distB="0" distL="0" distR="0" wp14:anchorId="53805C74" wp14:editId="1B01BBDE">
            <wp:extent cx="2818800" cy="169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8800" cy="1692000"/>
                    </a:xfrm>
                    <a:prstGeom prst="rect">
                      <a:avLst/>
                    </a:prstGeom>
                    <a:noFill/>
                  </pic:spPr>
                </pic:pic>
              </a:graphicData>
            </a:graphic>
          </wp:inline>
        </w:drawing>
      </w:r>
      <w:r w:rsidRPr="00C965DD">
        <w:rPr>
          <w:noProof/>
          <w:color w:val="000000" w:themeColor="text1"/>
        </w:rPr>
        <w:drawing>
          <wp:inline distT="0" distB="0" distL="0" distR="0" wp14:anchorId="5F076E58" wp14:editId="2C90F2BD">
            <wp:extent cx="2818800" cy="1692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8800" cy="1692000"/>
                    </a:xfrm>
                    <a:prstGeom prst="rect">
                      <a:avLst/>
                    </a:prstGeom>
                    <a:noFill/>
                  </pic:spPr>
                </pic:pic>
              </a:graphicData>
            </a:graphic>
          </wp:inline>
        </w:drawing>
      </w:r>
    </w:p>
    <w:p w14:paraId="30BD4C8C" w14:textId="37DF4841" w:rsidR="00127999" w:rsidRPr="00C965DD" w:rsidRDefault="00127999" w:rsidP="007504C9">
      <w:pPr>
        <w:spacing w:line="240" w:lineRule="auto"/>
        <w:ind w:left="2160"/>
        <w:rPr>
          <w:color w:val="000000" w:themeColor="text1"/>
        </w:rPr>
      </w:pPr>
      <w:r w:rsidRPr="00C965DD">
        <w:rPr>
          <w:color w:val="000000" w:themeColor="text1"/>
        </w:rPr>
        <w:t>(c)</w:t>
      </w:r>
      <w:r w:rsidRPr="00C965DD">
        <w:rPr>
          <w:color w:val="000000" w:themeColor="text1"/>
        </w:rPr>
        <w:tab/>
      </w:r>
      <w:r w:rsidRPr="00C965DD">
        <w:rPr>
          <w:color w:val="000000" w:themeColor="text1"/>
        </w:rPr>
        <w:tab/>
      </w:r>
      <w:r w:rsidRPr="00C965DD">
        <w:rPr>
          <w:color w:val="000000" w:themeColor="text1"/>
        </w:rPr>
        <w:tab/>
      </w:r>
      <w:r w:rsidRPr="00C965DD">
        <w:rPr>
          <w:color w:val="000000" w:themeColor="text1"/>
        </w:rPr>
        <w:tab/>
      </w:r>
      <w:r w:rsidRPr="00C965DD">
        <w:rPr>
          <w:color w:val="000000" w:themeColor="text1"/>
        </w:rPr>
        <w:tab/>
      </w:r>
      <w:r w:rsidRPr="00C965DD">
        <w:rPr>
          <w:color w:val="000000" w:themeColor="text1"/>
        </w:rPr>
        <w:tab/>
        <w:t>(d)</w:t>
      </w:r>
    </w:p>
    <w:p w14:paraId="638DDCBD" w14:textId="77777777" w:rsidR="00127999" w:rsidRPr="00C965DD" w:rsidRDefault="00127999" w:rsidP="00FB0893">
      <w:pPr>
        <w:keepNext/>
        <w:jc w:val="right"/>
        <w:rPr>
          <w:color w:val="000000" w:themeColor="text1"/>
        </w:rPr>
      </w:pPr>
      <w:r w:rsidRPr="00C965DD">
        <w:rPr>
          <w:noProof/>
          <w:color w:val="000000" w:themeColor="text1"/>
        </w:rPr>
        <w:drawing>
          <wp:inline distT="0" distB="0" distL="0" distR="0" wp14:anchorId="1638DDC9" wp14:editId="4FBD1440">
            <wp:extent cx="2818800" cy="1692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8800" cy="1692000"/>
                    </a:xfrm>
                    <a:prstGeom prst="rect">
                      <a:avLst/>
                    </a:prstGeom>
                    <a:noFill/>
                  </pic:spPr>
                </pic:pic>
              </a:graphicData>
            </a:graphic>
          </wp:inline>
        </w:drawing>
      </w:r>
      <w:r w:rsidRPr="00C965DD">
        <w:rPr>
          <w:noProof/>
          <w:color w:val="000000" w:themeColor="text1"/>
        </w:rPr>
        <w:drawing>
          <wp:inline distT="0" distB="0" distL="0" distR="0" wp14:anchorId="650CCD0C" wp14:editId="23BEC20E">
            <wp:extent cx="2818800" cy="169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8800" cy="1692000"/>
                    </a:xfrm>
                    <a:prstGeom prst="rect">
                      <a:avLst/>
                    </a:prstGeom>
                    <a:noFill/>
                  </pic:spPr>
                </pic:pic>
              </a:graphicData>
            </a:graphic>
          </wp:inline>
        </w:drawing>
      </w:r>
    </w:p>
    <w:p w14:paraId="5D4CCB87" w14:textId="77176279" w:rsidR="00127999" w:rsidRPr="00C965DD" w:rsidRDefault="00127999" w:rsidP="009104D0">
      <w:pPr>
        <w:pStyle w:val="Caption"/>
      </w:pPr>
      <w:bookmarkStart w:id="21" w:name="_Ref107846906"/>
      <w:r w:rsidRPr="00C965DD">
        <w:t xml:space="preserve">Figure </w:t>
      </w:r>
      <w:fldSimple w:instr=" SEQ Figure \* ARABIC ">
        <w:r w:rsidRPr="00C965DD">
          <w:rPr>
            <w:noProof/>
          </w:rPr>
          <w:t>20</w:t>
        </w:r>
      </w:fldSimple>
      <w:bookmarkEnd w:id="21"/>
      <w:r w:rsidRPr="00C965DD">
        <w:t xml:space="preserve"> (a-d) - Ideas and transitions</w:t>
      </w:r>
    </w:p>
    <w:p w14:paraId="0AC65E2C" w14:textId="77777777" w:rsidR="009872E6" w:rsidRPr="00C965DD" w:rsidRDefault="009872E6" w:rsidP="0015532E">
      <w:pPr>
        <w:rPr>
          <w:color w:val="000000" w:themeColor="text1"/>
        </w:rPr>
      </w:pPr>
    </w:p>
    <w:p w14:paraId="0ACC8027" w14:textId="7C609181" w:rsidR="009872E6" w:rsidRPr="00C965DD" w:rsidRDefault="009872E6" w:rsidP="0015532E">
      <w:pPr>
        <w:rPr>
          <w:color w:val="000000" w:themeColor="text1"/>
        </w:rPr>
      </w:pPr>
      <w:r w:rsidRPr="00C965DD">
        <w:rPr>
          <w:color w:val="000000" w:themeColor="text1"/>
        </w:rPr>
        <w:t xml:space="preserve">Given the preliminary data and analysis from this module, I argue that—contrary to the specification of learning for and through marginal EE concepts and contexts—students with relatively low levels of confidence in their future career directions (a relatively high CI) should have their learning about enterprise set in the context of their own (transitionary) pre-dispositions and experiences in relation to the working world. Here, interesting transitions in enterprising learning can and have occurred. As </w:t>
      </w:r>
      <w:r w:rsidRPr="00C965DD">
        <w:rPr>
          <w:color w:val="000000" w:themeColor="text1"/>
        </w:rPr>
        <w:fldChar w:fldCharType="begin"/>
      </w:r>
      <w:r w:rsidRPr="00C965DD">
        <w:rPr>
          <w:color w:val="000000" w:themeColor="text1"/>
        </w:rPr>
        <w:instrText xml:space="preserve"> REF _Ref107846906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20</w:t>
      </w:r>
      <w:r w:rsidRPr="00C965DD">
        <w:rPr>
          <w:color w:val="000000" w:themeColor="text1"/>
        </w:rPr>
        <w:fldChar w:fldCharType="end"/>
      </w:r>
      <w:r w:rsidRPr="00C965DD">
        <w:rPr>
          <w:color w:val="000000" w:themeColor="text1"/>
        </w:rPr>
        <w:t xml:space="preserve">b to </w:t>
      </w:r>
      <w:r w:rsidRPr="00C965DD">
        <w:rPr>
          <w:color w:val="000000" w:themeColor="text1"/>
        </w:rPr>
        <w:fldChar w:fldCharType="begin"/>
      </w:r>
      <w:r w:rsidRPr="00C965DD">
        <w:rPr>
          <w:color w:val="000000" w:themeColor="text1"/>
        </w:rPr>
        <w:instrText xml:space="preserve"> REF _Ref107846906 \h </w:instrText>
      </w:r>
      <w:r w:rsidRPr="00C965DD">
        <w:rPr>
          <w:color w:val="000000" w:themeColor="text1"/>
        </w:rPr>
      </w:r>
      <w:r w:rsidRPr="00C965DD">
        <w:rPr>
          <w:color w:val="000000" w:themeColor="text1"/>
        </w:rPr>
        <w:fldChar w:fldCharType="separate"/>
      </w:r>
      <w:r w:rsidRPr="00C965DD">
        <w:rPr>
          <w:color w:val="000000" w:themeColor="text1"/>
        </w:rPr>
        <w:t xml:space="preserve">Figure </w:t>
      </w:r>
      <w:r w:rsidRPr="00C965DD">
        <w:rPr>
          <w:noProof/>
          <w:color w:val="000000" w:themeColor="text1"/>
        </w:rPr>
        <w:t>20</w:t>
      </w:r>
      <w:r w:rsidRPr="00C965DD">
        <w:rPr>
          <w:color w:val="000000" w:themeColor="text1"/>
        </w:rPr>
        <w:fldChar w:fldCharType="end"/>
      </w:r>
      <w:r w:rsidRPr="00C965DD">
        <w:rPr>
          <w:color w:val="000000" w:themeColor="text1"/>
        </w:rPr>
        <w:t>d show in respect of some of the profit-related ideas, not every</w:t>
      </w:r>
      <w:r w:rsidR="005832A7" w:rsidRPr="00C965DD">
        <w:rPr>
          <w:color w:val="000000" w:themeColor="text1"/>
        </w:rPr>
        <w:t xml:space="preserve"> student </w:t>
      </w:r>
      <w:r w:rsidRPr="00C965DD">
        <w:rPr>
          <w:color w:val="000000" w:themeColor="text1"/>
        </w:rPr>
        <w:t xml:space="preserve">wants to be an entrepreneur. Some see </w:t>
      </w:r>
      <w:r w:rsidRPr="00C965DD">
        <w:rPr>
          <w:color w:val="000000" w:themeColor="text1"/>
        </w:rPr>
        <w:lastRenderedPageBreak/>
        <w:t>roles in innovation as employees in chosen industries; others aspire to experimenting or designing in retail context</w:t>
      </w:r>
      <w:r w:rsidR="005832A7" w:rsidRPr="00C965DD">
        <w:rPr>
          <w:color w:val="000000" w:themeColor="text1"/>
        </w:rPr>
        <w:t>s</w:t>
      </w:r>
      <w:r w:rsidRPr="00C965DD">
        <w:rPr>
          <w:color w:val="000000" w:themeColor="text1"/>
        </w:rPr>
        <w:t xml:space="preserve">, </w:t>
      </w:r>
      <w:r w:rsidR="005832A7" w:rsidRPr="00C965DD">
        <w:rPr>
          <w:color w:val="000000" w:themeColor="text1"/>
        </w:rPr>
        <w:t xml:space="preserve">and </w:t>
      </w:r>
      <w:r w:rsidRPr="00C965DD">
        <w:rPr>
          <w:color w:val="000000" w:themeColor="text1"/>
        </w:rPr>
        <w:t xml:space="preserve">yet others can be happy dreaming about new tech-for profit applications. </w:t>
      </w:r>
    </w:p>
    <w:p w14:paraId="7C7DC530" w14:textId="067821AB" w:rsidR="000902C0" w:rsidRPr="00C965DD" w:rsidRDefault="009872E6" w:rsidP="0015532E">
      <w:pPr>
        <w:rPr>
          <w:color w:val="000000" w:themeColor="text1"/>
        </w:rPr>
      </w:pPr>
      <w:r w:rsidRPr="00C965DD">
        <w:rPr>
          <w:color w:val="000000" w:themeColor="text1"/>
        </w:rPr>
        <w:t xml:space="preserve">     </w:t>
      </w:r>
      <w:r w:rsidR="00127999" w:rsidRPr="00C965DD">
        <w:rPr>
          <w:color w:val="000000" w:themeColor="text1"/>
        </w:rPr>
        <w:t>Consider, rather than an elective, if this module was a core element of 21</w:t>
      </w:r>
      <w:r w:rsidR="00127999" w:rsidRPr="00C965DD">
        <w:rPr>
          <w:color w:val="000000" w:themeColor="text1"/>
          <w:vertAlign w:val="superscript"/>
        </w:rPr>
        <w:t>st</w:t>
      </w:r>
      <w:r w:rsidR="00127999" w:rsidRPr="00C965DD">
        <w:rPr>
          <w:color w:val="000000" w:themeColor="text1"/>
        </w:rPr>
        <w:t xml:space="preserve"> century undergraduate EE education, in which students were encouraged to gain </w:t>
      </w:r>
      <w:r w:rsidR="005832A7" w:rsidRPr="00C965DD">
        <w:rPr>
          <w:color w:val="000000" w:themeColor="text1"/>
        </w:rPr>
        <w:t xml:space="preserve">early </w:t>
      </w:r>
      <w:r w:rsidR="00127999" w:rsidRPr="00C965DD">
        <w:rPr>
          <w:color w:val="000000" w:themeColor="text1"/>
        </w:rPr>
        <w:t>clarity about their enterprising potential, without prematurely being guided toward reified and marginalised EE interests</w:t>
      </w:r>
      <w:r w:rsidR="005832A7" w:rsidRPr="00C965DD">
        <w:rPr>
          <w:color w:val="000000" w:themeColor="text1"/>
        </w:rPr>
        <w:t>. W</w:t>
      </w:r>
      <w:r w:rsidR="00127999" w:rsidRPr="00C965DD">
        <w:rPr>
          <w:color w:val="000000" w:themeColor="text1"/>
        </w:rPr>
        <w:t>hat scope for encouraging a greater integration of EE with teachers and managers in education? If one consider</w:t>
      </w:r>
      <w:r w:rsidR="005832A7" w:rsidRPr="00C965DD">
        <w:rPr>
          <w:color w:val="000000" w:themeColor="text1"/>
        </w:rPr>
        <w:t>s</w:t>
      </w:r>
      <w:r w:rsidR="00127999" w:rsidRPr="00C965DD">
        <w:rPr>
          <w:color w:val="000000" w:themeColor="text1"/>
        </w:rPr>
        <w:t xml:space="preserve"> setting an objective and key result (OKR)</w:t>
      </w:r>
      <w:r w:rsidR="00127999" w:rsidRPr="00C965DD">
        <w:rPr>
          <w:rStyle w:val="EndnoteReference"/>
          <w:color w:val="000000" w:themeColor="text1"/>
        </w:rPr>
        <w:endnoteReference w:id="10"/>
      </w:r>
      <w:r w:rsidR="00127999" w:rsidRPr="00C965DD">
        <w:rPr>
          <w:color w:val="000000" w:themeColor="text1"/>
        </w:rPr>
        <w:t xml:space="preserve"> </w:t>
      </w:r>
      <w:r w:rsidR="0024444C" w:rsidRPr="00C965DD">
        <w:rPr>
          <w:color w:val="000000" w:themeColor="text1"/>
        </w:rPr>
        <w:t xml:space="preserve">for this module—based on its aim: </w:t>
      </w:r>
      <w:r w:rsidR="0024444C" w:rsidRPr="00C965DD">
        <w:rPr>
          <w:i/>
          <w:iCs/>
          <w:color w:val="000000" w:themeColor="text1"/>
        </w:rPr>
        <w:t>“…</w:t>
      </w:r>
      <w:r w:rsidR="0024444C" w:rsidRPr="00C965DD">
        <w:rPr>
          <w:rFonts w:eastAsia="Times New Roman" w:cs="Arial"/>
          <w:i/>
          <w:iCs/>
          <w:color w:val="000000" w:themeColor="text1"/>
          <w:lang w:eastAsia="en-GB"/>
        </w:rPr>
        <w:t>to develop confident, enterprising and creative graduates who will be able to cope with the ever-changing business environment, recognise opportunities and to take responsible and measured risks”</w:t>
      </w:r>
      <w:r w:rsidR="005832A7" w:rsidRPr="00C965DD">
        <w:rPr>
          <w:rFonts w:eastAsia="Times New Roman" w:cs="Arial"/>
          <w:i/>
          <w:iCs/>
          <w:color w:val="000000" w:themeColor="text1"/>
          <w:lang w:eastAsia="en-GB"/>
        </w:rPr>
        <w:t>,</w:t>
      </w:r>
      <w:r w:rsidR="0024444C" w:rsidRPr="00C965DD">
        <w:rPr>
          <w:rFonts w:eastAsia="Times New Roman" w:cs="Arial"/>
          <w:i/>
          <w:iCs/>
          <w:color w:val="000000" w:themeColor="text1"/>
          <w:lang w:eastAsia="en-GB"/>
        </w:rPr>
        <w:t xml:space="preserve"> </w:t>
      </w:r>
      <w:r w:rsidR="0024444C" w:rsidRPr="00C965DD">
        <w:rPr>
          <w:rFonts w:eastAsia="Times New Roman" w:cs="Arial"/>
          <w:color w:val="000000" w:themeColor="text1"/>
          <w:lang w:eastAsia="en-GB"/>
        </w:rPr>
        <w:t>then</w:t>
      </w:r>
      <w:r w:rsidR="0024444C" w:rsidRPr="00C965DD">
        <w:rPr>
          <w:color w:val="000000" w:themeColor="text1"/>
        </w:rPr>
        <w:t xml:space="preserve"> might it be </w:t>
      </w:r>
      <w:r w:rsidR="00621616" w:rsidRPr="00C965DD">
        <w:rPr>
          <w:color w:val="000000" w:themeColor="text1"/>
        </w:rPr>
        <w:t xml:space="preserve">as well to set the first objective as the elimination (or at least reduction) of </w:t>
      </w:r>
      <w:r w:rsidR="00066A81" w:rsidRPr="00C965DD">
        <w:rPr>
          <w:color w:val="000000" w:themeColor="text1"/>
        </w:rPr>
        <w:t>CI</w:t>
      </w:r>
      <w:r w:rsidR="00AD3D3E" w:rsidRPr="00C965DD">
        <w:rPr>
          <w:color w:val="000000" w:themeColor="text1"/>
        </w:rPr>
        <w:t>?</w:t>
      </w:r>
      <w:r w:rsidR="00621616" w:rsidRPr="00C965DD">
        <w:rPr>
          <w:color w:val="000000" w:themeColor="text1"/>
        </w:rPr>
        <w:t xml:space="preserve"> </w:t>
      </w:r>
      <w:r w:rsidR="00AD3D3E" w:rsidRPr="00C965DD">
        <w:rPr>
          <w:color w:val="000000" w:themeColor="text1"/>
        </w:rPr>
        <w:t>I argue that a</w:t>
      </w:r>
      <w:r w:rsidR="00621616" w:rsidRPr="00C965DD">
        <w:rPr>
          <w:color w:val="000000" w:themeColor="text1"/>
        </w:rPr>
        <w:t xml:space="preserve"> general approach to </w:t>
      </w:r>
      <w:r w:rsidR="000902C0" w:rsidRPr="00C965DD">
        <w:rPr>
          <w:color w:val="000000" w:themeColor="text1"/>
        </w:rPr>
        <w:t>‘</w:t>
      </w:r>
      <w:r w:rsidR="00621616" w:rsidRPr="00C965DD">
        <w:rPr>
          <w:color w:val="000000" w:themeColor="text1"/>
        </w:rPr>
        <w:t>learning about</w:t>
      </w:r>
      <w:r w:rsidR="000902C0" w:rsidRPr="00C965DD">
        <w:rPr>
          <w:color w:val="000000" w:themeColor="text1"/>
        </w:rPr>
        <w:t>’</w:t>
      </w:r>
      <w:r w:rsidR="00621616" w:rsidRPr="00C965DD">
        <w:rPr>
          <w:color w:val="000000" w:themeColor="text1"/>
        </w:rPr>
        <w:t xml:space="preserve"> EE will better set the ground for a more focussed study about</w:t>
      </w:r>
      <w:r w:rsidR="000902C0" w:rsidRPr="00C965DD">
        <w:rPr>
          <w:color w:val="000000" w:themeColor="text1"/>
        </w:rPr>
        <w:t xml:space="preserve">, for and </w:t>
      </w:r>
      <w:r w:rsidR="00621616" w:rsidRPr="00C965DD">
        <w:rPr>
          <w:color w:val="000000" w:themeColor="text1"/>
        </w:rPr>
        <w:t>through EE</w:t>
      </w:r>
      <w:r w:rsidR="00066A81" w:rsidRPr="00C965DD">
        <w:rPr>
          <w:color w:val="000000" w:themeColor="text1"/>
        </w:rPr>
        <w:t xml:space="preserve"> in the future</w:t>
      </w:r>
      <w:r w:rsidR="00621616" w:rsidRPr="00C965DD">
        <w:rPr>
          <w:color w:val="000000" w:themeColor="text1"/>
        </w:rPr>
        <w:t>.</w:t>
      </w:r>
      <w:r w:rsidR="00344814" w:rsidRPr="00C965DD">
        <w:rPr>
          <w:color w:val="000000" w:themeColor="text1"/>
        </w:rPr>
        <w:t xml:space="preserve"> </w:t>
      </w:r>
    </w:p>
    <w:p w14:paraId="150A663B" w14:textId="03F3B255" w:rsidR="00861D05" w:rsidRPr="00C965DD" w:rsidRDefault="000902C0" w:rsidP="0015532E">
      <w:pPr>
        <w:rPr>
          <w:color w:val="000000" w:themeColor="text1"/>
        </w:rPr>
      </w:pPr>
      <w:r w:rsidRPr="00C965DD">
        <w:rPr>
          <w:color w:val="000000" w:themeColor="text1"/>
        </w:rPr>
        <w:t xml:space="preserve">     </w:t>
      </w:r>
    </w:p>
    <w:p w14:paraId="0A895811" w14:textId="053E5628" w:rsidR="00C00A4D" w:rsidRPr="00C965DD" w:rsidRDefault="00C00A4D" w:rsidP="00CF1A47">
      <w:pPr>
        <w:pStyle w:val="Heading1"/>
      </w:pPr>
      <w:r w:rsidRPr="00C965DD">
        <w:t>Conclusions</w:t>
      </w:r>
    </w:p>
    <w:p w14:paraId="7F5A8ECB" w14:textId="510DFD09" w:rsidR="000F5CF5" w:rsidRPr="00C965DD" w:rsidRDefault="000902C0" w:rsidP="00E771BC">
      <w:pPr>
        <w:rPr>
          <w:color w:val="000000" w:themeColor="text1"/>
        </w:rPr>
      </w:pPr>
      <w:r w:rsidRPr="00C965DD">
        <w:rPr>
          <w:color w:val="000000" w:themeColor="text1"/>
        </w:rPr>
        <w:t xml:space="preserve">In HE, EE learning is </w:t>
      </w:r>
      <w:r w:rsidR="000F5CF5" w:rsidRPr="00C965DD">
        <w:rPr>
          <w:color w:val="000000" w:themeColor="text1"/>
        </w:rPr>
        <w:t>undertaken</w:t>
      </w:r>
      <w:r w:rsidRPr="00C965DD">
        <w:rPr>
          <w:color w:val="000000" w:themeColor="text1"/>
        </w:rPr>
        <w:t xml:space="preserve"> by an increasingly diverse range of </w:t>
      </w:r>
      <w:r w:rsidR="00256E62" w:rsidRPr="00C965DD">
        <w:rPr>
          <w:color w:val="000000" w:themeColor="text1"/>
        </w:rPr>
        <w:t>students</w:t>
      </w:r>
      <w:r w:rsidRPr="00C965DD">
        <w:rPr>
          <w:color w:val="000000" w:themeColor="text1"/>
        </w:rPr>
        <w:t xml:space="preserve">, from school leavers to adults (particularly </w:t>
      </w:r>
      <w:r w:rsidR="00256E62" w:rsidRPr="00C965DD">
        <w:rPr>
          <w:color w:val="000000" w:themeColor="text1"/>
        </w:rPr>
        <w:t>regarding</w:t>
      </w:r>
      <w:r w:rsidRPr="00C965DD">
        <w:rPr>
          <w:color w:val="000000" w:themeColor="text1"/>
        </w:rPr>
        <w:t xml:space="preserve"> UK degree-apprenticeships). </w:t>
      </w:r>
      <w:r w:rsidR="00AD3D3E" w:rsidRPr="00C965DD">
        <w:rPr>
          <w:color w:val="000000" w:themeColor="text1"/>
        </w:rPr>
        <w:t>In this</w:t>
      </w:r>
      <w:r w:rsidR="00E771BC" w:rsidRPr="00C965DD">
        <w:rPr>
          <w:color w:val="000000" w:themeColor="text1"/>
        </w:rPr>
        <w:t xml:space="preserve"> </w:t>
      </w:r>
      <w:r w:rsidR="005832A7" w:rsidRPr="00C965DD">
        <w:rPr>
          <w:color w:val="000000" w:themeColor="text1"/>
        </w:rPr>
        <w:t xml:space="preserve">research </w:t>
      </w:r>
      <w:r w:rsidR="00E771BC" w:rsidRPr="00C965DD">
        <w:rPr>
          <w:color w:val="000000" w:themeColor="text1"/>
        </w:rPr>
        <w:t xml:space="preserve">paper </w:t>
      </w:r>
      <w:r w:rsidR="00AD3D3E" w:rsidRPr="00C965DD">
        <w:rPr>
          <w:color w:val="000000" w:themeColor="text1"/>
        </w:rPr>
        <w:t xml:space="preserve">I </w:t>
      </w:r>
      <w:r w:rsidR="00F61679" w:rsidRPr="00C965DD">
        <w:rPr>
          <w:color w:val="000000" w:themeColor="text1"/>
        </w:rPr>
        <w:t>ha</w:t>
      </w:r>
      <w:r w:rsidR="00AD3D3E" w:rsidRPr="00C965DD">
        <w:rPr>
          <w:color w:val="000000" w:themeColor="text1"/>
        </w:rPr>
        <w:t xml:space="preserve">ve </w:t>
      </w:r>
      <w:r w:rsidR="005832A7" w:rsidRPr="00C965DD">
        <w:rPr>
          <w:color w:val="000000" w:themeColor="text1"/>
        </w:rPr>
        <w:t>reflected</w:t>
      </w:r>
      <w:r w:rsidR="00E771BC" w:rsidRPr="00C965DD">
        <w:rPr>
          <w:color w:val="000000" w:themeColor="text1"/>
        </w:rPr>
        <w:t xml:space="preserve"> of a novel experiment in</w:t>
      </w:r>
      <w:r w:rsidR="000F5CF5" w:rsidRPr="00C965DD">
        <w:rPr>
          <w:color w:val="000000" w:themeColor="text1"/>
        </w:rPr>
        <w:t xml:space="preserve"> </w:t>
      </w:r>
      <w:r w:rsidR="00256E62" w:rsidRPr="00C965DD">
        <w:rPr>
          <w:color w:val="000000" w:themeColor="text1"/>
        </w:rPr>
        <w:t xml:space="preserve">EE </w:t>
      </w:r>
      <w:r w:rsidR="000F5CF5" w:rsidRPr="00C965DD">
        <w:rPr>
          <w:color w:val="000000" w:themeColor="text1"/>
        </w:rPr>
        <w:t>learning</w:t>
      </w:r>
      <w:r w:rsidR="00256E62" w:rsidRPr="00C965DD">
        <w:rPr>
          <w:color w:val="000000" w:themeColor="text1"/>
        </w:rPr>
        <w:t>,</w:t>
      </w:r>
      <w:r w:rsidR="000F5CF5" w:rsidRPr="00C965DD">
        <w:rPr>
          <w:color w:val="000000" w:themeColor="text1"/>
        </w:rPr>
        <w:t xml:space="preserve"> </w:t>
      </w:r>
      <w:r w:rsidR="00174312" w:rsidRPr="00C01FA4">
        <w:rPr>
          <w:color w:val="000000" w:themeColor="text1"/>
        </w:rPr>
        <w:t>grounded in</w:t>
      </w:r>
      <w:r w:rsidR="00174312" w:rsidRPr="00C01FA4">
        <w:rPr>
          <w:b/>
          <w:bCs/>
          <w:color w:val="000000" w:themeColor="text1"/>
        </w:rPr>
        <w:t xml:space="preserve"> </w:t>
      </w:r>
      <w:r w:rsidR="00174312" w:rsidRPr="00C01FA4">
        <w:rPr>
          <w:color w:val="000000" w:themeColor="text1"/>
        </w:rPr>
        <w:t>critical theory.</w:t>
      </w:r>
      <w:r w:rsidR="00174312" w:rsidRPr="00C965DD">
        <w:rPr>
          <w:b/>
          <w:bCs/>
          <w:color w:val="000000" w:themeColor="text1"/>
        </w:rPr>
        <w:t xml:space="preserve"> </w:t>
      </w:r>
      <w:r w:rsidR="00174312" w:rsidRPr="00C965DD">
        <w:rPr>
          <w:color w:val="000000" w:themeColor="text1"/>
        </w:rPr>
        <w:t>This concerns</w:t>
      </w:r>
      <w:r w:rsidR="00174312" w:rsidRPr="00C965DD">
        <w:rPr>
          <w:b/>
          <w:bCs/>
          <w:color w:val="000000" w:themeColor="text1"/>
        </w:rPr>
        <w:t xml:space="preserve"> </w:t>
      </w:r>
      <w:r w:rsidR="0092546B" w:rsidRPr="00C965DD">
        <w:rPr>
          <w:color w:val="000000" w:themeColor="text1"/>
        </w:rPr>
        <w:t xml:space="preserve">a </w:t>
      </w:r>
      <w:r w:rsidR="00174312" w:rsidRPr="00C965DD">
        <w:rPr>
          <w:color w:val="000000" w:themeColor="text1"/>
        </w:rPr>
        <w:t>2nd</w:t>
      </w:r>
      <w:r w:rsidR="0092546B" w:rsidRPr="00C965DD">
        <w:rPr>
          <w:color w:val="000000" w:themeColor="text1"/>
        </w:rPr>
        <w:t>-year undergraduate module in a UK HE business school</w:t>
      </w:r>
      <w:r w:rsidR="00E771BC" w:rsidRPr="00C965DD">
        <w:rPr>
          <w:color w:val="000000" w:themeColor="text1"/>
        </w:rPr>
        <w:t xml:space="preserve">. In </w:t>
      </w:r>
      <w:r w:rsidR="00AD3D3E" w:rsidRPr="00C965DD">
        <w:rPr>
          <w:color w:val="000000" w:themeColor="text1"/>
        </w:rPr>
        <w:t>the module</w:t>
      </w:r>
      <w:r w:rsidR="00E771BC" w:rsidRPr="00C965DD">
        <w:rPr>
          <w:color w:val="000000" w:themeColor="text1"/>
        </w:rPr>
        <w:t xml:space="preserve"> design, </w:t>
      </w:r>
      <w:r w:rsidR="00AD3D3E" w:rsidRPr="00C965DD">
        <w:rPr>
          <w:color w:val="000000" w:themeColor="text1"/>
        </w:rPr>
        <w:t>I have</w:t>
      </w:r>
      <w:r w:rsidR="00E771BC" w:rsidRPr="00C965DD">
        <w:rPr>
          <w:color w:val="000000" w:themeColor="text1"/>
        </w:rPr>
        <w:t xml:space="preserve"> dismisse</w:t>
      </w:r>
      <w:r w:rsidR="00AD3D3E" w:rsidRPr="00C965DD">
        <w:rPr>
          <w:color w:val="000000" w:themeColor="text1"/>
        </w:rPr>
        <w:t>d</w:t>
      </w:r>
      <w:r w:rsidR="00E771BC" w:rsidRPr="00C965DD">
        <w:rPr>
          <w:rFonts w:cs="Arial"/>
          <w:color w:val="000000" w:themeColor="text1"/>
          <w:lang w:eastAsia="en-GB"/>
        </w:rPr>
        <w:t xml:space="preserve"> a</w:t>
      </w:r>
      <w:r w:rsidR="00621616" w:rsidRPr="00C965DD">
        <w:rPr>
          <w:rFonts w:cs="Arial"/>
          <w:color w:val="000000" w:themeColor="text1"/>
          <w:lang w:eastAsia="en-GB"/>
        </w:rPr>
        <w:t xml:space="preserve">n implied </w:t>
      </w:r>
      <w:r w:rsidR="00E771BC" w:rsidRPr="00C965DD">
        <w:rPr>
          <w:rFonts w:cs="Arial"/>
          <w:color w:val="000000" w:themeColor="text1"/>
          <w:lang w:eastAsia="en-GB"/>
        </w:rPr>
        <w:t>intent that students explore and assess a business opportunity to present a feasible business concept.</w:t>
      </w:r>
      <w:r w:rsidR="00E771BC" w:rsidRPr="00C965DD">
        <w:rPr>
          <w:rFonts w:cs="Tahoma"/>
          <w:bCs/>
          <w:color w:val="000000" w:themeColor="text1"/>
        </w:rPr>
        <w:t xml:space="preserve"> </w:t>
      </w:r>
      <w:r w:rsidR="00621616" w:rsidRPr="00C965DD">
        <w:rPr>
          <w:rFonts w:cs="Tahoma"/>
          <w:bCs/>
          <w:color w:val="000000" w:themeColor="text1"/>
        </w:rPr>
        <w:t xml:space="preserve">Not all students </w:t>
      </w:r>
      <w:r w:rsidR="000F5CF5" w:rsidRPr="00C965DD">
        <w:rPr>
          <w:rFonts w:cs="Tahoma"/>
          <w:bCs/>
          <w:color w:val="000000" w:themeColor="text1"/>
        </w:rPr>
        <w:t>(</w:t>
      </w:r>
      <w:r w:rsidR="00621616" w:rsidRPr="00C965DD">
        <w:rPr>
          <w:rFonts w:cs="Tahoma"/>
          <w:bCs/>
          <w:color w:val="000000" w:themeColor="text1"/>
        </w:rPr>
        <w:t>of business</w:t>
      </w:r>
      <w:r w:rsidR="000F5CF5" w:rsidRPr="00C965DD">
        <w:rPr>
          <w:rFonts w:cs="Tahoma"/>
          <w:bCs/>
          <w:color w:val="000000" w:themeColor="text1"/>
        </w:rPr>
        <w:t>)</w:t>
      </w:r>
      <w:r w:rsidR="00621616" w:rsidRPr="00C965DD">
        <w:rPr>
          <w:rFonts w:cs="Tahoma"/>
          <w:bCs/>
          <w:color w:val="000000" w:themeColor="text1"/>
        </w:rPr>
        <w:t xml:space="preserve"> want to be entrepreneurs, and in an elective where </w:t>
      </w:r>
      <w:r w:rsidR="008B73A4" w:rsidRPr="00C965DD">
        <w:rPr>
          <w:rFonts w:cs="Tahoma"/>
          <w:bCs/>
          <w:color w:val="000000" w:themeColor="text1"/>
        </w:rPr>
        <w:t>EI</w:t>
      </w:r>
      <w:r w:rsidR="00621616" w:rsidRPr="00C965DD">
        <w:rPr>
          <w:rFonts w:cs="Tahoma"/>
          <w:bCs/>
          <w:color w:val="000000" w:themeColor="text1"/>
        </w:rPr>
        <w:t xml:space="preserve"> is far from evident, </w:t>
      </w:r>
      <w:r w:rsidR="00256E62" w:rsidRPr="00C965DD">
        <w:rPr>
          <w:rFonts w:cs="Tahoma"/>
          <w:bCs/>
          <w:color w:val="000000" w:themeColor="text1"/>
        </w:rPr>
        <w:t xml:space="preserve">I used </w:t>
      </w:r>
      <w:r w:rsidR="00174312" w:rsidRPr="00C965DD">
        <w:rPr>
          <w:rFonts w:cs="Tahoma"/>
          <w:bCs/>
          <w:color w:val="000000" w:themeColor="text1"/>
        </w:rPr>
        <w:t xml:space="preserve">the </w:t>
      </w:r>
      <w:r w:rsidR="0092546B" w:rsidRPr="00C965DD">
        <w:rPr>
          <w:rFonts w:cs="Tahoma"/>
          <w:bCs/>
          <w:color w:val="000000" w:themeColor="text1"/>
        </w:rPr>
        <w:t>module</w:t>
      </w:r>
      <w:r w:rsidR="00215B60" w:rsidRPr="00C965DD">
        <w:rPr>
          <w:rFonts w:cs="Tahoma"/>
          <w:bCs/>
          <w:color w:val="000000" w:themeColor="text1"/>
        </w:rPr>
        <w:t xml:space="preserve"> </w:t>
      </w:r>
      <w:r w:rsidR="00256E62" w:rsidRPr="00C965DD">
        <w:rPr>
          <w:rFonts w:cs="Tahoma"/>
          <w:bCs/>
          <w:color w:val="000000" w:themeColor="text1"/>
        </w:rPr>
        <w:t xml:space="preserve">to </w:t>
      </w:r>
      <w:r w:rsidR="00215B60" w:rsidRPr="00C965DD">
        <w:rPr>
          <w:rFonts w:cs="Tahoma"/>
          <w:bCs/>
          <w:color w:val="000000" w:themeColor="text1"/>
        </w:rPr>
        <w:t>create an environment where the students could develop an enterprising idea in the</w:t>
      </w:r>
      <w:r w:rsidRPr="00C965DD">
        <w:rPr>
          <w:rFonts w:cs="Tahoma"/>
          <w:bCs/>
          <w:color w:val="000000" w:themeColor="text1"/>
        </w:rPr>
        <w:t xml:space="preserve"> </w:t>
      </w:r>
      <w:r w:rsidR="00215B60" w:rsidRPr="00C965DD">
        <w:rPr>
          <w:rFonts w:cs="Tahoma"/>
          <w:bCs/>
          <w:color w:val="000000" w:themeColor="text1"/>
        </w:rPr>
        <w:t>context</w:t>
      </w:r>
      <w:r w:rsidRPr="00C965DD">
        <w:rPr>
          <w:rFonts w:cs="Tahoma"/>
          <w:bCs/>
          <w:color w:val="000000" w:themeColor="text1"/>
        </w:rPr>
        <w:t xml:space="preserve"> of their own future in </w:t>
      </w:r>
      <w:r w:rsidR="00256E62" w:rsidRPr="00C965DD">
        <w:rPr>
          <w:rFonts w:cs="Tahoma"/>
          <w:bCs/>
          <w:color w:val="000000" w:themeColor="text1"/>
        </w:rPr>
        <w:t xml:space="preserve">a </w:t>
      </w:r>
      <w:r w:rsidRPr="00C965DD">
        <w:rPr>
          <w:rFonts w:cs="Tahoma"/>
          <w:bCs/>
          <w:color w:val="000000" w:themeColor="text1"/>
        </w:rPr>
        <w:t>work</w:t>
      </w:r>
      <w:r w:rsidR="00256E62" w:rsidRPr="00C965DD">
        <w:rPr>
          <w:rFonts w:cs="Tahoma"/>
          <w:bCs/>
          <w:color w:val="000000" w:themeColor="text1"/>
        </w:rPr>
        <w:t>place</w:t>
      </w:r>
      <w:r w:rsidR="00215B60" w:rsidRPr="00C965DD">
        <w:rPr>
          <w:rFonts w:cs="Tahoma"/>
          <w:bCs/>
          <w:color w:val="000000" w:themeColor="text1"/>
        </w:rPr>
        <w:t>.</w:t>
      </w:r>
      <w:r w:rsidR="000F5CF5" w:rsidRPr="00C965DD">
        <w:rPr>
          <w:color w:val="000000" w:themeColor="text1"/>
        </w:rPr>
        <w:t xml:space="preserve"> </w:t>
      </w:r>
    </w:p>
    <w:p w14:paraId="71219B6A" w14:textId="600086C8" w:rsidR="00E771BC" w:rsidRPr="00C965DD" w:rsidRDefault="000F5CF5" w:rsidP="00E771BC">
      <w:pPr>
        <w:rPr>
          <w:color w:val="000000" w:themeColor="text1"/>
        </w:rPr>
      </w:pPr>
      <w:r w:rsidRPr="00C965DD">
        <w:rPr>
          <w:color w:val="000000" w:themeColor="text1"/>
        </w:rPr>
        <w:lastRenderedPageBreak/>
        <w:t xml:space="preserve">      Reflecting on this approach to a broadly defined EE learning, </w:t>
      </w:r>
      <w:r w:rsidR="00256E62" w:rsidRPr="00C965DD">
        <w:rPr>
          <w:color w:val="000000" w:themeColor="text1"/>
        </w:rPr>
        <w:t>my</w:t>
      </w:r>
      <w:r w:rsidRPr="00C965DD">
        <w:rPr>
          <w:color w:val="000000" w:themeColor="text1"/>
        </w:rPr>
        <w:t xml:space="preserve"> focus is on exploring the key dimensions of enterprising work. </w:t>
      </w:r>
      <w:r w:rsidR="00256E62" w:rsidRPr="00C965DD">
        <w:rPr>
          <w:color w:val="000000" w:themeColor="text1"/>
        </w:rPr>
        <w:t>I eschew a</w:t>
      </w:r>
      <w:r w:rsidRPr="00C965DD">
        <w:rPr>
          <w:color w:val="000000" w:themeColor="text1"/>
        </w:rPr>
        <w:t xml:space="preserve">ny notion of an idealised entrepreneurial identity. Furthermore, although the range of students </w:t>
      </w:r>
      <w:r w:rsidR="00256E62" w:rsidRPr="00C965DD">
        <w:rPr>
          <w:color w:val="000000" w:themeColor="text1"/>
        </w:rPr>
        <w:t>drew</w:t>
      </w:r>
      <w:r w:rsidRPr="00C965DD">
        <w:rPr>
          <w:color w:val="000000" w:themeColor="text1"/>
        </w:rPr>
        <w:t xml:space="preserve"> from the business school environment, the nature of the lecture and seminar content d</w:t>
      </w:r>
      <w:r w:rsidR="00256E62" w:rsidRPr="00C965DD">
        <w:rPr>
          <w:color w:val="000000" w:themeColor="text1"/>
        </w:rPr>
        <w:t>id</w:t>
      </w:r>
      <w:r w:rsidRPr="00C965DD">
        <w:rPr>
          <w:color w:val="000000" w:themeColor="text1"/>
        </w:rPr>
        <w:t xml:space="preserve"> not call for in-depth prior knowledge of business and/or management functions.</w:t>
      </w:r>
    </w:p>
    <w:p w14:paraId="3D752CB0" w14:textId="4DAB42F2" w:rsidR="00E771BC" w:rsidRPr="00C965DD" w:rsidRDefault="00215B60" w:rsidP="00E771BC">
      <w:pPr>
        <w:rPr>
          <w:color w:val="000000" w:themeColor="text1"/>
        </w:rPr>
      </w:pPr>
      <w:r w:rsidRPr="00C965DD">
        <w:rPr>
          <w:color w:val="000000" w:themeColor="text1"/>
        </w:rPr>
        <w:t xml:space="preserve">     </w:t>
      </w:r>
      <w:r w:rsidR="00256E62" w:rsidRPr="00C965DD">
        <w:rPr>
          <w:color w:val="000000" w:themeColor="text1"/>
        </w:rPr>
        <w:t>In t</w:t>
      </w:r>
      <w:r w:rsidRPr="00C965DD">
        <w:rPr>
          <w:color w:val="000000" w:themeColor="text1"/>
        </w:rPr>
        <w:t>he paper</w:t>
      </w:r>
      <w:r w:rsidR="00E771BC" w:rsidRPr="00C965DD">
        <w:rPr>
          <w:color w:val="000000" w:themeColor="text1"/>
        </w:rPr>
        <w:t xml:space="preserve"> </w:t>
      </w:r>
      <w:r w:rsidR="00256E62" w:rsidRPr="00C965DD">
        <w:rPr>
          <w:color w:val="000000" w:themeColor="text1"/>
        </w:rPr>
        <w:t xml:space="preserve">I have </w:t>
      </w:r>
      <w:r w:rsidR="00E771BC" w:rsidRPr="00C965DD">
        <w:rPr>
          <w:color w:val="000000" w:themeColor="text1"/>
        </w:rPr>
        <w:t>introduced an essential</w:t>
      </w:r>
      <w:r w:rsidR="00256E62" w:rsidRPr="00C965DD">
        <w:rPr>
          <w:color w:val="000000" w:themeColor="text1"/>
        </w:rPr>
        <w:t>ly critical</w:t>
      </w:r>
      <w:r w:rsidR="00E771BC" w:rsidRPr="00C965DD">
        <w:rPr>
          <w:color w:val="000000" w:themeColor="text1"/>
        </w:rPr>
        <w:t xml:space="preserve"> theory</w:t>
      </w:r>
      <w:r w:rsidR="000F5CF5" w:rsidRPr="00C965DD">
        <w:rPr>
          <w:color w:val="000000" w:themeColor="text1"/>
        </w:rPr>
        <w:t xml:space="preserve"> and method</w:t>
      </w:r>
      <w:r w:rsidR="00E771BC" w:rsidRPr="00C965DD">
        <w:rPr>
          <w:color w:val="000000" w:themeColor="text1"/>
        </w:rPr>
        <w:t xml:space="preserve"> of artistic work. </w:t>
      </w:r>
      <w:r w:rsidR="00256E62" w:rsidRPr="00C965DD">
        <w:rPr>
          <w:color w:val="000000" w:themeColor="text1"/>
        </w:rPr>
        <w:t>My reflection</w:t>
      </w:r>
      <w:r w:rsidRPr="00C965DD">
        <w:rPr>
          <w:color w:val="000000" w:themeColor="text1"/>
        </w:rPr>
        <w:t xml:space="preserve"> suggest</w:t>
      </w:r>
      <w:r w:rsidR="000B1105" w:rsidRPr="00C965DD">
        <w:rPr>
          <w:color w:val="000000" w:themeColor="text1"/>
        </w:rPr>
        <w:t>s</w:t>
      </w:r>
      <w:r w:rsidRPr="00C965DD">
        <w:rPr>
          <w:color w:val="000000" w:themeColor="text1"/>
        </w:rPr>
        <w:t xml:space="preserve"> that t</w:t>
      </w:r>
      <w:r w:rsidR="00E771BC" w:rsidRPr="00C965DD">
        <w:rPr>
          <w:color w:val="000000" w:themeColor="text1"/>
        </w:rPr>
        <w:t xml:space="preserve">he outcomes from the </w:t>
      </w:r>
      <w:r w:rsidR="000B1105" w:rsidRPr="00C965DD">
        <w:rPr>
          <w:color w:val="000000" w:themeColor="text1"/>
        </w:rPr>
        <w:t xml:space="preserve">module’s </w:t>
      </w:r>
      <w:r w:rsidR="00E771BC" w:rsidRPr="00C965DD">
        <w:rPr>
          <w:color w:val="000000" w:themeColor="text1"/>
        </w:rPr>
        <w:t>first cohort during Semester 2, 2022, ha</w:t>
      </w:r>
      <w:r w:rsidRPr="00C965DD">
        <w:rPr>
          <w:color w:val="000000" w:themeColor="text1"/>
        </w:rPr>
        <w:t>ve</w:t>
      </w:r>
      <w:r w:rsidR="00E771BC" w:rsidRPr="00C965DD">
        <w:rPr>
          <w:color w:val="000000" w:themeColor="text1"/>
        </w:rPr>
        <w:t xml:space="preserve"> set sufficient groundwork for a </w:t>
      </w:r>
      <w:r w:rsidR="00256E62" w:rsidRPr="00C965DD">
        <w:rPr>
          <w:color w:val="000000" w:themeColor="text1"/>
        </w:rPr>
        <w:t xml:space="preserve">more exacting, </w:t>
      </w:r>
      <w:r w:rsidR="00627044" w:rsidRPr="00C01FA4">
        <w:rPr>
          <w:color w:val="000000" w:themeColor="text1"/>
        </w:rPr>
        <w:t>critical</w:t>
      </w:r>
      <w:r w:rsidR="00E771BC" w:rsidRPr="00C965DD">
        <w:rPr>
          <w:color w:val="000000" w:themeColor="text1"/>
        </w:rPr>
        <w:t xml:space="preserve"> discussion of </w:t>
      </w:r>
      <w:r w:rsidR="00256E62" w:rsidRPr="00C965DD">
        <w:rPr>
          <w:color w:val="000000" w:themeColor="text1"/>
        </w:rPr>
        <w:t>my</w:t>
      </w:r>
      <w:r w:rsidRPr="00C965DD">
        <w:rPr>
          <w:color w:val="000000" w:themeColor="text1"/>
        </w:rPr>
        <w:t xml:space="preserve"> approach</w:t>
      </w:r>
      <w:r w:rsidR="00E771BC" w:rsidRPr="00C965DD">
        <w:rPr>
          <w:color w:val="000000" w:themeColor="text1"/>
        </w:rPr>
        <w:t xml:space="preserve">. </w:t>
      </w:r>
      <w:r w:rsidRPr="00C965DD">
        <w:rPr>
          <w:color w:val="000000" w:themeColor="text1"/>
        </w:rPr>
        <w:t>Here, i</w:t>
      </w:r>
      <w:r w:rsidR="00E771BC" w:rsidRPr="00C965DD">
        <w:rPr>
          <w:color w:val="000000" w:themeColor="text1"/>
        </w:rPr>
        <w:t>n the context of HE</w:t>
      </w:r>
      <w:r w:rsidRPr="00C965DD">
        <w:rPr>
          <w:color w:val="000000" w:themeColor="text1"/>
        </w:rPr>
        <w:t>’s</w:t>
      </w:r>
      <w:r w:rsidR="00E771BC" w:rsidRPr="00C965DD">
        <w:rPr>
          <w:color w:val="000000" w:themeColor="text1"/>
        </w:rPr>
        <w:t xml:space="preserve"> great potential as a source of ideas and competences, and as a</w:t>
      </w:r>
      <w:r w:rsidR="000B1105" w:rsidRPr="00C965DD">
        <w:rPr>
          <w:color w:val="000000" w:themeColor="text1"/>
        </w:rPr>
        <w:t xml:space="preserve"> </w:t>
      </w:r>
      <w:r w:rsidR="00E771BC" w:rsidRPr="00C965DD">
        <w:rPr>
          <w:color w:val="000000" w:themeColor="text1"/>
        </w:rPr>
        <w:t>launch pad for enterprise</w:t>
      </w:r>
      <w:r w:rsidRPr="00C965DD">
        <w:rPr>
          <w:color w:val="000000" w:themeColor="text1"/>
        </w:rPr>
        <w:t xml:space="preserve">, </w:t>
      </w:r>
      <w:r w:rsidR="00850224" w:rsidRPr="00C965DD">
        <w:rPr>
          <w:color w:val="000000" w:themeColor="text1"/>
        </w:rPr>
        <w:t xml:space="preserve">I have argued that it has been possible to encourage an appealingly diverse range of enterprising learning, </w:t>
      </w:r>
      <w:r w:rsidRPr="00C965DD">
        <w:rPr>
          <w:color w:val="000000" w:themeColor="text1"/>
        </w:rPr>
        <w:t>rather than a narrow appeal to a minority of entrepreneurial students</w:t>
      </w:r>
      <w:r w:rsidR="00850224" w:rsidRPr="00C965DD">
        <w:rPr>
          <w:color w:val="000000" w:themeColor="text1"/>
        </w:rPr>
        <w:t>.</w:t>
      </w:r>
      <w:r w:rsidRPr="00C965DD">
        <w:rPr>
          <w:color w:val="000000" w:themeColor="text1"/>
        </w:rPr>
        <w:t xml:space="preserve"> </w:t>
      </w:r>
      <w:r w:rsidR="00850224" w:rsidRPr="00C965DD">
        <w:rPr>
          <w:color w:val="000000" w:themeColor="text1"/>
        </w:rPr>
        <w:t>In the</w:t>
      </w:r>
      <w:r w:rsidR="00E771BC" w:rsidRPr="00C965DD">
        <w:rPr>
          <w:color w:val="000000" w:themeColor="text1"/>
        </w:rPr>
        <w:t xml:space="preserve"> module</w:t>
      </w:r>
      <w:r w:rsidR="000B1105" w:rsidRPr="00C965DD">
        <w:rPr>
          <w:color w:val="000000" w:themeColor="text1"/>
        </w:rPr>
        <w:t xml:space="preserve"> </w:t>
      </w:r>
      <w:r w:rsidR="00850224" w:rsidRPr="00C965DD">
        <w:rPr>
          <w:color w:val="000000" w:themeColor="text1"/>
        </w:rPr>
        <w:t>design, I have made</w:t>
      </w:r>
      <w:r w:rsidR="000B1105" w:rsidRPr="00C965DD">
        <w:rPr>
          <w:color w:val="000000" w:themeColor="text1"/>
        </w:rPr>
        <w:t xml:space="preserve"> it feasible for students to identify with the </w:t>
      </w:r>
      <w:r w:rsidR="00E771BC" w:rsidRPr="00C965DD">
        <w:rPr>
          <w:color w:val="000000" w:themeColor="text1"/>
        </w:rPr>
        <w:t xml:space="preserve">persona of the enterprise artist (the entrepreneur), </w:t>
      </w:r>
      <w:r w:rsidR="000B1105" w:rsidRPr="00C965DD">
        <w:rPr>
          <w:color w:val="000000" w:themeColor="text1"/>
        </w:rPr>
        <w:t>or one of the</w:t>
      </w:r>
      <w:r w:rsidR="00E771BC" w:rsidRPr="00C965DD">
        <w:rPr>
          <w:color w:val="000000" w:themeColor="text1"/>
        </w:rPr>
        <w:t xml:space="preserve"> six other personas</w:t>
      </w:r>
      <w:r w:rsidR="000B1105" w:rsidRPr="00C965DD">
        <w:rPr>
          <w:color w:val="000000" w:themeColor="text1"/>
        </w:rPr>
        <w:t>:</w:t>
      </w:r>
      <w:r w:rsidR="00E771BC" w:rsidRPr="00C965DD">
        <w:rPr>
          <w:color w:val="000000" w:themeColor="text1"/>
        </w:rPr>
        <w:t xml:space="preserve"> the dreamer, craftsperson, innovator (creative), experimenter, reproducer and designer. </w:t>
      </w:r>
      <w:r w:rsidR="0092546B" w:rsidRPr="00C965DD">
        <w:rPr>
          <w:color w:val="000000" w:themeColor="text1"/>
        </w:rPr>
        <w:t>In th</w:t>
      </w:r>
      <w:r w:rsidR="00850224" w:rsidRPr="00C965DD">
        <w:rPr>
          <w:color w:val="000000" w:themeColor="text1"/>
        </w:rPr>
        <w:t>is reflection on an application of critical theory,</w:t>
      </w:r>
      <w:r w:rsidR="0092546B" w:rsidRPr="00C965DD">
        <w:rPr>
          <w:color w:val="000000" w:themeColor="text1"/>
        </w:rPr>
        <w:t xml:space="preserve"> I have</w:t>
      </w:r>
      <w:r w:rsidR="00E771BC" w:rsidRPr="00C965DD">
        <w:rPr>
          <w:color w:val="000000" w:themeColor="text1"/>
        </w:rPr>
        <w:t xml:space="preserve"> argued that these seven ‘personas of enterprise’ allow for a range of engagement from a variety of students who may </w:t>
      </w:r>
      <w:r w:rsidR="001B710D" w:rsidRPr="00C965DD">
        <w:rPr>
          <w:color w:val="000000" w:themeColor="text1"/>
        </w:rPr>
        <w:t xml:space="preserve">be </w:t>
      </w:r>
      <w:r w:rsidR="00E771BC" w:rsidRPr="00C965DD">
        <w:rPr>
          <w:color w:val="000000" w:themeColor="text1"/>
        </w:rPr>
        <w:t xml:space="preserve">either uncertain of their future career </w:t>
      </w:r>
      <w:r w:rsidR="001B710D" w:rsidRPr="00C965DD">
        <w:rPr>
          <w:color w:val="000000" w:themeColor="text1"/>
        </w:rPr>
        <w:t>direction or</w:t>
      </w:r>
      <w:r w:rsidR="00E771BC" w:rsidRPr="00C965DD">
        <w:rPr>
          <w:color w:val="000000" w:themeColor="text1"/>
        </w:rPr>
        <w:t xml:space="preserve"> </w:t>
      </w:r>
      <w:r w:rsidR="001B710D" w:rsidRPr="00C965DD">
        <w:rPr>
          <w:color w:val="000000" w:themeColor="text1"/>
        </w:rPr>
        <w:t>predisposed</w:t>
      </w:r>
      <w:r w:rsidR="00E771BC" w:rsidRPr="00C965DD">
        <w:rPr>
          <w:color w:val="000000" w:themeColor="text1"/>
        </w:rPr>
        <w:t xml:space="preserve"> to adopt one persona over another. </w:t>
      </w:r>
      <w:r w:rsidR="000B1105" w:rsidRPr="00C965DD">
        <w:rPr>
          <w:color w:val="000000" w:themeColor="text1"/>
        </w:rPr>
        <w:t>The knowledge/learning associated with the aspirational identification of one person</w:t>
      </w:r>
      <w:r w:rsidR="00850224" w:rsidRPr="00C965DD">
        <w:rPr>
          <w:color w:val="000000" w:themeColor="text1"/>
        </w:rPr>
        <w:t>a</w:t>
      </w:r>
      <w:r w:rsidR="000B1105" w:rsidRPr="00C965DD">
        <w:rPr>
          <w:color w:val="000000" w:themeColor="text1"/>
        </w:rPr>
        <w:t xml:space="preserve"> over another, may guide educators to better direct subsequent EE learning, in more narrowly </w:t>
      </w:r>
      <w:r w:rsidR="001B710D" w:rsidRPr="00C965DD">
        <w:rPr>
          <w:color w:val="000000" w:themeColor="text1"/>
        </w:rPr>
        <w:t>defined</w:t>
      </w:r>
      <w:r w:rsidR="000B1105" w:rsidRPr="00C965DD">
        <w:rPr>
          <w:color w:val="000000" w:themeColor="text1"/>
        </w:rPr>
        <w:t xml:space="preserve"> and contextualised </w:t>
      </w:r>
      <w:r w:rsidR="001B710D" w:rsidRPr="00C965DD">
        <w:rPr>
          <w:color w:val="000000" w:themeColor="text1"/>
        </w:rPr>
        <w:t>ways</w:t>
      </w:r>
      <w:r w:rsidR="000B1105" w:rsidRPr="00C965DD">
        <w:rPr>
          <w:color w:val="000000" w:themeColor="text1"/>
        </w:rPr>
        <w:t xml:space="preserve">. </w:t>
      </w:r>
      <w:r w:rsidR="002C2636" w:rsidRPr="00C965DD">
        <w:rPr>
          <w:color w:val="000000" w:themeColor="text1"/>
        </w:rPr>
        <w:t>I believe this approach</w:t>
      </w:r>
      <w:r w:rsidR="00AF4EE9" w:rsidRPr="00C965DD">
        <w:rPr>
          <w:color w:val="000000" w:themeColor="text1"/>
        </w:rPr>
        <w:t xml:space="preserve"> through critical theory </w:t>
      </w:r>
      <w:r w:rsidR="002C2636" w:rsidRPr="00C965DD">
        <w:rPr>
          <w:color w:val="000000" w:themeColor="text1"/>
        </w:rPr>
        <w:t>hold</w:t>
      </w:r>
      <w:r w:rsidR="00AF4EE9" w:rsidRPr="00C965DD">
        <w:rPr>
          <w:color w:val="000000" w:themeColor="text1"/>
        </w:rPr>
        <w:t>s</w:t>
      </w:r>
      <w:r w:rsidR="002C2636" w:rsidRPr="00C965DD">
        <w:rPr>
          <w:color w:val="000000" w:themeColor="text1"/>
        </w:rPr>
        <w:t xml:space="preserve"> profound implications for how difficult-to-define </w:t>
      </w:r>
      <w:r w:rsidR="00AF4EE9" w:rsidRPr="00C965DD">
        <w:rPr>
          <w:color w:val="000000" w:themeColor="text1"/>
        </w:rPr>
        <w:t xml:space="preserve">career </w:t>
      </w:r>
      <w:r w:rsidR="002C2636" w:rsidRPr="00C965DD">
        <w:rPr>
          <w:color w:val="000000" w:themeColor="text1"/>
        </w:rPr>
        <w:t>concepts might be approached in future 21</w:t>
      </w:r>
      <w:r w:rsidR="002C2636" w:rsidRPr="00C965DD">
        <w:rPr>
          <w:color w:val="000000" w:themeColor="text1"/>
          <w:vertAlign w:val="superscript"/>
        </w:rPr>
        <w:t>st</w:t>
      </w:r>
      <w:r w:rsidR="002C2636" w:rsidRPr="00C965DD">
        <w:rPr>
          <w:color w:val="000000" w:themeColor="text1"/>
        </w:rPr>
        <w:t xml:space="preserve"> century higher education contexts</w:t>
      </w:r>
      <w:r w:rsidR="00AF4EE9" w:rsidRPr="00C965DD">
        <w:rPr>
          <w:color w:val="000000" w:themeColor="text1"/>
        </w:rPr>
        <w:t>.</w:t>
      </w:r>
    </w:p>
    <w:p w14:paraId="153B4ADA" w14:textId="77777777" w:rsidR="006040DA" w:rsidRPr="00C965DD" w:rsidRDefault="006040DA" w:rsidP="006040DA">
      <w:pPr>
        <w:rPr>
          <w:color w:val="000000" w:themeColor="text1"/>
        </w:rPr>
      </w:pPr>
    </w:p>
    <w:p w14:paraId="163465D9" w14:textId="25B7BF86" w:rsidR="00C207E2" w:rsidRPr="00C965DD" w:rsidRDefault="00C207E2" w:rsidP="00CF1A47">
      <w:pPr>
        <w:pStyle w:val="Heading1"/>
      </w:pPr>
      <w:r w:rsidRPr="00C965DD">
        <w:lastRenderedPageBreak/>
        <w:t>Declaration of conflicting interests</w:t>
      </w:r>
    </w:p>
    <w:p w14:paraId="1E0C4611" w14:textId="328E4237" w:rsidR="00C207E2" w:rsidRPr="00C965DD" w:rsidRDefault="00C207E2" w:rsidP="00C00A4D">
      <w:pPr>
        <w:rPr>
          <w:color w:val="000000" w:themeColor="text1"/>
        </w:rPr>
      </w:pPr>
      <w:r w:rsidRPr="00C965DD">
        <w:rPr>
          <w:color w:val="000000" w:themeColor="text1"/>
        </w:rPr>
        <w:t>The author declared no potential conflicts of interest with respect to the research, authorship, and/or publication of this article.</w:t>
      </w:r>
    </w:p>
    <w:p w14:paraId="50F103A9" w14:textId="77777777" w:rsidR="00C00A4D" w:rsidRPr="00C965DD" w:rsidRDefault="00C00A4D" w:rsidP="00C00A4D">
      <w:pPr>
        <w:rPr>
          <w:color w:val="000000" w:themeColor="text1"/>
        </w:rPr>
      </w:pPr>
    </w:p>
    <w:p w14:paraId="54CEA53D" w14:textId="52E7B4B4" w:rsidR="00C207E2" w:rsidRPr="00C965DD" w:rsidRDefault="00C207E2" w:rsidP="00CF1A47">
      <w:pPr>
        <w:pStyle w:val="Heading1"/>
      </w:pPr>
      <w:r w:rsidRPr="00C965DD">
        <w:t>Funding</w:t>
      </w:r>
    </w:p>
    <w:p w14:paraId="45304BCB" w14:textId="16E7F021" w:rsidR="00C207E2" w:rsidRPr="00C965DD" w:rsidRDefault="00C207E2" w:rsidP="00C207E2">
      <w:pPr>
        <w:rPr>
          <w:color w:val="000000" w:themeColor="text1"/>
        </w:rPr>
      </w:pPr>
      <w:r w:rsidRPr="00C965DD">
        <w:rPr>
          <w:color w:val="000000" w:themeColor="text1"/>
        </w:rPr>
        <w:t>The author received no financial support for the research, authorship, and/or publication of this article.</w:t>
      </w:r>
    </w:p>
    <w:p w14:paraId="71EA7192" w14:textId="77777777" w:rsidR="008E1FA3" w:rsidRPr="00C965DD" w:rsidRDefault="008E1FA3" w:rsidP="00C207E2">
      <w:pPr>
        <w:rPr>
          <w:color w:val="000000" w:themeColor="text1"/>
        </w:rPr>
      </w:pPr>
    </w:p>
    <w:p w14:paraId="30E04CE3" w14:textId="7A876EC1" w:rsidR="008E1FA3" w:rsidRPr="00C965DD" w:rsidRDefault="008E1FA3" w:rsidP="00CF1A47">
      <w:pPr>
        <w:pStyle w:val="Heading1"/>
      </w:pPr>
      <w:r w:rsidRPr="00C965DD">
        <w:t>Acknowledgements</w:t>
      </w:r>
    </w:p>
    <w:p w14:paraId="08047B74" w14:textId="425C8B10" w:rsidR="00CC2ED8" w:rsidRPr="00C965DD" w:rsidRDefault="008E1FA3" w:rsidP="00C207E2">
      <w:pPr>
        <w:rPr>
          <w:rFonts w:cs="Times New Roman"/>
          <w:noProof/>
          <w:color w:val="000000" w:themeColor="text1"/>
        </w:rPr>
      </w:pPr>
      <w:r w:rsidRPr="00C965DD">
        <w:rPr>
          <w:color w:val="000000" w:themeColor="text1"/>
        </w:rPr>
        <w:t xml:space="preserve">The author wishes to acknowledge the </w:t>
      </w:r>
      <w:r w:rsidR="00791C9D" w:rsidRPr="00C965DD">
        <w:rPr>
          <w:color w:val="000000" w:themeColor="text1"/>
        </w:rPr>
        <w:t xml:space="preserve">insightful comments of Gustav </w:t>
      </w:r>
      <w:r w:rsidR="00791C9D" w:rsidRPr="00C965DD">
        <w:rPr>
          <w:rFonts w:cs="Times New Roman"/>
          <w:noProof/>
          <w:color w:val="000000" w:themeColor="text1"/>
        </w:rPr>
        <w:t xml:space="preserve">Hägg </w:t>
      </w:r>
      <w:r w:rsidR="000B5CA4" w:rsidRPr="00C965DD">
        <w:rPr>
          <w:rFonts w:cs="Times New Roman"/>
          <w:noProof/>
          <w:color w:val="000000" w:themeColor="text1"/>
        </w:rPr>
        <w:t xml:space="preserve">and Marcel Lamoureux </w:t>
      </w:r>
      <w:r w:rsidR="00791C9D" w:rsidRPr="00C965DD">
        <w:rPr>
          <w:rFonts w:cs="Times New Roman"/>
          <w:noProof/>
          <w:color w:val="000000" w:themeColor="text1"/>
        </w:rPr>
        <w:t>on an earlier draft of this paper.</w:t>
      </w:r>
    </w:p>
    <w:p w14:paraId="1987EC97" w14:textId="77777777" w:rsidR="00791C9D" w:rsidRPr="00C965DD" w:rsidRDefault="00791C9D" w:rsidP="00C207E2">
      <w:pPr>
        <w:rPr>
          <w:color w:val="000000" w:themeColor="text1"/>
        </w:rPr>
      </w:pPr>
    </w:p>
    <w:p w14:paraId="15B006F0" w14:textId="38D9C0F5" w:rsidR="00202B43" w:rsidRPr="00C965DD" w:rsidRDefault="00202B43" w:rsidP="00CF1A47">
      <w:pPr>
        <w:pStyle w:val="Heading1"/>
      </w:pPr>
      <w:r w:rsidRPr="00C965DD">
        <w:t>References</w:t>
      </w:r>
    </w:p>
    <w:p w14:paraId="1D8EF1E6" w14:textId="019DE0AA" w:rsidR="006D0AE3" w:rsidRPr="006D0AE3" w:rsidRDefault="00202B43" w:rsidP="006D0AE3">
      <w:pPr>
        <w:widowControl w:val="0"/>
        <w:autoSpaceDE w:val="0"/>
        <w:autoSpaceDN w:val="0"/>
        <w:adjustRightInd w:val="0"/>
        <w:rPr>
          <w:rFonts w:cs="Times New Roman"/>
          <w:noProof/>
        </w:rPr>
      </w:pPr>
      <w:r w:rsidRPr="00C965DD">
        <w:rPr>
          <w:color w:val="000000" w:themeColor="text1"/>
        </w:rPr>
        <w:fldChar w:fldCharType="begin" w:fldLock="1"/>
      </w:r>
      <w:r w:rsidRPr="00C965DD">
        <w:rPr>
          <w:color w:val="000000" w:themeColor="text1"/>
        </w:rPr>
        <w:instrText xml:space="preserve">ADDIN Mendeley Bibliography CSL_BIBLIOGRAPHY </w:instrText>
      </w:r>
      <w:r w:rsidRPr="00C965DD">
        <w:rPr>
          <w:color w:val="000000" w:themeColor="text1"/>
        </w:rPr>
        <w:fldChar w:fldCharType="separate"/>
      </w:r>
      <w:r w:rsidR="006D0AE3" w:rsidRPr="006D0AE3">
        <w:rPr>
          <w:rFonts w:cs="Times New Roman"/>
          <w:noProof/>
        </w:rPr>
        <w:t xml:space="preserve">Adorno, T. W. (2008) </w:t>
      </w:r>
      <w:r w:rsidR="006D0AE3" w:rsidRPr="006D0AE3">
        <w:rPr>
          <w:rFonts w:cs="Times New Roman"/>
          <w:i/>
          <w:iCs/>
          <w:noProof/>
        </w:rPr>
        <w:t>Lectures on Negative Dialectics</w:t>
      </w:r>
      <w:r w:rsidR="006D0AE3" w:rsidRPr="006D0AE3">
        <w:rPr>
          <w:rFonts w:cs="Times New Roman"/>
          <w:noProof/>
        </w:rPr>
        <w:t>. English. Edited by R. Tiedemann and R. Livingstone. Cambridge, UK: Polity Press (2003).</w:t>
      </w:r>
    </w:p>
    <w:p w14:paraId="0FE2B423"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Atherton, A. (2004) ‘Unbundling Enterprise and Entrepreneurship’, </w:t>
      </w:r>
      <w:r w:rsidRPr="006D0AE3">
        <w:rPr>
          <w:rFonts w:cs="Times New Roman"/>
          <w:i/>
          <w:iCs/>
          <w:noProof/>
        </w:rPr>
        <w:t>The International Journal of Entrepreneurship and Innovation</w:t>
      </w:r>
      <w:r w:rsidRPr="006D0AE3">
        <w:rPr>
          <w:rFonts w:cs="Times New Roman"/>
          <w:noProof/>
        </w:rPr>
        <w:t>, 5(2), pp. 121–127. doi: 10.5367/000000004773863273.</w:t>
      </w:r>
    </w:p>
    <w:p w14:paraId="0725634F"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Atkinson, D. M. (2007) </w:t>
      </w:r>
      <w:r w:rsidRPr="006D0AE3">
        <w:rPr>
          <w:rFonts w:cs="Times New Roman"/>
          <w:i/>
          <w:iCs/>
          <w:noProof/>
        </w:rPr>
        <w:t>Thinking the art of management: Stepping into ‘Heidegger’s shoes’</w:t>
      </w:r>
      <w:r w:rsidRPr="006D0AE3">
        <w:rPr>
          <w:rFonts w:cs="Times New Roman"/>
          <w:noProof/>
        </w:rPr>
        <w:t>. Palgrave Macmillan. doi: 10.1057/9780230589988.</w:t>
      </w:r>
    </w:p>
    <w:p w14:paraId="405F70D7"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Atkinson, D. M. (no date) </w:t>
      </w:r>
      <w:r w:rsidRPr="006D0AE3">
        <w:rPr>
          <w:rFonts w:cs="Times New Roman"/>
          <w:i/>
          <w:iCs/>
          <w:noProof/>
        </w:rPr>
        <w:t>Reimagining Capitalism: Applying Negative Dialectics for a Better Future</w:t>
      </w:r>
      <w:r w:rsidRPr="006D0AE3">
        <w:rPr>
          <w:rFonts w:cs="Times New Roman"/>
          <w:noProof/>
        </w:rPr>
        <w:t>. Vernon Press (forthcoming).</w:t>
      </w:r>
    </w:p>
    <w:p w14:paraId="2878C937"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Bray, M. (2005) ‘Negative Dialectics’, in Protevi, J. (ed.) </w:t>
      </w:r>
      <w:r w:rsidRPr="006D0AE3">
        <w:rPr>
          <w:rFonts w:cs="Times New Roman"/>
          <w:i/>
          <w:iCs/>
          <w:noProof/>
        </w:rPr>
        <w:t>The Edinburgh Dictionary of Continental Philosophy</w:t>
      </w:r>
      <w:r w:rsidRPr="006D0AE3">
        <w:rPr>
          <w:rFonts w:cs="Times New Roman"/>
          <w:noProof/>
        </w:rPr>
        <w:t>. Edinburgh: Edinburgh University Press, p. 418.</w:t>
      </w:r>
    </w:p>
    <w:p w14:paraId="3CCC060B"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Buchanan, I. (2018) ‘Critical Theory’, in </w:t>
      </w:r>
      <w:r w:rsidRPr="006D0AE3">
        <w:rPr>
          <w:rFonts w:cs="Times New Roman"/>
          <w:i/>
          <w:iCs/>
          <w:noProof/>
        </w:rPr>
        <w:t>Oxford Dictionary of Critical Theory</w:t>
      </w:r>
      <w:r w:rsidRPr="006D0AE3">
        <w:rPr>
          <w:rFonts w:cs="Times New Roman"/>
          <w:noProof/>
        </w:rPr>
        <w:t xml:space="preserve">. 2nd (onlin. </w:t>
      </w:r>
      <w:r w:rsidRPr="006D0AE3">
        <w:rPr>
          <w:rFonts w:cs="Times New Roman"/>
          <w:noProof/>
        </w:rPr>
        <w:lastRenderedPageBreak/>
        <w:t>Oxford University Press. doi: 10.1093/acref/9780198794790.001.0001.</w:t>
      </w:r>
    </w:p>
    <w:p w14:paraId="7A109D46"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Burns, P. (2016) </w:t>
      </w:r>
      <w:r w:rsidRPr="006D0AE3">
        <w:rPr>
          <w:rFonts w:cs="Times New Roman"/>
          <w:i/>
          <w:iCs/>
          <w:noProof/>
        </w:rPr>
        <w:t>Entrepreneurship and small business : start-up, growth and maturity</w:t>
      </w:r>
      <w:r w:rsidRPr="006D0AE3">
        <w:rPr>
          <w:rFonts w:cs="Times New Roman"/>
          <w:noProof/>
        </w:rPr>
        <w:t>. 4th ed. Palgrave Macmillan.</w:t>
      </w:r>
    </w:p>
    <w:p w14:paraId="6A6E78FE"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Clarke, A. P., Cornes, C. and Ferry, N. (2020) ‘The use of self-reflection for enhanced enterprise education: a case study’, </w:t>
      </w:r>
      <w:r w:rsidRPr="006D0AE3">
        <w:rPr>
          <w:rFonts w:cs="Times New Roman"/>
          <w:i/>
          <w:iCs/>
          <w:noProof/>
        </w:rPr>
        <w:t>Education and Training</w:t>
      </w:r>
      <w:r w:rsidRPr="006D0AE3">
        <w:rPr>
          <w:rFonts w:cs="Times New Roman"/>
          <w:noProof/>
        </w:rPr>
        <w:t>, 62(5), pp. 581–598. doi: 10.1108/ET-03-2019-0050.</w:t>
      </w:r>
    </w:p>
    <w:p w14:paraId="2B249E23"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Clouder, L. </w:t>
      </w:r>
      <w:r w:rsidRPr="006D0AE3">
        <w:rPr>
          <w:rFonts w:cs="Times New Roman"/>
          <w:i/>
          <w:iCs/>
          <w:noProof/>
        </w:rPr>
        <w:t>et al.</w:t>
      </w:r>
      <w:r w:rsidRPr="006D0AE3">
        <w:rPr>
          <w:rFonts w:cs="Times New Roman"/>
          <w:noProof/>
        </w:rPr>
        <w:t xml:space="preserve"> (2020) ‘Neurodiversity in higher education: a narrative synthesis’, </w:t>
      </w:r>
      <w:r w:rsidRPr="006D0AE3">
        <w:rPr>
          <w:rFonts w:cs="Times New Roman"/>
          <w:i/>
          <w:iCs/>
          <w:noProof/>
        </w:rPr>
        <w:t>Higher Education</w:t>
      </w:r>
      <w:r w:rsidRPr="006D0AE3">
        <w:rPr>
          <w:rFonts w:cs="Times New Roman"/>
          <w:noProof/>
        </w:rPr>
        <w:t>, 80(4), pp. 757–778. doi: 10.1007/s10734-020-00513-6.</w:t>
      </w:r>
    </w:p>
    <w:p w14:paraId="36D373D7"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Cole, A. H. (1949) ‘The evolving perspective of businessmen’, </w:t>
      </w:r>
      <w:r w:rsidRPr="006D0AE3">
        <w:rPr>
          <w:rFonts w:cs="Times New Roman"/>
          <w:i/>
          <w:iCs/>
          <w:noProof/>
        </w:rPr>
        <w:t>Harvard Business Review</w:t>
      </w:r>
      <w:r w:rsidRPr="006D0AE3">
        <w:rPr>
          <w:rFonts w:cs="Times New Roman"/>
          <w:noProof/>
        </w:rPr>
        <w:t>, 27(1), pp. 123–128.</w:t>
      </w:r>
    </w:p>
    <w:p w14:paraId="690FD1C0"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Cole, A. H. (1954) ‘Twentieth-Century Entrepreneurship in the United States and Economic Growth.’, </w:t>
      </w:r>
      <w:r w:rsidRPr="006D0AE3">
        <w:rPr>
          <w:rFonts w:cs="Times New Roman"/>
          <w:i/>
          <w:iCs/>
          <w:noProof/>
        </w:rPr>
        <w:t>American Economic Review</w:t>
      </w:r>
      <w:r w:rsidRPr="006D0AE3">
        <w:rPr>
          <w:rFonts w:cs="Times New Roman"/>
          <w:noProof/>
        </w:rPr>
        <w:t>, p. 35.</w:t>
      </w:r>
    </w:p>
    <w:p w14:paraId="1EEE9A01"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Conway, F. (2022) </w:t>
      </w:r>
      <w:r w:rsidRPr="006D0AE3">
        <w:rPr>
          <w:rFonts w:cs="Times New Roman"/>
          <w:i/>
          <w:iCs/>
          <w:noProof/>
        </w:rPr>
        <w:t>Entrepreneurship education</w:t>
      </w:r>
      <w:r w:rsidRPr="006D0AE3">
        <w:rPr>
          <w:rFonts w:cs="Times New Roman"/>
          <w:noProof/>
        </w:rPr>
        <w:t xml:space="preserve">, </w:t>
      </w:r>
      <w:r w:rsidRPr="006D0AE3">
        <w:rPr>
          <w:rFonts w:cs="Times New Roman"/>
          <w:i/>
          <w:iCs/>
          <w:noProof/>
        </w:rPr>
        <w:t>Entrepreneurship education</w:t>
      </w:r>
      <w:r w:rsidRPr="006D0AE3">
        <w:rPr>
          <w:rFonts w:cs="Times New Roman"/>
          <w:noProof/>
        </w:rPr>
        <w:t>. London, UK.</w:t>
      </w:r>
    </w:p>
    <w:p w14:paraId="4296D761"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Easterbrook, W. T. (1949) ‘Possibilities for a Realistic Theory of Entrepreneurship. the Climate of Enterprise.’, </w:t>
      </w:r>
      <w:r w:rsidRPr="006D0AE3">
        <w:rPr>
          <w:rFonts w:cs="Times New Roman"/>
          <w:i/>
          <w:iCs/>
          <w:noProof/>
        </w:rPr>
        <w:t>American Economic Review</w:t>
      </w:r>
      <w:r w:rsidRPr="006D0AE3">
        <w:rPr>
          <w:rFonts w:cs="Times New Roman"/>
          <w:noProof/>
        </w:rPr>
        <w:t>, 39(3), pp. 322–335.</w:t>
      </w:r>
    </w:p>
    <w:p w14:paraId="2FD174DD"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Frederiksen, S. H. and Berglund, K. (2020) ‘Identity work in entrepreneurship education: Activating, scripting and resisting the entrepreneurial self’, </w:t>
      </w:r>
      <w:r w:rsidRPr="006D0AE3">
        <w:rPr>
          <w:rFonts w:cs="Times New Roman"/>
          <w:i/>
          <w:iCs/>
          <w:noProof/>
        </w:rPr>
        <w:t>International Small Business Journal: Researching Entrepreneurship</w:t>
      </w:r>
      <w:r w:rsidRPr="006D0AE3">
        <w:rPr>
          <w:rFonts w:cs="Times New Roman"/>
          <w:noProof/>
        </w:rPr>
        <w:t>, 38(4), pp. 271–292. doi: 10.1177/0266242619889527.</w:t>
      </w:r>
    </w:p>
    <w:p w14:paraId="117D06D9"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Gartner, W. B. (1988) ‘“Who is an entrepreneur?” Is the wrong question’, </w:t>
      </w:r>
      <w:r w:rsidRPr="006D0AE3">
        <w:rPr>
          <w:rFonts w:cs="Times New Roman"/>
          <w:i/>
          <w:iCs/>
          <w:noProof/>
        </w:rPr>
        <w:t>American Journal of Small Business</w:t>
      </w:r>
      <w:r w:rsidRPr="006D0AE3">
        <w:rPr>
          <w:rFonts w:cs="Times New Roman"/>
          <w:noProof/>
        </w:rPr>
        <w:t>, 12(4), pp. 11–32.</w:t>
      </w:r>
    </w:p>
    <w:p w14:paraId="047C6E08"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Gibb, A. A. (2002) ‘In pursuit of a new “enterprise” and “entrepreneurship” paradigm for learning: creative destruction, new values, new ways of doing things and new combinations of knowledge’, </w:t>
      </w:r>
      <w:r w:rsidRPr="006D0AE3">
        <w:rPr>
          <w:rFonts w:cs="Times New Roman"/>
          <w:i/>
          <w:iCs/>
          <w:noProof/>
        </w:rPr>
        <w:t>International Journal of Management Reviews</w:t>
      </w:r>
      <w:r w:rsidRPr="006D0AE3">
        <w:rPr>
          <w:rFonts w:cs="Times New Roman"/>
          <w:noProof/>
        </w:rPr>
        <w:t>, 4(3), pp. 233–269.</w:t>
      </w:r>
    </w:p>
    <w:p w14:paraId="3495C90D"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Hägg, G. and Kurczewska, A. (2019) ‘Who Is the Student Entrepreneur? Understanding the </w:t>
      </w:r>
      <w:r w:rsidRPr="006D0AE3">
        <w:rPr>
          <w:rFonts w:cs="Times New Roman"/>
          <w:noProof/>
        </w:rPr>
        <w:lastRenderedPageBreak/>
        <w:t xml:space="preserve">Emergent Adult through the Pedagogy and Andragogy Interplay’, </w:t>
      </w:r>
      <w:r w:rsidRPr="006D0AE3">
        <w:rPr>
          <w:rFonts w:cs="Times New Roman"/>
          <w:i/>
          <w:iCs/>
          <w:noProof/>
        </w:rPr>
        <w:t>Journal of Small Business Management</w:t>
      </w:r>
      <w:r w:rsidRPr="006D0AE3">
        <w:rPr>
          <w:rFonts w:cs="Times New Roman"/>
          <w:noProof/>
        </w:rPr>
        <w:t>, 57(S1), pp. 130–147. doi: 10.1111/jsbm.12496.</w:t>
      </w:r>
    </w:p>
    <w:p w14:paraId="714ECEA3"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Hägg, G. and Kurczewska, A. (2020) ‘Guiding the student entrepreneur – Considering the emergent adult within the pedagogy–andragogy continuum in entrepreneurship education’, </w:t>
      </w:r>
      <w:r w:rsidRPr="006D0AE3">
        <w:rPr>
          <w:rFonts w:cs="Times New Roman"/>
          <w:i/>
          <w:iCs/>
          <w:noProof/>
        </w:rPr>
        <w:t>Education and Training</w:t>
      </w:r>
      <w:r w:rsidRPr="006D0AE3">
        <w:rPr>
          <w:rFonts w:cs="Times New Roman"/>
          <w:noProof/>
        </w:rPr>
        <w:t>, 62(7–8), pp. 759–777. doi: 10.1108/ET-03-2020-0069.</w:t>
      </w:r>
    </w:p>
    <w:p w14:paraId="775A3806"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Hannon, P. D. (2005) ‘Philosophies of Enterprise and Entrepreneurship Education and Challenges for Higher Education in the UK’, </w:t>
      </w:r>
      <w:r w:rsidRPr="006D0AE3">
        <w:rPr>
          <w:rFonts w:cs="Times New Roman"/>
          <w:i/>
          <w:iCs/>
          <w:noProof/>
        </w:rPr>
        <w:t>The International Journal of Entrepreneurship and Innovation</w:t>
      </w:r>
      <w:r w:rsidRPr="006D0AE3">
        <w:rPr>
          <w:rFonts w:cs="Times New Roman"/>
          <w:noProof/>
        </w:rPr>
        <w:t>, 6(2), pp. 105–114. doi: 10.5367/0000000053966876.</w:t>
      </w:r>
    </w:p>
    <w:p w14:paraId="5B244546"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Hase, S. and Kenyon, C. (2007) ‘Heutagogy: A Child of Complexity Theory’, </w:t>
      </w:r>
      <w:r w:rsidRPr="006D0AE3">
        <w:rPr>
          <w:rFonts w:cs="Times New Roman"/>
          <w:i/>
          <w:iCs/>
          <w:noProof/>
        </w:rPr>
        <w:t>Complicity: An international journal of complexity in education.</w:t>
      </w:r>
      <w:r w:rsidRPr="006D0AE3">
        <w:rPr>
          <w:rFonts w:cs="Times New Roman"/>
          <w:noProof/>
        </w:rPr>
        <w:t>, 4(1), pp. 111–118.</w:t>
      </w:r>
    </w:p>
    <w:p w14:paraId="19827B74"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Hedges, M. R., Pacheco, G. A. and Webber, D. J. (2014) ‘What determines students’ choices of elective modules?’, </w:t>
      </w:r>
      <w:r w:rsidRPr="006D0AE3">
        <w:rPr>
          <w:rFonts w:cs="Times New Roman"/>
          <w:i/>
          <w:iCs/>
          <w:noProof/>
        </w:rPr>
        <w:t>International Review of Economics Education</w:t>
      </w:r>
      <w:r w:rsidRPr="006D0AE3">
        <w:rPr>
          <w:rFonts w:cs="Times New Roman"/>
          <w:noProof/>
        </w:rPr>
        <w:t>. Elsevier Ltd, 17, pp. 39–54. doi: 10.1016/j.iree.2014.05.003.</w:t>
      </w:r>
    </w:p>
    <w:p w14:paraId="3DC6CFA2"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Henderson, S. and Segal, E. H. (2013) ‘Visualizing qualitative data in evaluation research’, in Azzam, T. and Evergreen, S. (eds) </w:t>
      </w:r>
      <w:r w:rsidRPr="006D0AE3">
        <w:rPr>
          <w:rFonts w:cs="Times New Roman"/>
          <w:i/>
          <w:iCs/>
          <w:noProof/>
        </w:rPr>
        <w:t>Data visualization, part 1. New Directions for Evaluation</w:t>
      </w:r>
      <w:r w:rsidRPr="006D0AE3">
        <w:rPr>
          <w:rFonts w:cs="Times New Roman"/>
          <w:noProof/>
        </w:rPr>
        <w:t>. Wiley Periodicals, pp. 53–71.</w:t>
      </w:r>
    </w:p>
    <w:p w14:paraId="0F184010"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Hughes, D. and Smith, G. (2020) </w:t>
      </w:r>
      <w:r w:rsidRPr="006D0AE3">
        <w:rPr>
          <w:rFonts w:cs="Times New Roman"/>
          <w:i/>
          <w:iCs/>
          <w:noProof/>
        </w:rPr>
        <w:t>Youth Transitions: Creating Pathways to Success</w:t>
      </w:r>
      <w:r w:rsidRPr="006D0AE3">
        <w:rPr>
          <w:rFonts w:cs="Times New Roman"/>
          <w:noProof/>
        </w:rPr>
        <w:t xml:space="preserve">, </w:t>
      </w:r>
      <w:r w:rsidRPr="006D0AE3">
        <w:rPr>
          <w:rFonts w:cs="Times New Roman"/>
          <w:i/>
          <w:iCs/>
          <w:noProof/>
        </w:rPr>
        <w:t>Education Development Trust</w:t>
      </w:r>
      <w:r w:rsidRPr="006D0AE3">
        <w:rPr>
          <w:rFonts w:cs="Times New Roman"/>
          <w:noProof/>
        </w:rPr>
        <w:t>. Reading, UK.</w:t>
      </w:r>
    </w:p>
    <w:p w14:paraId="305E60DB"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Hytti, U. and O’Gorman, C. (2004) ‘What is “enterprise education”? An analysis of the objectives and methods of enterprise education programmes in four European countries’, </w:t>
      </w:r>
      <w:r w:rsidRPr="006D0AE3">
        <w:rPr>
          <w:rFonts w:cs="Times New Roman"/>
          <w:i/>
          <w:iCs/>
          <w:noProof/>
        </w:rPr>
        <w:t>Education + Training</w:t>
      </w:r>
      <w:r w:rsidRPr="006D0AE3">
        <w:rPr>
          <w:rFonts w:cs="Times New Roman"/>
          <w:noProof/>
        </w:rPr>
        <w:t>, 46(1), pp. 11–23. doi: 10.1108/00400910410518188.</w:t>
      </w:r>
    </w:p>
    <w:p w14:paraId="2FB6907E"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Jones, B. and Iredale, N. (2010) ‘Enterprise education as pedagogy’, </w:t>
      </w:r>
      <w:r w:rsidRPr="006D0AE3">
        <w:rPr>
          <w:rFonts w:cs="Times New Roman"/>
          <w:i/>
          <w:iCs/>
          <w:noProof/>
        </w:rPr>
        <w:t>Education + Training</w:t>
      </w:r>
      <w:r w:rsidRPr="006D0AE3">
        <w:rPr>
          <w:rFonts w:cs="Times New Roman"/>
          <w:noProof/>
        </w:rPr>
        <w:t>, 52(1), pp. 7–19. doi: 10.1108/00400911011017654.</w:t>
      </w:r>
    </w:p>
    <w:p w14:paraId="09D210F0"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Jones, C., Penaluna, K. and Penaluna, A. (2019) ‘The promise of andragogy, heutagogy and academagogy to enterprise and entrepreneurship education pedagogy’, </w:t>
      </w:r>
      <w:r w:rsidRPr="006D0AE3">
        <w:rPr>
          <w:rFonts w:cs="Times New Roman"/>
          <w:i/>
          <w:iCs/>
          <w:noProof/>
        </w:rPr>
        <w:t xml:space="preserve">Education and </w:t>
      </w:r>
      <w:r w:rsidRPr="006D0AE3">
        <w:rPr>
          <w:rFonts w:cs="Times New Roman"/>
          <w:i/>
          <w:iCs/>
          <w:noProof/>
        </w:rPr>
        <w:lastRenderedPageBreak/>
        <w:t>Training</w:t>
      </w:r>
      <w:r w:rsidRPr="006D0AE3">
        <w:rPr>
          <w:rFonts w:cs="Times New Roman"/>
          <w:noProof/>
        </w:rPr>
        <w:t>, 61(9), pp. 1170–1186. doi: 10.1108/ET-10-2018-0211.</w:t>
      </w:r>
    </w:p>
    <w:p w14:paraId="5AE06E86"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Kaplan, R. (1987) ‘Entrepreneurship reconsidered: the antimanagement bias’, </w:t>
      </w:r>
      <w:r w:rsidRPr="006D0AE3">
        <w:rPr>
          <w:rFonts w:cs="Times New Roman"/>
          <w:i/>
          <w:iCs/>
          <w:noProof/>
        </w:rPr>
        <w:t>Harvard Business Review</w:t>
      </w:r>
      <w:r w:rsidRPr="006D0AE3">
        <w:rPr>
          <w:rFonts w:cs="Times New Roman"/>
          <w:noProof/>
        </w:rPr>
        <w:t>, (May-June), pp. 84–89.</w:t>
      </w:r>
    </w:p>
    <w:p w14:paraId="6EFCF261"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Knowles, M. S. </w:t>
      </w:r>
      <w:r w:rsidRPr="006D0AE3">
        <w:rPr>
          <w:rFonts w:cs="Times New Roman"/>
          <w:i/>
          <w:iCs/>
          <w:noProof/>
        </w:rPr>
        <w:t>et al.</w:t>
      </w:r>
      <w:r w:rsidRPr="006D0AE3">
        <w:rPr>
          <w:rFonts w:cs="Times New Roman"/>
          <w:noProof/>
        </w:rPr>
        <w:t xml:space="preserve"> (2015) </w:t>
      </w:r>
      <w:r w:rsidRPr="006D0AE3">
        <w:rPr>
          <w:rFonts w:cs="Times New Roman"/>
          <w:i/>
          <w:iCs/>
          <w:noProof/>
        </w:rPr>
        <w:t>The Adult Learner: The Definitive Classic in Adult Education and Human Resource Development</w:t>
      </w:r>
      <w:r w:rsidRPr="006D0AE3">
        <w:rPr>
          <w:rFonts w:cs="Times New Roman"/>
          <w:noProof/>
        </w:rPr>
        <w:t>. 8th Ed. New York, NY: Routledge.</w:t>
      </w:r>
    </w:p>
    <w:p w14:paraId="78EB5C0F"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Lackéus, M. (2018) ‘Making enterprise education more relevant through mission creep’, </w:t>
      </w:r>
      <w:r w:rsidRPr="006D0AE3">
        <w:rPr>
          <w:rFonts w:cs="Times New Roman"/>
          <w:i/>
          <w:iCs/>
          <w:noProof/>
        </w:rPr>
        <w:t>Enterprising Education in UK Higher Education: Challenges for Theory and Practice</w:t>
      </w:r>
      <w:r w:rsidRPr="006D0AE3">
        <w:rPr>
          <w:rFonts w:cs="Times New Roman"/>
          <w:noProof/>
        </w:rPr>
        <w:t>, pp. 199–214. doi: 10.4324/9781315518138-12.</w:t>
      </w:r>
    </w:p>
    <w:p w14:paraId="7837B025"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Lewis, B. W. (1937) ‘The Corporate Entrepreneur’, </w:t>
      </w:r>
      <w:r w:rsidRPr="006D0AE3">
        <w:rPr>
          <w:rFonts w:cs="Times New Roman"/>
          <w:i/>
          <w:iCs/>
          <w:noProof/>
        </w:rPr>
        <w:t>Quarterly Journal of Economics</w:t>
      </w:r>
      <w:r w:rsidRPr="006D0AE3">
        <w:rPr>
          <w:rFonts w:cs="Times New Roman"/>
          <w:noProof/>
        </w:rPr>
        <w:t>, 51(3), pp. 535–544.</w:t>
      </w:r>
    </w:p>
    <w:p w14:paraId="0B6D6FA9"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Liguori, E. </w:t>
      </w:r>
      <w:r w:rsidRPr="006D0AE3">
        <w:rPr>
          <w:rFonts w:cs="Times New Roman"/>
          <w:i/>
          <w:iCs/>
          <w:noProof/>
        </w:rPr>
        <w:t>et al.</w:t>
      </w:r>
      <w:r w:rsidRPr="006D0AE3">
        <w:rPr>
          <w:rFonts w:cs="Times New Roman"/>
          <w:noProof/>
        </w:rPr>
        <w:t xml:space="preserve"> (2019) ‘Under-researched domains in entrepreneurship and enterprise education: primary school, community colleges and vocational education and training programs’, </w:t>
      </w:r>
      <w:r w:rsidRPr="006D0AE3">
        <w:rPr>
          <w:rFonts w:cs="Times New Roman"/>
          <w:i/>
          <w:iCs/>
          <w:noProof/>
        </w:rPr>
        <w:t>Journal of Small Business and Enterprise Development</w:t>
      </w:r>
      <w:r w:rsidRPr="006D0AE3">
        <w:rPr>
          <w:rFonts w:cs="Times New Roman"/>
          <w:noProof/>
        </w:rPr>
        <w:t>, 26(2), pp. 182–189. doi: 10.1108/JSBED-04-2019-402.</w:t>
      </w:r>
    </w:p>
    <w:p w14:paraId="00614F62"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Lourenço, F. and Jones, O. (2006) ‘Developing Entrepreneurship Education: Comparing Traditional and Alternative Teaching Approaches’, </w:t>
      </w:r>
      <w:r w:rsidRPr="006D0AE3">
        <w:rPr>
          <w:rFonts w:cs="Times New Roman"/>
          <w:i/>
          <w:iCs/>
          <w:noProof/>
        </w:rPr>
        <w:t>International Journal of Entrepreneurship Education</w:t>
      </w:r>
      <w:r w:rsidRPr="006D0AE3">
        <w:rPr>
          <w:rFonts w:cs="Times New Roman"/>
          <w:noProof/>
        </w:rPr>
        <w:t>, 4, pp. 111–140.</w:t>
      </w:r>
    </w:p>
    <w:p w14:paraId="302F23CA"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Mezirow, J. (1990) ‘How Critical Reflection Triggers Transformative Learning’, in Mezirow, J. (ed.) </w:t>
      </w:r>
      <w:r w:rsidRPr="006D0AE3">
        <w:rPr>
          <w:rFonts w:cs="Times New Roman"/>
          <w:i/>
          <w:iCs/>
          <w:noProof/>
        </w:rPr>
        <w:t>Fostering Critical Reflection in Adulthood: A Guide to Transformative and Emancipatory Learning</w:t>
      </w:r>
      <w:r w:rsidRPr="006D0AE3">
        <w:rPr>
          <w:rFonts w:cs="Times New Roman"/>
          <w:noProof/>
        </w:rPr>
        <w:t>. San Francisco: CA: Jossey-Bass, pp. 1–18.</w:t>
      </w:r>
    </w:p>
    <w:p w14:paraId="1B7CD746"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Neck, H. M. and Corbett, A. C. (2018) ‘The Scholarship of Teaching and Learning Entrepreneurship’, </w:t>
      </w:r>
      <w:r w:rsidRPr="006D0AE3">
        <w:rPr>
          <w:rFonts w:cs="Times New Roman"/>
          <w:i/>
          <w:iCs/>
          <w:noProof/>
        </w:rPr>
        <w:t>Entrepreneurship Education and Pedagogy</w:t>
      </w:r>
      <w:r w:rsidRPr="006D0AE3">
        <w:rPr>
          <w:rFonts w:cs="Times New Roman"/>
          <w:noProof/>
        </w:rPr>
        <w:t>, 1(1), pp. 8–41. doi: 10.1177/2515127417737286.</w:t>
      </w:r>
    </w:p>
    <w:p w14:paraId="1F5B66F5"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QAA (2018) </w:t>
      </w:r>
      <w:r w:rsidRPr="006D0AE3">
        <w:rPr>
          <w:rFonts w:cs="Times New Roman"/>
          <w:i/>
          <w:iCs/>
          <w:noProof/>
        </w:rPr>
        <w:t>Enterprise and Entrepreneurship Education: Guidance for UK Higher Education Providers</w:t>
      </w:r>
      <w:r w:rsidRPr="006D0AE3">
        <w:rPr>
          <w:rFonts w:cs="Times New Roman"/>
          <w:noProof/>
        </w:rPr>
        <w:t>. Gloucester, UK: The Quality Assurance Agency for Higher Education.</w:t>
      </w:r>
    </w:p>
    <w:p w14:paraId="10898645"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lastRenderedPageBreak/>
        <w:t xml:space="preserve">Simmons, M. (2021) ‘Lessons learned by educator and students through experiential entrepreneurship’, </w:t>
      </w:r>
      <w:r w:rsidRPr="006D0AE3">
        <w:rPr>
          <w:rFonts w:cs="Times New Roman"/>
          <w:i/>
          <w:iCs/>
          <w:noProof/>
        </w:rPr>
        <w:t>Industry and Higher Education</w:t>
      </w:r>
      <w:r w:rsidRPr="006D0AE3">
        <w:rPr>
          <w:rFonts w:cs="Times New Roman"/>
          <w:noProof/>
        </w:rPr>
        <w:t>, 35(4), pp. 454–459. doi: 10.1177/09504222211023419.</w:t>
      </w:r>
    </w:p>
    <w:p w14:paraId="06F0C090"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Stevenson, A. and Waite, M. (eds) (no date) </w:t>
      </w:r>
      <w:r w:rsidRPr="006D0AE3">
        <w:rPr>
          <w:rFonts w:cs="Times New Roman"/>
          <w:i/>
          <w:iCs/>
          <w:noProof/>
        </w:rPr>
        <w:t>Concise Oxford English Dictionary</w:t>
      </w:r>
      <w:r w:rsidRPr="006D0AE3">
        <w:rPr>
          <w:rFonts w:cs="Times New Roman"/>
          <w:noProof/>
        </w:rPr>
        <w:t>. 12th edn. Oxford University Press.</w:t>
      </w:r>
    </w:p>
    <w:p w14:paraId="5D181054"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Sull, D. and Sull, C. (2018) ‘With goals, FAST beats SMART’, </w:t>
      </w:r>
      <w:r w:rsidRPr="006D0AE3">
        <w:rPr>
          <w:rFonts w:cs="Times New Roman"/>
          <w:i/>
          <w:iCs/>
          <w:noProof/>
        </w:rPr>
        <w:t>MIT Sloan Management Review</w:t>
      </w:r>
      <w:r w:rsidRPr="006D0AE3">
        <w:rPr>
          <w:rFonts w:cs="Times New Roman"/>
          <w:noProof/>
        </w:rPr>
        <w:t>, 59(4), pp. 1–11.</w:t>
      </w:r>
    </w:p>
    <w:p w14:paraId="7F37534F"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Thomassen, M. L. (2017) ‘Gryffindor, Hufflepuff, Ravenclaw or Slytherin: Your Context influences Your Future. -How to address context in Entrepreneurship Education?’, in </w:t>
      </w:r>
      <w:r w:rsidRPr="006D0AE3">
        <w:rPr>
          <w:rFonts w:cs="Times New Roman"/>
          <w:i/>
          <w:iCs/>
          <w:noProof/>
        </w:rPr>
        <w:t>ECSB Entrepreneurship Education Conference - Cork, Ireland 10/05/17 - 12/05/17.</w:t>
      </w:r>
      <w:r w:rsidRPr="006D0AE3">
        <w:rPr>
          <w:rFonts w:cs="Times New Roman"/>
          <w:noProof/>
        </w:rPr>
        <w:t xml:space="preserve"> Danish University Colleges.</w:t>
      </w:r>
    </w:p>
    <w:p w14:paraId="0883F404"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Tight, M. (2020) ‘Student retention and engagement in higher education’, </w:t>
      </w:r>
      <w:r w:rsidRPr="006D0AE3">
        <w:rPr>
          <w:rFonts w:cs="Times New Roman"/>
          <w:i/>
          <w:iCs/>
          <w:noProof/>
        </w:rPr>
        <w:t>Journal of Further and Higher Education</w:t>
      </w:r>
      <w:r w:rsidRPr="006D0AE3">
        <w:rPr>
          <w:rFonts w:cs="Times New Roman"/>
          <w:noProof/>
        </w:rPr>
        <w:t>. Routledge, 44(5), pp. 689–704. doi: 10.1080/0309877X.2019.1576860.</w:t>
      </w:r>
    </w:p>
    <w:p w14:paraId="4934E9BC"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Tomy, S. and Pardede, E. (2020) ‘An entrepreneurial intention model focussing on higher education’, </w:t>
      </w:r>
      <w:r w:rsidRPr="006D0AE3">
        <w:rPr>
          <w:rFonts w:cs="Times New Roman"/>
          <w:i/>
          <w:iCs/>
          <w:noProof/>
        </w:rPr>
        <w:t>International Journal of Entrepreneurial Behaviour and Research</w:t>
      </w:r>
      <w:r w:rsidRPr="006D0AE3">
        <w:rPr>
          <w:rFonts w:cs="Times New Roman"/>
          <w:noProof/>
        </w:rPr>
        <w:t>, 26(7), pp. 1423–1447. doi: 10.1108/IJEBR-06-2019-0370.</w:t>
      </w:r>
    </w:p>
    <w:p w14:paraId="0DF7B88D"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Walsh, L. and Gleeson, J. (2022) ‘Theorising and preparing students for precarity: how can leaders and educators better prepare students to enter an increasingly insecure workforce?’, </w:t>
      </w:r>
      <w:r w:rsidRPr="006D0AE3">
        <w:rPr>
          <w:rFonts w:cs="Times New Roman"/>
          <w:i/>
          <w:iCs/>
          <w:noProof/>
        </w:rPr>
        <w:t>Journal of Educational Administration and History</w:t>
      </w:r>
      <w:r w:rsidRPr="006D0AE3">
        <w:rPr>
          <w:rFonts w:cs="Times New Roman"/>
          <w:noProof/>
        </w:rPr>
        <w:t>, 54(1), pp. 7–19. doi: 10.1080/00220620.2020.1868981.</w:t>
      </w:r>
    </w:p>
    <w:p w14:paraId="736FB83C"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Williams, T. (2022) ‘Class attendance plummets post-Covid’, </w:t>
      </w:r>
      <w:r w:rsidRPr="006D0AE3">
        <w:rPr>
          <w:rFonts w:cs="Times New Roman"/>
          <w:i/>
          <w:iCs/>
          <w:noProof/>
        </w:rPr>
        <w:t>Times Higher Education (THE)</w:t>
      </w:r>
      <w:r w:rsidRPr="006D0AE3">
        <w:rPr>
          <w:rFonts w:cs="Times New Roman"/>
          <w:noProof/>
        </w:rPr>
        <w:t>, 9 June.</w:t>
      </w:r>
    </w:p>
    <w:p w14:paraId="1FFBCCC9"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Wolf-Wendel, L., Ward, K. and Kinzie, J. (2009) ‘A tangled web of terms: The overlap and unique contribution of involvement, engagement, and integration to understanding college </w:t>
      </w:r>
      <w:r w:rsidRPr="006D0AE3">
        <w:rPr>
          <w:rFonts w:cs="Times New Roman"/>
          <w:noProof/>
        </w:rPr>
        <w:lastRenderedPageBreak/>
        <w:t xml:space="preserve">student success’, </w:t>
      </w:r>
      <w:r w:rsidRPr="006D0AE3">
        <w:rPr>
          <w:rFonts w:cs="Times New Roman"/>
          <w:i/>
          <w:iCs/>
          <w:noProof/>
        </w:rPr>
        <w:t>Journal of College Student Development</w:t>
      </w:r>
      <w:r w:rsidRPr="006D0AE3">
        <w:rPr>
          <w:rFonts w:cs="Times New Roman"/>
          <w:noProof/>
        </w:rPr>
        <w:t>, 50(4), pp. 407–428. doi: 10.1353/csd.0.0077.</w:t>
      </w:r>
    </w:p>
    <w:p w14:paraId="19EBFF95" w14:textId="77777777" w:rsidR="006D0AE3" w:rsidRPr="006D0AE3" w:rsidRDefault="006D0AE3" w:rsidP="006D0AE3">
      <w:pPr>
        <w:widowControl w:val="0"/>
        <w:autoSpaceDE w:val="0"/>
        <w:autoSpaceDN w:val="0"/>
        <w:adjustRightInd w:val="0"/>
        <w:rPr>
          <w:rFonts w:cs="Times New Roman"/>
          <w:noProof/>
        </w:rPr>
      </w:pPr>
      <w:r w:rsidRPr="006D0AE3">
        <w:rPr>
          <w:rFonts w:cs="Times New Roman"/>
          <w:noProof/>
        </w:rPr>
        <w:t xml:space="preserve">Xu, H. and Bhang, C. H. (2019) ‘The Structure and Measurement of Career Indecision: A Critical Review’, </w:t>
      </w:r>
      <w:r w:rsidRPr="006D0AE3">
        <w:rPr>
          <w:rFonts w:cs="Times New Roman"/>
          <w:i/>
          <w:iCs/>
          <w:noProof/>
        </w:rPr>
        <w:t>Career Development Quarterly</w:t>
      </w:r>
      <w:r w:rsidRPr="006D0AE3">
        <w:rPr>
          <w:rFonts w:cs="Times New Roman"/>
          <w:noProof/>
        </w:rPr>
        <w:t>, 67(1), pp. 2–20. doi: 10.1002/cdq.12159.</w:t>
      </w:r>
    </w:p>
    <w:p w14:paraId="1346DC9D" w14:textId="42DDE929" w:rsidR="00202B43" w:rsidRPr="00C965DD" w:rsidRDefault="00202B43" w:rsidP="00C207E2">
      <w:pPr>
        <w:rPr>
          <w:color w:val="000000" w:themeColor="text1"/>
        </w:rPr>
      </w:pPr>
      <w:r w:rsidRPr="00C965DD">
        <w:rPr>
          <w:color w:val="000000" w:themeColor="text1"/>
        </w:rPr>
        <w:fldChar w:fldCharType="end"/>
      </w:r>
    </w:p>
    <w:sectPr w:rsidR="00202B43" w:rsidRPr="00C965DD" w:rsidSect="00D017C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3930D" w14:textId="77777777" w:rsidR="005C2DD2" w:rsidRDefault="005C2DD2" w:rsidP="009D4C82">
      <w:pPr>
        <w:spacing w:line="240" w:lineRule="auto"/>
      </w:pPr>
      <w:r>
        <w:separator/>
      </w:r>
    </w:p>
  </w:endnote>
  <w:endnote w:type="continuationSeparator" w:id="0">
    <w:p w14:paraId="6F214D50" w14:textId="77777777" w:rsidR="005C2DD2" w:rsidRDefault="005C2DD2" w:rsidP="009D4C82">
      <w:pPr>
        <w:spacing w:line="240" w:lineRule="auto"/>
      </w:pPr>
      <w:r>
        <w:continuationSeparator/>
      </w:r>
    </w:p>
  </w:endnote>
  <w:endnote w:id="1">
    <w:p w14:paraId="7721174D" w14:textId="7D4657F0" w:rsidR="00595104" w:rsidRDefault="00595104">
      <w:pPr>
        <w:pStyle w:val="EndnoteText"/>
      </w:pPr>
      <w:r>
        <w:rPr>
          <w:rStyle w:val="EndnoteReference"/>
        </w:rPr>
        <w:endnoteRef/>
      </w:r>
      <w:r>
        <w:t xml:space="preserve"> </w:t>
      </w:r>
      <w:r w:rsidRPr="00F5003C">
        <w:t>I apply the term critical theory as set out by</w:t>
      </w:r>
      <w:r w:rsidR="00813BC0" w:rsidRPr="00F5003C">
        <w:t xml:space="preserve"> Buchanan</w:t>
      </w:r>
      <w:r w:rsidRPr="00F5003C">
        <w:t xml:space="preserve"> </w:t>
      </w:r>
      <w:r w:rsidRPr="00F5003C">
        <w:fldChar w:fldCharType="begin" w:fldLock="1"/>
      </w:r>
      <w:r w:rsidR="00616FC2" w:rsidRPr="00F5003C">
        <w:instrText>ADDIN CSL_CITATION {"citationItems":[{"id":"ITEM-1","itemData":{"DOI":"10.1093/acref/9780198794790.001.0001","ISBN":"9780191836305","author":[{"dropping-particle":"","family":"Buchanan","given":"Ian","non-dropping-particle":"","parse-names":false,"suffix":""}],"container-title":"Oxford Dictionary of Critical Theory","edition":"2nd (onlin","id":"ITEM-1","issued":{"date-parts":[["2018"]]},"publisher":"Oxford University Press","title":"Critical Theory","type":"chapter"},"suppress-author":1,"uris":["http://www.mendeley.com/documents/?uuid=d99d2778-9e5d-4675-ab08-7c813096b26c"]}],"mendeley":{"formattedCitation":"(2018)","plainTextFormattedCitation":"(2018)","previouslyFormattedCitation":"(2018)"},"properties":{"noteIndex":0},"schema":"https://github.com/citation-style-language/schema/raw/master/csl-citation.json"}</w:instrText>
      </w:r>
      <w:r w:rsidRPr="00F5003C">
        <w:fldChar w:fldCharType="separate"/>
      </w:r>
      <w:r w:rsidR="00813BC0" w:rsidRPr="00F5003C">
        <w:rPr>
          <w:noProof/>
        </w:rPr>
        <w:t>(2018)</w:t>
      </w:r>
      <w:r w:rsidRPr="00F5003C">
        <w:fldChar w:fldCharType="end"/>
      </w:r>
      <w:r w:rsidR="00813BC0" w:rsidRPr="00F5003C">
        <w:t xml:space="preserve"> in which the </w:t>
      </w:r>
      <w:r w:rsidR="00655CDA" w:rsidRPr="00F5003C">
        <w:t xml:space="preserve">critical theorist practices </w:t>
      </w:r>
      <w:r w:rsidRPr="00F5003C">
        <w:t>against the traditional conception of theory</w:t>
      </w:r>
      <w:r w:rsidR="00655CDA" w:rsidRPr="00F5003C">
        <w:t xml:space="preserve"> </w:t>
      </w:r>
      <w:r w:rsidR="00BF00BC" w:rsidRPr="00F5003C">
        <w:t>“</w:t>
      </w:r>
      <w:r w:rsidRPr="00F5003C">
        <w:t xml:space="preserve">which holds that it is a system of abstract (i.e. ahistorical, </w:t>
      </w:r>
      <w:proofErr w:type="spellStart"/>
      <w:r w:rsidRPr="00F5003C">
        <w:t>asubjective</w:t>
      </w:r>
      <w:proofErr w:type="spellEnd"/>
      <w:r w:rsidRPr="00F5003C">
        <w:t>, and asocial) propositions which can be verified empirically</w:t>
      </w:r>
      <w:r w:rsidR="007158C6" w:rsidRPr="00F5003C">
        <w:t>”</w:t>
      </w:r>
      <w:r w:rsidR="00655CDA" w:rsidRPr="00F5003C">
        <w:t xml:space="preserve">. In this sense, the theoretical approach set out in this paper acknowledges its </w:t>
      </w:r>
      <w:r w:rsidR="00655CDA" w:rsidRPr="00FB0893">
        <w:t>sub</w:t>
      </w:r>
      <w:r w:rsidRPr="00FB0893">
        <w:t>jectiv</w:t>
      </w:r>
      <w:r w:rsidR="00655CDA" w:rsidRPr="00FB0893">
        <w:t>ity</w:t>
      </w:r>
      <w:r w:rsidRPr="00FB0893">
        <w:t xml:space="preserve"> and</w:t>
      </w:r>
      <w:r w:rsidR="00655CDA" w:rsidRPr="00FB0893">
        <w:t xml:space="preserve"> its</w:t>
      </w:r>
      <w:r w:rsidR="00E17C3F" w:rsidRPr="00FB0893">
        <w:t xml:space="preserve"> historic</w:t>
      </w:r>
      <w:r w:rsidR="00E17C3F" w:rsidRPr="00F5003C">
        <w:t xml:space="preserve"> potential</w:t>
      </w:r>
      <w:r w:rsidR="00655CDA" w:rsidRPr="00F5003C">
        <w:t xml:space="preserve"> as</w:t>
      </w:r>
      <w:r w:rsidRPr="00F5003C">
        <w:t xml:space="preserve"> a </w:t>
      </w:r>
      <w:r w:rsidR="00E17C3F" w:rsidRPr="00F5003C">
        <w:t>foundation for an emerging</w:t>
      </w:r>
      <w:r w:rsidRPr="00F5003C">
        <w:t xml:space="preserve"> society.</w:t>
      </w:r>
    </w:p>
  </w:endnote>
  <w:endnote w:id="2">
    <w:p w14:paraId="341082DD" w14:textId="2DAD695D" w:rsidR="00127999" w:rsidRDefault="00127999">
      <w:pPr>
        <w:pStyle w:val="EndnoteText"/>
      </w:pPr>
      <w:r w:rsidRPr="000B5CA4">
        <w:rPr>
          <w:rStyle w:val="EndnoteReference"/>
        </w:rPr>
        <w:endnoteRef/>
      </w:r>
      <w:r>
        <w:t xml:space="preserve"> A Guardian score of less than 60/100 for the subject of Business, Management &amp; Marketing </w:t>
      </w:r>
      <w:hyperlink r:id="rId1" w:history="1">
        <w:r w:rsidRPr="00144FF2">
          <w:rPr>
            <w:rStyle w:val="Hyperlink"/>
          </w:rPr>
          <w:t>https://www.theguardian.com/education/ng-interactive/2021/sep/11/the-best-uk-universities-2022-rankings</w:t>
        </w:r>
      </w:hyperlink>
      <w:r>
        <w:t xml:space="preserve">; </w:t>
      </w:r>
    </w:p>
  </w:endnote>
  <w:endnote w:id="3">
    <w:p w14:paraId="78238842" w14:textId="77777777" w:rsidR="00127999" w:rsidRDefault="00127999" w:rsidP="00AD1DBD">
      <w:pPr>
        <w:pStyle w:val="EndnoteText"/>
      </w:pPr>
      <w:r w:rsidRPr="000B5CA4">
        <w:rPr>
          <w:rStyle w:val="EndnoteReference"/>
        </w:rPr>
        <w:endnoteRef/>
      </w:r>
      <w:r>
        <w:t xml:space="preserve"> Internal document: Module Specification for </w:t>
      </w:r>
      <w:r w:rsidRPr="0082395F">
        <w:t>Business, Creativity and Opportunism Skills for the Workplace of Today</w:t>
      </w:r>
      <w:r>
        <w:t>; a Level 5, 20 credit module.</w:t>
      </w:r>
    </w:p>
  </w:endnote>
  <w:endnote w:id="4">
    <w:p w14:paraId="254BA151" w14:textId="7A98154B" w:rsidR="00127999" w:rsidRDefault="00127999">
      <w:pPr>
        <w:pStyle w:val="EndnoteText"/>
      </w:pPr>
      <w:r>
        <w:rPr>
          <w:rStyle w:val="EndnoteReference"/>
        </w:rPr>
        <w:endnoteRef/>
      </w:r>
      <w:r>
        <w:t xml:space="preserve"> As set out by Bray </w:t>
      </w:r>
      <w:r>
        <w:fldChar w:fldCharType="begin" w:fldLock="1"/>
      </w:r>
      <w:r w:rsidR="005E5650">
        <w:instrText>ADDIN CSL_CITATION {"citationItems":[{"id":"ITEM-1","itemData":{"ISBN":"0748617167","author":[{"dropping-particle":"","family":"Bray","given":"M.","non-dropping-particle":"","parse-names":false,"suffix":""}],"container-title":"The Edinburgh Dictionary of Continental Philosophy","editor":[{"dropping-particle":"","family":"Protevi","given":"John","non-dropping-particle":"","parse-names":false,"suffix":""}],"id":"ITEM-1","issued":{"date-parts":[["2005"]]},"page":"418","publisher":"Edinburgh University Press","publisher-place":"Edinburgh","title":"Negative Dialectics","type":"chapter"},"suppress-author":1,"uris":["http://www.mendeley.com/documents/?uuid=a63feab3-eaf1-422b-bb60-9b24a854995d"]}],"mendeley":{"formattedCitation":"(2005)","plainTextFormattedCitation":"(2005)","previouslyFormattedCitation":"(2005)"},"properties":{"noteIndex":0},"schema":"https://github.com/citation-style-language/schema/raw/master/csl-citation.json"}</w:instrText>
      </w:r>
      <w:r>
        <w:fldChar w:fldCharType="separate"/>
      </w:r>
      <w:r w:rsidR="00E33683" w:rsidRPr="00E33683">
        <w:rPr>
          <w:noProof/>
        </w:rPr>
        <w:t>(2005)</w:t>
      </w:r>
      <w:r>
        <w:fldChar w:fldCharType="end"/>
      </w:r>
      <w:r w:rsidR="00E33683">
        <w:t>,</w:t>
      </w:r>
      <w:r>
        <w:t xml:space="preserve"> </w:t>
      </w:r>
      <w:r w:rsidR="00E33683" w:rsidRPr="00AB6CFC">
        <w:t>“</w:t>
      </w:r>
      <w:r w:rsidRPr="00AB6CFC">
        <w:t xml:space="preserve">Negative Dialectics [is] a term coined by Adorno for a process of thinking akin to Hegel’s ‘determinate negation’, in which the meaning of concepts is shown to be immanently and determinately related to that from which such concepts are distinguished—most fundamentally the material world itself. </w:t>
      </w:r>
      <w:r w:rsidR="00E33683" w:rsidRPr="00AB6CFC">
        <w:t>…</w:t>
      </w:r>
      <w:r w:rsidR="00CC0800" w:rsidRPr="00AB6CFC">
        <w:t>[It]</w:t>
      </w:r>
      <w:r w:rsidRPr="00AB6CFC">
        <w:t xml:space="preserve"> maps out the mutual implication and antagonisms within a series of conceptual ‘extremes’</w:t>
      </w:r>
      <w:r w:rsidR="00CC0800" w:rsidRPr="00AB6CFC">
        <w:t xml:space="preserve">… [resisting] </w:t>
      </w:r>
      <w:r w:rsidRPr="00AB6CFC">
        <w:t xml:space="preserve">the temptation to ‘freeze’ these extremes as ontological firsts, or to order them as terms in a developing synthesis. Negative dialectics is thus ‘the logic of the wrong state of </w:t>
      </w:r>
      <w:proofErr w:type="gramStart"/>
      <w:r w:rsidRPr="00AB6CFC">
        <w:t>things’</w:t>
      </w:r>
      <w:proofErr w:type="gramEnd"/>
      <w:r w:rsidRPr="00AB6CFC">
        <w:t xml:space="preserve">. </w:t>
      </w:r>
      <w:r w:rsidR="00CC0800" w:rsidRPr="00AB6CFC">
        <w:t>…[It]</w:t>
      </w:r>
      <w:r w:rsidRPr="00AB6CFC">
        <w:t xml:space="preserve"> opens the hesitant possibility for thinking otherwise, for thinking in the form of ‘constellations’ of concepts that cognise determinate objects by means of a field of conceptual antagonisms, without reducing them to that field. Negative dialectics thus embodies the sense of a debt to the ‘object’ that suffers under the domination of identity-thinking as well as the possibility of ‘reconciliation’ in which the thought no longer dominates nature.</w:t>
      </w:r>
      <w:r w:rsidR="00E33683" w:rsidRPr="00AB6CFC">
        <w:t>”</w:t>
      </w:r>
      <w:r>
        <w:t xml:space="preserve"> </w:t>
      </w:r>
    </w:p>
  </w:endnote>
  <w:endnote w:id="5">
    <w:p w14:paraId="00E2C92D" w14:textId="3F7E434B" w:rsidR="00127999" w:rsidRDefault="00127999">
      <w:pPr>
        <w:pStyle w:val="EndnoteText"/>
      </w:pPr>
      <w:r w:rsidRPr="000B5CA4">
        <w:rPr>
          <w:rStyle w:val="EndnoteReference"/>
        </w:rPr>
        <w:endnoteRef/>
      </w:r>
      <w:r>
        <w:t xml:space="preserve"> Notwithstanding the historic context, the Concise Oxford English Dictionary provides that the word ‘enterprise’ refers to 1) a project or undertaking or 2) a business or company </w:t>
      </w:r>
      <w:r>
        <w:fldChar w:fldCharType="begin" w:fldLock="1"/>
      </w:r>
      <w:r>
        <w:instrText>ADDIN CSL_CITATION {"citationItems":[{"id":"ITEM-1","itemData":{"ISBN":"978-0-19-960108-0","edition":"12th","editor":[{"dropping-particle":"","family":"Stevenson","given":"Angus","non-dropping-particle":"","parse-names":false,"suffix":""},{"dropping-particle":"","family":"Waite","given":"Maurice","non-dropping-particle":"","parse-names":false,"suffix":""}],"id":"ITEM-1","issued":{"date-parts":[["0"]]},"publisher":"Oxford University Press","title":"Concise Oxford English Dictionary","type":"book"},"uris":["http://www.mendeley.com/documents/?uuid=c41c3181-acef-4bc7-bfac-b35ab613154d"]}],"mendeley":{"formattedCitation":"(Stevenson and Waite, no date)","plainTextFormattedCitation":"(Stevenson and Waite, no date)","previouslyFormattedCitation":"(Stevenson and Waite, no date)"},"properties":{"noteIndex":0},"schema":"https://github.com/citation-style-language/schema/raw/master/csl-citation.json"}</w:instrText>
      </w:r>
      <w:r>
        <w:fldChar w:fldCharType="separate"/>
      </w:r>
      <w:r w:rsidRPr="00171B5D">
        <w:rPr>
          <w:noProof/>
        </w:rPr>
        <w:t>(Stevenson and Waite, no date)</w:t>
      </w:r>
      <w:r>
        <w:fldChar w:fldCharType="end"/>
      </w:r>
      <w:r>
        <w:t xml:space="preserve">. Thus, broadly defined, an enterprise may be any meaningful undertaking of work, including the setting up and running of a business or company. In general terms, there is no suggestion (other than the qualification of a bold enterprise, that enterprise may exclusively refer to entrepreneurial organisations. </w:t>
      </w:r>
    </w:p>
  </w:endnote>
  <w:endnote w:id="6">
    <w:p w14:paraId="3A815970" w14:textId="56085FB6" w:rsidR="00127999" w:rsidRDefault="00127999" w:rsidP="005235D5">
      <w:pPr>
        <w:pStyle w:val="EndnoteText"/>
      </w:pPr>
      <w:r>
        <w:rPr>
          <w:rStyle w:val="EndnoteReference"/>
        </w:rPr>
        <w:endnoteRef/>
      </w:r>
      <w:r>
        <w:t xml:space="preserve"> The antagonistic horizon is conceptually fluid over time (ahistorical), and therefore diachronic in nature.</w:t>
      </w:r>
    </w:p>
  </w:endnote>
  <w:endnote w:id="7">
    <w:p w14:paraId="54F884CF" w14:textId="2A2010E7" w:rsidR="00F3282A" w:rsidRDefault="00F3282A">
      <w:pPr>
        <w:pStyle w:val="EndnoteText"/>
      </w:pPr>
      <w:r>
        <w:rPr>
          <w:rStyle w:val="EndnoteReference"/>
        </w:rPr>
        <w:endnoteRef/>
      </w:r>
      <w:r>
        <w:t xml:space="preserve"> I draw on Mezirow’s </w:t>
      </w:r>
      <w:r>
        <w:fldChar w:fldCharType="begin" w:fldLock="1"/>
      </w:r>
      <w:r w:rsidR="001C3B1B">
        <w:instrText>ADDIN CSL_CITATION {"citationItems":[{"id":"ITEM-1","itemData":{"author":[{"dropping-particle":"","family":"Mezirow","given":"J","non-dropping-particle":"","parse-names":false,"suffix":""}],"container-title":"Fostering Critical Reflection in Adulthood: A Guide to Transformative and Emancipatory Learning","editor":[{"dropping-particle":"","family":"Mezirow","given":"J","non-dropping-particle":"","parse-names":false,"suffix":""}],"id":"ITEM-1","issued":{"date-parts":[["1990"]]},"page":"1-18","publisher":"Jossey-Bass","publisher-place":"San Francisco: CA","title":"How Critical Reflection Triggers Transformative Learning","type":"chapter"},"locator":"1","suppress-author":1,"uris":["http://www.mendeley.com/documents/?uuid=8733dd4b-9253-4f27-926d-bdadc0c6ecf9"]}],"mendeley":{"formattedCitation":"(1990, p. 1)","plainTextFormattedCitation":"(1990, p. 1)","previouslyFormattedCitation":"(1990, p. 1)"},"properties":{"noteIndex":0},"schema":"https://github.com/citation-style-language/schema/raw/master/csl-citation.json"}</w:instrText>
      </w:r>
      <w:r>
        <w:fldChar w:fldCharType="separate"/>
      </w:r>
      <w:r w:rsidRPr="00F3282A">
        <w:rPr>
          <w:noProof/>
        </w:rPr>
        <w:t>(1990, p. 1)</w:t>
      </w:r>
      <w:r>
        <w:fldChar w:fldCharType="end"/>
      </w:r>
      <w:r>
        <w:t xml:space="preserve"> distinction that “</w:t>
      </w:r>
      <w:r w:rsidR="001C3B1B">
        <w:t>r</w:t>
      </w:r>
      <w:r w:rsidRPr="00F3282A">
        <w:t xml:space="preserve">eflection enables us to correct distortions in our beliefs and errors in problem solving. </w:t>
      </w:r>
      <w:r>
        <w:t>[Whereas] c</w:t>
      </w:r>
      <w:r w:rsidRPr="00F3282A">
        <w:t>ritical reflection involves a critique of the presuppositions on which our beliefs have been built.</w:t>
      </w:r>
      <w:r>
        <w:t>”</w:t>
      </w:r>
      <w:r w:rsidR="005E5650">
        <w:t xml:space="preserve"> I denote (critical) reflection as a deepening progression from one to the other.</w:t>
      </w:r>
    </w:p>
  </w:endnote>
  <w:endnote w:id="8">
    <w:p w14:paraId="13E04099" w14:textId="17226790" w:rsidR="00127999" w:rsidRDefault="00127999">
      <w:pPr>
        <w:pStyle w:val="EndnoteText"/>
      </w:pPr>
      <w:r w:rsidRPr="000B5CA4">
        <w:rPr>
          <w:rStyle w:val="EndnoteReference"/>
        </w:rPr>
        <w:endnoteRef/>
      </w:r>
      <w:r>
        <w:t xml:space="preserve"> Capability is defined by </w:t>
      </w:r>
      <w:proofErr w:type="spellStart"/>
      <w:r>
        <w:t>Hase</w:t>
      </w:r>
      <w:proofErr w:type="spellEnd"/>
      <w:r>
        <w:t xml:space="preserve"> and Kenyon </w:t>
      </w:r>
      <w:r>
        <w:fldChar w:fldCharType="begin" w:fldLock="1"/>
      </w:r>
      <w:r>
        <w:instrText>ADDIN CSL_CITATION {"citationItems":[{"id":"ITEM-1","itemData":{"author":[{"dropping-particle":"","family":"Hase","given":"Stuart","non-dropping-particle":"","parse-names":false,"suffix":""},{"dropping-particle":"","family":"Kenyon","given":"Chris","non-dropping-particle":"","parse-names":false,"suffix":""}],"container-title":"Complicity: An international journal of complexity in education.","id":"ITEM-1","issue":"1","issued":{"date-parts":[["2007"]]},"page":"111-118","title":"Heutagogy: A Child of Complexity Theory","type":"article-journal","volume":"4"},"locator":"113-1114","suppress-author":1,"uris":["http://www.mendeley.com/documents/?uuid=8b127dd2-97be-4ff8-abbe-5d96ebdd2081"]}],"mendeley":{"formattedCitation":"(2007, pp. 113–1114)","plainTextFormattedCitation":"(2007, pp. 113–1114)","previouslyFormattedCitation":"(2007, pp. 113–1114)"},"properties":{"noteIndex":0},"schema":"https://github.com/citation-style-language/schema/raw/master/csl-citation.json"}</w:instrText>
      </w:r>
      <w:r>
        <w:fldChar w:fldCharType="separate"/>
      </w:r>
      <w:r w:rsidRPr="000F7669">
        <w:rPr>
          <w:noProof/>
        </w:rPr>
        <w:t>(2007, pp. 113–1114)</w:t>
      </w:r>
      <w:r>
        <w:fldChar w:fldCharType="end"/>
      </w:r>
      <w:r>
        <w:t xml:space="preserve"> as an holistic attribute concerning ‘the capacity to use one’s competence in novel situations…’. That is, capability is concerned with unknown contexts, while competencies are associated with known contexts. </w:t>
      </w:r>
    </w:p>
  </w:endnote>
  <w:endnote w:id="9">
    <w:p w14:paraId="2F00E23B" w14:textId="4A488954" w:rsidR="00127999" w:rsidRDefault="00127999">
      <w:pPr>
        <w:pStyle w:val="EndnoteText"/>
      </w:pPr>
      <w:r w:rsidRPr="000B5CA4">
        <w:rPr>
          <w:rStyle w:val="EndnoteReference"/>
        </w:rPr>
        <w:endnoteRef/>
      </w:r>
      <w:r>
        <w:t xml:space="preserve"> </w:t>
      </w:r>
      <w:r w:rsidRPr="00687990">
        <w:t>https://monkeylearn.com/word-cloud/</w:t>
      </w:r>
    </w:p>
  </w:endnote>
  <w:endnote w:id="10">
    <w:p w14:paraId="7C41C446" w14:textId="71BE52EA" w:rsidR="00127999" w:rsidRDefault="00127999">
      <w:pPr>
        <w:pStyle w:val="EndnoteText"/>
      </w:pPr>
      <w:r w:rsidRPr="000B5CA4">
        <w:rPr>
          <w:rStyle w:val="EndnoteReference"/>
        </w:rPr>
        <w:endnoteRef/>
      </w:r>
      <w:r>
        <w:t xml:space="preserve"> For an introduction to OKRs see</w:t>
      </w:r>
      <w:r w:rsidR="005E5650">
        <w:t xml:space="preserve"> Sull and Sull</w:t>
      </w:r>
      <w:r>
        <w:t xml:space="preserve"> </w:t>
      </w:r>
      <w:r>
        <w:fldChar w:fldCharType="begin" w:fldLock="1"/>
      </w:r>
      <w:r w:rsidR="006D0AE3">
        <w:instrText>ADDIN CSL_CITATION {"citationItems":[{"id":"ITEM-1","itemData":{"abstract":"To execute strategy, leaders must set ambitious targets, translate them into specific metrics and milestones, make them transparent throughout the organization, and discuss progress frequently. this article reminds me of Moss Kanter's work on sharing of data and being transparent on goals, so to enable turnarounds or success.Notably, they don't recommend that all OKRs be measured quantitatively. Milestones like \"hire a chief marketing officer\" are totally ok.","author":[{"dropping-particle":"","family":"Sull","given":"Donald","non-dropping-particle":"","parse-names":false,"suffix":""},{"dropping-particle":"","family":"Sull","given":"Charles","non-dropping-particle":"","parse-names":false,"suffix":""}],"container-title":"MIT Sloan Management Review","id":"ITEM-1","issue":"4","issued":{"date-parts":[["2018"]]},"page":"1-11","title":"With goals, FAST beats SMART","type":"article-journal","volume":"59"},"suppress-author":1,"uris":["http://www.mendeley.com/documents/?uuid=4d15acfb-03fc-4f05-aecd-154ef0436c7c"]}],"mendeley":{"formattedCitation":"(2018)","plainTextFormattedCitation":"(2018)","previouslyFormattedCitation":"(2018)"},"properties":{"noteIndex":0},"schema":"https://github.com/citation-style-language/schema/raw/master/csl-citation.json"}</w:instrText>
      </w:r>
      <w:r>
        <w:fldChar w:fldCharType="separate"/>
      </w:r>
      <w:r w:rsidR="005E5650" w:rsidRPr="005E5650">
        <w:rPr>
          <w:noProof/>
        </w:rPr>
        <w:t>(2018)</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9A36C" w14:textId="77777777" w:rsidR="005C2DD2" w:rsidRDefault="005C2DD2" w:rsidP="009D4C82">
      <w:pPr>
        <w:spacing w:line="240" w:lineRule="auto"/>
      </w:pPr>
      <w:r>
        <w:separator/>
      </w:r>
    </w:p>
  </w:footnote>
  <w:footnote w:type="continuationSeparator" w:id="0">
    <w:p w14:paraId="0C5BE865" w14:textId="77777777" w:rsidR="005C2DD2" w:rsidRDefault="005C2DD2" w:rsidP="009D4C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188"/>
    <w:multiLevelType w:val="multilevel"/>
    <w:tmpl w:val="1D8CD862"/>
    <w:lvl w:ilvl="0">
      <w:start w:val="1"/>
      <w:numFmt w:val="decimal"/>
      <w:lvlText w:val="%1."/>
      <w:lvlJc w:val="left"/>
      <w:pPr>
        <w:ind w:left="1800" w:hanging="360"/>
      </w:pPr>
    </w:lvl>
    <w:lvl w:ilvl="1">
      <w:start w:val="1"/>
      <w:numFmt w:val="decimal"/>
      <w:lvlText w:val="%1.%2."/>
      <w:lvlJc w:val="left"/>
      <w:pPr>
        <w:ind w:left="-2021" w:hanging="432"/>
      </w:pPr>
    </w:lvl>
    <w:lvl w:ilvl="2">
      <w:start w:val="1"/>
      <w:numFmt w:val="decimal"/>
      <w:lvlText w:val="%1.%2.%3."/>
      <w:lvlJc w:val="left"/>
      <w:pPr>
        <w:ind w:left="-1589" w:hanging="504"/>
      </w:pPr>
    </w:lvl>
    <w:lvl w:ilvl="3">
      <w:start w:val="1"/>
      <w:numFmt w:val="decimal"/>
      <w:lvlText w:val="%1.%2.%3.%4."/>
      <w:lvlJc w:val="left"/>
      <w:pPr>
        <w:ind w:left="-1085" w:hanging="648"/>
      </w:pPr>
    </w:lvl>
    <w:lvl w:ilvl="4">
      <w:start w:val="1"/>
      <w:numFmt w:val="decimal"/>
      <w:lvlText w:val="%1.%2.%3.%4.%5."/>
      <w:lvlJc w:val="left"/>
      <w:pPr>
        <w:ind w:left="-581" w:hanging="792"/>
      </w:pPr>
    </w:lvl>
    <w:lvl w:ilvl="5">
      <w:start w:val="1"/>
      <w:numFmt w:val="decimal"/>
      <w:lvlText w:val="%1.%2.%3.%4.%5.%6."/>
      <w:lvlJc w:val="left"/>
      <w:pPr>
        <w:ind w:left="-77" w:hanging="936"/>
      </w:pPr>
    </w:lvl>
    <w:lvl w:ilvl="6">
      <w:start w:val="1"/>
      <w:numFmt w:val="decimal"/>
      <w:lvlText w:val="%1.%2.%3.%4.%5.%6.%7."/>
      <w:lvlJc w:val="left"/>
      <w:pPr>
        <w:ind w:left="427" w:hanging="1080"/>
      </w:pPr>
    </w:lvl>
    <w:lvl w:ilvl="7">
      <w:start w:val="1"/>
      <w:numFmt w:val="decimal"/>
      <w:lvlText w:val="%1.%2.%3.%4.%5.%6.%7.%8."/>
      <w:lvlJc w:val="left"/>
      <w:pPr>
        <w:ind w:left="931" w:hanging="1224"/>
      </w:pPr>
    </w:lvl>
    <w:lvl w:ilvl="8">
      <w:start w:val="1"/>
      <w:numFmt w:val="decimal"/>
      <w:lvlText w:val="%1.%2.%3.%4.%5.%6.%7.%8.%9."/>
      <w:lvlJc w:val="left"/>
      <w:pPr>
        <w:ind w:left="1507" w:hanging="1440"/>
      </w:pPr>
    </w:lvl>
  </w:abstractNum>
  <w:abstractNum w:abstractNumId="1" w15:restartNumberingAfterBreak="0">
    <w:nsid w:val="05E83E1E"/>
    <w:multiLevelType w:val="hybridMultilevel"/>
    <w:tmpl w:val="7D442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D7832"/>
    <w:multiLevelType w:val="hybridMultilevel"/>
    <w:tmpl w:val="B2CE005E"/>
    <w:lvl w:ilvl="0" w:tplc="FC9476FA">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 w15:restartNumberingAfterBreak="0">
    <w:nsid w:val="0D3257F9"/>
    <w:multiLevelType w:val="hybridMultilevel"/>
    <w:tmpl w:val="F782BE52"/>
    <w:lvl w:ilvl="0" w:tplc="1B421B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D5B30"/>
    <w:multiLevelType w:val="hybridMultilevel"/>
    <w:tmpl w:val="55D8C8A4"/>
    <w:lvl w:ilvl="0" w:tplc="F5CE625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 w15:restartNumberingAfterBreak="0">
    <w:nsid w:val="439272B1"/>
    <w:multiLevelType w:val="hybridMultilevel"/>
    <w:tmpl w:val="12BACEE8"/>
    <w:lvl w:ilvl="0" w:tplc="6E8A1196">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6" w15:restartNumberingAfterBreak="0">
    <w:nsid w:val="6497460E"/>
    <w:multiLevelType w:val="hybridMultilevel"/>
    <w:tmpl w:val="71C63196"/>
    <w:lvl w:ilvl="0" w:tplc="1E2609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6A50C2"/>
    <w:multiLevelType w:val="hybridMultilevel"/>
    <w:tmpl w:val="0016A74E"/>
    <w:lvl w:ilvl="0" w:tplc="C1124D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9C5FA6"/>
    <w:multiLevelType w:val="hybridMultilevel"/>
    <w:tmpl w:val="880A62BC"/>
    <w:lvl w:ilvl="0" w:tplc="62469480">
      <w:start w:val="1"/>
      <w:numFmt w:val="lowerLetter"/>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9" w15:restartNumberingAfterBreak="0">
    <w:nsid w:val="79866D6B"/>
    <w:multiLevelType w:val="hybridMultilevel"/>
    <w:tmpl w:val="AC9457F6"/>
    <w:lvl w:ilvl="0" w:tplc="5D5E7AD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7475425">
    <w:abstractNumId w:val="0"/>
  </w:num>
  <w:num w:numId="2" w16cid:durableId="776489981">
    <w:abstractNumId w:val="0"/>
  </w:num>
  <w:num w:numId="3" w16cid:durableId="1043484516">
    <w:abstractNumId w:val="1"/>
  </w:num>
  <w:num w:numId="4" w16cid:durableId="2062554346">
    <w:abstractNumId w:val="3"/>
  </w:num>
  <w:num w:numId="5" w16cid:durableId="1755590810">
    <w:abstractNumId w:val="8"/>
  </w:num>
  <w:num w:numId="6" w16cid:durableId="1512718703">
    <w:abstractNumId w:val="4"/>
  </w:num>
  <w:num w:numId="7" w16cid:durableId="306590075">
    <w:abstractNumId w:val="2"/>
  </w:num>
  <w:num w:numId="8" w16cid:durableId="2064137007">
    <w:abstractNumId w:val="5"/>
  </w:num>
  <w:num w:numId="9" w16cid:durableId="1671759393">
    <w:abstractNumId w:val="7"/>
  </w:num>
  <w:num w:numId="10" w16cid:durableId="1578633470">
    <w:abstractNumId w:val="9"/>
  </w:num>
  <w:num w:numId="11" w16cid:durableId="15070126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684D"/>
    <w:rsid w:val="00004F82"/>
    <w:rsid w:val="000068DB"/>
    <w:rsid w:val="000074AE"/>
    <w:rsid w:val="00010316"/>
    <w:rsid w:val="000106F6"/>
    <w:rsid w:val="000152D3"/>
    <w:rsid w:val="0001627B"/>
    <w:rsid w:val="00017365"/>
    <w:rsid w:val="00020016"/>
    <w:rsid w:val="00024B35"/>
    <w:rsid w:val="00026C48"/>
    <w:rsid w:val="00026C50"/>
    <w:rsid w:val="000305E1"/>
    <w:rsid w:val="000318C2"/>
    <w:rsid w:val="00034167"/>
    <w:rsid w:val="00035C32"/>
    <w:rsid w:val="00045BEC"/>
    <w:rsid w:val="00054BBA"/>
    <w:rsid w:val="00056C85"/>
    <w:rsid w:val="00060379"/>
    <w:rsid w:val="00060559"/>
    <w:rsid w:val="0006658D"/>
    <w:rsid w:val="00066A81"/>
    <w:rsid w:val="0007115E"/>
    <w:rsid w:val="00073234"/>
    <w:rsid w:val="000902C0"/>
    <w:rsid w:val="00092E83"/>
    <w:rsid w:val="00095820"/>
    <w:rsid w:val="0009689A"/>
    <w:rsid w:val="000969DA"/>
    <w:rsid w:val="000A642D"/>
    <w:rsid w:val="000B1105"/>
    <w:rsid w:val="000B259C"/>
    <w:rsid w:val="000B27AD"/>
    <w:rsid w:val="000B5CA4"/>
    <w:rsid w:val="000C4710"/>
    <w:rsid w:val="000C680C"/>
    <w:rsid w:val="000D1DA6"/>
    <w:rsid w:val="000D1FFF"/>
    <w:rsid w:val="000D5865"/>
    <w:rsid w:val="000D6ADC"/>
    <w:rsid w:val="000D707B"/>
    <w:rsid w:val="000E00C5"/>
    <w:rsid w:val="000E06B1"/>
    <w:rsid w:val="000E1F00"/>
    <w:rsid w:val="000E3929"/>
    <w:rsid w:val="000E4E25"/>
    <w:rsid w:val="000F0895"/>
    <w:rsid w:val="000F14BC"/>
    <w:rsid w:val="000F2CF0"/>
    <w:rsid w:val="000F5CF5"/>
    <w:rsid w:val="000F6536"/>
    <w:rsid w:val="000F7669"/>
    <w:rsid w:val="000F7728"/>
    <w:rsid w:val="0011081D"/>
    <w:rsid w:val="0011360E"/>
    <w:rsid w:val="00114DA9"/>
    <w:rsid w:val="001167FA"/>
    <w:rsid w:val="001206B7"/>
    <w:rsid w:val="00121A48"/>
    <w:rsid w:val="00121BF9"/>
    <w:rsid w:val="00123762"/>
    <w:rsid w:val="00125170"/>
    <w:rsid w:val="00126A64"/>
    <w:rsid w:val="00127999"/>
    <w:rsid w:val="00134220"/>
    <w:rsid w:val="001342AB"/>
    <w:rsid w:val="00134E0A"/>
    <w:rsid w:val="00141A3C"/>
    <w:rsid w:val="001452EB"/>
    <w:rsid w:val="00147435"/>
    <w:rsid w:val="00151956"/>
    <w:rsid w:val="00151C0F"/>
    <w:rsid w:val="001539FF"/>
    <w:rsid w:val="0015532E"/>
    <w:rsid w:val="00157026"/>
    <w:rsid w:val="0016345D"/>
    <w:rsid w:val="00163A5A"/>
    <w:rsid w:val="0016444E"/>
    <w:rsid w:val="00166780"/>
    <w:rsid w:val="0016738B"/>
    <w:rsid w:val="00171B5D"/>
    <w:rsid w:val="001724A4"/>
    <w:rsid w:val="00174312"/>
    <w:rsid w:val="001817AE"/>
    <w:rsid w:val="0018498B"/>
    <w:rsid w:val="00184B59"/>
    <w:rsid w:val="0018633D"/>
    <w:rsid w:val="001864B4"/>
    <w:rsid w:val="00186F6D"/>
    <w:rsid w:val="0018773E"/>
    <w:rsid w:val="00187C50"/>
    <w:rsid w:val="001921A1"/>
    <w:rsid w:val="00195011"/>
    <w:rsid w:val="001A04C5"/>
    <w:rsid w:val="001A26BC"/>
    <w:rsid w:val="001A3A05"/>
    <w:rsid w:val="001A518F"/>
    <w:rsid w:val="001B3810"/>
    <w:rsid w:val="001B6DA3"/>
    <w:rsid w:val="001B710D"/>
    <w:rsid w:val="001B7688"/>
    <w:rsid w:val="001C14A6"/>
    <w:rsid w:val="001C3B1B"/>
    <w:rsid w:val="001C6CD5"/>
    <w:rsid w:val="001C7E8D"/>
    <w:rsid w:val="001D269F"/>
    <w:rsid w:val="001D2794"/>
    <w:rsid w:val="001D4E9D"/>
    <w:rsid w:val="001E3E69"/>
    <w:rsid w:val="001F0D0E"/>
    <w:rsid w:val="001F1771"/>
    <w:rsid w:val="001F1AEA"/>
    <w:rsid w:val="00200278"/>
    <w:rsid w:val="00202B43"/>
    <w:rsid w:val="00204396"/>
    <w:rsid w:val="00206FC4"/>
    <w:rsid w:val="00210EE5"/>
    <w:rsid w:val="00213A28"/>
    <w:rsid w:val="00215B60"/>
    <w:rsid w:val="00216578"/>
    <w:rsid w:val="00223DAB"/>
    <w:rsid w:val="0023169D"/>
    <w:rsid w:val="002326FF"/>
    <w:rsid w:val="00233A3F"/>
    <w:rsid w:val="002342D4"/>
    <w:rsid w:val="00235442"/>
    <w:rsid w:val="00237C74"/>
    <w:rsid w:val="00237FD9"/>
    <w:rsid w:val="00242E64"/>
    <w:rsid w:val="0024444C"/>
    <w:rsid w:val="00247762"/>
    <w:rsid w:val="00250840"/>
    <w:rsid w:val="00251C03"/>
    <w:rsid w:val="00254A3F"/>
    <w:rsid w:val="00256E62"/>
    <w:rsid w:val="00266418"/>
    <w:rsid w:val="002708D7"/>
    <w:rsid w:val="0027094C"/>
    <w:rsid w:val="00270D66"/>
    <w:rsid w:val="002719B0"/>
    <w:rsid w:val="00274CA3"/>
    <w:rsid w:val="00277021"/>
    <w:rsid w:val="00283E22"/>
    <w:rsid w:val="00284A75"/>
    <w:rsid w:val="00285AC5"/>
    <w:rsid w:val="00287370"/>
    <w:rsid w:val="0028756E"/>
    <w:rsid w:val="00296511"/>
    <w:rsid w:val="00297644"/>
    <w:rsid w:val="002A0A84"/>
    <w:rsid w:val="002A20AC"/>
    <w:rsid w:val="002A54CF"/>
    <w:rsid w:val="002B4F4E"/>
    <w:rsid w:val="002B7925"/>
    <w:rsid w:val="002C03F6"/>
    <w:rsid w:val="002C0F1D"/>
    <w:rsid w:val="002C2636"/>
    <w:rsid w:val="002C33F5"/>
    <w:rsid w:val="002C3A05"/>
    <w:rsid w:val="002C55C9"/>
    <w:rsid w:val="002C575F"/>
    <w:rsid w:val="002C76B4"/>
    <w:rsid w:val="002D0B8C"/>
    <w:rsid w:val="002D7938"/>
    <w:rsid w:val="002E4ECF"/>
    <w:rsid w:val="002E6787"/>
    <w:rsid w:val="002F02ED"/>
    <w:rsid w:val="002F307A"/>
    <w:rsid w:val="002F3100"/>
    <w:rsid w:val="00301172"/>
    <w:rsid w:val="003012A0"/>
    <w:rsid w:val="00301423"/>
    <w:rsid w:val="00301DD0"/>
    <w:rsid w:val="003029C3"/>
    <w:rsid w:val="00302F74"/>
    <w:rsid w:val="003034EF"/>
    <w:rsid w:val="00307FA6"/>
    <w:rsid w:val="00312558"/>
    <w:rsid w:val="0031271B"/>
    <w:rsid w:val="003148DE"/>
    <w:rsid w:val="00320811"/>
    <w:rsid w:val="00320E20"/>
    <w:rsid w:val="0032327B"/>
    <w:rsid w:val="003242A5"/>
    <w:rsid w:val="00331197"/>
    <w:rsid w:val="0033370C"/>
    <w:rsid w:val="0033730F"/>
    <w:rsid w:val="00337B0C"/>
    <w:rsid w:val="00337FB6"/>
    <w:rsid w:val="00342E0E"/>
    <w:rsid w:val="00344814"/>
    <w:rsid w:val="0035238A"/>
    <w:rsid w:val="00354F9A"/>
    <w:rsid w:val="003552F8"/>
    <w:rsid w:val="003639A1"/>
    <w:rsid w:val="003733AB"/>
    <w:rsid w:val="00374215"/>
    <w:rsid w:val="00375E30"/>
    <w:rsid w:val="00377AE1"/>
    <w:rsid w:val="00385AE8"/>
    <w:rsid w:val="00387999"/>
    <w:rsid w:val="00394A38"/>
    <w:rsid w:val="00395A08"/>
    <w:rsid w:val="00396872"/>
    <w:rsid w:val="003A2DA2"/>
    <w:rsid w:val="003A2E18"/>
    <w:rsid w:val="003A6A62"/>
    <w:rsid w:val="003A7936"/>
    <w:rsid w:val="003B065E"/>
    <w:rsid w:val="003B2E77"/>
    <w:rsid w:val="003B4A15"/>
    <w:rsid w:val="003B5FAA"/>
    <w:rsid w:val="003B795E"/>
    <w:rsid w:val="003C2B44"/>
    <w:rsid w:val="003C39F9"/>
    <w:rsid w:val="003D09A8"/>
    <w:rsid w:val="003D496E"/>
    <w:rsid w:val="003D7CD4"/>
    <w:rsid w:val="003E6188"/>
    <w:rsid w:val="003F4F6C"/>
    <w:rsid w:val="00400592"/>
    <w:rsid w:val="00402963"/>
    <w:rsid w:val="004210EE"/>
    <w:rsid w:val="00421574"/>
    <w:rsid w:val="00422130"/>
    <w:rsid w:val="00422EBB"/>
    <w:rsid w:val="00423310"/>
    <w:rsid w:val="00423B5E"/>
    <w:rsid w:val="00424D47"/>
    <w:rsid w:val="0042707C"/>
    <w:rsid w:val="00434638"/>
    <w:rsid w:val="00434B37"/>
    <w:rsid w:val="00436C97"/>
    <w:rsid w:val="00443D81"/>
    <w:rsid w:val="0044433E"/>
    <w:rsid w:val="004475B6"/>
    <w:rsid w:val="00455533"/>
    <w:rsid w:val="00455B3F"/>
    <w:rsid w:val="004600E7"/>
    <w:rsid w:val="00460392"/>
    <w:rsid w:val="0046129D"/>
    <w:rsid w:val="00462652"/>
    <w:rsid w:val="00466A66"/>
    <w:rsid w:val="004725FB"/>
    <w:rsid w:val="00472C63"/>
    <w:rsid w:val="004736D8"/>
    <w:rsid w:val="00475644"/>
    <w:rsid w:val="004803D6"/>
    <w:rsid w:val="00480831"/>
    <w:rsid w:val="0048383C"/>
    <w:rsid w:val="00486F0F"/>
    <w:rsid w:val="00490E4E"/>
    <w:rsid w:val="00494217"/>
    <w:rsid w:val="004A074C"/>
    <w:rsid w:val="004A1536"/>
    <w:rsid w:val="004A1CC3"/>
    <w:rsid w:val="004A2FBD"/>
    <w:rsid w:val="004A5C70"/>
    <w:rsid w:val="004A5FBC"/>
    <w:rsid w:val="004B1DC8"/>
    <w:rsid w:val="004B4BB2"/>
    <w:rsid w:val="004B6629"/>
    <w:rsid w:val="004B68A9"/>
    <w:rsid w:val="004C0754"/>
    <w:rsid w:val="004C7F3A"/>
    <w:rsid w:val="004D27B8"/>
    <w:rsid w:val="004D4483"/>
    <w:rsid w:val="004D5B07"/>
    <w:rsid w:val="004E0F43"/>
    <w:rsid w:val="004E14BE"/>
    <w:rsid w:val="004E64EB"/>
    <w:rsid w:val="004F1617"/>
    <w:rsid w:val="004F1900"/>
    <w:rsid w:val="004F1CC7"/>
    <w:rsid w:val="004F37C9"/>
    <w:rsid w:val="004F411E"/>
    <w:rsid w:val="004F6D5F"/>
    <w:rsid w:val="00500F98"/>
    <w:rsid w:val="005059C0"/>
    <w:rsid w:val="00511CD0"/>
    <w:rsid w:val="005226E4"/>
    <w:rsid w:val="005235D5"/>
    <w:rsid w:val="005239DD"/>
    <w:rsid w:val="00523A54"/>
    <w:rsid w:val="00526BB5"/>
    <w:rsid w:val="00532193"/>
    <w:rsid w:val="0054094F"/>
    <w:rsid w:val="00544DB3"/>
    <w:rsid w:val="00545503"/>
    <w:rsid w:val="00546DD6"/>
    <w:rsid w:val="0055018C"/>
    <w:rsid w:val="0055197F"/>
    <w:rsid w:val="00552A98"/>
    <w:rsid w:val="00556E7B"/>
    <w:rsid w:val="005644B7"/>
    <w:rsid w:val="00566CF1"/>
    <w:rsid w:val="00573673"/>
    <w:rsid w:val="00575BD6"/>
    <w:rsid w:val="005770D2"/>
    <w:rsid w:val="0057710C"/>
    <w:rsid w:val="00580FCB"/>
    <w:rsid w:val="00582016"/>
    <w:rsid w:val="005832A7"/>
    <w:rsid w:val="00584036"/>
    <w:rsid w:val="0058503E"/>
    <w:rsid w:val="0059224C"/>
    <w:rsid w:val="005942F6"/>
    <w:rsid w:val="00595104"/>
    <w:rsid w:val="005A2B13"/>
    <w:rsid w:val="005A2DE6"/>
    <w:rsid w:val="005A64D0"/>
    <w:rsid w:val="005A68E7"/>
    <w:rsid w:val="005B1A92"/>
    <w:rsid w:val="005B5C1B"/>
    <w:rsid w:val="005B5DA7"/>
    <w:rsid w:val="005C088C"/>
    <w:rsid w:val="005C0C6A"/>
    <w:rsid w:val="005C2DD2"/>
    <w:rsid w:val="005C685C"/>
    <w:rsid w:val="005C76C0"/>
    <w:rsid w:val="005C7E10"/>
    <w:rsid w:val="005D764C"/>
    <w:rsid w:val="005E2C18"/>
    <w:rsid w:val="005E40E4"/>
    <w:rsid w:val="005E5650"/>
    <w:rsid w:val="005E7029"/>
    <w:rsid w:val="005F4B8B"/>
    <w:rsid w:val="005F6BAC"/>
    <w:rsid w:val="00600D18"/>
    <w:rsid w:val="00601717"/>
    <w:rsid w:val="006040DA"/>
    <w:rsid w:val="00613996"/>
    <w:rsid w:val="00614152"/>
    <w:rsid w:val="006163C0"/>
    <w:rsid w:val="0061657F"/>
    <w:rsid w:val="00616FC2"/>
    <w:rsid w:val="0062015C"/>
    <w:rsid w:val="006214A1"/>
    <w:rsid w:val="00621616"/>
    <w:rsid w:val="00624918"/>
    <w:rsid w:val="00627044"/>
    <w:rsid w:val="00631557"/>
    <w:rsid w:val="0063454B"/>
    <w:rsid w:val="0064146A"/>
    <w:rsid w:val="00643157"/>
    <w:rsid w:val="006455CF"/>
    <w:rsid w:val="006461AE"/>
    <w:rsid w:val="006507E5"/>
    <w:rsid w:val="00655CDA"/>
    <w:rsid w:val="00657B71"/>
    <w:rsid w:val="00660490"/>
    <w:rsid w:val="00661136"/>
    <w:rsid w:val="00661CA6"/>
    <w:rsid w:val="006717D9"/>
    <w:rsid w:val="00671DDA"/>
    <w:rsid w:val="006734C2"/>
    <w:rsid w:val="00673E2A"/>
    <w:rsid w:val="00674C95"/>
    <w:rsid w:val="00680677"/>
    <w:rsid w:val="00683A23"/>
    <w:rsid w:val="0068617D"/>
    <w:rsid w:val="006864D2"/>
    <w:rsid w:val="00687990"/>
    <w:rsid w:val="006916DB"/>
    <w:rsid w:val="00693A3B"/>
    <w:rsid w:val="006953AB"/>
    <w:rsid w:val="006A104F"/>
    <w:rsid w:val="006A231E"/>
    <w:rsid w:val="006A4FFD"/>
    <w:rsid w:val="006A5986"/>
    <w:rsid w:val="006A5FDD"/>
    <w:rsid w:val="006A6770"/>
    <w:rsid w:val="006B00FC"/>
    <w:rsid w:val="006B0118"/>
    <w:rsid w:val="006B1366"/>
    <w:rsid w:val="006B508C"/>
    <w:rsid w:val="006C284F"/>
    <w:rsid w:val="006C38CB"/>
    <w:rsid w:val="006C3ED7"/>
    <w:rsid w:val="006C5266"/>
    <w:rsid w:val="006C6A0F"/>
    <w:rsid w:val="006C71CF"/>
    <w:rsid w:val="006D0AE3"/>
    <w:rsid w:val="006D3221"/>
    <w:rsid w:val="006E264B"/>
    <w:rsid w:val="006E3A09"/>
    <w:rsid w:val="006E47D4"/>
    <w:rsid w:val="006F431F"/>
    <w:rsid w:val="006F4AE0"/>
    <w:rsid w:val="00705FD5"/>
    <w:rsid w:val="007066DD"/>
    <w:rsid w:val="0071197B"/>
    <w:rsid w:val="007158C6"/>
    <w:rsid w:val="007167C0"/>
    <w:rsid w:val="007238C1"/>
    <w:rsid w:val="007256FA"/>
    <w:rsid w:val="00725CAE"/>
    <w:rsid w:val="00730470"/>
    <w:rsid w:val="00734005"/>
    <w:rsid w:val="00741553"/>
    <w:rsid w:val="00742DC8"/>
    <w:rsid w:val="007439A2"/>
    <w:rsid w:val="007504C9"/>
    <w:rsid w:val="00751406"/>
    <w:rsid w:val="00767D12"/>
    <w:rsid w:val="0077218D"/>
    <w:rsid w:val="00772849"/>
    <w:rsid w:val="007761BB"/>
    <w:rsid w:val="00776242"/>
    <w:rsid w:val="00781F10"/>
    <w:rsid w:val="00783907"/>
    <w:rsid w:val="00785456"/>
    <w:rsid w:val="00790F13"/>
    <w:rsid w:val="00791C9D"/>
    <w:rsid w:val="00791D24"/>
    <w:rsid w:val="007941FA"/>
    <w:rsid w:val="00794DCE"/>
    <w:rsid w:val="007A0A30"/>
    <w:rsid w:val="007A6019"/>
    <w:rsid w:val="007B34E8"/>
    <w:rsid w:val="007B424D"/>
    <w:rsid w:val="007B49FF"/>
    <w:rsid w:val="007C1775"/>
    <w:rsid w:val="007D011E"/>
    <w:rsid w:val="007D255F"/>
    <w:rsid w:val="007E0448"/>
    <w:rsid w:val="007E257C"/>
    <w:rsid w:val="007E3A2A"/>
    <w:rsid w:val="007E6CC7"/>
    <w:rsid w:val="007F1337"/>
    <w:rsid w:val="007F2182"/>
    <w:rsid w:val="007F7383"/>
    <w:rsid w:val="0080533B"/>
    <w:rsid w:val="00805DFA"/>
    <w:rsid w:val="00812E51"/>
    <w:rsid w:val="00813BC0"/>
    <w:rsid w:val="0081492B"/>
    <w:rsid w:val="00817A02"/>
    <w:rsid w:val="008204BF"/>
    <w:rsid w:val="008213C1"/>
    <w:rsid w:val="00821627"/>
    <w:rsid w:val="0082395F"/>
    <w:rsid w:val="00823ACA"/>
    <w:rsid w:val="00827726"/>
    <w:rsid w:val="00831A9A"/>
    <w:rsid w:val="00845F07"/>
    <w:rsid w:val="00846B54"/>
    <w:rsid w:val="008476F0"/>
    <w:rsid w:val="00847E49"/>
    <w:rsid w:val="008500A9"/>
    <w:rsid w:val="00850224"/>
    <w:rsid w:val="00850B70"/>
    <w:rsid w:val="008535C7"/>
    <w:rsid w:val="00853BBA"/>
    <w:rsid w:val="00861D05"/>
    <w:rsid w:val="008738C0"/>
    <w:rsid w:val="00874234"/>
    <w:rsid w:val="008805C5"/>
    <w:rsid w:val="0088092A"/>
    <w:rsid w:val="00880F7F"/>
    <w:rsid w:val="00880FB9"/>
    <w:rsid w:val="00881EF8"/>
    <w:rsid w:val="008834C4"/>
    <w:rsid w:val="00883DCC"/>
    <w:rsid w:val="00887E17"/>
    <w:rsid w:val="00892CDD"/>
    <w:rsid w:val="008A21F2"/>
    <w:rsid w:val="008A7684"/>
    <w:rsid w:val="008B44FD"/>
    <w:rsid w:val="008B52D9"/>
    <w:rsid w:val="008B73A4"/>
    <w:rsid w:val="008C00A7"/>
    <w:rsid w:val="008C047A"/>
    <w:rsid w:val="008C297B"/>
    <w:rsid w:val="008C5E76"/>
    <w:rsid w:val="008C626D"/>
    <w:rsid w:val="008C6845"/>
    <w:rsid w:val="008C7D6D"/>
    <w:rsid w:val="008D4531"/>
    <w:rsid w:val="008D4CE0"/>
    <w:rsid w:val="008D7620"/>
    <w:rsid w:val="008E1FA3"/>
    <w:rsid w:val="008E2AB6"/>
    <w:rsid w:val="008E44BE"/>
    <w:rsid w:val="008F2E4B"/>
    <w:rsid w:val="008F55C6"/>
    <w:rsid w:val="008F6616"/>
    <w:rsid w:val="00904FEC"/>
    <w:rsid w:val="009104D0"/>
    <w:rsid w:val="009119CA"/>
    <w:rsid w:val="00913EBD"/>
    <w:rsid w:val="00917AD3"/>
    <w:rsid w:val="0092307B"/>
    <w:rsid w:val="00923334"/>
    <w:rsid w:val="0092546B"/>
    <w:rsid w:val="009258CF"/>
    <w:rsid w:val="00927EE2"/>
    <w:rsid w:val="00941BE6"/>
    <w:rsid w:val="00943005"/>
    <w:rsid w:val="00955C7B"/>
    <w:rsid w:val="009566AF"/>
    <w:rsid w:val="00961212"/>
    <w:rsid w:val="00964E13"/>
    <w:rsid w:val="0096617B"/>
    <w:rsid w:val="00970470"/>
    <w:rsid w:val="00971AC3"/>
    <w:rsid w:val="00975341"/>
    <w:rsid w:val="00980E82"/>
    <w:rsid w:val="009872E6"/>
    <w:rsid w:val="00994F16"/>
    <w:rsid w:val="009960FB"/>
    <w:rsid w:val="009A27F0"/>
    <w:rsid w:val="009A691E"/>
    <w:rsid w:val="009B243E"/>
    <w:rsid w:val="009B2567"/>
    <w:rsid w:val="009B2C19"/>
    <w:rsid w:val="009B4AB3"/>
    <w:rsid w:val="009B7B4D"/>
    <w:rsid w:val="009C1E86"/>
    <w:rsid w:val="009C1F6A"/>
    <w:rsid w:val="009C5E92"/>
    <w:rsid w:val="009D4C82"/>
    <w:rsid w:val="009E1C9A"/>
    <w:rsid w:val="009E70C4"/>
    <w:rsid w:val="009E78E7"/>
    <w:rsid w:val="009F7D8C"/>
    <w:rsid w:val="009F7FBD"/>
    <w:rsid w:val="00A0312E"/>
    <w:rsid w:val="00A07F34"/>
    <w:rsid w:val="00A107BA"/>
    <w:rsid w:val="00A12F44"/>
    <w:rsid w:val="00A1735C"/>
    <w:rsid w:val="00A34DE2"/>
    <w:rsid w:val="00A41840"/>
    <w:rsid w:val="00A42C8F"/>
    <w:rsid w:val="00A4482A"/>
    <w:rsid w:val="00A46712"/>
    <w:rsid w:val="00A5017F"/>
    <w:rsid w:val="00A5666A"/>
    <w:rsid w:val="00A57CF5"/>
    <w:rsid w:val="00A57F52"/>
    <w:rsid w:val="00A610CA"/>
    <w:rsid w:val="00A61939"/>
    <w:rsid w:val="00A7012D"/>
    <w:rsid w:val="00A75C14"/>
    <w:rsid w:val="00A80A5C"/>
    <w:rsid w:val="00A94BBB"/>
    <w:rsid w:val="00A969AB"/>
    <w:rsid w:val="00AA1850"/>
    <w:rsid w:val="00AA1B5C"/>
    <w:rsid w:val="00AA2CC3"/>
    <w:rsid w:val="00AA44E8"/>
    <w:rsid w:val="00AA4BDA"/>
    <w:rsid w:val="00AA6A83"/>
    <w:rsid w:val="00AA6FF3"/>
    <w:rsid w:val="00AB5166"/>
    <w:rsid w:val="00AB62B1"/>
    <w:rsid w:val="00AB6CFC"/>
    <w:rsid w:val="00AC3647"/>
    <w:rsid w:val="00AD1DBD"/>
    <w:rsid w:val="00AD3D3E"/>
    <w:rsid w:val="00AD76F0"/>
    <w:rsid w:val="00AE04BF"/>
    <w:rsid w:val="00AE17AF"/>
    <w:rsid w:val="00AE4BF6"/>
    <w:rsid w:val="00AF08AF"/>
    <w:rsid w:val="00AF1DC9"/>
    <w:rsid w:val="00AF21EA"/>
    <w:rsid w:val="00AF45B9"/>
    <w:rsid w:val="00AF4EE9"/>
    <w:rsid w:val="00AF633F"/>
    <w:rsid w:val="00AF731F"/>
    <w:rsid w:val="00B02082"/>
    <w:rsid w:val="00B16954"/>
    <w:rsid w:val="00B201F6"/>
    <w:rsid w:val="00B25C28"/>
    <w:rsid w:val="00B3033E"/>
    <w:rsid w:val="00B319F3"/>
    <w:rsid w:val="00B35DCA"/>
    <w:rsid w:val="00B40FFB"/>
    <w:rsid w:val="00B4120C"/>
    <w:rsid w:val="00B4319D"/>
    <w:rsid w:val="00B51A46"/>
    <w:rsid w:val="00B52317"/>
    <w:rsid w:val="00B53A05"/>
    <w:rsid w:val="00B572AC"/>
    <w:rsid w:val="00B57D64"/>
    <w:rsid w:val="00B63B8B"/>
    <w:rsid w:val="00B65074"/>
    <w:rsid w:val="00B67B04"/>
    <w:rsid w:val="00B71413"/>
    <w:rsid w:val="00B7412F"/>
    <w:rsid w:val="00B77586"/>
    <w:rsid w:val="00B8419D"/>
    <w:rsid w:val="00B8775E"/>
    <w:rsid w:val="00B943C4"/>
    <w:rsid w:val="00B9496C"/>
    <w:rsid w:val="00B953D2"/>
    <w:rsid w:val="00BA49B4"/>
    <w:rsid w:val="00BA5FA8"/>
    <w:rsid w:val="00BA75C0"/>
    <w:rsid w:val="00BA7626"/>
    <w:rsid w:val="00BB1950"/>
    <w:rsid w:val="00BB2B0A"/>
    <w:rsid w:val="00BB3591"/>
    <w:rsid w:val="00BB5EEC"/>
    <w:rsid w:val="00BB7202"/>
    <w:rsid w:val="00BB730E"/>
    <w:rsid w:val="00BC08A1"/>
    <w:rsid w:val="00BC176D"/>
    <w:rsid w:val="00BD14C8"/>
    <w:rsid w:val="00BD54A3"/>
    <w:rsid w:val="00BD784F"/>
    <w:rsid w:val="00BD7A82"/>
    <w:rsid w:val="00BE06A4"/>
    <w:rsid w:val="00BE275A"/>
    <w:rsid w:val="00BE4241"/>
    <w:rsid w:val="00BF00BC"/>
    <w:rsid w:val="00BF0D95"/>
    <w:rsid w:val="00BF20B8"/>
    <w:rsid w:val="00BF690C"/>
    <w:rsid w:val="00BF6AA0"/>
    <w:rsid w:val="00BF710B"/>
    <w:rsid w:val="00BF724B"/>
    <w:rsid w:val="00BF7FFC"/>
    <w:rsid w:val="00C00A4D"/>
    <w:rsid w:val="00C01FA4"/>
    <w:rsid w:val="00C03087"/>
    <w:rsid w:val="00C0403E"/>
    <w:rsid w:val="00C054EB"/>
    <w:rsid w:val="00C11185"/>
    <w:rsid w:val="00C151B9"/>
    <w:rsid w:val="00C207E2"/>
    <w:rsid w:val="00C20A35"/>
    <w:rsid w:val="00C21DE1"/>
    <w:rsid w:val="00C2322A"/>
    <w:rsid w:val="00C26059"/>
    <w:rsid w:val="00C26730"/>
    <w:rsid w:val="00C276AD"/>
    <w:rsid w:val="00C32518"/>
    <w:rsid w:val="00C32CF0"/>
    <w:rsid w:val="00C33807"/>
    <w:rsid w:val="00C356AF"/>
    <w:rsid w:val="00C37A61"/>
    <w:rsid w:val="00C44AF2"/>
    <w:rsid w:val="00C51BEF"/>
    <w:rsid w:val="00C524C0"/>
    <w:rsid w:val="00C53661"/>
    <w:rsid w:val="00C56632"/>
    <w:rsid w:val="00C56C87"/>
    <w:rsid w:val="00C6638F"/>
    <w:rsid w:val="00C66BB0"/>
    <w:rsid w:val="00C70F69"/>
    <w:rsid w:val="00C71E48"/>
    <w:rsid w:val="00C74F60"/>
    <w:rsid w:val="00C774A6"/>
    <w:rsid w:val="00C81825"/>
    <w:rsid w:val="00C81935"/>
    <w:rsid w:val="00C84A5C"/>
    <w:rsid w:val="00C855B2"/>
    <w:rsid w:val="00C85AEE"/>
    <w:rsid w:val="00C9143B"/>
    <w:rsid w:val="00C9431A"/>
    <w:rsid w:val="00C965DD"/>
    <w:rsid w:val="00CB2E10"/>
    <w:rsid w:val="00CB6FD0"/>
    <w:rsid w:val="00CC0800"/>
    <w:rsid w:val="00CC1CE9"/>
    <w:rsid w:val="00CC2ED8"/>
    <w:rsid w:val="00CC3D00"/>
    <w:rsid w:val="00CC3DBD"/>
    <w:rsid w:val="00CD5323"/>
    <w:rsid w:val="00CD6276"/>
    <w:rsid w:val="00CD6A18"/>
    <w:rsid w:val="00CE1688"/>
    <w:rsid w:val="00CE28B5"/>
    <w:rsid w:val="00CE4798"/>
    <w:rsid w:val="00CE683D"/>
    <w:rsid w:val="00CF1A47"/>
    <w:rsid w:val="00CF5BD9"/>
    <w:rsid w:val="00D017CD"/>
    <w:rsid w:val="00D05C72"/>
    <w:rsid w:val="00D067CC"/>
    <w:rsid w:val="00D10351"/>
    <w:rsid w:val="00D12478"/>
    <w:rsid w:val="00D13699"/>
    <w:rsid w:val="00D15A8C"/>
    <w:rsid w:val="00D15B46"/>
    <w:rsid w:val="00D1684D"/>
    <w:rsid w:val="00D175C7"/>
    <w:rsid w:val="00D17DB0"/>
    <w:rsid w:val="00D17F4B"/>
    <w:rsid w:val="00D208F5"/>
    <w:rsid w:val="00D20985"/>
    <w:rsid w:val="00D23BF9"/>
    <w:rsid w:val="00D344A8"/>
    <w:rsid w:val="00D348F4"/>
    <w:rsid w:val="00D3575D"/>
    <w:rsid w:val="00D3697B"/>
    <w:rsid w:val="00D36998"/>
    <w:rsid w:val="00D417BB"/>
    <w:rsid w:val="00D42A8C"/>
    <w:rsid w:val="00D434F5"/>
    <w:rsid w:val="00D44914"/>
    <w:rsid w:val="00D466F0"/>
    <w:rsid w:val="00D47D74"/>
    <w:rsid w:val="00D541AC"/>
    <w:rsid w:val="00D56DBF"/>
    <w:rsid w:val="00D57F63"/>
    <w:rsid w:val="00D64688"/>
    <w:rsid w:val="00D65DCF"/>
    <w:rsid w:val="00D70693"/>
    <w:rsid w:val="00D73019"/>
    <w:rsid w:val="00D73C21"/>
    <w:rsid w:val="00D83682"/>
    <w:rsid w:val="00D83E47"/>
    <w:rsid w:val="00D84F07"/>
    <w:rsid w:val="00D90197"/>
    <w:rsid w:val="00D90744"/>
    <w:rsid w:val="00D94085"/>
    <w:rsid w:val="00DA5B51"/>
    <w:rsid w:val="00DB015D"/>
    <w:rsid w:val="00DB63D4"/>
    <w:rsid w:val="00DB782E"/>
    <w:rsid w:val="00DC07CB"/>
    <w:rsid w:val="00DC112B"/>
    <w:rsid w:val="00DC20AE"/>
    <w:rsid w:val="00DC2B73"/>
    <w:rsid w:val="00DC5AA7"/>
    <w:rsid w:val="00DC5B1C"/>
    <w:rsid w:val="00DC7D7E"/>
    <w:rsid w:val="00DD0F6B"/>
    <w:rsid w:val="00DD145B"/>
    <w:rsid w:val="00DD1CF0"/>
    <w:rsid w:val="00DD3DE3"/>
    <w:rsid w:val="00DD7AC0"/>
    <w:rsid w:val="00DF1316"/>
    <w:rsid w:val="00DF2089"/>
    <w:rsid w:val="00DF3C44"/>
    <w:rsid w:val="00DF4D53"/>
    <w:rsid w:val="00DF510F"/>
    <w:rsid w:val="00E012E6"/>
    <w:rsid w:val="00E03AB5"/>
    <w:rsid w:val="00E078CB"/>
    <w:rsid w:val="00E14DC4"/>
    <w:rsid w:val="00E16F82"/>
    <w:rsid w:val="00E17C3F"/>
    <w:rsid w:val="00E20CFF"/>
    <w:rsid w:val="00E20F04"/>
    <w:rsid w:val="00E2109C"/>
    <w:rsid w:val="00E21669"/>
    <w:rsid w:val="00E221B2"/>
    <w:rsid w:val="00E22EF7"/>
    <w:rsid w:val="00E25781"/>
    <w:rsid w:val="00E31EBA"/>
    <w:rsid w:val="00E32396"/>
    <w:rsid w:val="00E33683"/>
    <w:rsid w:val="00E34503"/>
    <w:rsid w:val="00E364A6"/>
    <w:rsid w:val="00E43601"/>
    <w:rsid w:val="00E56CD0"/>
    <w:rsid w:val="00E60E23"/>
    <w:rsid w:val="00E615CD"/>
    <w:rsid w:val="00E63069"/>
    <w:rsid w:val="00E65247"/>
    <w:rsid w:val="00E72ACE"/>
    <w:rsid w:val="00E771BC"/>
    <w:rsid w:val="00E776F0"/>
    <w:rsid w:val="00E77AC1"/>
    <w:rsid w:val="00E80A29"/>
    <w:rsid w:val="00E80F70"/>
    <w:rsid w:val="00E81991"/>
    <w:rsid w:val="00E85BD8"/>
    <w:rsid w:val="00E877F9"/>
    <w:rsid w:val="00E9104B"/>
    <w:rsid w:val="00E91057"/>
    <w:rsid w:val="00E9268D"/>
    <w:rsid w:val="00E92CFF"/>
    <w:rsid w:val="00E93FE0"/>
    <w:rsid w:val="00E944B6"/>
    <w:rsid w:val="00E9673A"/>
    <w:rsid w:val="00EA54BA"/>
    <w:rsid w:val="00EB05C0"/>
    <w:rsid w:val="00EB6CBD"/>
    <w:rsid w:val="00EC03C4"/>
    <w:rsid w:val="00EC15A8"/>
    <w:rsid w:val="00EC16E8"/>
    <w:rsid w:val="00ED4825"/>
    <w:rsid w:val="00EE0714"/>
    <w:rsid w:val="00EE2DA8"/>
    <w:rsid w:val="00EE7AD4"/>
    <w:rsid w:val="00EF5235"/>
    <w:rsid w:val="00EF644D"/>
    <w:rsid w:val="00EF6522"/>
    <w:rsid w:val="00F00A72"/>
    <w:rsid w:val="00F01804"/>
    <w:rsid w:val="00F030A9"/>
    <w:rsid w:val="00F06D88"/>
    <w:rsid w:val="00F07ABF"/>
    <w:rsid w:val="00F103D4"/>
    <w:rsid w:val="00F11958"/>
    <w:rsid w:val="00F13FEF"/>
    <w:rsid w:val="00F14B63"/>
    <w:rsid w:val="00F21A25"/>
    <w:rsid w:val="00F25D90"/>
    <w:rsid w:val="00F260E7"/>
    <w:rsid w:val="00F3282A"/>
    <w:rsid w:val="00F37CBC"/>
    <w:rsid w:val="00F5003C"/>
    <w:rsid w:val="00F51575"/>
    <w:rsid w:val="00F51C8E"/>
    <w:rsid w:val="00F52D24"/>
    <w:rsid w:val="00F56086"/>
    <w:rsid w:val="00F5720C"/>
    <w:rsid w:val="00F61679"/>
    <w:rsid w:val="00F6236E"/>
    <w:rsid w:val="00F62AA9"/>
    <w:rsid w:val="00F660F1"/>
    <w:rsid w:val="00F67A58"/>
    <w:rsid w:val="00F70136"/>
    <w:rsid w:val="00F70AF7"/>
    <w:rsid w:val="00F75114"/>
    <w:rsid w:val="00F803C1"/>
    <w:rsid w:val="00F80DFA"/>
    <w:rsid w:val="00F81F0E"/>
    <w:rsid w:val="00F8236F"/>
    <w:rsid w:val="00F82BD6"/>
    <w:rsid w:val="00F858F5"/>
    <w:rsid w:val="00F8665F"/>
    <w:rsid w:val="00F86D66"/>
    <w:rsid w:val="00F878DC"/>
    <w:rsid w:val="00F961EB"/>
    <w:rsid w:val="00FA1019"/>
    <w:rsid w:val="00FA1BAF"/>
    <w:rsid w:val="00FA6E06"/>
    <w:rsid w:val="00FB0893"/>
    <w:rsid w:val="00FB668E"/>
    <w:rsid w:val="00FC0055"/>
    <w:rsid w:val="00FC0FDC"/>
    <w:rsid w:val="00FD4220"/>
    <w:rsid w:val="00FE1C03"/>
    <w:rsid w:val="00FE2A15"/>
    <w:rsid w:val="00FE36A4"/>
    <w:rsid w:val="00FE373F"/>
    <w:rsid w:val="00FE7963"/>
    <w:rsid w:val="00FE7A75"/>
    <w:rsid w:val="00FF1B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BB50A"/>
  <w15:docId w15:val="{BEF66A3C-4EF8-4E2B-9B7F-A8594F2C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480" w:lineRule="auto"/>
        <w:ind w:left="57" w:right="-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036"/>
    <w:pPr>
      <w:ind w:left="0" w:right="0"/>
      <w:textAlignment w:val="baseline"/>
    </w:pPr>
    <w:rPr>
      <w:rFonts w:ascii="Times New Roman" w:hAnsi="Times New Roman"/>
      <w:sz w:val="24"/>
      <w:szCs w:val="24"/>
    </w:rPr>
  </w:style>
  <w:style w:type="paragraph" w:styleId="Heading1">
    <w:name w:val="heading 1"/>
    <w:basedOn w:val="Title"/>
    <w:next w:val="Normal"/>
    <w:link w:val="Heading1Char"/>
    <w:uiPriority w:val="9"/>
    <w:qFormat/>
    <w:rsid w:val="00CF1A47"/>
    <w:pPr>
      <w:keepNext/>
      <w:spacing w:line="480" w:lineRule="auto"/>
      <w:jc w:val="center"/>
      <w:outlineLvl w:val="0"/>
    </w:pPr>
    <w:rPr>
      <w:rFonts w:ascii="Times New Roman" w:hAnsi="Times New Roman" w:cs="Times New Roman"/>
      <w:b/>
      <w:bCs/>
      <w:color w:val="000000" w:themeColor="text1"/>
      <w:sz w:val="24"/>
      <w:szCs w:val="24"/>
    </w:rPr>
  </w:style>
  <w:style w:type="paragraph" w:styleId="Heading2">
    <w:name w:val="heading 2"/>
    <w:basedOn w:val="Normal"/>
    <w:next w:val="Normal"/>
    <w:link w:val="Heading2Char"/>
    <w:uiPriority w:val="9"/>
    <w:unhideWhenUsed/>
    <w:qFormat/>
    <w:rsid w:val="006D0AE3"/>
    <w:pPr>
      <w:keepNext/>
      <w:keepLines/>
      <w:spacing w:before="120"/>
      <w:outlineLvl w:val="1"/>
    </w:pPr>
    <w:rPr>
      <w:rFonts w:asciiTheme="majorHAnsi" w:eastAsiaTheme="majorEastAsia" w:hAnsiTheme="majorHAnsi" w:cstheme="majorBidi"/>
      <w:b/>
      <w:bCs/>
      <w:color w:val="000000" w:themeColor="text1"/>
      <w:shd w:val="clear" w:color="auto" w:fill="FFFFFF"/>
    </w:rPr>
  </w:style>
  <w:style w:type="paragraph" w:styleId="Heading3">
    <w:name w:val="heading 3"/>
    <w:basedOn w:val="Normal"/>
    <w:next w:val="Normal"/>
    <w:link w:val="Heading3Char"/>
    <w:uiPriority w:val="9"/>
    <w:unhideWhenUsed/>
    <w:qFormat/>
    <w:rsid w:val="008805C5"/>
    <w:pPr>
      <w:keepNext/>
      <w:keepLines/>
      <w:ind w:left="720"/>
      <w:outlineLvl w:val="2"/>
    </w:pPr>
    <w:rPr>
      <w:rFonts w:asciiTheme="majorHAnsi" w:eastAsiaTheme="majorEastAsia" w:hAnsiTheme="majorHAnsi" w:cstheme="majorBidi"/>
      <w:b/>
      <w:i/>
      <w:iCs/>
      <w:shd w:val="clear" w:color="auto" w:fill="FFFFFF"/>
    </w:rPr>
  </w:style>
  <w:style w:type="paragraph" w:styleId="Heading4">
    <w:name w:val="heading 4"/>
    <w:basedOn w:val="Normal"/>
    <w:next w:val="Normal"/>
    <w:link w:val="Heading4Char"/>
    <w:uiPriority w:val="9"/>
    <w:unhideWhenUsed/>
    <w:qFormat/>
    <w:rsid w:val="00584036"/>
    <w:pPr>
      <w:keepNext/>
      <w:keepLines/>
      <w:spacing w:before="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84036"/>
    <w:pPr>
      <w:keepNext/>
      <w:keepLines/>
      <w:spacing w:before="200" w:line="276"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84036"/>
    <w:pPr>
      <w:keepNext/>
      <w:keepLines/>
      <w:spacing w:before="200" w:line="276"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qFormat/>
    <w:rsid w:val="00584036"/>
    <w:pPr>
      <w:spacing w:before="120" w:after="240" w:line="360" w:lineRule="auto"/>
    </w:pPr>
    <w:rPr>
      <w:rFonts w:asciiTheme="majorHAnsi" w:eastAsia="Times New Roman" w:hAnsiTheme="majorHAnsi" w:cs="Times New Roman (Headings CS)"/>
    </w:rPr>
  </w:style>
  <w:style w:type="character" w:customStyle="1" w:styleId="Heading1Char">
    <w:name w:val="Heading 1 Char"/>
    <w:basedOn w:val="DefaultParagraphFont"/>
    <w:link w:val="Heading1"/>
    <w:uiPriority w:val="9"/>
    <w:rsid w:val="00CF1A47"/>
    <w:rPr>
      <w:rFonts w:ascii="Times New Roman" w:eastAsiaTheme="majorEastAsia" w:hAnsi="Times New Roman" w:cs="Times New Roman"/>
      <w:b/>
      <w:bCs/>
      <w:color w:val="000000" w:themeColor="text1"/>
      <w:spacing w:val="-10"/>
      <w:kern w:val="28"/>
      <w:sz w:val="24"/>
      <w:szCs w:val="24"/>
    </w:rPr>
  </w:style>
  <w:style w:type="paragraph" w:styleId="Title">
    <w:name w:val="Title"/>
    <w:basedOn w:val="Normal"/>
    <w:next w:val="Normal"/>
    <w:link w:val="TitleChar"/>
    <w:uiPriority w:val="10"/>
    <w:qFormat/>
    <w:rsid w:val="0058403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03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D0AE3"/>
    <w:rPr>
      <w:rFonts w:asciiTheme="majorHAnsi" w:eastAsiaTheme="majorEastAsia" w:hAnsiTheme="majorHAnsi" w:cstheme="majorBidi"/>
      <w:b/>
      <w:bCs/>
      <w:color w:val="000000" w:themeColor="text1"/>
      <w:sz w:val="24"/>
      <w:szCs w:val="24"/>
    </w:rPr>
  </w:style>
  <w:style w:type="character" w:customStyle="1" w:styleId="Heading3Char">
    <w:name w:val="Heading 3 Char"/>
    <w:basedOn w:val="DefaultParagraphFont"/>
    <w:link w:val="Heading3"/>
    <w:uiPriority w:val="9"/>
    <w:rsid w:val="008805C5"/>
    <w:rPr>
      <w:rFonts w:asciiTheme="majorHAnsi" w:eastAsiaTheme="majorEastAsia" w:hAnsiTheme="majorHAnsi" w:cstheme="majorBidi"/>
      <w:b/>
      <w:i/>
      <w:iCs/>
      <w:sz w:val="24"/>
      <w:szCs w:val="24"/>
    </w:rPr>
  </w:style>
  <w:style w:type="character" w:customStyle="1" w:styleId="Heading4Char">
    <w:name w:val="Heading 4 Char"/>
    <w:basedOn w:val="DefaultParagraphFont"/>
    <w:link w:val="Heading4"/>
    <w:uiPriority w:val="9"/>
    <w:rsid w:val="0058403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58403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584036"/>
    <w:rPr>
      <w:rFonts w:asciiTheme="majorHAnsi" w:eastAsiaTheme="majorEastAsia" w:hAnsiTheme="majorHAnsi" w:cstheme="majorBidi"/>
      <w:i/>
      <w:iCs/>
      <w:color w:val="243F60" w:themeColor="accent1" w:themeShade="7F"/>
      <w:sz w:val="24"/>
      <w:szCs w:val="24"/>
    </w:rPr>
  </w:style>
  <w:style w:type="paragraph" w:styleId="ListParagraph">
    <w:name w:val="List Paragraph"/>
    <w:basedOn w:val="Normal"/>
    <w:uiPriority w:val="34"/>
    <w:qFormat/>
    <w:rsid w:val="00584036"/>
    <w:pPr>
      <w:spacing w:after="200" w:line="276" w:lineRule="auto"/>
      <w:ind w:left="720"/>
      <w:contextualSpacing/>
    </w:pPr>
    <w:rPr>
      <w:rFonts w:eastAsia="Times New Roman" w:cs="Times New Roman"/>
    </w:rPr>
  </w:style>
  <w:style w:type="paragraph" w:styleId="TOCHeading">
    <w:name w:val="TOC Heading"/>
    <w:basedOn w:val="Heading1"/>
    <w:next w:val="Normal"/>
    <w:uiPriority w:val="39"/>
    <w:unhideWhenUsed/>
    <w:qFormat/>
    <w:rsid w:val="00584036"/>
    <w:pPr>
      <w:spacing w:before="480"/>
      <w:outlineLvl w:val="9"/>
    </w:pPr>
    <w:rPr>
      <w:b w:val="0"/>
      <w:bCs w:val="0"/>
      <w:sz w:val="28"/>
      <w:szCs w:val="28"/>
    </w:rPr>
  </w:style>
  <w:style w:type="paragraph" w:styleId="FootnoteText">
    <w:name w:val="footnote text"/>
    <w:basedOn w:val="Normal"/>
    <w:link w:val="FootnoteTextChar"/>
    <w:uiPriority w:val="99"/>
    <w:semiHidden/>
    <w:unhideWhenUsed/>
    <w:rsid w:val="009D4C82"/>
    <w:pPr>
      <w:spacing w:line="240" w:lineRule="auto"/>
    </w:pPr>
    <w:rPr>
      <w:sz w:val="20"/>
      <w:szCs w:val="20"/>
    </w:rPr>
  </w:style>
  <w:style w:type="character" w:customStyle="1" w:styleId="FootnoteTextChar">
    <w:name w:val="Footnote Text Char"/>
    <w:basedOn w:val="DefaultParagraphFont"/>
    <w:link w:val="FootnoteText"/>
    <w:uiPriority w:val="99"/>
    <w:semiHidden/>
    <w:rsid w:val="009D4C82"/>
    <w:rPr>
      <w:rFonts w:ascii="Times New Roman" w:hAnsi="Times New Roman"/>
      <w:sz w:val="20"/>
      <w:szCs w:val="20"/>
    </w:rPr>
  </w:style>
  <w:style w:type="character" w:styleId="FootnoteReference">
    <w:name w:val="footnote reference"/>
    <w:basedOn w:val="DefaultParagraphFont"/>
    <w:uiPriority w:val="99"/>
    <w:semiHidden/>
    <w:unhideWhenUsed/>
    <w:rsid w:val="009D4C82"/>
    <w:rPr>
      <w:vertAlign w:val="superscript"/>
    </w:rPr>
  </w:style>
  <w:style w:type="character" w:styleId="Hyperlink">
    <w:name w:val="Hyperlink"/>
    <w:basedOn w:val="DefaultParagraphFont"/>
    <w:uiPriority w:val="99"/>
    <w:unhideWhenUsed/>
    <w:rsid w:val="009D4C82"/>
    <w:rPr>
      <w:color w:val="0000FF" w:themeColor="hyperlink"/>
      <w:u w:val="single"/>
    </w:rPr>
  </w:style>
  <w:style w:type="character" w:styleId="UnresolvedMention">
    <w:name w:val="Unresolved Mention"/>
    <w:basedOn w:val="DefaultParagraphFont"/>
    <w:uiPriority w:val="99"/>
    <w:semiHidden/>
    <w:unhideWhenUsed/>
    <w:rsid w:val="009D4C82"/>
    <w:rPr>
      <w:color w:val="605E5C"/>
      <w:shd w:val="clear" w:color="auto" w:fill="E1DFDD"/>
    </w:rPr>
  </w:style>
  <w:style w:type="paragraph" w:styleId="Caption">
    <w:name w:val="caption"/>
    <w:basedOn w:val="Normal"/>
    <w:next w:val="Normal"/>
    <w:uiPriority w:val="35"/>
    <w:unhideWhenUsed/>
    <w:qFormat/>
    <w:rsid w:val="009104D0"/>
    <w:pPr>
      <w:spacing w:after="120"/>
      <w:jc w:val="center"/>
    </w:pPr>
    <w:rPr>
      <w:i/>
      <w:iCs/>
      <w:color w:val="000000" w:themeColor="text1"/>
      <w:sz w:val="22"/>
      <w:szCs w:val="22"/>
    </w:rPr>
  </w:style>
  <w:style w:type="paragraph" w:styleId="EndnoteText">
    <w:name w:val="endnote text"/>
    <w:basedOn w:val="Normal"/>
    <w:link w:val="EndnoteTextChar"/>
    <w:uiPriority w:val="99"/>
    <w:semiHidden/>
    <w:unhideWhenUsed/>
    <w:rsid w:val="00687990"/>
    <w:pPr>
      <w:spacing w:line="240" w:lineRule="auto"/>
    </w:pPr>
    <w:rPr>
      <w:sz w:val="20"/>
      <w:szCs w:val="20"/>
    </w:rPr>
  </w:style>
  <w:style w:type="character" w:customStyle="1" w:styleId="EndnoteTextChar">
    <w:name w:val="Endnote Text Char"/>
    <w:basedOn w:val="DefaultParagraphFont"/>
    <w:link w:val="EndnoteText"/>
    <w:uiPriority w:val="99"/>
    <w:semiHidden/>
    <w:rsid w:val="00687990"/>
    <w:rPr>
      <w:rFonts w:ascii="Times New Roman" w:hAnsi="Times New Roman"/>
      <w:sz w:val="20"/>
      <w:szCs w:val="20"/>
    </w:rPr>
  </w:style>
  <w:style w:type="character" w:styleId="EndnoteReference">
    <w:name w:val="endnote reference"/>
    <w:basedOn w:val="DefaultParagraphFont"/>
    <w:uiPriority w:val="99"/>
    <w:semiHidden/>
    <w:unhideWhenUsed/>
    <w:rsid w:val="00687990"/>
    <w:rPr>
      <w:vertAlign w:val="superscript"/>
    </w:rPr>
  </w:style>
  <w:style w:type="paragraph" w:styleId="NormalWeb">
    <w:name w:val="Normal (Web)"/>
    <w:basedOn w:val="Normal"/>
    <w:uiPriority w:val="99"/>
    <w:semiHidden/>
    <w:unhideWhenUsed/>
    <w:rsid w:val="00121A48"/>
    <w:pPr>
      <w:spacing w:before="100" w:beforeAutospacing="1" w:after="100" w:afterAutospacing="1" w:line="240" w:lineRule="auto"/>
      <w:jc w:val="left"/>
      <w:textAlignment w:val="auto"/>
    </w:pPr>
    <w:rPr>
      <w:rFonts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77529">
      <w:bodyDiv w:val="1"/>
      <w:marLeft w:val="0"/>
      <w:marRight w:val="0"/>
      <w:marTop w:val="0"/>
      <w:marBottom w:val="0"/>
      <w:divBdr>
        <w:top w:val="none" w:sz="0" w:space="0" w:color="auto"/>
        <w:left w:val="none" w:sz="0" w:space="0" w:color="auto"/>
        <w:bottom w:val="none" w:sz="0" w:space="0" w:color="auto"/>
        <w:right w:val="none" w:sz="0" w:space="0" w:color="auto"/>
      </w:divBdr>
    </w:div>
    <w:div w:id="1344363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endnotes.xml.rels><?xml version="1.0" encoding="UTF-8" standalone="yes"?>
<Relationships xmlns="http://schemas.openxmlformats.org/package/2006/relationships"><Relationship Id="rId1" Type="http://schemas.openxmlformats.org/officeDocument/2006/relationships/hyperlink" Target="https://www.theguardian.com/education/ng-interactive/2021/sep/11/the-best-uk-universities-2022-rank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25B33BF-2142-4BCC-8FE9-69CCA4D5D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46</Pages>
  <Words>28367</Words>
  <Characters>161695</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Atkinson</dc:creator>
  <cp:keywords/>
  <dc:description/>
  <cp:lastModifiedBy>David Atkinson</cp:lastModifiedBy>
  <cp:revision>4</cp:revision>
  <cp:lastPrinted>2022-07-08T22:32:00Z</cp:lastPrinted>
  <dcterms:created xsi:type="dcterms:W3CDTF">2022-11-16T14:33:00Z</dcterms:created>
  <dcterms:modified xsi:type="dcterms:W3CDTF">2022-11-16T16:14:00Z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0f48d444-d205-3887-8fc8-12df8064335b</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