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0839" w14:textId="256B81D1" w:rsidR="00B4617F" w:rsidRPr="00AE7B34" w:rsidRDefault="007B33DC" w:rsidP="00B4617F">
      <w:pPr>
        <w:rPr>
          <w:rFonts w:ascii="Times New Roman" w:hAnsi="Times New Roman" w:cs="Times New Roman"/>
          <w:color w:val="000000" w:themeColor="text1"/>
          <w:sz w:val="22"/>
          <w:szCs w:val="22"/>
          <w:lang w:val="en-US"/>
        </w:rPr>
      </w:pPr>
      <w:r w:rsidRPr="00AE7B34">
        <w:rPr>
          <w:rFonts w:ascii="Times New Roman" w:hAnsi="Times New Roman" w:cs="Times New Roman"/>
          <w:b/>
          <w:bCs/>
          <w:color w:val="000000" w:themeColor="text1"/>
          <w:sz w:val="32"/>
          <w:szCs w:val="32"/>
          <w:lang w:val="en-US"/>
        </w:rPr>
        <w:t>COVID-</w:t>
      </w:r>
      <w:r w:rsidR="00454CD6" w:rsidRPr="00AE7B34">
        <w:rPr>
          <w:rFonts w:ascii="Times New Roman" w:hAnsi="Times New Roman" w:cs="Times New Roman"/>
          <w:b/>
          <w:bCs/>
          <w:color w:val="000000" w:themeColor="text1"/>
          <w:sz w:val="32"/>
          <w:szCs w:val="32"/>
          <w:lang w:val="en-US"/>
        </w:rPr>
        <w:t xml:space="preserve">19 resilience via digital cultural heritage; Digital life in museums and festivals during the </w:t>
      </w:r>
      <w:proofErr w:type="spellStart"/>
      <w:r w:rsidR="00454CD6" w:rsidRPr="00AE7B34">
        <w:rPr>
          <w:rFonts w:ascii="Times New Roman" w:hAnsi="Times New Roman" w:cs="Times New Roman"/>
          <w:b/>
          <w:bCs/>
          <w:color w:val="000000" w:themeColor="text1"/>
          <w:sz w:val="32"/>
          <w:szCs w:val="32"/>
          <w:lang w:val="en-US"/>
        </w:rPr>
        <w:t>anthropause</w:t>
      </w:r>
      <w:proofErr w:type="spellEnd"/>
    </w:p>
    <w:p w14:paraId="72C1BB50" w14:textId="0D3BD20B" w:rsidR="004D4D8F" w:rsidRPr="00AE7B34" w:rsidRDefault="004D4D8F" w:rsidP="00B4617F">
      <w:pPr>
        <w:rPr>
          <w:rFonts w:ascii="Times New Roman" w:hAnsi="Times New Roman" w:cs="Times New Roman"/>
          <w:color w:val="000000" w:themeColor="text1"/>
          <w:sz w:val="16"/>
          <w:szCs w:val="16"/>
          <w:lang w:val="en-US"/>
        </w:rPr>
      </w:pPr>
    </w:p>
    <w:p w14:paraId="247C21FD" w14:textId="6F4BD966" w:rsidR="003D1116" w:rsidRPr="00AE7B34" w:rsidRDefault="003D1116" w:rsidP="003D1116">
      <w:pPr>
        <w:rPr>
          <w:rFonts w:ascii="Times New Roman" w:hAnsi="Times New Roman" w:cs="Times New Roman"/>
          <w:b/>
          <w:color w:val="000000" w:themeColor="text1"/>
          <w:sz w:val="22"/>
          <w:szCs w:val="22"/>
          <w:lang w:val="en-US"/>
        </w:rPr>
      </w:pPr>
      <w:r w:rsidRPr="00AE7B34">
        <w:rPr>
          <w:rFonts w:ascii="Times New Roman" w:hAnsi="Times New Roman" w:cs="Times New Roman"/>
          <w:b/>
          <w:color w:val="000000" w:themeColor="text1"/>
          <w:sz w:val="22"/>
          <w:szCs w:val="22"/>
          <w:lang w:val="en-GB"/>
        </w:rPr>
        <w:t xml:space="preserve">Zoe </w:t>
      </w:r>
      <w:r w:rsidR="00401228" w:rsidRPr="00AE7B34">
        <w:rPr>
          <w:rFonts w:ascii="Times New Roman" w:hAnsi="Times New Roman" w:cs="Times New Roman"/>
          <w:b/>
          <w:color w:val="000000" w:themeColor="text1"/>
          <w:sz w:val="22"/>
          <w:szCs w:val="22"/>
          <w:lang w:val="en-GB"/>
        </w:rPr>
        <w:t xml:space="preserve">- </w:t>
      </w:r>
      <w:r w:rsidRPr="00AE7B34">
        <w:rPr>
          <w:rFonts w:ascii="Times New Roman" w:hAnsi="Times New Roman" w:cs="Times New Roman"/>
          <w:b/>
          <w:color w:val="000000" w:themeColor="text1"/>
          <w:sz w:val="22"/>
          <w:szCs w:val="22"/>
          <w:lang w:val="en-GB"/>
        </w:rPr>
        <w:t>Charis Belenioti</w:t>
      </w:r>
    </w:p>
    <w:p w14:paraId="4930B25D" w14:textId="62F1F863" w:rsidR="003D1116" w:rsidRPr="00AE7B34" w:rsidRDefault="003D1116" w:rsidP="003D1116">
      <w:pPr>
        <w:rPr>
          <w:rFonts w:ascii="Times New Roman" w:hAnsi="Times New Roman" w:cs="Times New Roman"/>
          <w:b/>
          <w:color w:val="000000" w:themeColor="text1"/>
          <w:sz w:val="22"/>
          <w:szCs w:val="22"/>
          <w:lang w:val="en-GB"/>
        </w:rPr>
      </w:pPr>
      <w:r w:rsidRPr="00AE7B34">
        <w:rPr>
          <w:rFonts w:ascii="Times New Roman" w:hAnsi="Times New Roman" w:cs="Times New Roman"/>
          <w:b/>
          <w:color w:val="000000" w:themeColor="text1"/>
          <w:sz w:val="22"/>
          <w:szCs w:val="22"/>
          <w:lang w:val="en-GB"/>
        </w:rPr>
        <w:t xml:space="preserve">International Hellenic University, Greece </w:t>
      </w:r>
    </w:p>
    <w:p w14:paraId="16471201" w14:textId="77777777" w:rsidR="00C847AE" w:rsidRPr="00AE7B34" w:rsidRDefault="00C847AE" w:rsidP="00C847AE">
      <w:pPr>
        <w:rPr>
          <w:rFonts w:ascii="Times New Roman" w:hAnsi="Times New Roman" w:cs="Times New Roman"/>
          <w:b/>
          <w:color w:val="000000" w:themeColor="text1"/>
          <w:sz w:val="22"/>
          <w:szCs w:val="22"/>
          <w:lang w:val="en-US"/>
        </w:rPr>
      </w:pPr>
      <w:r w:rsidRPr="00AE7B34">
        <w:rPr>
          <w:rFonts w:ascii="Times New Roman" w:hAnsi="Times New Roman" w:cs="Times New Roman"/>
          <w:b/>
          <w:color w:val="000000" w:themeColor="text1"/>
          <w:sz w:val="22"/>
          <w:szCs w:val="22"/>
          <w:lang/>
        </w:rPr>
        <w:t>14th km Thessaloniki, Nea Moudania 570 01</w:t>
      </w:r>
      <w:r w:rsidRPr="00AE7B34">
        <w:rPr>
          <w:rFonts w:ascii="Times New Roman" w:hAnsi="Times New Roman" w:cs="Times New Roman"/>
          <w:b/>
          <w:color w:val="000000" w:themeColor="text1"/>
          <w:sz w:val="22"/>
          <w:szCs w:val="22"/>
          <w:lang w:val="en-US"/>
        </w:rPr>
        <w:t xml:space="preserve"> / University Campus, Kavala </w:t>
      </w:r>
    </w:p>
    <w:p w14:paraId="77D2D570" w14:textId="3F8A5F6B" w:rsidR="00224B0B" w:rsidRPr="00AE7B34" w:rsidRDefault="00C847AE" w:rsidP="00C847AE">
      <w:pPr>
        <w:rPr>
          <w:rFonts w:ascii="Times New Roman" w:hAnsi="Times New Roman" w:cs="Times New Roman"/>
          <w:b/>
          <w:color w:val="000000" w:themeColor="text1"/>
          <w:sz w:val="22"/>
          <w:szCs w:val="22"/>
          <w:lang w:val="en-US"/>
        </w:rPr>
      </w:pPr>
      <w:r w:rsidRPr="00AE7B34">
        <w:rPr>
          <w:rFonts w:ascii="Times New Roman" w:hAnsi="Times New Roman" w:cs="Times New Roman"/>
          <w:b/>
          <w:color w:val="000000" w:themeColor="text1"/>
          <w:sz w:val="22"/>
          <w:szCs w:val="22"/>
          <w:lang w:val="en-US"/>
        </w:rPr>
        <w:t>Agios Loukas - 65404 Kavala</w:t>
      </w:r>
    </w:p>
    <w:p w14:paraId="6C377040" w14:textId="77777777" w:rsidR="003D1116" w:rsidRPr="00AE7B34" w:rsidRDefault="003D1116" w:rsidP="003D1116">
      <w:pPr>
        <w:rPr>
          <w:rFonts w:ascii="Times New Roman" w:hAnsi="Times New Roman" w:cs="Times New Roman"/>
          <w:b/>
          <w:color w:val="000000" w:themeColor="text1"/>
          <w:sz w:val="22"/>
          <w:szCs w:val="22"/>
          <w:lang w:val="en-GB"/>
        </w:rPr>
      </w:pPr>
      <w:proofErr w:type="spellStart"/>
      <w:r w:rsidRPr="00AE7B34">
        <w:rPr>
          <w:rFonts w:ascii="Times New Roman" w:hAnsi="Times New Roman" w:cs="Times New Roman"/>
          <w:b/>
          <w:color w:val="000000" w:themeColor="text1"/>
          <w:sz w:val="22"/>
          <w:szCs w:val="22"/>
          <w:lang w:val="en-GB"/>
        </w:rPr>
        <w:t>ORCiD</w:t>
      </w:r>
      <w:proofErr w:type="spellEnd"/>
      <w:r w:rsidRPr="00AE7B34">
        <w:rPr>
          <w:rFonts w:ascii="Times New Roman" w:hAnsi="Times New Roman" w:cs="Times New Roman"/>
          <w:b/>
          <w:color w:val="000000" w:themeColor="text1"/>
          <w:sz w:val="22"/>
          <w:szCs w:val="22"/>
          <w:lang w:val="en-GB"/>
        </w:rPr>
        <w:t xml:space="preserve">: 0000-0003-3600-513X </w:t>
      </w:r>
    </w:p>
    <w:p w14:paraId="25DA389E" w14:textId="77777777" w:rsidR="003D1116" w:rsidRPr="00AE7B34" w:rsidRDefault="003D1116" w:rsidP="003D1116">
      <w:pPr>
        <w:rPr>
          <w:rFonts w:ascii="Times New Roman" w:hAnsi="Times New Roman" w:cs="Times New Roman"/>
          <w:bCs/>
          <w:color w:val="000000" w:themeColor="text1"/>
          <w:sz w:val="22"/>
          <w:szCs w:val="22"/>
          <w:lang w:val="en-GB"/>
        </w:rPr>
      </w:pPr>
      <w:r w:rsidRPr="00AE7B34">
        <w:rPr>
          <w:rFonts w:ascii="Times New Roman" w:hAnsi="Times New Roman" w:cs="Times New Roman"/>
          <w:b/>
          <w:color w:val="000000" w:themeColor="text1"/>
          <w:sz w:val="22"/>
          <w:szCs w:val="22"/>
          <w:lang w:val="en-GB"/>
        </w:rPr>
        <w:t>E-mail: zoibelenioti@gmail.com</w:t>
      </w:r>
    </w:p>
    <w:p w14:paraId="5518C1EC" w14:textId="77777777" w:rsidR="003D1116" w:rsidRPr="00AE7B34" w:rsidRDefault="003D1116" w:rsidP="003D1116">
      <w:pPr>
        <w:widowControl w:val="0"/>
        <w:autoSpaceDE w:val="0"/>
        <w:autoSpaceDN w:val="0"/>
        <w:adjustRightInd w:val="0"/>
        <w:spacing w:after="200"/>
        <w:ind w:right="-1"/>
        <w:jc w:val="both"/>
        <w:rPr>
          <w:rFonts w:ascii="TimesNewRomanPSMT" w:eastAsia="HiraginoSans-W3" w:hAnsi="TimesNewRomanPSMT" w:cs="TimesNewRomanPSMT"/>
          <w:color w:val="000000" w:themeColor="text1"/>
          <w:sz w:val="16"/>
          <w:szCs w:val="16"/>
          <w:u w:color="FF0000"/>
          <w:lang w:val="en-GB"/>
        </w:rPr>
      </w:pPr>
    </w:p>
    <w:p w14:paraId="6F26E180" w14:textId="77777777" w:rsidR="00170BB0" w:rsidRPr="00AE7B34" w:rsidRDefault="00170BB0" w:rsidP="00170BB0">
      <w:pPr>
        <w:autoSpaceDE w:val="0"/>
        <w:autoSpaceDN w:val="0"/>
        <w:adjustRightInd w:val="0"/>
        <w:rPr>
          <w:rFonts w:ascii="Times New Roman" w:hAnsi="Times New Roman" w:cs="Times New Roman"/>
          <w:color w:val="000000" w:themeColor="text1"/>
          <w:sz w:val="17"/>
          <w:szCs w:val="17"/>
          <w:lang w:val="en-GB"/>
        </w:rPr>
      </w:pPr>
    </w:p>
    <w:p w14:paraId="05106F3E" w14:textId="24B9985A" w:rsidR="00B4617F" w:rsidRPr="00AE7B34" w:rsidRDefault="00B4617F" w:rsidP="004D4D8F">
      <w:pPr>
        <w:spacing w:after="120"/>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Abstract</w:t>
      </w:r>
    </w:p>
    <w:p w14:paraId="3568E899" w14:textId="6DE35C80" w:rsidR="00B4617F" w:rsidRPr="00AE7B34" w:rsidRDefault="00031CDC" w:rsidP="00031CDC">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The impose of lockdown </w:t>
      </w:r>
      <w:proofErr w:type="spellStart"/>
      <w:r w:rsidRPr="00AE7B34">
        <w:rPr>
          <w:rFonts w:ascii="Times New Roman" w:hAnsi="Times New Roman" w:cs="Times New Roman"/>
          <w:color w:val="000000" w:themeColor="text1"/>
          <w:sz w:val="22"/>
          <w:szCs w:val="22"/>
          <w:lang w:val="en-US"/>
        </w:rPr>
        <w:t>anthropause</w:t>
      </w:r>
      <w:proofErr w:type="spellEnd"/>
      <w:r w:rsidRPr="00AE7B34">
        <w:rPr>
          <w:rFonts w:ascii="Times New Roman" w:hAnsi="Times New Roman" w:cs="Times New Roman"/>
          <w:color w:val="000000" w:themeColor="text1"/>
          <w:sz w:val="22"/>
          <w:szCs w:val="22"/>
          <w:lang w:val="en-US"/>
        </w:rPr>
        <w:t xml:space="preserve"> massively affected tourism and particularly cultural tourism products. Digital cultural heritage served as a first aid kit </w:t>
      </w:r>
      <w:r w:rsidR="004E599A" w:rsidRPr="00AE7B34">
        <w:rPr>
          <w:rFonts w:ascii="Times New Roman" w:hAnsi="Times New Roman" w:cs="Times New Roman"/>
          <w:color w:val="000000" w:themeColor="text1"/>
          <w:sz w:val="22"/>
          <w:szCs w:val="22"/>
          <w:lang w:val="en-US"/>
        </w:rPr>
        <w:t>amid</w:t>
      </w:r>
      <w:r w:rsidR="00FF1129" w:rsidRPr="00AE7B34">
        <w:rPr>
          <w:rFonts w:ascii="Times New Roman" w:hAnsi="Times New Roman" w:cs="Times New Roman"/>
          <w:color w:val="000000" w:themeColor="text1"/>
          <w:sz w:val="22"/>
          <w:szCs w:val="22"/>
          <w:lang w:val="en-US"/>
        </w:rPr>
        <w:t>st</w:t>
      </w:r>
      <w:r w:rsidR="004E599A"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COVID-19 reshaping the deliverable experience. </w:t>
      </w:r>
      <w:r w:rsidR="00550AC0" w:rsidRPr="00AE7B34">
        <w:rPr>
          <w:rFonts w:ascii="Times New Roman" w:hAnsi="Times New Roman" w:cs="Times New Roman"/>
          <w:color w:val="000000" w:themeColor="text1"/>
          <w:sz w:val="22"/>
          <w:szCs w:val="22"/>
          <w:lang w:val="en-US"/>
        </w:rPr>
        <w:t>Nevertheless,</w:t>
      </w:r>
      <w:r w:rsidR="004E599A"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the pandemic created new research streams, no study so far has reviewed digital resilience within museums and festivals. Drawing on a review of </w:t>
      </w:r>
      <w:r w:rsidR="00353D50" w:rsidRPr="00AE7B34">
        <w:rPr>
          <w:rFonts w:ascii="Times New Roman" w:hAnsi="Times New Roman" w:cs="Times New Roman"/>
          <w:color w:val="000000" w:themeColor="text1"/>
          <w:sz w:val="22"/>
          <w:szCs w:val="22"/>
          <w:lang w:val="en-US"/>
        </w:rPr>
        <w:t xml:space="preserve">76 </w:t>
      </w:r>
      <w:r w:rsidRPr="00AE7B34">
        <w:rPr>
          <w:rFonts w:ascii="Times New Roman" w:hAnsi="Times New Roman" w:cs="Times New Roman"/>
          <w:color w:val="000000" w:themeColor="text1"/>
          <w:sz w:val="22"/>
          <w:szCs w:val="22"/>
          <w:lang w:val="en-US"/>
        </w:rPr>
        <w:t xml:space="preserve">papers, and multiple case study analyses, this paper presents three major streams revealing opportunities and problems attendant to social media and digital transformation as the modus operandi during the lockdown, and global best practices of museum and festival’s reaction including Thessaloniki International Film Festival and </w:t>
      </w:r>
      <w:proofErr w:type="spellStart"/>
      <w:r w:rsidRPr="00AE7B34">
        <w:rPr>
          <w:rFonts w:ascii="Times New Roman" w:hAnsi="Times New Roman" w:cs="Times New Roman"/>
          <w:color w:val="000000" w:themeColor="text1"/>
          <w:sz w:val="22"/>
          <w:szCs w:val="22"/>
          <w:lang w:val="en-US"/>
        </w:rPr>
        <w:t>MOMus</w:t>
      </w:r>
      <w:proofErr w:type="spellEnd"/>
      <w:r w:rsidRPr="00AE7B34">
        <w:rPr>
          <w:rFonts w:ascii="Times New Roman" w:hAnsi="Times New Roman" w:cs="Times New Roman"/>
          <w:color w:val="000000" w:themeColor="text1"/>
          <w:sz w:val="22"/>
          <w:szCs w:val="22"/>
          <w:lang w:val="en-US"/>
        </w:rPr>
        <w:t>. This study views COVID-19 as a disruptive event inaugurating a brand-new digital experience era. The study serves as a valuable classification and theoretical starting point for researchers and, second, as a roadmap on challenges and future research agenda directions of digital museum/ festival experience amid digital transformation in the post-pandemic.</w:t>
      </w:r>
    </w:p>
    <w:p w14:paraId="46607F0E" w14:textId="0C61433A" w:rsidR="00E47E6D" w:rsidRPr="00AE7B34" w:rsidRDefault="00E47E6D" w:rsidP="00031CDC">
      <w:pPr>
        <w:jc w:val="both"/>
        <w:rPr>
          <w:rFonts w:ascii="Times New Roman" w:hAnsi="Times New Roman" w:cs="Times New Roman"/>
          <w:color w:val="000000" w:themeColor="text1"/>
          <w:sz w:val="22"/>
          <w:szCs w:val="22"/>
          <w:lang w:val="en-US"/>
        </w:rPr>
      </w:pPr>
    </w:p>
    <w:p w14:paraId="52A44E6E" w14:textId="685F22C5" w:rsidR="00E47E6D" w:rsidRPr="00AE7B34" w:rsidRDefault="00E47E6D" w:rsidP="00E47E6D">
      <w:pPr>
        <w:jc w:val="both"/>
        <w:rPr>
          <w:rFonts w:ascii="TimesNewRomanPSMT" w:eastAsia="HiraginoSans-W3" w:hAnsi="TimesNewRomanPSMT" w:cs="TimesNewRomanPSMT"/>
          <w:color w:val="000000" w:themeColor="text1"/>
          <w:sz w:val="22"/>
          <w:szCs w:val="22"/>
          <w:u w:color="FF0000"/>
          <w:lang w:val="en-US"/>
        </w:rPr>
      </w:pPr>
      <w:r w:rsidRPr="00AE7B34">
        <w:rPr>
          <w:rFonts w:ascii="TimesNewRomanPSMT" w:eastAsia="HiraginoSans-W3" w:hAnsi="TimesNewRomanPSMT" w:cs="TimesNewRomanPSMT"/>
          <w:b/>
          <w:bCs/>
          <w:color w:val="000000" w:themeColor="text1"/>
          <w:sz w:val="22"/>
          <w:szCs w:val="22"/>
          <w:u w:color="FF0000"/>
          <w:lang w:val="en-US"/>
        </w:rPr>
        <w:t>Keywords:</w:t>
      </w:r>
      <w:r w:rsidRPr="00AE7B34">
        <w:rPr>
          <w:rFonts w:ascii="TimesNewRomanPSMT" w:eastAsia="HiraginoSans-W3" w:hAnsi="TimesNewRomanPSMT" w:cs="TimesNewRomanPSMT"/>
          <w:color w:val="000000" w:themeColor="text1"/>
          <w:sz w:val="22"/>
          <w:szCs w:val="22"/>
          <w:u w:color="FF0000"/>
          <w:lang w:val="en-US"/>
        </w:rPr>
        <w:t xml:space="preserve"> </w:t>
      </w:r>
      <w:r w:rsidRPr="00AE7B34">
        <w:rPr>
          <w:color w:val="000000" w:themeColor="text1"/>
          <w:sz w:val="22"/>
          <w:szCs w:val="22"/>
          <w:lang w:val="en-US"/>
        </w:rPr>
        <w:t xml:space="preserve"> </w:t>
      </w:r>
      <w:r w:rsidRPr="00AE7B34">
        <w:rPr>
          <w:rFonts w:ascii="TimesNewRomanPSMT" w:eastAsia="HiraginoSans-W3" w:hAnsi="TimesNewRomanPSMT" w:cs="TimesNewRomanPSMT"/>
          <w:color w:val="000000" w:themeColor="text1"/>
          <w:sz w:val="22"/>
          <w:szCs w:val="22"/>
          <w:u w:color="FF0000"/>
          <w:lang w:val="en-US"/>
        </w:rPr>
        <w:t xml:space="preserve">SARS-CoV-2 or COVID-19, social media, AR/ </w:t>
      </w:r>
      <w:r w:rsidR="00C1560E" w:rsidRPr="00AE7B34">
        <w:rPr>
          <w:rFonts w:ascii="TimesNewRomanPSMT" w:eastAsia="HiraginoSans-W3" w:hAnsi="TimesNewRomanPSMT" w:cs="TimesNewRomanPSMT"/>
          <w:color w:val="000000" w:themeColor="text1"/>
          <w:sz w:val="22"/>
          <w:szCs w:val="22"/>
          <w:u w:color="FF0000"/>
          <w:lang w:val="en-US"/>
        </w:rPr>
        <w:t>VR,</w:t>
      </w:r>
      <w:r w:rsidRPr="00AE7B34">
        <w:rPr>
          <w:rFonts w:ascii="TimesNewRomanPSMT" w:eastAsia="HiraginoSans-W3" w:hAnsi="TimesNewRomanPSMT" w:cs="TimesNewRomanPSMT"/>
          <w:color w:val="000000" w:themeColor="text1"/>
          <w:sz w:val="22"/>
          <w:szCs w:val="22"/>
          <w:u w:color="FF0000"/>
          <w:lang w:val="en-US"/>
        </w:rPr>
        <w:t xml:space="preserve"> museums, festivals, digital transformation, cultural tourism, cultural heritage, resilience</w:t>
      </w:r>
    </w:p>
    <w:p w14:paraId="23DD3123" w14:textId="3AD359A4" w:rsidR="00C1560E" w:rsidRPr="00AE7B34" w:rsidRDefault="00C1560E" w:rsidP="00E47E6D">
      <w:pPr>
        <w:jc w:val="both"/>
        <w:rPr>
          <w:rFonts w:ascii="TimesNewRomanPSMT" w:eastAsia="HiraginoSans-W3" w:hAnsi="TimesNewRomanPSMT" w:cs="TimesNewRomanPSMT"/>
          <w:color w:val="000000" w:themeColor="text1"/>
          <w:sz w:val="22"/>
          <w:szCs w:val="22"/>
          <w:u w:color="FF0000"/>
          <w:lang w:val="en-US"/>
        </w:rPr>
      </w:pPr>
    </w:p>
    <w:p w14:paraId="7DB6FF10" w14:textId="0A4AFFF0" w:rsidR="00031CDC" w:rsidRPr="00AE7B34" w:rsidRDefault="00031CDC" w:rsidP="00031CDC">
      <w:pPr>
        <w:jc w:val="both"/>
        <w:rPr>
          <w:rFonts w:ascii="Times New Roman" w:hAnsi="Times New Roman" w:cs="Times New Roman"/>
          <w:color w:val="000000" w:themeColor="text1"/>
          <w:sz w:val="22"/>
          <w:szCs w:val="22"/>
          <w:lang w:val="en-US"/>
        </w:rPr>
      </w:pPr>
    </w:p>
    <w:p w14:paraId="67F3C180" w14:textId="77777777" w:rsidR="009D5AB2" w:rsidRPr="00AE7B34" w:rsidRDefault="0006448C" w:rsidP="00243FBC">
      <w:pPr>
        <w:widowControl w:val="0"/>
        <w:autoSpaceDE w:val="0"/>
        <w:autoSpaceDN w:val="0"/>
        <w:adjustRightInd w:val="0"/>
        <w:spacing w:after="200"/>
        <w:ind w:right="-1"/>
        <w:jc w:val="both"/>
        <w:rPr>
          <w:rFonts w:ascii="TimesNewRomanPSMT" w:eastAsia="HiraginoSans-W3" w:hAnsi="TimesNewRomanPSMT" w:cs="TimesNewRomanPSMT"/>
          <w:color w:val="000000" w:themeColor="text1"/>
          <w:sz w:val="16"/>
          <w:szCs w:val="16"/>
          <w:u w:color="FF0000"/>
          <w:lang w:val="en-US"/>
        </w:rPr>
      </w:pPr>
      <w:r w:rsidRPr="00AE7B34">
        <w:rPr>
          <w:rFonts w:ascii="Times New Roman" w:hAnsi="Times New Roman" w:cs="Times New Roman"/>
          <w:b/>
          <w:bCs/>
          <w:color w:val="000000" w:themeColor="text1"/>
          <w:sz w:val="17"/>
          <w:szCs w:val="17"/>
          <w:lang w:val="en-GB"/>
        </w:rPr>
        <w:t>Biographical notes:</w:t>
      </w:r>
      <w:r w:rsidR="00C27B77" w:rsidRPr="00AE7B34">
        <w:rPr>
          <w:rFonts w:ascii="Times New Roman" w:hAnsi="Times New Roman" w:cs="Times New Roman"/>
          <w:b/>
          <w:bCs/>
          <w:color w:val="000000" w:themeColor="text1"/>
          <w:sz w:val="17"/>
          <w:szCs w:val="17"/>
          <w:lang w:val="en-GB"/>
        </w:rPr>
        <w:t xml:space="preserve"> </w:t>
      </w:r>
      <w:r w:rsidR="00243FBC" w:rsidRPr="00AE7B34">
        <w:rPr>
          <w:rFonts w:ascii="TimesNewRomanPSMT" w:eastAsia="HiraginoSans-W3" w:hAnsi="TimesNewRomanPSMT" w:cs="TimesNewRomanPSMT"/>
          <w:color w:val="000000" w:themeColor="text1"/>
          <w:sz w:val="16"/>
          <w:szCs w:val="16"/>
          <w:u w:color="FF0000"/>
          <w:lang w:val="en-US"/>
        </w:rPr>
        <w:t xml:space="preserve">Dr. Zoe (Zoi) Charis Belenioti is Adjunct Lecturer in Digital Marketing, Tourism Marketing, Social Marketing, Consumer Behavior. Her work, focusing on Digital Marketing, Digital Transformation, Cultural Tourism, Social Media, NPOs, Consumer Behavior, has been repeatedly cited </w:t>
      </w:r>
      <w:hyperlink r:id="rId8" w:history="1">
        <w:r w:rsidR="00243FBC" w:rsidRPr="00AE7B34">
          <w:rPr>
            <w:rStyle w:val="Hyperlink"/>
            <w:rFonts w:ascii="TimesNewRomanPSMT" w:eastAsia="HiraginoSans-W3" w:hAnsi="TimesNewRomanPSMT" w:cs="TimesNewRomanPSMT"/>
            <w:color w:val="000000" w:themeColor="text1"/>
            <w:sz w:val="16"/>
            <w:szCs w:val="16"/>
            <w:lang w:val="en-US"/>
          </w:rPr>
          <w:t xml:space="preserve">(hi= 7,i10=5). </w:t>
        </w:r>
      </w:hyperlink>
      <w:r w:rsidR="00243FBC" w:rsidRPr="00AE7B34">
        <w:rPr>
          <w:rFonts w:ascii="TimesNewRomanPSMT" w:eastAsia="HiraginoSans-W3" w:hAnsi="TimesNewRomanPSMT" w:cs="TimesNewRomanPSMT"/>
          <w:color w:val="000000" w:themeColor="text1"/>
          <w:sz w:val="16"/>
          <w:szCs w:val="16"/>
          <w:u w:color="FF0000"/>
          <w:lang w:val="en-US"/>
        </w:rPr>
        <w:t>In between her studies, she worked across Europe as Communications Specialist at the European Commission in Brussels (DG CNECT)), the Principal Directorate of Communication of the European Patent Office in Munich, and for more than 10 years as Press Office Assistant at “Thessaloniki International Film Festival. She also was Principal Investigator at Social Inclusion Observatory, DG Public Health of Region Central Macedonia.</w:t>
      </w:r>
    </w:p>
    <w:p w14:paraId="6C432140" w14:textId="6FBA3EB8" w:rsidR="00243FBC" w:rsidRPr="00AE7B34" w:rsidRDefault="009D5AB2" w:rsidP="00243FBC">
      <w:pPr>
        <w:widowControl w:val="0"/>
        <w:autoSpaceDE w:val="0"/>
        <w:autoSpaceDN w:val="0"/>
        <w:adjustRightInd w:val="0"/>
        <w:spacing w:after="200"/>
        <w:ind w:right="-1"/>
        <w:jc w:val="both"/>
        <w:rPr>
          <w:rFonts w:ascii="TimesNewRomanPSMT" w:eastAsia="HiraginoSans-W3" w:hAnsi="TimesNewRomanPSMT" w:cs="TimesNewRomanPSMT"/>
          <w:color w:val="000000" w:themeColor="text1"/>
          <w:sz w:val="16"/>
          <w:szCs w:val="16"/>
          <w:u w:color="FF0000"/>
          <w:lang w:val="en-US"/>
        </w:rPr>
      </w:pPr>
      <w:r w:rsidRPr="00AE7B34">
        <w:rPr>
          <w:rFonts w:ascii="TimesNewRomanPSMT" w:eastAsia="HiraginoSans-W3" w:hAnsi="TimesNewRomanPSMT" w:cs="TimesNewRomanPSMT"/>
          <w:color w:val="000000" w:themeColor="text1"/>
          <w:sz w:val="16"/>
          <w:szCs w:val="16"/>
          <w:u w:color="FF0000"/>
          <w:lang w:val="en-US"/>
        </w:rPr>
        <w:t xml:space="preserve">This paper is a revised and expanded version of a paper entitled [COVID-19 resilience via digital cultural heritage; Digital life in museums and festivals during the </w:t>
      </w:r>
      <w:proofErr w:type="spellStart"/>
      <w:r w:rsidRPr="00AE7B34">
        <w:rPr>
          <w:rFonts w:ascii="TimesNewRomanPSMT" w:eastAsia="HiraginoSans-W3" w:hAnsi="TimesNewRomanPSMT" w:cs="TimesNewRomanPSMT"/>
          <w:color w:val="000000" w:themeColor="text1"/>
          <w:sz w:val="16"/>
          <w:szCs w:val="16"/>
          <w:u w:color="FF0000"/>
          <w:lang w:val="en-US"/>
        </w:rPr>
        <w:t>anthropause</w:t>
      </w:r>
      <w:proofErr w:type="spellEnd"/>
      <w:r w:rsidRPr="00AE7B34">
        <w:rPr>
          <w:rFonts w:ascii="TimesNewRomanPSMT" w:eastAsia="HiraginoSans-W3" w:hAnsi="TimesNewRomanPSMT" w:cs="TimesNewRomanPSMT"/>
          <w:color w:val="000000" w:themeColor="text1"/>
          <w:sz w:val="16"/>
          <w:szCs w:val="16"/>
          <w:u w:color="FF0000"/>
          <w:lang w:val="en-US"/>
        </w:rPr>
        <w:t>] presented at [4th International Scientific Conference – Restarting Tourism, Travel and Hospitality: The Day After “TOURMAN 2021”, online, 21st - 23rd May 2021].</w:t>
      </w:r>
      <w:r w:rsidR="00243FBC" w:rsidRPr="00AE7B34">
        <w:rPr>
          <w:rFonts w:ascii="TimesNewRomanPSMT" w:eastAsia="HiraginoSans-W3" w:hAnsi="TimesNewRomanPSMT" w:cs="TimesNewRomanPSMT"/>
          <w:color w:val="000000" w:themeColor="text1"/>
          <w:sz w:val="16"/>
          <w:szCs w:val="16"/>
          <w:u w:color="FF0000"/>
          <w:lang w:val="en-US"/>
        </w:rPr>
        <w:t xml:space="preserve"> </w:t>
      </w:r>
    </w:p>
    <w:p w14:paraId="7A49620A" w14:textId="77777777" w:rsidR="00243FBC" w:rsidRPr="00AE7B34" w:rsidRDefault="00243FBC" w:rsidP="00031CDC">
      <w:pPr>
        <w:jc w:val="both"/>
        <w:rPr>
          <w:rFonts w:ascii="Times New Roman" w:hAnsi="Times New Roman" w:cs="Times New Roman"/>
          <w:color w:val="000000" w:themeColor="text1"/>
          <w:sz w:val="22"/>
          <w:szCs w:val="22"/>
          <w:lang w:val="en-US"/>
        </w:rPr>
      </w:pPr>
    </w:p>
    <w:p w14:paraId="14AFFEB7" w14:textId="77777777" w:rsidR="00B4617F" w:rsidRPr="00AE7B34" w:rsidRDefault="00B4617F"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INTRODUCTION</w:t>
      </w:r>
    </w:p>
    <w:p w14:paraId="7B3AC632" w14:textId="11DCC59C"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iCs/>
          <w:color w:val="000000" w:themeColor="text1"/>
          <w:sz w:val="22"/>
          <w:szCs w:val="22"/>
          <w:lang w:val="en-US"/>
        </w:rPr>
        <w:t>Apart from its educational value, museums have a beneficial contribution to the economy and tourism as a significant form of cultural tourism. However, the last three decades museums had to redefine their stakeholders, and their strategic approach applying marketing-oriented practices and Information Communication Technology (ICT) advances and</w:t>
      </w:r>
      <w:r w:rsidR="004D70A1"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t>introducing a new museum experience</w:t>
      </w:r>
      <w:r w:rsidR="002A527F"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fldChar w:fldCharType="begin" w:fldLock="1"/>
      </w:r>
      <w:r w:rsidR="000A33E0" w:rsidRPr="00AE7B34">
        <w:rPr>
          <w:rFonts w:ascii="Times New Roman" w:hAnsi="Times New Roman" w:cs="Times New Roman"/>
          <w:iCs/>
          <w:color w:val="000000" w:themeColor="text1"/>
          <w:sz w:val="22"/>
          <w:szCs w:val="22"/>
          <w:lang w:val="en-US"/>
        </w:rPr>
        <w:instrText>ADDIN CSL_CITATION {"citationItems":[{"id":"ITEM-1","itemData":{"ISBN":"9789963711567","abstract":"Extensive research has repeatedly acknowledged the link between traditional and digital marketing communication tools and branding performance (Berthon, et al., 2012; Bruhn et al., 2012; Hennig-Thurau et al., 2010; Kapoor, et al., 2013; Keller, 2009). Moreover, social media, the milestone of Web 2.0 era, have definitely introduced a new revolutionary status quo of both corporate and personal communication by emerging new notions such as ''produser'' and “co-creation” both in For Profit Organizations (henceforth, FPOs) (Berthon, et al., 2012; Bruhn et al., 2012; Hennig-Thurau et al., 2010; Kapoor, et al., 2013; Keller, 2009; (Belenioti, 2015, 2017; Belenioti, Andronikidis and Vassiliadis, 2015) and Non Profit Organizations (henceforth NPOs) context. In light of these recent trends, a considerable literature has grown up around the theme of both e- marketing tools (Of, 2002; Hede, 2005; Jensen, 2007; Bernhard, María &amp; Chapter, 2009; Milano, 2011; Lange-Faria &amp;Elliot, 2012; Lim, Chung &amp; Weaver, 2012; Vassiliadis, Fotiadis &amp; Piper, 2013) and social media impact on destination branding, as well (Buhalis &amp; Inversini, 2014; Zeng &amp; Gerritsen, 2014; Wozniak, Stangl &amp; Liebrich, 2016; Xu, Buhalis &amp; Weber, 2017). In the same vein, social media is becoming a key aspect for museums’ sustainability and successful performance given its multidimensional affects both at communicational, educational and promotional level (Vassiliadis &amp; Belenioti, 2015). Despite this growing importance, there is still very little scientific understanding of social media influence on brand equity (Bruhn et al., 2012; Langaro et al., 2015 ; Kuvykaite &amp; Piligrimiene 2014 ; Belenioti, 2015; Belenioti et al., 2015; Vassiliadis &amp; Belenioti, 2015 ; Belenioti &amp; Vassiliadis 2016). Precisely, within NPOs sector few studies have investigated the impact of social media on brand equity (Vassiliadis &amp; Belenioti, 2015; Belenioti &amp; Vassiliadis, 2017; Belenioti, Garane &amp; Vassiliadis, 2017). Following the call within FPOs and NPOs sector (Barreda et al. 2015 ; Vassiliadis &amp; Belenioti, 2015; Belenioti &amp; Vassiliadis, 2016; Belenioti, Tsourvakas &amp; Vassiliadis, 2016), and having already conceptualized, (1) first, the use of social media within museums (Vassiliadis &amp; Belenioti, 2015), and (2) second, the relationship between social media impact and NPOs’ brand equity (Belenioti &amp; Vassiliadis, 2017), this paper follows now by delving into merely on the cultural NPOs’ reality. Through a literature review analysis,…","author":[{"dropping-particle":"","family":"Belenioti","given":"Zoe- Charis","non-dropping-particle":"","parse-names":false,"suffix":""},{"dropping-particle":"","family":"Vassiliadis","given":"Chris A","non-dropping-particle":"","parse-names":false,"suffix":""}],"container-title":"10th Annual Euromed Academy of Business (ΕMAB) Conference","editor":[{"dropping-particle":"","family":"Demetris Vrontis, Yaakov Weber","given":"Evangelos Tsoukatos","non-dropping-particle":"","parse-names":false,"suffix":""}],"id":"ITEM-1","issue":"September","issued":{"date-parts":[["2017"]]},"page":"150-160","publisher":"EuroMed Press","publisher-place":"Rome, Italy","title":"Social Media Impact on NPO Brand Equity : Conceptualizing the Trends and Prospects EuroMed Academy of Business Edited by :","type":"paper-conference"},"uris":["http://www.mendeley.com/documents/?uuid=dbff8f1b-9f92-4756-ba07-87f2b17eeee3"]},{"id":"ITEM-2","itemData":{"DOI":"10.1007/978-3-030-12453-3_139","ISBN":"9783030124533","abstract":"Extensive research has repeatedly acknowledged the link between traditional and digital marketing communication tools and branding performance. Particularly , both within For Profit Organizations (henceforth, FPOs) and Non Profit Organizations (henceforth NPOs), social media as the milestone of digital era have rebut the foundations of corporate and personal communication through the emergence of new participatory communication terms, such as \"prod-user\" and \"co-creation\". Consequently, a growing research trend has emerged towards e-e marketing tools and social media impact on destination branding, as well. Simultaneously, thanks to its multidimensional benefits both at communicational, educational and promotional level, social media is emerging as an essential feature on the branding of the new museum era. To date, within NPOs sector few studies have investigated the effect of social media on brand equity. Moreover, far too little attention has been paid to the link between social media and museums' brand equity. Based on the systematic qualitative critical review methodology, this paper attempts to identify the basic trends and research status by 2018. Drawing on a review of 76 papers that are the result of a systematic desk research, this study categorizes and presents, for the first time, the effects of social media use on museums' brand components. The study offers new and valuable insights into multidisciplinary research interests of research and industry community relating to communication and marketing, NPOs, tourism and museums context.","author":[{"dropping-particle":"","family":"Belenioti","given":"Zoe-Charis","non-dropping-particle":"","parse-names":false,"suffix":""},{"dropping-particle":"","family":"Tsourvakas","given":"George","non-dropping-particle":"","parse-names":false,"suffix":""},{"dropping-particle":"","family":"Vassiliadis","given":"Chris A","non-dropping-particle":"","parse-names":false,"suffix":""}],"container-title":"Strategic Innovative Marketing and Tourism","id":"ITEM-2","issued":{"date-parts":[["2019"]]},"page":"1215-1222","title":"Museums Brand Equity and Social Media","type":"article-journal"},"uris":["http://www.mendeley.com/documents/?uuid=65ec9d68-d020-4523-bfb8-bab0629aaa81"]},{"id":"ITEM-3","itemData":{"author":[{"dropping-particle":"","family":"Belenioti","given":"Zoe- Charis","non-dropping-particle":"","parse-names":false,"suffix":""}],"id":"ITEM-3","issued":{"date-parts":[["2020"]]},"note":"σελ 174","publisher":"Aristotle University of Thessaloniki","title":"THE CONTRIBUTION OF E-MARKETING TO THE BRANDING OF NONPROFIT ORGANIZATIONS ( NPOs ): THE CASE OF GREEK MUSEUMS ZOI ( ZOE ) - CHARIS BELENIOTI","type":"thesis"},"uris":["http://www.mendeley.com/documents/?uuid=c6c5f623-b320-4c41-9b08-d70ff82fb824"]},{"id":"ITEM-4","itemData":{"DOI":"https://doi.org/10.1007/978-3-319-56288-9_31","ISBN":"https://link.springer.com/chapter/10.1007/978-3-319-56288-9_31","abstract":"Recent social, financial and technological developments have changed dramatically both the NPOs’ and museums’ activities and orientation. Today, museums striving for their viability are urged on marketing and branding orientation. Despite its importance, still museum branding is a neglected research field. This is the first paper to remedy this problem by classifying the recent research by 2016 on museum branding. Drawing on a review of 33 papers this study categorizes the available research relating to the NPOs and museum branding. Therefore, the findings should make a major contribution to research on NPOs and museum/cultural marketing by serving a classification of the recent literature and by recommending both new research venues and profitable managerial recommendations to museums practitioners and scholars.","author":[{"dropping-particle":"","family":"Belenioti","given":"Zoe Charis","non-dropping-particle":"","parse-names":false,"suffix":""},{"dropping-particle":"","family":"Tsourvakas","given":"George","non-dropping-particle":"","parse-names":false,"suffix":""},{"dropping-particle":"","family":"Vassiliadis","given":"Chris A","non-dropping-particle":"","parse-names":false,"suffix":""}],"container-title":"Strategic Innovative Marketing","editor":[{"dropping-particle":"","family":"Kavoura A., Sakas D.","given":"Tomaras P.","non-dropping-particle":"","parse-names":false,"suffix":""}],"id":"ITEM-4","issued":{"date-parts":[["2017"]]},"page":"229-234","publisher":"Springer","title":"A Report on Museum Branding Literature","type":"chapter"},"uris":["http://www.mendeley.com/documents/?uuid=5a8f991d-9f88-4d6d-8506-ebb72af32980"]},{"id":"ITEM-5","itemData":{"DOI":"10.1007/978-3-030-12453-3_61","ISBN":"9783030124533","abstract":"The beneficial role of traditional marketing communication tools on branding performance is a dominant feature of marketing bibliography Moreover, the advent of social media have definitely resurged this research interest following the revolution both within For Profit Organizations (henceforth, FPOs) and Non Profit Organizations (henceforth NPOs) communications context. Thus, there is a growing trend towards the impact of both e- marketing tools (and social media impact on destination branding. Parallel to social media is becoming a vital tool l for museums’ sustainability given its multidimensional effect However, due to its infant nature, very little is known on the association between social media and brand equity). Especially, within NPOs few studies – only at a desk research level- have explored the impact of social media on brand equity No single study so far has empirically explored the role of social media on museums’ branding. Addressing previous calls within FPOs and NPOs sector, and having recently reviewed and established theoretically the positive link , (1) first, between the social media and museums (2) second, between social media and NPOs’ brand equity and (3), third between social media on museum branding equity, the present study examines through a qualitative method the social media impact on museums brand equity. Data were collected using semi-structured interviews, that have been held for a month (01 June - 01 July 2017). with communication officers of 30 Greek museums in Athens and Thessaloniki. This work contributes to existing knowledge of multidisciplinary research interests such as museum branding, social media marketing and tourism marketing both by confirming the beneficial contribution of social media on museums’ brand equity, visitors’ satisfaction and visitors’ engagement, and by providing valuable managerial insights.","author":[{"dropping-particle":"","family":"Belenioti","given":"Zoe-Charis","non-dropping-particle":"","parse-names":false,"suffix":""},{"dropping-particle":"","family":"Tsourvakas","given":"George","non-dropping-particle":"","parse-names":false,"suffix":""},{"dropping-particle":"","family":"Vassiliadis","given":"Chris A.","non-dropping-particle":"","parse-names":false,"suffix":""}],"container-title":"Strategic Innovative Marketing and Tourism","id":"ITEM-5","issued":{"date-parts":[["2019"]]},"page":"533-540","title":"Do Social Media Affect Museums’ Brand Equity? An Exploratory Qualitative Study","type":"chapter"},"uris":["http://www.mendeley.com/documents/?uuid=368d3e83-0018-4dcb-8d89-3adf8fc5b9bb"]},{"id":"ITEM-6","itemData":{"DOI":"10.1016/j.tourman.2014.09.005","ISSN":"02615177","author":[{"dropping-particle":"","family":"Dijkmans","given":"Corné","non-dropping-particle":"","parse-names":false,"suffix":""},{"dropping-particle":"","family":"Kerkhof","given":"Peter","non-dropping-particle":"","parse-names":false,"suffix":""},{"dropping-particle":"","family":"Beukeboom","given":"Camiel J.","non-dropping-particle":"","parse-names":false,"suffix":""}],"container-title":"Tourism Management","id":"ITEM-6","issued":{"date-parts":[["2015"]]},"page":"58-67","title":"A stage to engage: Social media use and corporate reputation","type":"article-journal","volume":"47"},"uris":["http://www.mendeley.com/documents/?uuid=05268ac3-0886-4ebc-9919-4e030ed940a6"]}],"mendeley":{"formattedCitation":"(Dijkmans, Kerkhof and Beukeboom, 2015; Belenioti and Vassiliadis, 2017; Belenioti, Tsourvakas and Vassiliadis, 2017; Belenioti, Tsourvakas and Chris A Vassiliadis, 2019; Belenioti, Tsourvakas and Chris A. Vassiliadis, 2019; Belenioti, 2020)","manualFormatting":"(Dijkmans, Kerkhof and Beukeboom, 2015; Belenioti and Vassiliadis, 2017; Belenioti, et al., 2017a;2017b; Belenioti, et. al., 2019; Belenioti, et.al., 2019; Belenioti, 2020)","plainTextFormattedCitation":"(Dijkmans, Kerkhof and Beukeboom, 2015; Belenioti and Vassiliadis, 2017; Belenioti, Tsourvakas and Vassiliadis, 2017; Belenioti, Tsourvakas and Chris A Vassiliadis, 2019; Belenioti, Tsourvakas and Chris A. Vassiliadis, 2019; Belenioti, 2020)","previouslyFormattedCitation":"(Dijkmans, Kerkhof and Beukeboom, 2015; Belenioti and Vassiliadis, 2017; Belenioti, Tsourvakas and Vassiliadis, 2017; Belenioti, Tsourvakas and Chris A Vassiliadis, 2019; Belenioti, Tsourvakas and Chris A. Vassiliadis, 2019; Belenioti, 2020)"},"properties":{"noteIndex":0},"schema":"https://github.com/citation-style-language/schema/raw/master/csl-citation.json"}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(Dijkmans, Kerkhof and Beukeboom, 2015; Belenioti and Vassiliadis, 2017; Belenioti, et al., 2017</w:t>
      </w:r>
      <w:r w:rsidR="0023034C" w:rsidRPr="00AE7B34">
        <w:rPr>
          <w:rFonts w:ascii="Times New Roman" w:hAnsi="Times New Roman" w:cs="Times New Roman"/>
          <w:iCs/>
          <w:noProof/>
          <w:color w:val="000000" w:themeColor="text1"/>
          <w:sz w:val="22"/>
          <w:szCs w:val="22"/>
          <w:lang w:val="en-US"/>
        </w:rPr>
        <w:t>a;2017b</w:t>
      </w:r>
      <w:r w:rsidRPr="00AE7B34">
        <w:rPr>
          <w:rFonts w:ascii="Times New Roman" w:hAnsi="Times New Roman" w:cs="Times New Roman"/>
          <w:iCs/>
          <w:noProof/>
          <w:color w:val="000000" w:themeColor="text1"/>
          <w:sz w:val="22"/>
          <w:szCs w:val="22"/>
          <w:lang w:val="en-US"/>
        </w:rPr>
        <w:t>; Belenioti, et. al., 2019; Belenioti, et.al., 2019; Belenioti,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Enabling the experiential notions of “</w:t>
      </w:r>
      <w:r w:rsidR="00057F7F" w:rsidRPr="00AE7B34">
        <w:rPr>
          <w:rFonts w:ascii="Times New Roman" w:hAnsi="Times New Roman" w:cs="Times New Roman"/>
          <w:color w:val="000000" w:themeColor="text1"/>
          <w:sz w:val="22"/>
          <w:szCs w:val="22"/>
          <w:lang w:val="en-US"/>
        </w:rPr>
        <w:t>E</w:t>
      </w:r>
      <w:r w:rsidRPr="00AE7B34">
        <w:rPr>
          <w:rFonts w:ascii="Times New Roman" w:hAnsi="Times New Roman" w:cs="Times New Roman"/>
          <w:color w:val="000000" w:themeColor="text1"/>
          <w:sz w:val="22"/>
          <w:szCs w:val="22"/>
          <w:lang w:val="en-US"/>
        </w:rPr>
        <w:t>dutainment”/ “</w:t>
      </w:r>
      <w:proofErr w:type="spellStart"/>
      <w:r w:rsidR="00057F7F" w:rsidRPr="00AE7B34">
        <w:rPr>
          <w:rFonts w:ascii="Times New Roman" w:hAnsi="Times New Roman" w:cs="Times New Roman"/>
          <w:color w:val="000000" w:themeColor="text1"/>
          <w:sz w:val="22"/>
          <w:szCs w:val="22"/>
          <w:lang w:val="en-US"/>
        </w:rPr>
        <w:t>A</w:t>
      </w:r>
      <w:r w:rsidRPr="00AE7B34">
        <w:rPr>
          <w:rFonts w:ascii="Times New Roman" w:hAnsi="Times New Roman" w:cs="Times New Roman"/>
          <w:color w:val="000000" w:themeColor="text1"/>
          <w:sz w:val="22"/>
          <w:szCs w:val="22"/>
          <w:lang w:val="en-US"/>
        </w:rPr>
        <w:t>rtertainment</w:t>
      </w:r>
      <w:proofErr w:type="spellEnd"/>
      <w:r w:rsidRPr="00AE7B34">
        <w:rPr>
          <w:rFonts w:ascii="Times New Roman" w:hAnsi="Times New Roman" w:cs="Times New Roman"/>
          <w:color w:val="000000" w:themeColor="text1"/>
          <w:sz w:val="22"/>
          <w:szCs w:val="22"/>
          <w:lang w:val="en-US"/>
        </w:rPr>
        <w:t xml:space="preserve">” and “Disneyfication”, this new museum era presents two major </w:t>
      </w:r>
      <w:r w:rsidR="002D0D02" w:rsidRPr="00AE7B34">
        <w:rPr>
          <w:rFonts w:ascii="Times New Roman" w:hAnsi="Times New Roman" w:cs="Times New Roman"/>
          <w:color w:val="000000" w:themeColor="text1"/>
          <w:sz w:val="22"/>
          <w:szCs w:val="22"/>
          <w:lang w:val="en-US"/>
        </w:rPr>
        <w:t>characteristics:</w:t>
      </w:r>
      <w:r w:rsidRPr="00AE7B34">
        <w:rPr>
          <w:rFonts w:ascii="Times New Roman" w:hAnsi="Times New Roman" w:cs="Times New Roman"/>
          <w:color w:val="000000" w:themeColor="text1"/>
          <w:sz w:val="22"/>
          <w:szCs w:val="22"/>
          <w:lang w:val="en-US"/>
        </w:rPr>
        <w:t xml:space="preserve"> the </w:t>
      </w:r>
      <w:r w:rsidR="00057F7F" w:rsidRPr="00AE7B34">
        <w:rPr>
          <w:rFonts w:ascii="Times New Roman" w:hAnsi="Times New Roman" w:cs="Times New Roman"/>
          <w:color w:val="000000" w:themeColor="text1"/>
          <w:sz w:val="22"/>
          <w:szCs w:val="22"/>
          <w:lang w:val="en-US"/>
        </w:rPr>
        <w:t>application of</w:t>
      </w:r>
      <w:r w:rsidRPr="00AE7B34">
        <w:rPr>
          <w:rFonts w:ascii="Times New Roman" w:hAnsi="Times New Roman" w:cs="Times New Roman"/>
          <w:color w:val="000000" w:themeColor="text1"/>
          <w:sz w:val="22"/>
          <w:szCs w:val="22"/>
          <w:lang w:val="en-US"/>
        </w:rPr>
        <w:t xml:space="preserve"> marketing principles, and the integration of ICT and future internet applications, at strategic level</w:t>
      </w:r>
      <w:r w:rsidR="00FB5591"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set</w:t>
      </w:r>
      <w:r w:rsidR="00FB5591" w:rsidRPr="00AE7B34">
        <w:rPr>
          <w:rFonts w:ascii="Times New Roman" w:hAnsi="Times New Roman" w:cs="Times New Roman"/>
          <w:color w:val="000000" w:themeColor="text1"/>
          <w:sz w:val="22"/>
          <w:szCs w:val="22"/>
          <w:lang w:val="en-US"/>
        </w:rPr>
        <w:t>ting</w:t>
      </w:r>
      <w:r w:rsidRPr="00AE7B34">
        <w:rPr>
          <w:rFonts w:ascii="Times New Roman" w:hAnsi="Times New Roman" w:cs="Times New Roman"/>
          <w:color w:val="000000" w:themeColor="text1"/>
          <w:sz w:val="22"/>
          <w:szCs w:val="22"/>
          <w:lang w:val="en-US"/>
        </w:rPr>
        <w:t xml:space="preserve"> the premises of Digital Transformation or Digitalization in cultural industry, respectively. </w:t>
      </w:r>
    </w:p>
    <w:p w14:paraId="18D25358" w14:textId="10BE6E47" w:rsidR="00B803E8" w:rsidRPr="00AE7B34" w:rsidRDefault="00B803E8"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All in all, digital transformation using Web 2.0 &amp; Web 3.0 tools such as social media or Future Internet and Internet of Things (IoT) enables the brand co- creation era. More specifically, under the umbrella of </w:t>
      </w:r>
      <w:r w:rsidR="002B6D73"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digital transformation</w:t>
      </w:r>
      <w:r w:rsidR="002B6D73"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tourist</w:t>
      </w:r>
      <w:r w:rsidR="00FF1129" w:rsidRPr="00AE7B34">
        <w:rPr>
          <w:rFonts w:ascii="Times New Roman" w:hAnsi="Times New Roman" w:cs="Times New Roman"/>
          <w:color w:val="000000" w:themeColor="text1"/>
          <w:sz w:val="22"/>
          <w:szCs w:val="22"/>
          <w:lang w:val="en-US"/>
        </w:rPr>
        <w:t>s</w:t>
      </w:r>
      <w:r w:rsidRPr="00AE7B34">
        <w:rPr>
          <w:rFonts w:ascii="Times New Roman" w:hAnsi="Times New Roman" w:cs="Times New Roman"/>
          <w:color w:val="000000" w:themeColor="text1"/>
          <w:sz w:val="22"/>
          <w:szCs w:val="22"/>
          <w:lang w:val="en-US"/>
        </w:rPr>
        <w:t xml:space="preserve"> and museum visitors are </w:t>
      </w:r>
      <w:r w:rsidRPr="00AE7B34">
        <w:rPr>
          <w:rFonts w:ascii="Times New Roman" w:hAnsi="Times New Roman" w:cs="Times New Roman"/>
          <w:color w:val="000000" w:themeColor="text1"/>
          <w:sz w:val="22"/>
          <w:szCs w:val="22"/>
          <w:lang w:val="en-US"/>
        </w:rPr>
        <w:lastRenderedPageBreak/>
        <w:t>now becoming</w:t>
      </w:r>
      <w:r w:rsidR="00C65F3F"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“prod-users”. </w:t>
      </w:r>
      <w:r w:rsidR="002B6D73" w:rsidRPr="00AE7B34">
        <w:rPr>
          <w:rFonts w:ascii="Times New Roman" w:hAnsi="Times New Roman" w:cs="Times New Roman"/>
          <w:color w:val="000000" w:themeColor="text1"/>
          <w:sz w:val="22"/>
          <w:szCs w:val="22"/>
          <w:lang w:val="en-US"/>
        </w:rPr>
        <w:t>Using</w:t>
      </w:r>
      <w:r w:rsidRPr="00AE7B34">
        <w:rPr>
          <w:rFonts w:ascii="Times New Roman" w:hAnsi="Times New Roman" w:cs="Times New Roman"/>
          <w:color w:val="000000" w:themeColor="text1"/>
          <w:sz w:val="22"/>
          <w:szCs w:val="22"/>
          <w:lang w:val="en-US"/>
        </w:rPr>
        <w:t xml:space="preserve"> Future Internet and Smart Tourism applications </w:t>
      </w:r>
      <w:r w:rsidR="002B6D73" w:rsidRPr="00AE7B34">
        <w:rPr>
          <w:rFonts w:ascii="Times New Roman" w:hAnsi="Times New Roman" w:cs="Times New Roman"/>
          <w:color w:val="000000" w:themeColor="text1"/>
          <w:sz w:val="22"/>
          <w:szCs w:val="22"/>
          <w:lang w:val="en-US"/>
        </w:rPr>
        <w:t>within</w:t>
      </w:r>
      <w:r w:rsidRPr="00AE7B34">
        <w:rPr>
          <w:rFonts w:ascii="Times New Roman" w:hAnsi="Times New Roman" w:cs="Times New Roman"/>
          <w:color w:val="000000" w:themeColor="text1"/>
          <w:sz w:val="22"/>
          <w:szCs w:val="22"/>
          <w:lang w:val="en-US"/>
        </w:rPr>
        <w:t xml:space="preserve"> museum</w:t>
      </w:r>
      <w:r w:rsidR="002B6D73" w:rsidRPr="00AE7B34">
        <w:rPr>
          <w:rFonts w:ascii="Times New Roman" w:hAnsi="Times New Roman" w:cs="Times New Roman"/>
          <w:color w:val="000000" w:themeColor="text1"/>
          <w:sz w:val="22"/>
          <w:szCs w:val="22"/>
          <w:lang w:val="en-US"/>
        </w:rPr>
        <w:t>s</w:t>
      </w:r>
      <w:r w:rsidRPr="00AE7B34">
        <w:rPr>
          <w:rFonts w:ascii="Times New Roman" w:hAnsi="Times New Roman" w:cs="Times New Roman"/>
          <w:color w:val="000000" w:themeColor="text1"/>
          <w:sz w:val="22"/>
          <w:szCs w:val="22"/>
          <w:lang w:val="en-US"/>
        </w:rPr>
        <w:t xml:space="preserve"> (RFID</w:t>
      </w:r>
      <w:r w:rsidR="003D0EE1"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r w:rsidR="00485BB4" w:rsidRPr="00AE7B34">
        <w:rPr>
          <w:rFonts w:ascii="Times New Roman" w:hAnsi="Times New Roman" w:cs="Times New Roman"/>
          <w:color w:val="000000" w:themeColor="text1"/>
          <w:sz w:val="22"/>
          <w:szCs w:val="22"/>
          <w:lang w:val="en-US"/>
        </w:rPr>
        <w:t>Augmented Reality (</w:t>
      </w:r>
      <w:r w:rsidR="00D71A5E" w:rsidRPr="00AE7B34">
        <w:rPr>
          <w:rFonts w:ascii="Times New Roman" w:hAnsi="Times New Roman" w:cs="Times New Roman"/>
          <w:color w:val="000000" w:themeColor="text1"/>
          <w:sz w:val="22"/>
          <w:szCs w:val="22"/>
          <w:lang w:val="en-US"/>
        </w:rPr>
        <w:t xml:space="preserve">henceforth </w:t>
      </w:r>
      <w:r w:rsidRPr="00AE7B34">
        <w:rPr>
          <w:rFonts w:ascii="Times New Roman" w:hAnsi="Times New Roman" w:cs="Times New Roman"/>
          <w:color w:val="000000" w:themeColor="text1"/>
          <w:sz w:val="22"/>
          <w:szCs w:val="22"/>
          <w:lang w:val="en-US"/>
        </w:rPr>
        <w:t>AR</w:t>
      </w:r>
      <w:r w:rsidR="00485BB4"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V</w:t>
      </w:r>
      <w:r w:rsidR="00485BB4" w:rsidRPr="00AE7B34">
        <w:rPr>
          <w:rFonts w:ascii="Times New Roman" w:hAnsi="Times New Roman" w:cs="Times New Roman"/>
          <w:color w:val="000000" w:themeColor="text1"/>
          <w:sz w:val="22"/>
          <w:szCs w:val="22"/>
          <w:lang w:val="en-US"/>
        </w:rPr>
        <w:t xml:space="preserve">irtual </w:t>
      </w:r>
      <w:r w:rsidRPr="00AE7B34">
        <w:rPr>
          <w:rFonts w:ascii="Times New Roman" w:hAnsi="Times New Roman" w:cs="Times New Roman"/>
          <w:color w:val="000000" w:themeColor="text1"/>
          <w:sz w:val="22"/>
          <w:szCs w:val="22"/>
          <w:lang w:val="en-US"/>
        </w:rPr>
        <w:t>R</w:t>
      </w:r>
      <w:r w:rsidR="00485BB4" w:rsidRPr="00AE7B34">
        <w:rPr>
          <w:rFonts w:ascii="Times New Roman" w:hAnsi="Times New Roman" w:cs="Times New Roman"/>
          <w:color w:val="000000" w:themeColor="text1"/>
          <w:sz w:val="22"/>
          <w:szCs w:val="22"/>
          <w:lang w:val="en-US"/>
        </w:rPr>
        <w:t>eality (</w:t>
      </w:r>
      <w:r w:rsidR="00D71A5E" w:rsidRPr="00AE7B34">
        <w:rPr>
          <w:rFonts w:ascii="Times New Roman" w:hAnsi="Times New Roman" w:cs="Times New Roman"/>
          <w:color w:val="000000" w:themeColor="text1"/>
          <w:sz w:val="22"/>
          <w:szCs w:val="22"/>
          <w:lang w:val="en-US"/>
        </w:rPr>
        <w:t xml:space="preserve">henceforth </w:t>
      </w:r>
      <w:r w:rsidR="00485BB4" w:rsidRPr="00AE7B34">
        <w:rPr>
          <w:rFonts w:ascii="Times New Roman" w:hAnsi="Times New Roman" w:cs="Times New Roman"/>
          <w:color w:val="000000" w:themeColor="text1"/>
          <w:sz w:val="22"/>
          <w:szCs w:val="22"/>
          <w:lang w:val="en-US"/>
        </w:rPr>
        <w:t>VR)</w:t>
      </w:r>
      <w:r w:rsidRPr="00AE7B34">
        <w:rPr>
          <w:rFonts w:ascii="Times New Roman" w:hAnsi="Times New Roman" w:cs="Times New Roman"/>
          <w:color w:val="000000" w:themeColor="text1"/>
          <w:sz w:val="22"/>
          <w:szCs w:val="22"/>
          <w:lang w:val="en-US"/>
        </w:rPr>
        <w:t xml:space="preserve">, Museum Kiosks) visitor communication cues </w:t>
      </w:r>
      <w:r w:rsidR="002B6D73" w:rsidRPr="00AE7B34">
        <w:rPr>
          <w:rFonts w:ascii="Times New Roman" w:hAnsi="Times New Roman" w:cs="Times New Roman"/>
          <w:color w:val="000000" w:themeColor="text1"/>
          <w:sz w:val="22"/>
          <w:szCs w:val="22"/>
          <w:lang w:val="en-US"/>
        </w:rPr>
        <w:t>increase</w:t>
      </w:r>
      <w:r w:rsidRPr="00AE7B34">
        <w:rPr>
          <w:rFonts w:ascii="Times New Roman" w:hAnsi="Times New Roman" w:cs="Times New Roman"/>
          <w:color w:val="000000" w:themeColor="text1"/>
          <w:sz w:val="22"/>
          <w:szCs w:val="22"/>
          <w:lang w:val="en-US"/>
        </w:rPr>
        <w:t xml:space="preserve"> brand engagement, museum </w:t>
      </w:r>
      <w:r w:rsidR="00057F7F" w:rsidRPr="00AE7B34">
        <w:rPr>
          <w:rFonts w:ascii="Times New Roman" w:hAnsi="Times New Roman" w:cs="Times New Roman"/>
          <w:color w:val="000000" w:themeColor="text1"/>
          <w:sz w:val="22"/>
          <w:szCs w:val="22"/>
          <w:lang w:val="en-US"/>
        </w:rPr>
        <w:t>satisfaction, brand</w:t>
      </w:r>
      <w:r w:rsidRPr="00AE7B34">
        <w:rPr>
          <w:rFonts w:ascii="Times New Roman" w:hAnsi="Times New Roman" w:cs="Times New Roman"/>
          <w:color w:val="000000" w:themeColor="text1"/>
          <w:sz w:val="22"/>
          <w:szCs w:val="22"/>
          <w:lang w:val="en-US"/>
        </w:rPr>
        <w:t xml:space="preserve"> equity </w:t>
      </w:r>
      <w:r w:rsidR="002B6D73" w:rsidRPr="00AE7B34">
        <w:rPr>
          <w:rFonts w:ascii="Times New Roman" w:hAnsi="Times New Roman" w:cs="Times New Roman"/>
          <w:color w:val="000000" w:themeColor="text1"/>
          <w:sz w:val="22"/>
          <w:szCs w:val="22"/>
          <w:lang w:val="en-US"/>
        </w:rPr>
        <w:t xml:space="preserve">enabling the </w:t>
      </w:r>
      <w:r w:rsidRPr="00AE7B34">
        <w:rPr>
          <w:rFonts w:ascii="Times New Roman" w:hAnsi="Times New Roman" w:cs="Times New Roman"/>
          <w:color w:val="000000" w:themeColor="text1"/>
          <w:sz w:val="22"/>
          <w:szCs w:val="22"/>
          <w:lang w:val="en-US"/>
        </w:rPr>
        <w:t xml:space="preserve">co -creation. </w:t>
      </w:r>
      <w:r w:rsidRPr="00AE7B34">
        <w:rPr>
          <w:rFonts w:ascii="Times New Roman" w:hAnsi="Times New Roman" w:cs="Times New Roman"/>
          <w:iCs/>
          <w:color w:val="000000" w:themeColor="text1"/>
          <w:sz w:val="22"/>
          <w:szCs w:val="22"/>
          <w:lang w:val="en-US"/>
        </w:rPr>
        <w:t xml:space="preserve">Moreover, </w:t>
      </w:r>
      <w:r w:rsidRPr="00AE7B34">
        <w:rPr>
          <w:rFonts w:ascii="Times New Roman" w:hAnsi="Times New Roman" w:cs="Times New Roman"/>
          <w:color w:val="000000" w:themeColor="text1"/>
          <w:sz w:val="22"/>
          <w:szCs w:val="22"/>
          <w:lang w:val="en-US"/>
        </w:rPr>
        <w:t xml:space="preserve">digital transformation is a </w:t>
      </w:r>
      <w:r w:rsidR="00446719" w:rsidRPr="00AE7B34">
        <w:rPr>
          <w:rFonts w:ascii="Times New Roman" w:hAnsi="Times New Roman" w:cs="Times New Roman"/>
          <w:color w:val="000000" w:themeColor="text1"/>
          <w:sz w:val="22"/>
          <w:szCs w:val="22"/>
          <w:lang w:val="en-US"/>
        </w:rPr>
        <w:t>moderator</w:t>
      </w:r>
      <w:r w:rsidRPr="00AE7B34">
        <w:rPr>
          <w:rFonts w:ascii="Times New Roman" w:hAnsi="Times New Roman" w:cs="Times New Roman"/>
          <w:color w:val="000000" w:themeColor="text1"/>
          <w:sz w:val="22"/>
          <w:szCs w:val="22"/>
          <w:lang w:val="en-US"/>
        </w:rPr>
        <w:t xml:space="preserve"> factor of the Customer Experience era (</w:t>
      </w:r>
      <w:r w:rsidRPr="00AE7B34">
        <w:rPr>
          <w:rFonts w:ascii="Times New Roman" w:hAnsi="Times New Roman" w:cs="Times New Roman"/>
          <w:iCs/>
          <w:color w:val="000000" w:themeColor="text1"/>
          <w:sz w:val="22"/>
          <w:szCs w:val="22"/>
          <w:lang w:val="en-US"/>
        </w:rPr>
        <w:fldChar w:fldCharType="begin" w:fldLock="1"/>
      </w:r>
      <w:r w:rsidRPr="00AE7B34">
        <w:rPr>
          <w:rFonts w:ascii="Times New Roman" w:hAnsi="Times New Roman" w:cs="Times New Roman"/>
          <w:iCs/>
          <w:color w:val="000000" w:themeColor="text1"/>
          <w:sz w:val="22"/>
          <w:szCs w:val="22"/>
          <w:lang w:val="en-US"/>
        </w:rPr>
        <w:instrText>ADDIN CSL_CITATION {"citationItems":[{"id":"ITEM-1","itemData":{"DOI":"10.1509/jm.15.0420","ISSN":"15477185","abstract":"Understanding customer experience and the customer journey over time is critical for firms. Customers now interact with firms through myriad touch points in multiple channels and media, and customer experiences are more social in nature. These changes require firms to integrate multiple business functions, and even external partners, in creating and delivering positive customer experiences. In this article, the authors aim to develop a stronger understanding of customer experience and the customer journey in this era of increasingly complex customer behavior. To achieve this goal, they examine existing definitions and conceptualizations of customer experience as a construct and provide a historical perspective of the roots of customer experience within marketing. Next, they attempt to bring together what is currently known about customer experience, customer journeys, and customer experience management. Finally, they identify critical areas for future research on this important topic.","author":[{"dropping-particle":"","family":"Lemon","given":"Katherine N.","non-dropping-particle":"","parse-names":false,"suffix":""},{"dropping-particle":"","family":"Verhoef","given":"Peter C.","non-dropping-particle":"","parse-names":false,"suffix":""}],"container-title":"Journal of Marketing","id":"ITEM-1","issue":"6","issued":{"date-parts":[["2016"]]},"page":"69-96","title":"Understanding customer experience throughout the customer journey","type":"article-journal","volume":"80"},"uris":["http://www.mendeley.com/documents/?uuid=156f63ef-1c3a-4114-85b8-d25b54c6d91f"]}],"mendeley":{"formattedCitation":"(Lemon and Verhoef, 2016)","manualFormatting":"Lemon and Verhoef, 2016","plainTextFormattedCitation":"(Lemon and Verhoef, 2016)","previouslyFormattedCitation":"(Lemon and Verhoef, 2016)"},"properties":{"noteIndex":0},"schema":"https://github.com/citation-style-language/schema/raw/master/csl-citation.json"}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Lemon and Verhoef, 2016</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00F72A2B" w:rsidRPr="00AE7B34">
        <w:rPr>
          <w:rFonts w:ascii="Times New Roman" w:hAnsi="Times New Roman" w:cs="Times New Roman"/>
          <w:color w:val="000000" w:themeColor="text1"/>
          <w:sz w:val="22"/>
          <w:szCs w:val="22"/>
          <w:lang w:val="en-US"/>
        </w:rPr>
        <w:instrText>ADDIN CSL_CITATION {"citationItems":[{"id":"ITEM-1","itemData":{"DOI":"10.1108/IJCHM-07-2020-0644","ISBN":"0720200644","ISSN":"09596119","abstract":"Purpose: Dynamic, volatile, and time-sensitive industries, such as tourism, travel and hospitality require agility and market intelligence to create value and achieve competitive advantage. The aim of the current study is to examine the influence of big data (BD) on the performance of service organizations and to probe for a deeper understanding of implementing BD, based on available technologies. Design/methodology/approach: An ethnographic study was conducted following an abductive approach. A primary qualitative research scheme was used with 35 information technology and database professionals participating in five online focus groups of seven participants each. Analytical themes were developed simultaneously with the literature being revisited throughout the study to ultimately create sets of common themes and dimensions. Findings: BD can help organizations build agility, especially within dynamic industries, to better predict customer behavioral patterns and make tailor-made propositions from the BD. An integrated BD-specific framework is proposed to address value according to the dimensions of need, value, time and utility. Research limitations/implications: Little research exists on the key drivers of BD use for dynamic, real-time and agile businesses. This research adds to the developing literature on BD applications to support organizational decision-making and business performance in the tourism industry. Originality/value: This study responds to scholars’ recent calls for more empirical research with contextual understanding of the use of BD to add value in marketing intelligence within business ecosystems. It delineates factors contributing to BD value creation and explores the impacts on the respective service encounters.","author":[{"dropping-particle":"","family":"Stylos","given":"Nikolaos","non-dropping-particle":"","parse-names":false,"suffix":""},{"dropping-particle":"","family":"Zwiegelaar","given":"Jeremy","non-dropping-particle":"","parse-names":false,"suffix":""},{"dropping-particle":"","family":"Buhalis","given":"Dimitrios","non-dropping-particle":"","parse-names":false,"suffix":""}],"container-title":"International Journal of Contemporary Hospitality Management","id":"ITEM-1","issue":"3","issued":{"date-parts":[["2021"]]},"note":"na kano allagi se onoma sto paper - done","page":"1015-1036","title":"Big data empowered agility for dynamic, volatile, and time-sensitive service industries: the case of tourism sector","type":"article-journal","volume":"33"},"uris":["http://www.mendeley.com/documents/?uuid=565f83e2-117d-4f8a-95ea-07556ac2e904"]}],"mendeley":{"formattedCitation":"(Stylos, Zwiegelaar and Buhalis, 2021)","manualFormatting":"Stylos, Zwiegelaar and Buhalis, 2021;","plainTextFormattedCitation":"(Stylos, Zwiegelaar and Buhalis, 2021)","previouslyFormattedCitation":"(Stylos, Zwiegelaar and Buhalis,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00057F7F" w:rsidRPr="00AE7B34">
        <w:rPr>
          <w:rFonts w:ascii="Times New Roman" w:hAnsi="Times New Roman" w:cs="Times New Roman"/>
          <w:noProof/>
          <w:color w:val="000000" w:themeColor="text1"/>
          <w:sz w:val="22"/>
          <w:szCs w:val="22"/>
          <w:lang w:val="en-US"/>
        </w:rPr>
        <w:t>Stylos, Zwiegelaar and Buhalis,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fldChar w:fldCharType="begin" w:fldLock="1"/>
      </w:r>
      <w:r w:rsidRPr="00AE7B34">
        <w:rPr>
          <w:rFonts w:ascii="Times New Roman" w:hAnsi="Times New Roman" w:cs="Times New Roman"/>
          <w:iCs/>
          <w:color w:val="000000" w:themeColor="text1"/>
          <w:sz w:val="22"/>
          <w:szCs w:val="22"/>
          <w:lang w:val="en-US"/>
        </w:rPr>
        <w:instrText>ADDIN CSL_CITATION {"citationItems":[{"id":"ITEM-1","itemData":{"author":[{"dropping-particle":"","family":"Buhalis","given":"Dimitrios","non-dropping-particle":"","parse-names":false,"suffix":""}],"id":"ITEM-1","issued":{"date-parts":[["2022"]]},"title":"TOURISM MANAGEMENT AND MARKETING IN TRANSFORMATION : PREFACE ENCYCLOPEDIA OF TOURISM MANAGEMENT AND MARKETING Dimitrios Buhalis Dedicated to the memory of my mother Stella who departed this life during this journey .","type":"entry-encyclopedia"},"uris":["http://www.mendeley.com/documents/?uuid=1b36ac9f-399b-42ee-a937-890111821df8"]}],"mendeley":{"formattedCitation":"(Buhalis, 2022)","manualFormatting":"Buhalis, 2022)","plainTextFormattedCitation":"(Buhalis, 2022)","previouslyFormattedCitation":"(Buhalis, 2022)"},"properties":{"noteIndex":0},"schema":"https://github.com/citation-style-language/schema/raw/master/csl-citation.json"}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Buhalis, 2022)</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t xml:space="preserve"> including tourism industry. </w:t>
      </w:r>
      <w:r w:rsidR="00446719" w:rsidRPr="00AE7B34">
        <w:rPr>
          <w:rFonts w:ascii="Times New Roman" w:hAnsi="Times New Roman" w:cs="Times New Roman"/>
          <w:iCs/>
          <w:color w:val="000000" w:themeColor="text1"/>
          <w:sz w:val="22"/>
          <w:szCs w:val="22"/>
          <w:lang w:val="en-US"/>
        </w:rPr>
        <w:t xml:space="preserve">Thus, </w:t>
      </w:r>
      <w:r w:rsidR="00446719" w:rsidRPr="00AE7B34">
        <w:rPr>
          <w:rFonts w:ascii="Times New Roman" w:hAnsi="Times New Roman" w:cs="Times New Roman"/>
          <w:color w:val="000000" w:themeColor="text1"/>
          <w:sz w:val="22"/>
          <w:szCs w:val="22"/>
          <w:lang w:val="en-US"/>
        </w:rPr>
        <w:t>t</w:t>
      </w:r>
      <w:r w:rsidRPr="00AE7B34">
        <w:rPr>
          <w:rFonts w:ascii="Times New Roman" w:hAnsi="Times New Roman" w:cs="Times New Roman"/>
          <w:color w:val="000000" w:themeColor="text1"/>
          <w:sz w:val="22"/>
          <w:szCs w:val="22"/>
          <w:lang w:val="en-US"/>
        </w:rPr>
        <w:t xml:space="preserve">o </w:t>
      </w:r>
      <w:r w:rsidRPr="00AE7B34">
        <w:rPr>
          <w:rFonts w:ascii="Times New Roman" w:hAnsi="Times New Roman" w:cs="Times New Roman"/>
          <w:iCs/>
          <w:color w:val="000000" w:themeColor="text1"/>
          <w:sz w:val="22"/>
          <w:szCs w:val="22"/>
          <w:lang w:val="en-US"/>
        </w:rPr>
        <w:fldChar w:fldCharType="begin" w:fldLock="1"/>
      </w:r>
      <w:r w:rsidRPr="00AE7B34">
        <w:rPr>
          <w:rFonts w:ascii="Times New Roman" w:hAnsi="Times New Roman" w:cs="Times New Roman"/>
          <w:iCs/>
          <w:color w:val="000000" w:themeColor="text1"/>
          <w:sz w:val="22"/>
          <w:szCs w:val="22"/>
          <w:lang w:val="en-US"/>
        </w:rPr>
        <w:instrText>ADDIN CSL_CITATION {"citationItems":[{"id":"ITEM-1","itemData":{"DOI":"10.1509/jm.15.0420","ISSN":"15477185","abstract":"Understanding customer experience and the customer journey over time is critical for firms. Customers now interact with firms through myriad touch points in multiple channels and media, and customer experiences are more social in nature. These changes require firms to integrate multiple business functions, and even external partners, in creating and delivering positive customer experiences. In this article, the authors aim to develop a stronger understanding of customer experience and the customer journey in this era of increasingly complex customer behavior. To achieve this goal, they examine existing definitions and conceptualizations of customer experience as a construct and provide a historical perspective of the roots of customer experience within marketing. Next, they attempt to bring together what is currently known about customer experience, customer journeys, and customer experience management. Finally, they identify critical areas for future research on this important topic.","author":[{"dropping-particle":"","family":"Lemon","given":"Katherine N.","non-dropping-particle":"","parse-names":false,"suffix":""},{"dropping-particle":"","family":"Verhoef","given":"Peter C.","non-dropping-particle":"","parse-names":false,"suffix":""}],"container-title":"Journal of Marketing","id":"ITEM-1","issue":"6","issued":{"date-parts":[["2016"]]},"page":"69-96","title":"Understanding customer experience throughout the customer journey","type":"article-journal","volume":"80"},"uris":["http://www.mendeley.com/documents/?uuid=156f63ef-1c3a-4114-85b8-d25b54c6d91f"]}],"mendeley":{"formattedCitation":"(Lemon and Verhoef, 2016)","manualFormatting":"Lemon and Verhoef (2016","plainTextFormattedCitation":"(Lemon and Verhoef, 2016)","previouslyFormattedCitation":"(Lemon and Verhoef, 2016)"},"properties":{"noteIndex":0},"schema":"https://github.com/citation-style-language/schema/raw/master/csl-citation.json"}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Lemon and Verhoef (2016</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t>), marketing scholar</w:t>
      </w:r>
      <w:r w:rsidR="00446719" w:rsidRPr="00AE7B34">
        <w:rPr>
          <w:rFonts w:ascii="Times New Roman" w:hAnsi="Times New Roman" w:cs="Times New Roman"/>
          <w:iCs/>
          <w:color w:val="000000" w:themeColor="text1"/>
          <w:sz w:val="22"/>
          <w:szCs w:val="22"/>
          <w:lang w:val="en-US"/>
        </w:rPr>
        <w:t>s</w:t>
      </w:r>
      <w:r w:rsidRPr="00AE7B34">
        <w:rPr>
          <w:rFonts w:ascii="Times New Roman" w:hAnsi="Times New Roman" w:cs="Times New Roman"/>
          <w:iCs/>
          <w:color w:val="000000" w:themeColor="text1"/>
          <w:sz w:val="22"/>
          <w:szCs w:val="22"/>
          <w:lang w:val="en-US"/>
        </w:rPr>
        <w:t xml:space="preserve"> and practitioners should </w:t>
      </w:r>
      <w:r w:rsidR="002B6D73" w:rsidRPr="00AE7B34">
        <w:rPr>
          <w:rFonts w:ascii="Times New Roman" w:hAnsi="Times New Roman" w:cs="Times New Roman"/>
          <w:iCs/>
          <w:color w:val="000000" w:themeColor="text1"/>
          <w:sz w:val="22"/>
          <w:szCs w:val="22"/>
          <w:lang w:val="en-US"/>
        </w:rPr>
        <w:t xml:space="preserve">elaborate </w:t>
      </w:r>
      <w:r w:rsidRPr="00AE7B34">
        <w:rPr>
          <w:rFonts w:ascii="Times New Roman" w:hAnsi="Times New Roman" w:cs="Times New Roman"/>
          <w:iCs/>
          <w:color w:val="000000" w:themeColor="text1"/>
          <w:sz w:val="22"/>
          <w:szCs w:val="22"/>
          <w:lang w:val="en-US"/>
        </w:rPr>
        <w:t xml:space="preserve">on the integral role of IT, and how new digital transformation tools such as </w:t>
      </w:r>
      <w:r w:rsidRPr="00AE7B34">
        <w:rPr>
          <w:rFonts w:ascii="Times New Roman" w:hAnsi="Times New Roman" w:cs="Times New Roman"/>
          <w:color w:val="000000" w:themeColor="text1"/>
          <w:sz w:val="22"/>
          <w:szCs w:val="22"/>
          <w:lang w:val="en-US"/>
        </w:rPr>
        <w:t xml:space="preserve">robots, IoT sensors, mobile applications could optimize the customer </w:t>
      </w:r>
      <w:r w:rsidR="002B6D73" w:rsidRPr="00AE7B34">
        <w:rPr>
          <w:rFonts w:ascii="Times New Roman" w:hAnsi="Times New Roman" w:cs="Times New Roman"/>
          <w:color w:val="000000" w:themeColor="text1"/>
          <w:sz w:val="22"/>
          <w:szCs w:val="22"/>
          <w:lang w:val="en-US"/>
        </w:rPr>
        <w:t xml:space="preserve">service </w:t>
      </w:r>
      <w:r w:rsidRPr="00AE7B34">
        <w:rPr>
          <w:rFonts w:ascii="Times New Roman" w:hAnsi="Times New Roman" w:cs="Times New Roman"/>
          <w:color w:val="000000" w:themeColor="text1"/>
          <w:sz w:val="22"/>
          <w:szCs w:val="22"/>
          <w:lang w:val="en-US"/>
        </w:rPr>
        <w:t xml:space="preserve">and boost visitor and customer engagement by delivering </w:t>
      </w:r>
      <w:r w:rsidR="00446719" w:rsidRPr="00AE7B34">
        <w:rPr>
          <w:rFonts w:ascii="Times New Roman" w:hAnsi="Times New Roman" w:cs="Times New Roman"/>
          <w:color w:val="000000" w:themeColor="text1"/>
          <w:sz w:val="22"/>
          <w:szCs w:val="22"/>
          <w:lang w:val="en-US"/>
        </w:rPr>
        <w:t>a</w:t>
      </w:r>
      <w:r w:rsidRPr="00AE7B34">
        <w:rPr>
          <w:rFonts w:ascii="Times New Roman" w:hAnsi="Times New Roman" w:cs="Times New Roman"/>
          <w:color w:val="000000" w:themeColor="text1"/>
          <w:sz w:val="22"/>
          <w:szCs w:val="22"/>
          <w:lang w:val="en-US"/>
        </w:rPr>
        <w:t xml:space="preserve"> unique memorable customer experience</w:t>
      </w:r>
      <w:r w:rsidR="00446719" w:rsidRPr="00AE7B34">
        <w:rPr>
          <w:rFonts w:ascii="Times New Roman" w:hAnsi="Times New Roman" w:cs="Times New Roman"/>
          <w:color w:val="000000" w:themeColor="text1"/>
          <w:sz w:val="22"/>
          <w:szCs w:val="22"/>
          <w:lang w:val="en-US"/>
        </w:rPr>
        <w:t>.</w:t>
      </w:r>
    </w:p>
    <w:p w14:paraId="57D40F17" w14:textId="0BF20F38" w:rsidR="00B803E8" w:rsidRPr="00AE7B34" w:rsidRDefault="00B803E8"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iCs/>
          <w:color w:val="000000" w:themeColor="text1"/>
          <w:sz w:val="22"/>
          <w:szCs w:val="22"/>
          <w:lang w:val="en-US"/>
        </w:rPr>
        <w:t>Particularly,</w:t>
      </w:r>
      <w:r w:rsidRPr="00AE7B34">
        <w:rPr>
          <w:rFonts w:ascii="Times New Roman" w:hAnsi="Times New Roman" w:cs="Times New Roman"/>
          <w:color w:val="000000" w:themeColor="text1"/>
          <w:sz w:val="22"/>
          <w:szCs w:val="22"/>
          <w:lang w:val="en-US"/>
        </w:rPr>
        <w:t xml:space="preserve"> </w:t>
      </w:r>
      <w:r w:rsidR="00446719" w:rsidRPr="00AE7B34">
        <w:rPr>
          <w:rFonts w:ascii="Times New Roman" w:hAnsi="Times New Roman" w:cs="Times New Roman"/>
          <w:color w:val="000000" w:themeColor="text1"/>
          <w:sz w:val="22"/>
          <w:szCs w:val="22"/>
          <w:lang w:val="en-US"/>
        </w:rPr>
        <w:t>to</w:t>
      </w:r>
      <w:r w:rsidR="00FB5591"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{"citationItems":[{"id":"ITEM-1","itemData":{"DOI":"10.1108/TR-06-2019-0258","ISSN":"17598451","abstract":"Purpose: Technology revolutionises the tourism industry and determines the strategy and competitiveness of tourism organisations and destinations. This paper aims to explore the transformational and disruptive nature of technology for tourism. Design/methodology/approach: This paper is based on systematic research. Findings: Technology innovations bring the entire range of stakeholders together in tourism service ecosystems. Technology-empowered tourism experiences increasingly support travellers to co-create value throughout all stages of travel. Ambient Intelligence (AmI) Tourism (2020-future) is driven by a range of disruptive technologies. Inevitably smart environments transform industry structures, processes and practices, having disruptive impacts for service innovation, strategy, management, marketing and competitiveness of everybody involved. Originality/value: The paper synthesises developments in technology for tourism and proposes a future perspective.","author":[{"dropping-particle":"","family":"Buhalis","given":"Dimitrios","non-dropping-particle":"","parse-names":false,"suffix":""}],"container-title":"Tourism Review","id":"ITEM-1","issue":"1","issued":{"date-parts":[["2020"]]},"note":"gia technology to 2 section se paper mou","page":"267-272","title":"Technology in tourism-from information communication technologies to eTourism and smart tourism towards ambient intelligence tourism: a perspective article","type":"article-journal","volume":"75"},"uris":["http://www.mendeley.com/documents/?uuid=26a0ac94-80ce-4026-8e55-634b91632718"]}],"mendeley":{"formattedCitation":"(Buhalis, 2020)","manualFormatting":"Buhalis (2020)","plainTextFormattedCitation":"(Buhalis, 2020)","previouslyFormattedCitation":"(Buhalis,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Buhalis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the integration of hardware, sensors, data storage, big data process and analytics within the promising Ambient</w:t>
      </w:r>
      <w:r w:rsidR="00446719" w:rsidRPr="00AE7B34">
        <w:rPr>
          <w:rFonts w:ascii="Times New Roman" w:hAnsi="Times New Roman" w:cs="Times New Roman"/>
          <w:color w:val="000000" w:themeColor="text1"/>
          <w:sz w:val="22"/>
          <w:szCs w:val="22"/>
          <w:lang w:val="en-US"/>
        </w:rPr>
        <w:t xml:space="preserve"> Intelligence</w:t>
      </w:r>
      <w:r w:rsidRPr="00AE7B34">
        <w:rPr>
          <w:rFonts w:ascii="Times New Roman" w:hAnsi="Times New Roman" w:cs="Times New Roman"/>
          <w:color w:val="000000" w:themeColor="text1"/>
          <w:sz w:val="22"/>
          <w:szCs w:val="22"/>
          <w:lang w:val="en-US"/>
        </w:rPr>
        <w:t xml:space="preserve"> delivers a new holistic experience. Interconnectivity and interoperability of </w:t>
      </w:r>
      <w:r w:rsidR="00446719" w:rsidRPr="00AE7B34">
        <w:rPr>
          <w:rFonts w:ascii="Times New Roman" w:hAnsi="Times New Roman" w:cs="Times New Roman"/>
          <w:color w:val="000000" w:themeColor="text1"/>
          <w:sz w:val="22"/>
          <w:szCs w:val="22"/>
          <w:lang w:val="en-US"/>
        </w:rPr>
        <w:t xml:space="preserve">smart </w:t>
      </w:r>
      <w:r w:rsidRPr="00AE7B34">
        <w:rPr>
          <w:rFonts w:ascii="Times New Roman" w:hAnsi="Times New Roman" w:cs="Times New Roman"/>
          <w:color w:val="000000" w:themeColor="text1"/>
          <w:sz w:val="22"/>
          <w:szCs w:val="22"/>
          <w:lang w:val="en-US"/>
        </w:rPr>
        <w:t>technologies</w:t>
      </w:r>
      <w:r w:rsidR="00F64216" w:rsidRPr="00AE7B34">
        <w:rPr>
          <w:rFonts w:ascii="Times New Roman" w:hAnsi="Times New Roman" w:cs="Times New Roman"/>
          <w:color w:val="000000" w:themeColor="text1"/>
          <w:sz w:val="22"/>
          <w:szCs w:val="22"/>
          <w:lang w:val="en-US"/>
        </w:rPr>
        <w:t xml:space="preserve"> that </w:t>
      </w:r>
      <w:r w:rsidRPr="00AE7B34">
        <w:rPr>
          <w:rFonts w:ascii="Times New Roman" w:hAnsi="Times New Roman" w:cs="Times New Roman"/>
          <w:color w:val="000000" w:themeColor="text1"/>
          <w:sz w:val="22"/>
          <w:szCs w:val="22"/>
          <w:lang w:val="en-US"/>
        </w:rPr>
        <w:t>provid</w:t>
      </w:r>
      <w:r w:rsidR="00F64216" w:rsidRPr="00AE7B34">
        <w:rPr>
          <w:rFonts w:ascii="Times New Roman" w:hAnsi="Times New Roman" w:cs="Times New Roman"/>
          <w:color w:val="000000" w:themeColor="text1"/>
          <w:sz w:val="22"/>
          <w:szCs w:val="22"/>
          <w:lang w:val="en-US"/>
        </w:rPr>
        <w:t>e</w:t>
      </w:r>
      <w:r w:rsidRPr="00AE7B34">
        <w:rPr>
          <w:rFonts w:ascii="Times New Roman" w:hAnsi="Times New Roman" w:cs="Times New Roman"/>
          <w:color w:val="000000" w:themeColor="text1"/>
          <w:sz w:val="22"/>
          <w:szCs w:val="22"/>
          <w:lang w:val="en-US"/>
        </w:rPr>
        <w:t xml:space="preserve"> a direct, </w:t>
      </w:r>
      <w:r w:rsidR="00A018A5" w:rsidRPr="00AE7B34">
        <w:rPr>
          <w:rFonts w:ascii="Times New Roman" w:hAnsi="Times New Roman" w:cs="Times New Roman"/>
          <w:color w:val="000000" w:themeColor="text1"/>
          <w:sz w:val="22"/>
          <w:szCs w:val="22"/>
          <w:lang w:val="en-US"/>
        </w:rPr>
        <w:t>dynamic,</w:t>
      </w:r>
      <w:r w:rsidRPr="00AE7B34">
        <w:rPr>
          <w:rFonts w:ascii="Times New Roman" w:hAnsi="Times New Roman" w:cs="Times New Roman"/>
          <w:color w:val="000000" w:themeColor="text1"/>
          <w:sz w:val="22"/>
          <w:szCs w:val="22"/>
          <w:lang w:val="en-US"/>
        </w:rPr>
        <w:t xml:space="preserve"> and ongoing personalization by synchronizing personal data and visitors’ behavioral patterns is just a preview of the new facet of ICT, Future Internet harnessed by Internet of Things, Smart Tourism Applications and Big Data. </w:t>
      </w:r>
      <w:r w:rsidR="00762B18" w:rsidRPr="00AE7B34">
        <w:rPr>
          <w:rFonts w:ascii="Times New Roman" w:hAnsi="Times New Roman" w:cs="Times New Roman"/>
          <w:color w:val="000000" w:themeColor="text1"/>
          <w:sz w:val="22"/>
          <w:szCs w:val="22"/>
          <w:lang w:val="en-US"/>
        </w:rPr>
        <w:t>BD</w:t>
      </w:r>
      <w:r w:rsidR="0065732A" w:rsidRPr="00AE7B34">
        <w:rPr>
          <w:rFonts w:ascii="Times New Roman" w:hAnsi="Times New Roman" w:cs="Times New Roman"/>
          <w:color w:val="000000" w:themeColor="text1"/>
          <w:sz w:val="22"/>
          <w:szCs w:val="22"/>
          <w:lang w:val="en-US"/>
        </w:rPr>
        <w:t>,</w:t>
      </w:r>
      <w:r w:rsidR="00762B18" w:rsidRPr="00AE7B34">
        <w:rPr>
          <w:rFonts w:ascii="Times New Roman" w:hAnsi="Times New Roman" w:cs="Times New Roman"/>
          <w:color w:val="000000" w:themeColor="text1"/>
          <w:sz w:val="22"/>
          <w:szCs w:val="22"/>
          <w:lang w:val="en-US"/>
        </w:rPr>
        <w:t xml:space="preserve"> intranet reviews and eWOM </w:t>
      </w:r>
      <w:r w:rsidRPr="00AE7B34">
        <w:rPr>
          <w:rFonts w:ascii="Times New Roman" w:hAnsi="Times New Roman" w:cs="Times New Roman"/>
          <w:color w:val="000000" w:themeColor="text1"/>
          <w:sz w:val="22"/>
          <w:szCs w:val="22"/>
          <w:lang w:val="en-US"/>
        </w:rPr>
        <w:t>Metadata, Web</w:t>
      </w:r>
      <w:r w:rsidR="00FF1129" w:rsidRPr="00AE7B34">
        <w:rPr>
          <w:rFonts w:ascii="Times New Roman" w:hAnsi="Times New Roman" w:cs="Times New Roman"/>
          <w:color w:val="000000" w:themeColor="text1"/>
          <w:sz w:val="22"/>
          <w:szCs w:val="22"/>
          <w:lang w:val="en-US"/>
        </w:rPr>
        <w:t xml:space="preserve"> and</w:t>
      </w:r>
      <w:r w:rsidR="00457541"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text analytics, data mining </w:t>
      </w:r>
      <w:r w:rsidR="00FF1129" w:rsidRPr="00AE7B34">
        <w:rPr>
          <w:rFonts w:ascii="Times New Roman" w:hAnsi="Times New Roman" w:cs="Times New Roman"/>
          <w:color w:val="000000" w:themeColor="text1"/>
          <w:sz w:val="22"/>
          <w:szCs w:val="22"/>
          <w:lang w:val="en-US"/>
        </w:rPr>
        <w:t>and</w:t>
      </w:r>
      <w:r w:rsidRPr="00AE7B34">
        <w:rPr>
          <w:rFonts w:ascii="Times New Roman" w:hAnsi="Times New Roman" w:cs="Times New Roman"/>
          <w:color w:val="000000" w:themeColor="text1"/>
          <w:sz w:val="22"/>
          <w:szCs w:val="22"/>
          <w:lang w:val="en-US"/>
        </w:rPr>
        <w:t xml:space="preserve"> information retrieval based on the online consumers activity may </w:t>
      </w:r>
      <w:r w:rsidR="00762B18" w:rsidRPr="00AE7B34">
        <w:rPr>
          <w:rFonts w:ascii="Times New Roman" w:hAnsi="Times New Roman" w:cs="Times New Roman"/>
          <w:color w:val="000000" w:themeColor="text1"/>
          <w:sz w:val="22"/>
          <w:szCs w:val="22"/>
          <w:lang w:val="en-US"/>
        </w:rPr>
        <w:t xml:space="preserve">optimize </w:t>
      </w:r>
      <w:r w:rsidRPr="00AE7B34">
        <w:rPr>
          <w:rFonts w:ascii="Times New Roman" w:hAnsi="Times New Roman" w:cs="Times New Roman"/>
          <w:color w:val="000000" w:themeColor="text1"/>
          <w:sz w:val="22"/>
          <w:szCs w:val="22"/>
          <w:lang w:val="en-US"/>
        </w:rPr>
        <w:t>the targeting process by tracking better the tourist behavioral patterns</w:t>
      </w:r>
      <w:r w:rsidR="00FF1129" w:rsidRPr="00AE7B34">
        <w:rPr>
          <w:rFonts w:ascii="Times New Roman" w:hAnsi="Times New Roman" w:cs="Times New Roman"/>
          <w:color w:val="000000" w:themeColor="text1"/>
          <w:sz w:val="22"/>
          <w:szCs w:val="22"/>
          <w:lang w:val="en-US"/>
        </w:rPr>
        <w:t xml:space="preserve"> </w:t>
      </w:r>
      <w:r w:rsidR="00FF1129" w:rsidRPr="00AE7B34">
        <w:rPr>
          <w:rFonts w:ascii="Times New Roman" w:hAnsi="Times New Roman" w:cs="Times New Roman"/>
          <w:color w:val="000000" w:themeColor="text1"/>
          <w:sz w:val="22"/>
          <w:szCs w:val="22"/>
          <w:lang w:val="en-US"/>
        </w:rPr>
        <w:fldChar w:fldCharType="begin" w:fldLock="1"/>
      </w:r>
      <w:r w:rsidR="00FF1129" w:rsidRPr="00AE7B34">
        <w:rPr>
          <w:rFonts w:ascii="Times New Roman" w:hAnsi="Times New Roman" w:cs="Times New Roman"/>
          <w:color w:val="000000" w:themeColor="text1"/>
          <w:sz w:val="22"/>
          <w:szCs w:val="22"/>
          <w:lang w:val="en-US"/>
        </w:rPr>
        <w:instrText>ADDIN CSL_CITATION {"citationItems":[{"id":"ITEM-1","itemData":{"DOI":"10.1108/IJCHM-07-2020-0644","ISBN":"0720200644","ISSN":"09596119","abstract":"Purpose: Dynamic, volatile, and time-sensitive industries, such as tourism, travel and hospitality require agility and market intelligence to create value and achieve competitive advantage. The aim of the current study is to examine the influence of big data (BD) on the performance of service organizations and to probe for a deeper understanding of implementing BD, based on available technologies. Design/methodology/approach: An ethnographic study was conducted following an abductive approach. A primary qualitative research scheme was used with 35 information technology and database professionals participating in five online focus groups of seven participants each. Analytical themes were developed simultaneously with the literature being revisited throughout the study to ultimately create sets of common themes and dimensions. Findings: BD can help organizations build agility, especially within dynamic industries, to better predict customer behavioral patterns and make tailor-made propositions from the BD. An integrated BD-specific framework is proposed to address value according to the dimensions of need, value, time and utility. Research limitations/implications: Little research exists on the key drivers of BD use for dynamic, real-time and agile businesses. This research adds to the developing literature on BD applications to support organizational decision-making and business performance in the tourism industry. Originality/value: This study responds to scholars’ recent calls for more empirical research with contextual understanding of the use of BD to add value in marketing intelligence within business ecosystems. It delineates factors contributing to BD value creation and explores the impacts on the respective service encounters.","author":[{"dropping-particle":"","family":"Stylos","given":"Nikolaos","non-dropping-particle":"","parse-names":false,"suffix":""},{"dropping-particle":"","family":"Zwiegelaar","given":"Jeremy","non-dropping-particle":"","parse-names":false,"suffix":""},{"dropping-particle":"","family":"Buhalis","given":"Dimitrios","non-dropping-particle":"","parse-names":false,"suffix":""}],"container-title":"International Journal of Contemporary Hospitality Management","id":"ITEM-1","issue":"3","issued":{"date-parts":[["2021"]]},"note":"na kano allagi se onoma sto paper - done","page":"1015-1036","title":"Big data empowered agility for dynamic, volatile, and time-sensitive service industries: the case of tourism sector","type":"article-journal","volume":"33"},"uris":["http://www.mendeley.com/documents/?uuid=565f83e2-117d-4f8a-95ea-07556ac2e904"]}],"mendeley":{"formattedCitation":"(Stylos, Zwiegelaar and Buhalis, 2021)","manualFormatting":"(Stylos, Zwiegelaar and Buhalis, 2021;","plainTextFormattedCitation":"(Stylos, Zwiegelaar and Buhalis, 2021)","previouslyFormattedCitation":"(Stylos, Zwiegelaar and Buhalis, 2021)"},"properties":{"noteIndex":0},"schema":"https://github.com/citation-style-language/schema/raw/master/csl-citation.json"}</w:instrText>
      </w:r>
      <w:r w:rsidR="00FF1129" w:rsidRPr="00AE7B34">
        <w:rPr>
          <w:rFonts w:ascii="Times New Roman" w:hAnsi="Times New Roman" w:cs="Times New Roman"/>
          <w:color w:val="000000" w:themeColor="text1"/>
          <w:sz w:val="22"/>
          <w:szCs w:val="22"/>
          <w:lang w:val="en-US"/>
        </w:rPr>
        <w:fldChar w:fldCharType="separate"/>
      </w:r>
      <w:r w:rsidR="00FF1129" w:rsidRPr="00AE7B34">
        <w:rPr>
          <w:rFonts w:ascii="Times New Roman" w:hAnsi="Times New Roman" w:cs="Times New Roman"/>
          <w:noProof/>
          <w:color w:val="000000" w:themeColor="text1"/>
          <w:sz w:val="22"/>
          <w:szCs w:val="22"/>
          <w:lang w:val="en-US"/>
        </w:rPr>
        <w:t>(Stylos, Zwiegelaar and Buhalis, 2021</w:t>
      </w:r>
      <w:r w:rsidR="00FF1129" w:rsidRPr="00AE7B34">
        <w:rPr>
          <w:rFonts w:ascii="Times New Roman" w:hAnsi="Times New Roman" w:cs="Times New Roman"/>
          <w:color w:val="000000" w:themeColor="text1"/>
          <w:sz w:val="22"/>
          <w:szCs w:val="22"/>
          <w:lang w:val="en-US"/>
        </w:rPr>
        <w:fldChar w:fldCharType="end"/>
      </w:r>
      <w:r w:rsidR="00C1560E"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p>
    <w:p w14:paraId="7D53C110" w14:textId="0F37FEB6" w:rsidR="00B803E8" w:rsidRPr="00AE7B34" w:rsidRDefault="00B803E8" w:rsidP="004E2CEB">
      <w:pPr>
        <w:ind w:firstLine="709"/>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Indeed, </w:t>
      </w:r>
      <w:r w:rsidRPr="00AE7B34">
        <w:rPr>
          <w:rFonts w:ascii="Times New Roman" w:hAnsi="Times New Roman" w:cs="Times New Roman"/>
          <w:iCs/>
          <w:color w:val="000000" w:themeColor="text1"/>
          <w:sz w:val="22"/>
          <w:szCs w:val="22"/>
          <w:lang w:val="en-US"/>
        </w:rPr>
        <w:t>the</w:t>
      </w:r>
      <w:r w:rsidRPr="00AE7B34">
        <w:rPr>
          <w:rFonts w:ascii="Times New Roman" w:hAnsi="Times New Roman" w:cs="Times New Roman"/>
          <w:color w:val="000000" w:themeColor="text1"/>
          <w:sz w:val="22"/>
          <w:szCs w:val="22"/>
          <w:lang w:val="en-US"/>
        </w:rPr>
        <w:t xml:space="preserve"> widespread adoption of ICT, Web 2.0</w:t>
      </w:r>
      <w:r w:rsidR="00762B18"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social media</w:t>
      </w:r>
      <w:r w:rsidR="00762B18" w:rsidRPr="00AE7B34">
        <w:rPr>
          <w:rFonts w:ascii="Times New Roman" w:hAnsi="Times New Roman" w:cs="Times New Roman"/>
          <w:color w:val="000000" w:themeColor="text1"/>
          <w:sz w:val="22"/>
          <w:szCs w:val="22"/>
          <w:lang w:val="en-US"/>
        </w:rPr>
        <w:t xml:space="preserve"> (henceforth SM)</w:t>
      </w:r>
      <w:r w:rsidRPr="00AE7B34">
        <w:rPr>
          <w:rFonts w:ascii="Times New Roman" w:hAnsi="Times New Roman" w:cs="Times New Roman"/>
          <w:color w:val="000000" w:themeColor="text1"/>
          <w:sz w:val="22"/>
          <w:szCs w:val="22"/>
          <w:lang w:val="en-US"/>
        </w:rPr>
        <w:t xml:space="preserve">, along with the emergence of smart tourism technologies was the catalyst for unveiling the new museums experience followed by the digital transformation in tourism. Similarly, in cultural tourism </w:t>
      </w:r>
      <w:r w:rsidR="00FB5591" w:rsidRPr="00AE7B34">
        <w:rPr>
          <w:rFonts w:ascii="Times New Roman" w:hAnsi="Times New Roman" w:cs="Times New Roman"/>
          <w:color w:val="000000" w:themeColor="text1"/>
          <w:sz w:val="22"/>
          <w:szCs w:val="22"/>
          <w:lang w:val="en-US"/>
        </w:rPr>
        <w:t xml:space="preserve">context, </w:t>
      </w:r>
      <w:r w:rsidRPr="00AE7B34">
        <w:rPr>
          <w:rFonts w:ascii="Times New Roman" w:hAnsi="Times New Roman" w:cs="Times New Roman"/>
          <w:color w:val="000000" w:themeColor="text1"/>
          <w:sz w:val="22"/>
          <w:szCs w:val="22"/>
          <w:lang w:val="en-US"/>
        </w:rPr>
        <w:t xml:space="preserve">such as museum or festivals, digital transformation harnessing either ICT, Web 2.0, </w:t>
      </w:r>
      <w:r w:rsidR="00687ACD" w:rsidRPr="00AE7B34">
        <w:rPr>
          <w:rFonts w:ascii="Times New Roman" w:hAnsi="Times New Roman" w:cs="Times New Roman"/>
          <w:color w:val="000000" w:themeColor="text1"/>
          <w:sz w:val="22"/>
          <w:szCs w:val="22"/>
          <w:lang w:val="en-US"/>
        </w:rPr>
        <w:t>social media</w:t>
      </w:r>
      <w:r w:rsidRPr="00AE7B34">
        <w:rPr>
          <w:rFonts w:ascii="Times New Roman" w:hAnsi="Times New Roman" w:cs="Times New Roman"/>
          <w:color w:val="000000" w:themeColor="text1"/>
          <w:sz w:val="22"/>
          <w:szCs w:val="22"/>
          <w:lang w:val="en-US"/>
        </w:rPr>
        <w:t>, Big Data has reshaped the relationship between museums and visitors switching from business- to- consumer to consumer- to- consumer</w:t>
      </w:r>
      <w:r w:rsidR="00762B18"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or human – to human communication (Belenioti, 2020; </w:t>
      </w:r>
      <w:proofErr w:type="spellStart"/>
      <w:r w:rsidRPr="00AE7B34">
        <w:rPr>
          <w:rFonts w:ascii="Times New Roman" w:hAnsi="Times New Roman" w:cs="Times New Roman"/>
          <w:color w:val="000000" w:themeColor="text1"/>
          <w:sz w:val="22"/>
          <w:szCs w:val="22"/>
          <w:lang w:val="en-US"/>
        </w:rPr>
        <w:t>Buhalis</w:t>
      </w:r>
      <w:proofErr w:type="spellEnd"/>
      <w:r w:rsidRPr="00AE7B34">
        <w:rPr>
          <w:rFonts w:ascii="Times New Roman" w:hAnsi="Times New Roman" w:cs="Times New Roman"/>
          <w:color w:val="000000" w:themeColor="text1"/>
          <w:sz w:val="22"/>
          <w:szCs w:val="22"/>
          <w:lang w:val="en-US"/>
        </w:rPr>
        <w:t>, 2020).</w:t>
      </w:r>
    </w:p>
    <w:p w14:paraId="11228F9B" w14:textId="40696707" w:rsidR="00B803E8" w:rsidRPr="00AE7B34" w:rsidRDefault="00762B18" w:rsidP="00F64216">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T</w:t>
      </w:r>
      <w:r w:rsidR="00B803E8" w:rsidRPr="00AE7B34">
        <w:rPr>
          <w:rFonts w:ascii="Times New Roman" w:hAnsi="Times New Roman" w:cs="Times New Roman"/>
          <w:color w:val="000000" w:themeColor="text1"/>
          <w:sz w:val="22"/>
          <w:szCs w:val="22"/>
          <w:lang w:val="en-US"/>
        </w:rPr>
        <w:t xml:space="preserve">he outbreak of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has massively embraced this new experience</w:t>
      </w:r>
      <w:r w:rsidR="00B803E8" w:rsidRPr="00AE7B34">
        <w:rPr>
          <w:rFonts w:ascii="Times New Roman" w:hAnsi="Times New Roman" w:cs="Times New Roman"/>
          <w:color w:val="000000" w:themeColor="text1"/>
          <w:sz w:val="22"/>
          <w:szCs w:val="22"/>
          <w:lang w:val="en-US"/>
        </w:rPr>
        <w:t xml:space="preserve">. </w:t>
      </w:r>
      <w:proofErr w:type="spellStart"/>
      <w:r w:rsidR="00B803E8" w:rsidRPr="00AE7B34">
        <w:rPr>
          <w:rFonts w:ascii="Times New Roman" w:hAnsi="Times New Roman" w:cs="Times New Roman"/>
          <w:color w:val="000000" w:themeColor="text1"/>
          <w:sz w:val="22"/>
          <w:szCs w:val="22"/>
          <w:lang w:val="en-US"/>
        </w:rPr>
        <w:t>Gretzel</w:t>
      </w:r>
      <w:proofErr w:type="spellEnd"/>
      <w:r w:rsidR="00FB5591"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i/>
          <w:color w:val="000000" w:themeColor="text1"/>
          <w:sz w:val="22"/>
          <w:szCs w:val="22"/>
          <w:lang w:val="en-US"/>
        </w:rPr>
        <w:t>et al.</w:t>
      </w:r>
      <w:r w:rsidR="00B803E8" w:rsidRPr="00AE7B34">
        <w:rPr>
          <w:rFonts w:ascii="Times New Roman" w:hAnsi="Times New Roman" w:cs="Times New Roman"/>
          <w:color w:val="000000" w:themeColor="text1"/>
          <w:sz w:val="22"/>
          <w:szCs w:val="22"/>
          <w:lang w:val="en-US"/>
        </w:rPr>
        <w:t xml:space="preserve"> (2020) support that </w:t>
      </w:r>
      <w:r w:rsidR="00687ACD" w:rsidRPr="00AE7B34">
        <w:rPr>
          <w:rFonts w:ascii="Times New Roman" w:hAnsi="Times New Roman" w:cs="Times New Roman"/>
          <w:color w:val="000000" w:themeColor="text1"/>
          <w:sz w:val="22"/>
          <w:szCs w:val="22"/>
          <w:lang w:val="en-US"/>
        </w:rPr>
        <w:t>technology</w:t>
      </w:r>
      <w:r w:rsidR="00B803E8" w:rsidRPr="00AE7B34">
        <w:rPr>
          <w:rFonts w:ascii="Times New Roman" w:hAnsi="Times New Roman" w:cs="Times New Roman"/>
          <w:color w:val="000000" w:themeColor="text1"/>
          <w:sz w:val="22"/>
          <w:szCs w:val="22"/>
          <w:lang w:val="en-US"/>
        </w:rPr>
        <w:t xml:space="preserve"> served as catalyst </w:t>
      </w:r>
      <w:r w:rsidR="00F64216" w:rsidRPr="00AE7B34">
        <w:rPr>
          <w:rFonts w:ascii="Times New Roman" w:hAnsi="Times New Roman" w:cs="Times New Roman"/>
          <w:color w:val="000000" w:themeColor="text1"/>
          <w:sz w:val="22"/>
          <w:szCs w:val="22"/>
          <w:lang w:val="en-US"/>
        </w:rPr>
        <w:t xml:space="preserve">for transformation </w:t>
      </w:r>
      <w:r w:rsidRPr="00AE7B34">
        <w:rPr>
          <w:rFonts w:ascii="Times New Roman" w:hAnsi="Times New Roman" w:cs="Times New Roman"/>
          <w:color w:val="000000" w:themeColor="text1"/>
          <w:sz w:val="22"/>
          <w:szCs w:val="22"/>
          <w:lang w:val="en-US"/>
        </w:rPr>
        <w:t xml:space="preserve">including </w:t>
      </w:r>
      <w:r w:rsidR="00B803E8" w:rsidRPr="00AE7B34">
        <w:rPr>
          <w:rFonts w:ascii="Times New Roman" w:hAnsi="Times New Roman" w:cs="Times New Roman"/>
          <w:color w:val="000000" w:themeColor="text1"/>
          <w:sz w:val="22"/>
          <w:szCs w:val="22"/>
          <w:lang w:val="en-US"/>
        </w:rPr>
        <w:t xml:space="preserve">tourism industry. As </w:t>
      </w:r>
      <w:proofErr w:type="spellStart"/>
      <w:r w:rsidR="00B803E8" w:rsidRPr="00AE7B34">
        <w:rPr>
          <w:rFonts w:ascii="Times New Roman" w:hAnsi="Times New Roman" w:cs="Times New Roman"/>
          <w:color w:val="000000" w:themeColor="text1"/>
          <w:sz w:val="22"/>
          <w:szCs w:val="22"/>
          <w:lang w:val="en-US"/>
        </w:rPr>
        <w:t>Gretzel</w:t>
      </w:r>
      <w:proofErr w:type="spellEnd"/>
      <w:r w:rsidR="00FB5591"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i/>
          <w:color w:val="000000" w:themeColor="text1"/>
          <w:sz w:val="22"/>
          <w:szCs w:val="22"/>
          <w:lang w:val="en-US"/>
        </w:rPr>
        <w:t>et al.</w:t>
      </w:r>
      <w:r w:rsidR="00B803E8" w:rsidRPr="00AE7B34">
        <w:rPr>
          <w:rFonts w:ascii="Times New Roman" w:hAnsi="Times New Roman" w:cs="Times New Roman"/>
          <w:color w:val="000000" w:themeColor="text1"/>
          <w:sz w:val="22"/>
          <w:szCs w:val="22"/>
          <w:lang w:val="en-US"/>
        </w:rPr>
        <w:t xml:space="preserve"> (2020) report, </w:t>
      </w:r>
      <w:r w:rsidR="007B33DC" w:rsidRPr="00AE7B34">
        <w:rPr>
          <w:rFonts w:ascii="Times New Roman" w:hAnsi="Times New Roman" w:cs="Times New Roman"/>
          <w:color w:val="000000" w:themeColor="text1"/>
          <w:sz w:val="22"/>
          <w:szCs w:val="22"/>
          <w:lang w:val="en-US"/>
        </w:rPr>
        <w:t>COVID-19</w:t>
      </w:r>
      <w:r w:rsidR="00B803E8" w:rsidRPr="00AE7B34">
        <w:rPr>
          <w:rFonts w:ascii="Times New Roman" w:hAnsi="Times New Roman" w:cs="Times New Roman"/>
          <w:color w:val="000000" w:themeColor="text1"/>
          <w:sz w:val="22"/>
          <w:szCs w:val="22"/>
          <w:lang w:val="en-US"/>
        </w:rPr>
        <w:t xml:space="preserve"> connected the dots of e</w:t>
      </w:r>
      <w:r w:rsidR="00687ACD"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t xml:space="preserve">tourism in many ways either via social media in which tourist escape from their </w:t>
      </w:r>
      <w:r w:rsidR="00687ACD" w:rsidRPr="00AE7B34">
        <w:rPr>
          <w:rFonts w:ascii="Times New Roman" w:hAnsi="Times New Roman" w:cs="Times New Roman"/>
          <w:color w:val="000000" w:themeColor="text1"/>
          <w:sz w:val="22"/>
          <w:szCs w:val="22"/>
          <w:lang w:val="en-US"/>
        </w:rPr>
        <w:t>quarantine</w:t>
      </w:r>
      <w:r w:rsidR="00B803E8" w:rsidRPr="00AE7B34">
        <w:rPr>
          <w:rFonts w:ascii="Times New Roman" w:hAnsi="Times New Roman" w:cs="Times New Roman"/>
          <w:color w:val="000000" w:themeColor="text1"/>
          <w:sz w:val="22"/>
          <w:szCs w:val="22"/>
          <w:lang w:val="en-US"/>
        </w:rPr>
        <w:t xml:space="preserve"> </w:t>
      </w:r>
      <w:r w:rsidR="00687ACD" w:rsidRPr="00AE7B34">
        <w:rPr>
          <w:rFonts w:ascii="Times New Roman" w:hAnsi="Times New Roman" w:cs="Times New Roman"/>
          <w:color w:val="000000" w:themeColor="text1"/>
          <w:sz w:val="22"/>
          <w:szCs w:val="22"/>
          <w:lang w:val="en-US"/>
        </w:rPr>
        <w:t>by spreading</w:t>
      </w:r>
      <w:r w:rsidR="00B803E8" w:rsidRPr="00AE7B34">
        <w:rPr>
          <w:rFonts w:ascii="Times New Roman" w:hAnsi="Times New Roman" w:cs="Times New Roman"/>
          <w:color w:val="000000" w:themeColor="text1"/>
          <w:sz w:val="22"/>
          <w:szCs w:val="22"/>
          <w:lang w:val="en-US"/>
        </w:rPr>
        <w:t xml:space="preserve"> eWOM posts about past </w:t>
      </w:r>
      <w:r w:rsidRPr="00AE7B34">
        <w:rPr>
          <w:rFonts w:ascii="Times New Roman" w:hAnsi="Times New Roman" w:cs="Times New Roman"/>
          <w:color w:val="000000" w:themeColor="text1"/>
          <w:sz w:val="22"/>
          <w:szCs w:val="22"/>
          <w:lang w:val="en-US"/>
        </w:rPr>
        <w:t>or future trips</w:t>
      </w:r>
      <w:r w:rsidR="00B803E8"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t xml:space="preserve">or via </w:t>
      </w:r>
      <w:r w:rsidR="00687ACD" w:rsidRPr="00AE7B34">
        <w:rPr>
          <w:rFonts w:ascii="Times New Roman" w:hAnsi="Times New Roman" w:cs="Times New Roman"/>
          <w:color w:val="000000" w:themeColor="text1"/>
          <w:sz w:val="22"/>
          <w:szCs w:val="22"/>
          <w:lang w:val="en-US"/>
        </w:rPr>
        <w:t>virtual</w:t>
      </w:r>
      <w:r w:rsidR="00B803E8" w:rsidRPr="00AE7B34">
        <w:rPr>
          <w:rFonts w:ascii="Times New Roman" w:hAnsi="Times New Roman" w:cs="Times New Roman"/>
          <w:color w:val="000000" w:themeColor="text1"/>
          <w:sz w:val="22"/>
          <w:szCs w:val="22"/>
          <w:lang w:val="en-US"/>
        </w:rPr>
        <w:t xml:space="preserve"> tours</w:t>
      </w:r>
      <w:r w:rsidRPr="00AE7B34">
        <w:rPr>
          <w:rFonts w:ascii="Times New Roman" w:hAnsi="Times New Roman" w:cs="Times New Roman"/>
          <w:color w:val="000000" w:themeColor="text1"/>
          <w:sz w:val="22"/>
          <w:szCs w:val="22"/>
          <w:lang w:val="en-US"/>
        </w:rPr>
        <w:t xml:space="preserve"> and online museums visits</w:t>
      </w:r>
      <w:r w:rsidR="001429CE" w:rsidRPr="00AE7B34">
        <w:rPr>
          <w:rFonts w:ascii="Times New Roman" w:hAnsi="Times New Roman" w:cs="Times New Roman"/>
          <w:color w:val="000000" w:themeColor="text1"/>
          <w:sz w:val="22"/>
          <w:szCs w:val="22"/>
          <w:lang w:val="en-US"/>
        </w:rPr>
        <w:t>.</w:t>
      </w:r>
      <w:r w:rsidR="00B803E8" w:rsidRPr="00AE7B34">
        <w:rPr>
          <w:rFonts w:ascii="Times New Roman" w:hAnsi="Times New Roman" w:cs="Times New Roman"/>
          <w:color w:val="000000" w:themeColor="text1"/>
          <w:sz w:val="22"/>
          <w:szCs w:val="22"/>
          <w:lang w:val="en-US"/>
        </w:rPr>
        <w:t xml:space="preserve"> </w:t>
      </w:r>
    </w:p>
    <w:p w14:paraId="75EBEC78" w14:textId="247321A7" w:rsidR="00B803E8" w:rsidRPr="00AE7B34" w:rsidRDefault="00B803E8" w:rsidP="004E2CEB">
      <w:pPr>
        <w:ind w:firstLine="709"/>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 xml:space="preserve">Simultaneously, the emergence of </w:t>
      </w:r>
      <w:r w:rsidR="007B33DC" w:rsidRPr="00AE7B34">
        <w:rPr>
          <w:rFonts w:ascii="Times New Roman" w:hAnsi="Times New Roman" w:cs="Times New Roman"/>
          <w:color w:val="000000" w:themeColor="text1"/>
          <w:sz w:val="22"/>
          <w:szCs w:val="22"/>
          <w:lang w:val="en-GB"/>
        </w:rPr>
        <w:t>COVID-19</w:t>
      </w:r>
      <w:r w:rsidRPr="00AE7B34">
        <w:rPr>
          <w:rFonts w:ascii="Times New Roman" w:hAnsi="Times New Roman" w:cs="Times New Roman"/>
          <w:color w:val="000000" w:themeColor="text1"/>
          <w:sz w:val="22"/>
          <w:szCs w:val="22"/>
          <w:lang w:val="en-GB"/>
        </w:rPr>
        <w:t xml:space="preserve"> led to a new literature. Thus far, recent attention has focused on the interdisciplinary aspects of COVID-19 from </w:t>
      </w:r>
      <w:r w:rsidR="00515A1B" w:rsidRPr="00AE7B34">
        <w:rPr>
          <w:rFonts w:ascii="Times New Roman" w:hAnsi="Times New Roman" w:cs="Times New Roman"/>
          <w:color w:val="000000" w:themeColor="text1"/>
          <w:sz w:val="22"/>
          <w:szCs w:val="22"/>
          <w:lang w:val="en-GB"/>
        </w:rPr>
        <w:t xml:space="preserve">healthcare guidelines </w:t>
      </w:r>
      <w:r w:rsidRPr="00AE7B34">
        <w:rPr>
          <w:rFonts w:ascii="Times New Roman" w:hAnsi="Times New Roman" w:cs="Times New Roman"/>
          <w:color w:val="000000" w:themeColor="text1"/>
          <w:sz w:val="22"/>
          <w:szCs w:val="22"/>
          <w:lang w:val="en-GB"/>
        </w:rPr>
        <w:t xml:space="preserve">to business -oriented streams, such as sustainability in tourism or related industries </w:t>
      </w:r>
      <w:r w:rsidR="00515A1B" w:rsidRPr="00AE7B34">
        <w:rPr>
          <w:rFonts w:ascii="Times New Roman" w:hAnsi="Times New Roman" w:cs="Times New Roman"/>
          <w:color w:val="000000" w:themeColor="text1"/>
          <w:sz w:val="22"/>
          <w:szCs w:val="22"/>
          <w:lang w:val="en-GB"/>
        </w:rPr>
        <w:t>in</w:t>
      </w:r>
      <w:r w:rsidRPr="00AE7B34">
        <w:rPr>
          <w:rFonts w:ascii="Times New Roman" w:hAnsi="Times New Roman" w:cs="Times New Roman"/>
          <w:color w:val="000000" w:themeColor="text1"/>
          <w:sz w:val="22"/>
          <w:szCs w:val="22"/>
          <w:lang w:val="en-GB"/>
        </w:rPr>
        <w:t xml:space="preserve"> cultural tourism, </w:t>
      </w:r>
      <w:r w:rsidR="00515A1B" w:rsidRPr="00AE7B34">
        <w:rPr>
          <w:rFonts w:ascii="Times New Roman" w:hAnsi="Times New Roman" w:cs="Times New Roman"/>
          <w:color w:val="000000" w:themeColor="text1"/>
          <w:sz w:val="22"/>
          <w:szCs w:val="22"/>
          <w:lang w:val="en-GB"/>
        </w:rPr>
        <w:t>like</w:t>
      </w:r>
      <w:r w:rsidRPr="00AE7B34">
        <w:rPr>
          <w:rFonts w:ascii="Times New Roman" w:hAnsi="Times New Roman" w:cs="Times New Roman"/>
          <w:color w:val="000000" w:themeColor="text1"/>
          <w:sz w:val="22"/>
          <w:szCs w:val="22"/>
          <w:lang w:val="en-GB"/>
        </w:rPr>
        <w:t xml:space="preserve"> museums or festivals. Although several studies have examined the reaction of museums, no study so far has reviewed the stream of digital resilience in museums and festivals. This paper attempts to remedy this problem by examining the following research questions </w:t>
      </w:r>
    </w:p>
    <w:p w14:paraId="76DBBC83" w14:textId="23FC412D" w:rsidR="00B803E8" w:rsidRPr="00AE7B34" w:rsidRDefault="00B803E8" w:rsidP="00B803E8">
      <w:pPr>
        <w:numPr>
          <w:ilvl w:val="0"/>
          <w:numId w:val="1"/>
        </w:numPr>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RQ1:</w:t>
      </w:r>
      <w:r w:rsidR="00CA3904" w:rsidRPr="00AE7B34">
        <w:rPr>
          <w:rFonts w:ascii="Times New Roman" w:hAnsi="Times New Roman" w:cs="Times New Roman"/>
          <w:color w:val="000000" w:themeColor="text1"/>
          <w:sz w:val="22"/>
          <w:szCs w:val="22"/>
          <w:lang w:val="en-GB"/>
        </w:rPr>
        <w:t xml:space="preserve"> Quo </w:t>
      </w:r>
      <w:proofErr w:type="spellStart"/>
      <w:r w:rsidR="00CA3904" w:rsidRPr="00AE7B34">
        <w:rPr>
          <w:rFonts w:ascii="Times New Roman" w:hAnsi="Times New Roman" w:cs="Times New Roman"/>
          <w:color w:val="000000" w:themeColor="text1"/>
          <w:sz w:val="22"/>
          <w:szCs w:val="22"/>
          <w:lang w:val="en-GB"/>
        </w:rPr>
        <w:t>vadis</w:t>
      </w:r>
      <w:proofErr w:type="spellEnd"/>
      <w:r w:rsidR="00CA3904" w:rsidRPr="00AE7B34">
        <w:rPr>
          <w:rFonts w:ascii="Times New Roman" w:hAnsi="Times New Roman" w:cs="Times New Roman"/>
          <w:color w:val="000000" w:themeColor="text1"/>
          <w:sz w:val="22"/>
          <w:szCs w:val="22"/>
          <w:lang w:val="en-GB"/>
        </w:rPr>
        <w:t xml:space="preserve"> both museums and festivals in the time of Corona?</w:t>
      </w:r>
    </w:p>
    <w:p w14:paraId="66DBF6C8" w14:textId="334BFC96" w:rsidR="00B803E8" w:rsidRPr="00AE7B34" w:rsidRDefault="00B803E8" w:rsidP="00B803E8">
      <w:pPr>
        <w:numPr>
          <w:ilvl w:val="0"/>
          <w:numId w:val="1"/>
        </w:numPr>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RQ2: How d</w:t>
      </w:r>
      <w:r w:rsidR="00515A1B" w:rsidRPr="00AE7B34">
        <w:rPr>
          <w:rFonts w:ascii="Times New Roman" w:hAnsi="Times New Roman" w:cs="Times New Roman"/>
          <w:color w:val="000000" w:themeColor="text1"/>
          <w:sz w:val="22"/>
          <w:szCs w:val="22"/>
          <w:lang w:val="en-GB"/>
        </w:rPr>
        <w:t>id</w:t>
      </w:r>
      <w:r w:rsidRPr="00AE7B34">
        <w:rPr>
          <w:rFonts w:ascii="Times New Roman" w:hAnsi="Times New Roman" w:cs="Times New Roman"/>
          <w:color w:val="000000" w:themeColor="text1"/>
          <w:sz w:val="22"/>
          <w:szCs w:val="22"/>
          <w:lang w:val="en-GB"/>
        </w:rPr>
        <w:t xml:space="preserve"> digital transformation tools serve as brand awareness and brand engagement tool for museums and festivals during lockdown? </w:t>
      </w:r>
    </w:p>
    <w:p w14:paraId="1F9746FA" w14:textId="2626E468" w:rsidR="00B803E8" w:rsidRPr="00AE7B34" w:rsidRDefault="00B803E8" w:rsidP="001429CE">
      <w:pPr>
        <w:numPr>
          <w:ilvl w:val="0"/>
          <w:numId w:val="1"/>
        </w:numPr>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 xml:space="preserve">RQ3: </w:t>
      </w:r>
      <w:r w:rsidR="00CA3904" w:rsidRPr="00AE7B34">
        <w:rPr>
          <w:rFonts w:ascii="Times New Roman" w:hAnsi="Times New Roman" w:cs="Times New Roman"/>
          <w:color w:val="000000" w:themeColor="text1"/>
          <w:sz w:val="22"/>
          <w:szCs w:val="22"/>
          <w:lang w:val="en-GB"/>
        </w:rPr>
        <w:t xml:space="preserve">What are emerging research streams on the interplay among museums/festivals, COVID-19, </w:t>
      </w:r>
      <w:r w:rsidR="00FB5591" w:rsidRPr="00AE7B34">
        <w:rPr>
          <w:rFonts w:ascii="Times New Roman" w:hAnsi="Times New Roman" w:cs="Times New Roman"/>
          <w:color w:val="000000" w:themeColor="text1"/>
          <w:sz w:val="22"/>
          <w:szCs w:val="22"/>
          <w:lang w:val="en-GB"/>
        </w:rPr>
        <w:t xml:space="preserve">and </w:t>
      </w:r>
      <w:r w:rsidR="00CA3904" w:rsidRPr="00AE7B34">
        <w:rPr>
          <w:rFonts w:ascii="Times New Roman" w:hAnsi="Times New Roman" w:cs="Times New Roman"/>
          <w:color w:val="000000" w:themeColor="text1"/>
          <w:sz w:val="22"/>
          <w:szCs w:val="22"/>
          <w:lang w:val="en-GB"/>
        </w:rPr>
        <w:t xml:space="preserve">social media </w:t>
      </w:r>
      <w:r w:rsidR="00FB5591" w:rsidRPr="00AE7B34">
        <w:rPr>
          <w:rFonts w:ascii="Times New Roman" w:hAnsi="Times New Roman" w:cs="Times New Roman"/>
          <w:color w:val="000000" w:themeColor="text1"/>
          <w:sz w:val="22"/>
          <w:szCs w:val="22"/>
          <w:lang w:val="en-GB"/>
        </w:rPr>
        <w:t>/</w:t>
      </w:r>
      <w:r w:rsidR="00CA3904" w:rsidRPr="00AE7B34">
        <w:rPr>
          <w:rFonts w:ascii="Times New Roman" w:hAnsi="Times New Roman" w:cs="Times New Roman"/>
          <w:color w:val="000000" w:themeColor="text1"/>
          <w:sz w:val="22"/>
          <w:szCs w:val="22"/>
          <w:lang w:val="en-GB"/>
        </w:rPr>
        <w:t>digital tools?</w:t>
      </w:r>
    </w:p>
    <w:p w14:paraId="098AA304" w14:textId="2916816C" w:rsidR="00B803E8" w:rsidRPr="00AE7B34" w:rsidRDefault="00B803E8" w:rsidP="004E2CEB">
      <w:pPr>
        <w:ind w:firstLine="709"/>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The remaining part of the paper proceeds as follows: The second</w:t>
      </w:r>
      <w:r w:rsidR="00515A1B" w:rsidRPr="00AE7B34">
        <w:rPr>
          <w:rFonts w:ascii="Times New Roman" w:hAnsi="Times New Roman" w:cs="Times New Roman"/>
          <w:color w:val="000000" w:themeColor="text1"/>
          <w:sz w:val="22"/>
          <w:szCs w:val="22"/>
          <w:lang w:val="en-US"/>
        </w:rPr>
        <w:t xml:space="preserve"> section</w:t>
      </w:r>
      <w:r w:rsidR="00FB5591" w:rsidRPr="00AE7B34">
        <w:rPr>
          <w:rFonts w:ascii="Times New Roman" w:hAnsi="Times New Roman" w:cs="Times New Roman"/>
          <w:color w:val="000000" w:themeColor="text1"/>
          <w:sz w:val="22"/>
          <w:szCs w:val="22"/>
          <w:lang w:val="en-US"/>
        </w:rPr>
        <w:t xml:space="preserve"> </w:t>
      </w:r>
      <w:r w:rsidR="00515A1B" w:rsidRPr="00AE7B34">
        <w:rPr>
          <w:rFonts w:ascii="Times New Roman" w:hAnsi="Times New Roman" w:cs="Times New Roman"/>
          <w:color w:val="000000" w:themeColor="text1"/>
          <w:sz w:val="22"/>
          <w:szCs w:val="22"/>
          <w:lang w:val="en-US"/>
        </w:rPr>
        <w:t xml:space="preserve">reviews </w:t>
      </w:r>
      <w:r w:rsidRPr="00AE7B34">
        <w:rPr>
          <w:rFonts w:ascii="Times New Roman" w:hAnsi="Times New Roman" w:cs="Times New Roman"/>
          <w:color w:val="000000" w:themeColor="text1"/>
          <w:sz w:val="22"/>
          <w:szCs w:val="22"/>
          <w:lang w:val="en-US"/>
        </w:rPr>
        <w:t>the</w:t>
      </w:r>
      <w:r w:rsidR="00515A1B"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impact of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on consumer behavior, tourist behavior, business along with the research on tourism and cultural tourism. The third </w:t>
      </w:r>
      <w:r w:rsidR="00515A1B" w:rsidRPr="00AE7B34">
        <w:rPr>
          <w:rFonts w:ascii="Times New Roman" w:hAnsi="Times New Roman" w:cs="Times New Roman"/>
          <w:color w:val="000000" w:themeColor="text1"/>
          <w:sz w:val="22"/>
          <w:szCs w:val="22"/>
          <w:lang w:val="en-US"/>
        </w:rPr>
        <w:t>section</w:t>
      </w:r>
      <w:r w:rsidRPr="00AE7B34">
        <w:rPr>
          <w:rFonts w:ascii="Times New Roman" w:hAnsi="Times New Roman" w:cs="Times New Roman"/>
          <w:color w:val="000000" w:themeColor="text1"/>
          <w:sz w:val="22"/>
          <w:szCs w:val="22"/>
          <w:lang w:val="en-US"/>
        </w:rPr>
        <w:t xml:space="preserve"> is concerned with the methodology used for this study. The fourth section presents the findings of the study along with its discussion </w:t>
      </w:r>
      <w:r w:rsidR="00C66B7E" w:rsidRPr="00AE7B34">
        <w:rPr>
          <w:rFonts w:ascii="Times New Roman" w:hAnsi="Times New Roman" w:cs="Times New Roman"/>
          <w:color w:val="000000" w:themeColor="text1"/>
          <w:sz w:val="22"/>
          <w:szCs w:val="22"/>
          <w:lang w:val="en-US"/>
        </w:rPr>
        <w:t>regarding</w:t>
      </w:r>
      <w:r w:rsidRPr="00AE7B34">
        <w:rPr>
          <w:rFonts w:ascii="Times New Roman" w:hAnsi="Times New Roman" w:cs="Times New Roman"/>
          <w:color w:val="000000" w:themeColor="text1"/>
          <w:sz w:val="22"/>
          <w:szCs w:val="22"/>
          <w:lang w:val="en-US"/>
        </w:rPr>
        <w:t xml:space="preserve"> the three key themes that paper examined. The last part concludes</w:t>
      </w:r>
      <w:r w:rsidR="00906706" w:rsidRPr="00AE7B34">
        <w:rPr>
          <w:rFonts w:ascii="Times New Roman" w:hAnsi="Times New Roman" w:cs="Times New Roman"/>
          <w:color w:val="000000" w:themeColor="text1"/>
          <w:sz w:val="22"/>
          <w:szCs w:val="22"/>
          <w:lang w:val="en-US"/>
        </w:rPr>
        <w:t xml:space="preserve"> with</w:t>
      </w:r>
      <w:r w:rsidRPr="00AE7B34">
        <w:rPr>
          <w:rFonts w:ascii="Times New Roman" w:hAnsi="Times New Roman" w:cs="Times New Roman"/>
          <w:color w:val="000000" w:themeColor="text1"/>
          <w:sz w:val="22"/>
          <w:szCs w:val="22"/>
          <w:lang w:val="en-US"/>
        </w:rPr>
        <w:t xml:space="preserve"> limitations of the study, challenges &amp; </w:t>
      </w:r>
      <w:r w:rsidR="00906706" w:rsidRPr="00AE7B34">
        <w:rPr>
          <w:rFonts w:ascii="Times New Roman" w:hAnsi="Times New Roman" w:cs="Times New Roman"/>
          <w:color w:val="000000" w:themeColor="text1"/>
          <w:sz w:val="22"/>
          <w:szCs w:val="22"/>
          <w:lang w:val="en-US"/>
        </w:rPr>
        <w:t>f</w:t>
      </w:r>
      <w:r w:rsidRPr="00AE7B34">
        <w:rPr>
          <w:rFonts w:ascii="Times New Roman" w:hAnsi="Times New Roman" w:cs="Times New Roman"/>
          <w:color w:val="000000" w:themeColor="text1"/>
          <w:sz w:val="22"/>
          <w:szCs w:val="22"/>
          <w:lang w:val="en-US"/>
        </w:rPr>
        <w:t xml:space="preserve">uture </w:t>
      </w:r>
      <w:r w:rsidR="00906706" w:rsidRPr="00AE7B34">
        <w:rPr>
          <w:rFonts w:ascii="Times New Roman" w:hAnsi="Times New Roman" w:cs="Times New Roman"/>
          <w:color w:val="000000" w:themeColor="text1"/>
          <w:sz w:val="22"/>
          <w:szCs w:val="22"/>
          <w:lang w:val="en-US"/>
        </w:rPr>
        <w:t>r</w:t>
      </w:r>
      <w:r w:rsidRPr="00AE7B34">
        <w:rPr>
          <w:rFonts w:ascii="Times New Roman" w:hAnsi="Times New Roman" w:cs="Times New Roman"/>
          <w:color w:val="000000" w:themeColor="text1"/>
          <w:sz w:val="22"/>
          <w:szCs w:val="22"/>
          <w:lang w:val="en-US"/>
        </w:rPr>
        <w:t>esearch propositions</w:t>
      </w:r>
      <w:r w:rsidR="00906706"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p>
    <w:p w14:paraId="3ECB70BF" w14:textId="77777777" w:rsidR="00B4617F" w:rsidRPr="00AE7B34" w:rsidRDefault="00B4617F" w:rsidP="00BF2F46">
      <w:pPr>
        <w:jc w:val="both"/>
        <w:rPr>
          <w:rFonts w:ascii="Times New Roman" w:hAnsi="Times New Roman" w:cs="Times New Roman"/>
          <w:color w:val="000000" w:themeColor="text1"/>
          <w:sz w:val="22"/>
          <w:szCs w:val="22"/>
          <w:lang w:val="en-US"/>
        </w:rPr>
      </w:pPr>
    </w:p>
    <w:p w14:paraId="72483C76" w14:textId="77777777" w:rsidR="00BF2F46" w:rsidRPr="00AE7B34" w:rsidRDefault="00BF2F46" w:rsidP="00BF2F46">
      <w:pPr>
        <w:jc w:val="both"/>
        <w:rPr>
          <w:rFonts w:ascii="Times New Roman" w:hAnsi="Times New Roman" w:cs="Times New Roman"/>
          <w:color w:val="000000" w:themeColor="text1"/>
          <w:sz w:val="22"/>
          <w:szCs w:val="22"/>
          <w:lang w:val="en-US"/>
        </w:rPr>
      </w:pPr>
    </w:p>
    <w:p w14:paraId="1C2375B9" w14:textId="52D999D3" w:rsidR="00B4617F" w:rsidRPr="00AE7B34" w:rsidRDefault="00BF2F46"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LITERATURE</w:t>
      </w:r>
      <w:r w:rsidR="00B4617F" w:rsidRPr="00AE7B34">
        <w:rPr>
          <w:rFonts w:ascii="Times New Roman" w:hAnsi="Times New Roman" w:cs="Times New Roman"/>
          <w:b/>
          <w:bCs/>
          <w:color w:val="000000" w:themeColor="text1"/>
          <w:lang w:val="en-US"/>
        </w:rPr>
        <w:t xml:space="preserve"> REVIEW</w:t>
      </w:r>
    </w:p>
    <w:p w14:paraId="1767EFA2" w14:textId="77777777" w:rsidR="00B4617F" w:rsidRPr="00AE7B34" w:rsidRDefault="00B4617F" w:rsidP="00BF2F46">
      <w:pPr>
        <w:jc w:val="both"/>
        <w:rPr>
          <w:rFonts w:ascii="Times New Roman" w:hAnsi="Times New Roman" w:cs="Times New Roman"/>
          <w:color w:val="000000" w:themeColor="text1"/>
          <w:sz w:val="22"/>
          <w:szCs w:val="22"/>
          <w:lang w:val="en-US"/>
        </w:rPr>
      </w:pPr>
    </w:p>
    <w:p w14:paraId="47504FED" w14:textId="53B519FA" w:rsidR="00B803E8" w:rsidRPr="00AE7B34" w:rsidRDefault="00B803E8" w:rsidP="004E2CEB">
      <w:pPr>
        <w:ind w:firstLine="709"/>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SARS-CoV-2 or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was</w:t>
      </w:r>
      <w:r w:rsidR="00906706" w:rsidRPr="00AE7B34">
        <w:rPr>
          <w:rFonts w:ascii="Times New Roman" w:hAnsi="Times New Roman" w:cs="Times New Roman"/>
          <w:color w:val="000000" w:themeColor="text1"/>
          <w:sz w:val="22"/>
          <w:szCs w:val="22"/>
          <w:lang w:val="en-US"/>
        </w:rPr>
        <w:t xml:space="preserve"> firstly </w:t>
      </w:r>
      <w:r w:rsidRPr="00AE7B34">
        <w:rPr>
          <w:rFonts w:ascii="Times New Roman" w:hAnsi="Times New Roman" w:cs="Times New Roman"/>
          <w:color w:val="000000" w:themeColor="text1"/>
          <w:sz w:val="22"/>
          <w:szCs w:val="22"/>
          <w:lang w:val="en-US"/>
        </w:rPr>
        <w:t xml:space="preserve">reported in December 2019, Wuhan China. Then, the alarming infection speed of the novel coronavirus has rapidly created the latest global pandemic. In less than 3 months, in March 2020 World Health </w:t>
      </w:r>
      <w:r w:rsidR="00D53AF3" w:rsidRPr="00AE7B34">
        <w:rPr>
          <w:rFonts w:ascii="Times New Roman" w:hAnsi="Times New Roman" w:cs="Times New Roman"/>
          <w:color w:val="000000" w:themeColor="text1"/>
          <w:sz w:val="22"/>
          <w:szCs w:val="22"/>
          <w:lang w:val="en-US"/>
        </w:rPr>
        <w:t>Organization</w:t>
      </w:r>
      <w:r w:rsidRPr="00AE7B34">
        <w:rPr>
          <w:rFonts w:ascii="Times New Roman" w:hAnsi="Times New Roman" w:cs="Times New Roman"/>
          <w:color w:val="000000" w:themeColor="text1"/>
          <w:sz w:val="22"/>
          <w:szCs w:val="22"/>
          <w:lang w:val="en-US"/>
        </w:rPr>
        <w:t xml:space="preserve"> (WHO) </w:t>
      </w:r>
      <w:r w:rsidR="00515A1B" w:rsidRPr="00AE7B34">
        <w:rPr>
          <w:rFonts w:ascii="Times New Roman" w:hAnsi="Times New Roman" w:cs="Times New Roman"/>
          <w:color w:val="000000" w:themeColor="text1"/>
          <w:sz w:val="22"/>
          <w:szCs w:val="22"/>
          <w:lang w:val="en-US"/>
        </w:rPr>
        <w:t>declared</w:t>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lastRenderedPageBreak/>
        <w:t xml:space="preserve">this virus a pandemic. As coronavirus cases surged </w:t>
      </w:r>
      <w:r w:rsidR="00906706" w:rsidRPr="00AE7B34">
        <w:rPr>
          <w:rFonts w:ascii="Times New Roman" w:hAnsi="Times New Roman" w:cs="Times New Roman"/>
          <w:color w:val="000000" w:themeColor="text1"/>
          <w:sz w:val="22"/>
          <w:szCs w:val="22"/>
          <w:lang w:val="en-US"/>
        </w:rPr>
        <w:t xml:space="preserve">due to dearth of </w:t>
      </w:r>
      <w:r w:rsidR="00FB5591" w:rsidRPr="00AE7B34">
        <w:rPr>
          <w:rFonts w:ascii="Times New Roman" w:hAnsi="Times New Roman" w:cs="Times New Roman"/>
          <w:color w:val="000000" w:themeColor="text1"/>
          <w:sz w:val="22"/>
          <w:szCs w:val="22"/>
          <w:lang w:val="en-US"/>
        </w:rPr>
        <w:t xml:space="preserve">medical </w:t>
      </w:r>
      <w:r w:rsidR="00906706" w:rsidRPr="00AE7B34">
        <w:rPr>
          <w:rFonts w:ascii="Times New Roman" w:hAnsi="Times New Roman" w:cs="Times New Roman"/>
          <w:color w:val="000000" w:themeColor="text1"/>
          <w:sz w:val="22"/>
          <w:szCs w:val="22"/>
          <w:lang w:val="en-US"/>
        </w:rPr>
        <w:t>treatment</w:t>
      </w:r>
      <w:r w:rsidR="00FB5591" w:rsidRPr="00AE7B34">
        <w:rPr>
          <w:rFonts w:ascii="Times New Roman" w:hAnsi="Times New Roman" w:cs="Times New Roman"/>
          <w:color w:val="000000" w:themeColor="text1"/>
          <w:sz w:val="22"/>
          <w:szCs w:val="22"/>
          <w:lang w:val="en-US"/>
        </w:rPr>
        <w:t xml:space="preserve">, </w:t>
      </w:r>
      <w:r w:rsidR="00906706"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lockdown and  strict social distancing measures</w:t>
      </w:r>
      <w:r w:rsidR="00515A1B" w:rsidRPr="00AE7B34">
        <w:rPr>
          <w:rFonts w:ascii="Times New Roman" w:hAnsi="Times New Roman" w:cs="Times New Roman"/>
          <w:color w:val="000000" w:themeColor="text1"/>
          <w:sz w:val="22"/>
          <w:szCs w:val="22"/>
          <w:lang w:val="en-US"/>
        </w:rPr>
        <w:t xml:space="preserve"> </w:t>
      </w:r>
      <w:r w:rsidR="00906706" w:rsidRPr="00AE7B34">
        <w:rPr>
          <w:rFonts w:ascii="Times New Roman" w:hAnsi="Times New Roman" w:cs="Times New Roman"/>
          <w:color w:val="000000" w:themeColor="text1"/>
          <w:sz w:val="22"/>
          <w:szCs w:val="22"/>
          <w:lang w:val="en-US"/>
        </w:rPr>
        <w:t>(local or global lockdowns, proactive or mandatory quarantine)</w:t>
      </w:r>
      <w:r w:rsidRPr="00AE7B34">
        <w:rPr>
          <w:rFonts w:ascii="Times New Roman" w:hAnsi="Times New Roman" w:cs="Times New Roman"/>
          <w:color w:val="000000" w:themeColor="text1"/>
          <w:sz w:val="22"/>
          <w:szCs w:val="22"/>
          <w:lang w:val="en-US"/>
        </w:rPr>
        <w:t xml:space="preserve"> constituted the only solution to cease the spread</w:t>
      </w:r>
      <w:r w:rsidR="00FB5591" w:rsidRPr="00AE7B34">
        <w:rPr>
          <w:rFonts w:ascii="Times New Roman" w:hAnsi="Times New Roman" w:cs="Times New Roman"/>
          <w:color w:val="000000" w:themeColor="text1"/>
          <w:sz w:val="22"/>
          <w:szCs w:val="22"/>
          <w:lang w:val="en-US"/>
        </w:rPr>
        <w:t>.</w:t>
      </w:r>
      <w:r w:rsidR="00906706"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Research","id":"ITEM-1","issue":"June","issued":{"date-parts":[["2020"]]},"note":"Polu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research","type":"article-journal","volume":"117"},"uris":["http://www.mendeley.com/documents/?uuid=f7d3cdac-c386-47a5-98b2-0d71b15c1cc6"]}],"mendeley":{"formattedCitation":"(Sigala, 2020)","manualFormatting":"Sigala (2020)","plainTextFormattedCitation":"(Sigala, 2020)","previouslyFormattedCitation":"(Sigala,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Sigala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515A1B" w:rsidRPr="00AE7B34">
        <w:rPr>
          <w:rFonts w:ascii="Times New Roman" w:hAnsi="Times New Roman" w:cs="Times New Roman"/>
          <w:color w:val="000000" w:themeColor="text1"/>
          <w:sz w:val="22"/>
          <w:szCs w:val="22"/>
          <w:lang w:val="en-US"/>
        </w:rPr>
        <w:t>remarks</w:t>
      </w:r>
      <w:r w:rsidR="003B5512"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the</w:t>
      </w:r>
      <w:r w:rsidR="00344DF7"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differential nature of this “black swan” event </w:t>
      </w:r>
      <w:r w:rsidR="004548C8" w:rsidRPr="00AE7B34">
        <w:rPr>
          <w:rFonts w:ascii="Times New Roman" w:hAnsi="Times New Roman" w:cs="Times New Roman"/>
          <w:color w:val="000000" w:themeColor="text1"/>
          <w:sz w:val="22"/>
          <w:szCs w:val="22"/>
          <w:lang w:val="en-US"/>
        </w:rPr>
        <w:t xml:space="preserve">given </w:t>
      </w:r>
      <w:r w:rsidRPr="00AE7B34">
        <w:rPr>
          <w:rFonts w:ascii="Times New Roman" w:hAnsi="Times New Roman" w:cs="Times New Roman"/>
          <w:color w:val="000000" w:themeColor="text1"/>
          <w:sz w:val="22"/>
          <w:szCs w:val="22"/>
          <w:lang w:val="en-US"/>
        </w:rPr>
        <w:t xml:space="preserve">its </w:t>
      </w:r>
      <w:r w:rsidR="00906706" w:rsidRPr="00AE7B34">
        <w:rPr>
          <w:rFonts w:ascii="Times New Roman" w:hAnsi="Times New Roman" w:cs="Times New Roman"/>
          <w:color w:val="000000" w:themeColor="text1"/>
          <w:sz w:val="22"/>
          <w:szCs w:val="22"/>
          <w:lang w:val="en-US"/>
        </w:rPr>
        <w:t xml:space="preserve">global, </w:t>
      </w:r>
      <w:proofErr w:type="gramStart"/>
      <w:r w:rsidR="00906706" w:rsidRPr="00AE7B34">
        <w:rPr>
          <w:rFonts w:ascii="Times New Roman" w:hAnsi="Times New Roman" w:cs="Times New Roman"/>
          <w:color w:val="000000" w:themeColor="text1"/>
          <w:sz w:val="22"/>
          <w:szCs w:val="22"/>
          <w:lang w:val="en-US"/>
        </w:rPr>
        <w:t>profound</w:t>
      </w:r>
      <w:proofErr w:type="gramEnd"/>
      <w:r w:rsidR="00906706" w:rsidRPr="00AE7B34">
        <w:rPr>
          <w:rFonts w:ascii="Times New Roman" w:hAnsi="Times New Roman" w:cs="Times New Roman"/>
          <w:color w:val="000000" w:themeColor="text1"/>
          <w:sz w:val="22"/>
          <w:szCs w:val="22"/>
          <w:lang w:val="en-US"/>
        </w:rPr>
        <w:t xml:space="preserve"> and multidimensional impact </w:t>
      </w:r>
      <w:r w:rsidRPr="00AE7B34">
        <w:rPr>
          <w:rFonts w:ascii="Times New Roman" w:hAnsi="Times New Roman" w:cs="Times New Roman"/>
          <w:color w:val="000000" w:themeColor="text1"/>
          <w:sz w:val="22"/>
          <w:szCs w:val="22"/>
          <w:lang w:val="en-US"/>
        </w:rPr>
        <w:t>at economic, societal, public health policy</w:t>
      </w:r>
      <w:r w:rsidR="00906706" w:rsidRPr="00AE7B34">
        <w:rPr>
          <w:rFonts w:ascii="Times New Roman" w:hAnsi="Times New Roman" w:cs="Times New Roman"/>
          <w:color w:val="000000" w:themeColor="text1"/>
          <w:sz w:val="22"/>
          <w:szCs w:val="22"/>
          <w:lang w:val="en-US"/>
        </w:rPr>
        <w:t>, business level</w:t>
      </w:r>
      <w:r w:rsidR="004E2CEB" w:rsidRPr="00AE7B34">
        <w:rPr>
          <w:rFonts w:ascii="Times New Roman" w:hAnsi="Times New Roman" w:cs="Times New Roman"/>
          <w:color w:val="000000" w:themeColor="text1"/>
          <w:sz w:val="22"/>
          <w:szCs w:val="22"/>
          <w:lang w:val="en-US"/>
        </w:rPr>
        <w:t>.</w:t>
      </w:r>
    </w:p>
    <w:p w14:paraId="6F171667" w14:textId="15F2780E" w:rsidR="00B803E8" w:rsidRPr="00AE7B34" w:rsidRDefault="00906706"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Moreover, while t</w:t>
      </w:r>
      <w:r w:rsidR="00B803E8" w:rsidRPr="00AE7B34">
        <w:rPr>
          <w:rFonts w:ascii="Times New Roman" w:hAnsi="Times New Roman" w:cs="Times New Roman"/>
          <w:color w:val="000000" w:themeColor="text1"/>
          <w:sz w:val="22"/>
          <w:szCs w:val="22"/>
          <w:lang w:val="en-US"/>
        </w:rPr>
        <w:t>ourism industry has been repeatedly denoting exceptional resiliency towards any recurrent economic, political crisis or disruptive events out-breaks (e.g., terrorism, earthquakes, Ebola, SARS, Zika) owing to its interconnectivity, vulnerability and seasonality nature</w:t>
      </w:r>
      <w:r w:rsidRPr="00AE7B34">
        <w:rPr>
          <w:rFonts w:ascii="Times New Roman" w:hAnsi="Times New Roman" w:cs="Times New Roman"/>
          <w:color w:val="000000" w:themeColor="text1"/>
          <w:sz w:val="22"/>
          <w:szCs w:val="22"/>
          <w:lang w:val="en-US"/>
        </w:rPr>
        <w:t xml:space="preserve">, </w:t>
      </w:r>
      <w:r w:rsidR="00C65F3F" w:rsidRPr="00AE7B34">
        <w:rPr>
          <w:rFonts w:ascii="Times New Roman" w:hAnsi="Times New Roman" w:cs="Times New Roman"/>
          <w:color w:val="000000" w:themeColor="text1"/>
          <w:sz w:val="22"/>
          <w:szCs w:val="22"/>
          <w:lang w:val="en-US"/>
        </w:rPr>
        <w:t xml:space="preserve">the breadth and intensity of </w:t>
      </w:r>
      <w:r w:rsidR="007B33DC" w:rsidRPr="00AE7B34">
        <w:rPr>
          <w:rFonts w:ascii="Times New Roman" w:hAnsi="Times New Roman" w:cs="Times New Roman"/>
          <w:color w:val="000000" w:themeColor="text1"/>
          <w:sz w:val="22"/>
          <w:szCs w:val="22"/>
          <w:lang w:val="en-US"/>
        </w:rPr>
        <w:t>COVID-19</w:t>
      </w:r>
      <w:r w:rsidR="00C65F3F" w:rsidRPr="00AE7B34">
        <w:rPr>
          <w:rFonts w:ascii="Times New Roman" w:hAnsi="Times New Roman" w:cs="Times New Roman"/>
          <w:color w:val="000000" w:themeColor="text1"/>
          <w:sz w:val="22"/>
          <w:szCs w:val="22"/>
          <w:lang w:val="en-US"/>
        </w:rPr>
        <w:t xml:space="preserve"> </w:t>
      </w:r>
      <w:r w:rsidR="006C37DC" w:rsidRPr="00AE7B34">
        <w:rPr>
          <w:rFonts w:ascii="Times New Roman" w:hAnsi="Times New Roman" w:cs="Times New Roman"/>
          <w:color w:val="000000" w:themeColor="text1"/>
          <w:sz w:val="22"/>
          <w:szCs w:val="22"/>
          <w:lang w:val="en-US"/>
        </w:rPr>
        <w:t>has massively affected tourism, travel and mobility</w:t>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Tourism","id":"ITEM-1","issue":"2","issued":{"date-parts":[["2020"]]},"note":"kalo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research","type":"article-journal","volume":"22"},"uris":["http://www.mendeley.com/documents/?uuid=f25b0921-137b-481b-b002-ec3cc08454d7"]},{"id":"ITEM-2","itemData":{"DOI":"10.1016/j.jbusres.2020.06.015","ISSN":"01482963","PMID":"32546875","abstract":"The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Research","id":"ITEM-2","issue":"June","issued":{"date-parts":[["2020"]]},"note":"Polu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research","type":"article-journal","volume":"117"},"uris":["http://www.mendeley.com/documents/?uuid=f7d3cdac-c386-47a5-98b2-0d71b15c1cc6"]}],"mendeley":{"formattedCitation":"(Gretzel &lt;i&gt;et al.&lt;/i&gt;, 2020; Sigala, 2020)","plainTextFormattedCitation":"(Gretzel et al., 2020; Sigala, 2020)","previouslyFormattedCitation":"(Gretzel &lt;i&gt;et al.&lt;/i&gt;, 2020; Sigala,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(Gretzel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2020; Sigala,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w:t>
      </w:r>
    </w:p>
    <w:p w14:paraId="63C36F6B" w14:textId="5F6F56F7" w:rsidR="00B803E8" w:rsidRPr="00AE7B34" w:rsidRDefault="00B803E8" w:rsidP="0056018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Besides the major economical and societal crisis followed by lockdown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have </w:t>
      </w:r>
      <w:r w:rsidR="00A13D44" w:rsidRPr="00AE7B34">
        <w:rPr>
          <w:rFonts w:ascii="Times New Roman" w:hAnsi="Times New Roman" w:cs="Times New Roman"/>
          <w:color w:val="000000" w:themeColor="text1"/>
          <w:sz w:val="22"/>
          <w:szCs w:val="22"/>
          <w:lang w:val="en-US"/>
        </w:rPr>
        <w:t xml:space="preserve">also </w:t>
      </w:r>
      <w:r w:rsidRPr="00AE7B34">
        <w:rPr>
          <w:rFonts w:ascii="Times New Roman" w:hAnsi="Times New Roman" w:cs="Times New Roman"/>
          <w:color w:val="000000" w:themeColor="text1"/>
          <w:sz w:val="22"/>
          <w:szCs w:val="22"/>
          <w:lang w:val="en-US"/>
        </w:rPr>
        <w:t>caused severe demographic trends in fertility, mortality, economy, and migration</w:t>
      </w:r>
      <w:r w:rsidR="006C37DC" w:rsidRPr="00AE7B34">
        <w:rPr>
          <w:rFonts w:ascii="Times New Roman" w:hAnsi="Times New Roman" w:cs="Times New Roman"/>
          <w:color w:val="000000" w:themeColor="text1"/>
          <w:sz w:val="22"/>
          <w:szCs w:val="22"/>
          <w:lang w:val="en-US"/>
        </w:rPr>
        <w:t xml:space="preserve"> (</w:t>
      </w:r>
      <w:r w:rsidR="006C37DC" w:rsidRPr="00AE7B34">
        <w:rPr>
          <w:rFonts w:ascii="Times New Roman" w:hAnsi="Times New Roman" w:cs="Times New Roman"/>
          <w:color w:val="000000" w:themeColor="text1"/>
          <w:sz w:val="22"/>
          <w:szCs w:val="22"/>
          <w:lang w:val="en-US"/>
        </w:rPr>
        <w:fldChar w:fldCharType="begin" w:fldLock="1"/>
      </w:r>
      <w:r w:rsidR="00057F7F" w:rsidRPr="00AE7B34">
        <w:rPr>
          <w:rFonts w:ascii="Times New Roman" w:hAnsi="Times New Roman" w:cs="Times New Roman"/>
          <w:color w:val="000000" w:themeColor="text1"/>
          <w:sz w:val="22"/>
          <w:szCs w:val="22"/>
          <w:lang w:val="en-US"/>
        </w:rPr>
        <w:instrText>ADDIN CSL_CITATION {"citationItems":[{"id":"ITEM-1","itemData":{"abstract":"During the pandemic, women’s access to contraception and other SRH services—as well as their ability to pay for these services—has been constrained. Access to in- Individuals’ fertility preferences are shaped in part by the person health care has been severely limited, and people broader socioeconomic context. Pandemic-related worries may have avoided seeking out available services because about finances and job stability, as well as general unease of fears that they or a family member would be exposed to about the future, may be shifting how women feel. One in three women (33%) reported that because of ■ More than 40% of women reported that because the pandemic, they had had to delay or cancel visiting of the COVID-19 pandemic, they changed their plans a health care provider for SRH care, or had had trouble about when to have children or how many children to getting their birth control (Figure 2, page 5). have.","author":[{"dropping-particle":"","family":"Lindberg","given":"Laura","non-dropping-particle":"","parse-names":false,"suffix":""},{"dropping-particle":"","family":"VandeVusse","given":"D","non-dropping-particle":"","parse-names":false,"suffix":""},{"dropping-particle":"","family":"Mueller","given":"Alicia","non-dropping-particle":"","parse-names":false,"suffix":""},{"dropping-particle":"","family":"Kirstein","given":"Jennifer","non-dropping-particle":"","parse-names":false,"suffix":""},{"dropping-particle":"","family":"Mariell","given":"","non-dropping-particle":"","parse-names":false,"suffix":""}],"id":"ITEM-1","issue":"June","issued":{"date-parts":[["2020"]]},"page":"1-14","title":"Early Impacts of the COVID-19 Pandemic: Findings from the 2020 Guttmacher Survey of Reproductive Health Experiences","type":"article-journal"},"uris":["http://www.mendeley.com/documents/?uuid=76edfd9e-2320-462a-8182-e4cbe4eaf432"]}],"mendeley":{"formattedCitation":"(Lindberg &lt;i&gt;et al.&lt;/i&gt;, 2020)","manualFormatting":"Lindberg et al.,2020)","plainTextFormattedCitation":"(Lindberg et al., 2020)","previouslyFormattedCitation":"(Lindberg &lt;i&gt;et al.&lt;/i&gt;, 2020)"},"properties":{"noteIndex":0},"schema":"https://github.com/citation-style-language/schema/raw/master/csl-citation.json"}</w:instrText>
      </w:r>
      <w:r w:rsidR="006C37DC" w:rsidRPr="00AE7B34">
        <w:rPr>
          <w:rFonts w:ascii="Times New Roman" w:hAnsi="Times New Roman" w:cs="Times New Roman"/>
          <w:color w:val="000000" w:themeColor="text1"/>
          <w:sz w:val="22"/>
          <w:szCs w:val="22"/>
          <w:lang w:val="en-US"/>
        </w:rPr>
        <w:fldChar w:fldCharType="separate"/>
      </w:r>
      <w:r w:rsidR="006C37DC" w:rsidRPr="00AE7B34">
        <w:rPr>
          <w:rFonts w:ascii="Times New Roman" w:hAnsi="Times New Roman" w:cs="Times New Roman"/>
          <w:noProof/>
          <w:color w:val="000000" w:themeColor="text1"/>
          <w:sz w:val="22"/>
          <w:szCs w:val="22"/>
          <w:lang w:val="en-US"/>
        </w:rPr>
        <w:t xml:space="preserve">Lindberg </w:t>
      </w:r>
      <w:r w:rsidR="006C37DC" w:rsidRPr="00AE7B34">
        <w:rPr>
          <w:rFonts w:ascii="Times New Roman" w:hAnsi="Times New Roman" w:cs="Times New Roman"/>
          <w:i/>
          <w:noProof/>
          <w:color w:val="000000" w:themeColor="text1"/>
          <w:sz w:val="22"/>
          <w:szCs w:val="22"/>
          <w:lang w:val="en-US"/>
        </w:rPr>
        <w:t>et al.</w:t>
      </w:r>
      <w:r w:rsidR="006C37DC" w:rsidRPr="00AE7B34">
        <w:rPr>
          <w:rFonts w:ascii="Times New Roman" w:hAnsi="Times New Roman" w:cs="Times New Roman"/>
          <w:noProof/>
          <w:color w:val="000000" w:themeColor="text1"/>
          <w:sz w:val="22"/>
          <w:szCs w:val="22"/>
          <w:lang w:val="en-US"/>
        </w:rPr>
        <w:t>,2020)</w:t>
      </w:r>
      <w:r w:rsidR="006C37DC" w:rsidRPr="00AE7B34">
        <w:rPr>
          <w:rFonts w:ascii="Times New Roman" w:hAnsi="Times New Roman" w:cs="Times New Roman"/>
          <w:color w:val="000000" w:themeColor="text1"/>
          <w:sz w:val="22"/>
          <w:szCs w:val="22"/>
          <w:lang w:val="en-US"/>
        </w:rPr>
        <w:fldChar w:fldCharType="end"/>
      </w:r>
      <w:r w:rsidR="006C37DC"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r w:rsidR="007849FE" w:rsidRPr="00AE7B34">
        <w:rPr>
          <w:rFonts w:ascii="Times New Roman" w:hAnsi="Times New Roman" w:cs="Times New Roman"/>
          <w:color w:val="000000" w:themeColor="text1"/>
          <w:sz w:val="22"/>
          <w:szCs w:val="22"/>
          <w:lang w:val="en-US"/>
        </w:rPr>
        <w:t xml:space="preserve">In terms of </w:t>
      </w:r>
      <w:r w:rsidRPr="00AE7B34">
        <w:rPr>
          <w:rFonts w:ascii="Times New Roman" w:hAnsi="Times New Roman" w:cs="Times New Roman"/>
          <w:color w:val="000000" w:themeColor="text1"/>
          <w:sz w:val="22"/>
          <w:szCs w:val="22"/>
          <w:lang w:val="en-US"/>
        </w:rPr>
        <w:t xml:space="preserve">fertility, while European Commission </w:t>
      </w:r>
      <w:r w:rsidR="007849FE" w:rsidRPr="00AE7B34">
        <w:rPr>
          <w:rFonts w:ascii="Times New Roman" w:hAnsi="Times New Roman" w:cs="Times New Roman"/>
          <w:color w:val="000000" w:themeColor="text1"/>
          <w:sz w:val="22"/>
          <w:szCs w:val="22"/>
          <w:lang w:val="en-US"/>
        </w:rPr>
        <w:t xml:space="preserve">has been </w:t>
      </w:r>
      <w:r w:rsidRPr="00AE7B34">
        <w:rPr>
          <w:rFonts w:ascii="Times New Roman" w:hAnsi="Times New Roman" w:cs="Times New Roman"/>
          <w:color w:val="000000" w:themeColor="text1"/>
          <w:sz w:val="22"/>
          <w:szCs w:val="22"/>
          <w:lang w:val="en-US"/>
        </w:rPr>
        <w:t>pointing that Europe’s working-age population is shrinking (</w:t>
      </w:r>
      <w:hyperlink r:id="rId9" w:anchor="demographictrends" w:history="1">
        <w:r w:rsidRPr="00AE7B34">
          <w:rPr>
            <w:rStyle w:val="Hyperlink"/>
            <w:rFonts w:ascii="Times New Roman" w:hAnsi="Times New Roman" w:cs="Times New Roman"/>
            <w:color w:val="000000" w:themeColor="text1"/>
            <w:sz w:val="22"/>
            <w:szCs w:val="22"/>
            <w:lang w:val="en-US"/>
          </w:rPr>
          <w:t>European Commission</w:t>
        </w:r>
      </w:hyperlink>
      <w:r w:rsidRPr="00AE7B34">
        <w:rPr>
          <w:rFonts w:ascii="Times New Roman" w:hAnsi="Times New Roman" w:cs="Times New Roman"/>
          <w:color w:val="000000" w:themeColor="text1"/>
          <w:sz w:val="22"/>
          <w:szCs w:val="22"/>
          <w:lang w:val="en-US"/>
        </w:rPr>
        <w:t xml:space="preserve">),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has exacerbated this tendency. Due to the pandemic uncertainty and pandemic related worries or the blurr</w:t>
      </w:r>
      <w:r w:rsidR="005B0C30" w:rsidRPr="00AE7B34">
        <w:rPr>
          <w:rFonts w:ascii="Times New Roman" w:hAnsi="Times New Roman" w:cs="Times New Roman"/>
          <w:color w:val="000000" w:themeColor="text1"/>
          <w:sz w:val="22"/>
          <w:szCs w:val="22"/>
          <w:lang w:val="en-US"/>
        </w:rPr>
        <w:t>ing lines</w:t>
      </w:r>
      <w:r w:rsidR="00A13D44" w:rsidRPr="00AE7B34">
        <w:rPr>
          <w:rFonts w:ascii="Times New Roman" w:hAnsi="Times New Roman" w:cs="Times New Roman"/>
          <w:color w:val="000000" w:themeColor="text1"/>
          <w:sz w:val="22"/>
          <w:szCs w:val="22"/>
          <w:lang w:val="en-US"/>
        </w:rPr>
        <w:t>,</w:t>
      </w:r>
      <w:r w:rsidR="003B5512" w:rsidRPr="00AE7B34">
        <w:rPr>
          <w:rFonts w:ascii="Times New Roman" w:hAnsi="Times New Roman" w:cs="Times New Roman"/>
          <w:color w:val="000000" w:themeColor="text1"/>
          <w:sz w:val="22"/>
          <w:szCs w:val="22"/>
          <w:lang w:val="en-US"/>
        </w:rPr>
        <w:t xml:space="preserve"> </w:t>
      </w:r>
      <w:r w:rsidR="00A13D44" w:rsidRPr="00AE7B34">
        <w:rPr>
          <w:rFonts w:ascii="Times New Roman" w:hAnsi="Times New Roman" w:cs="Times New Roman"/>
          <w:color w:val="000000" w:themeColor="text1"/>
          <w:sz w:val="22"/>
          <w:szCs w:val="22"/>
          <w:lang w:val="en-US"/>
        </w:rPr>
        <w:t>so</w:t>
      </w:r>
      <w:r w:rsidR="003B5512" w:rsidRPr="00AE7B34">
        <w:rPr>
          <w:rFonts w:ascii="Times New Roman" w:hAnsi="Times New Roman" w:cs="Times New Roman"/>
          <w:color w:val="000000" w:themeColor="text1"/>
          <w:sz w:val="22"/>
          <w:szCs w:val="22"/>
          <w:lang w:val="en-US"/>
        </w:rPr>
        <w:t xml:space="preserve"> </w:t>
      </w:r>
      <w:r w:rsidR="00A13D44" w:rsidRPr="00AE7B34">
        <w:rPr>
          <w:rFonts w:ascii="Times New Roman" w:hAnsi="Times New Roman" w:cs="Times New Roman"/>
          <w:color w:val="000000" w:themeColor="text1"/>
          <w:sz w:val="22"/>
          <w:szCs w:val="22"/>
          <w:lang w:val="en-US"/>
        </w:rPr>
        <w:t xml:space="preserve">far, </w:t>
      </w:r>
      <w:r w:rsidR="005B0C30" w:rsidRPr="00AE7B34">
        <w:rPr>
          <w:rFonts w:ascii="Times New Roman" w:hAnsi="Times New Roman" w:cs="Times New Roman"/>
          <w:color w:val="000000" w:themeColor="text1"/>
          <w:sz w:val="22"/>
          <w:szCs w:val="22"/>
          <w:lang w:val="en-US"/>
        </w:rPr>
        <w:t>about</w:t>
      </w:r>
      <w:r w:rsidRPr="00AE7B34">
        <w:rPr>
          <w:rFonts w:ascii="Times New Roman" w:hAnsi="Times New Roman" w:cs="Times New Roman"/>
          <w:color w:val="000000" w:themeColor="text1"/>
          <w:sz w:val="22"/>
          <w:szCs w:val="22"/>
          <w:lang w:val="en-US"/>
        </w:rPr>
        <w:t xml:space="preserve"> vaccines impact on the fertile age group of 30-39, many women postpone their reproductive intentions</w:t>
      </w:r>
      <w:r w:rsidR="006C37DC" w:rsidRPr="00AE7B34">
        <w:rPr>
          <w:rFonts w:ascii="Times New Roman" w:hAnsi="Times New Roman" w:cs="Times New Roman"/>
          <w:color w:val="000000" w:themeColor="text1"/>
          <w:sz w:val="22"/>
          <w:szCs w:val="22"/>
          <w:lang w:val="en-US"/>
        </w:rPr>
        <w:t xml:space="preserve"> and </w:t>
      </w:r>
      <w:r w:rsidRPr="00AE7B34">
        <w:rPr>
          <w:rFonts w:ascii="Times New Roman" w:hAnsi="Times New Roman" w:cs="Times New Roman"/>
          <w:color w:val="000000" w:themeColor="text1"/>
          <w:sz w:val="22"/>
          <w:szCs w:val="22"/>
          <w:lang w:val="en-US"/>
        </w:rPr>
        <w:t>fertility preferences (</w:t>
      </w:r>
      <w:r w:rsidRPr="00AE7B34">
        <w:rPr>
          <w:rFonts w:ascii="Times New Roman" w:hAnsi="Times New Roman" w:cs="Times New Roman"/>
          <w:color w:val="000000" w:themeColor="text1"/>
          <w:sz w:val="22"/>
          <w:szCs w:val="22"/>
          <w:lang w:val="en-US"/>
        </w:rPr>
        <w:fldChar w:fldCharType="begin" w:fldLock="1"/>
      </w:r>
      <w:r w:rsidR="003B5512" w:rsidRPr="00AE7B34">
        <w:rPr>
          <w:rFonts w:ascii="Times New Roman" w:hAnsi="Times New Roman" w:cs="Times New Roman"/>
          <w:color w:val="000000" w:themeColor="text1"/>
          <w:sz w:val="22"/>
          <w:szCs w:val="22"/>
          <w:lang w:val="en-US"/>
        </w:rPr>
        <w:instrText>ADDIN CSL_CITATION {"citationItems":[{"id":"ITEM-1","itemData":{"abstract":"During the pandemic, women’s access to contraception and other SRH services—as well as their ability to pay for these services—has been constrained. Access to in- Individuals’ fertility preferences are shaped in part by the person health care has been severely limited, and people broader socioeconomic context. Pandemic-related worries may have avoided seeking out available services because about finances and job stability, as well as general unease of fears that they or a family member would be exposed to about the future, may be shifting how women feel. One in three women (33%) reported that because of ■ More than 40% of women reported that because the pandemic, they had had to delay or cancel visiting of the COVID-19 pandemic, they changed their plans a health care provider for SRH care, or had had trouble about when to have children or how many children to getting their birth control (Figure 2, page 5). have.","author":[{"dropping-particle":"","family":"Lindberg","given":"Laura","non-dropping-particle":"","parse-names":false,"suffix":""},{"dropping-particle":"","family":"VandeVusse","given":"D","non-dropping-particle":"","parse-names":false,"suffix":""},{"dropping-particle":"","family":"Mueller","given":"Alicia","non-dropping-particle":"","parse-names":false,"suffix":""},{"dropping-particle":"","family":"Kirstein","given":"Jennifer","non-dropping-particle":"","parse-names":false,"suffix":""},{"dropping-particle":"","family":"Mariell","given":"","non-dropping-particle":"","parse-names":false,"suffix":""}],"id":"ITEM-1","issue":"June","issued":{"date-parts":[["2020"]]},"page":"1-14","title":"Early Impacts of the COVID-19 Pandemic: Findings from the 2020 Guttmacher Survey of Reproductive Health Experiences","type":"article-journal"},"uris":["http://www.mendeley.com/documents/?uuid=76edfd9e-2320-462a-8182-e4cbe4eaf432"]}],"mendeley":{"formattedCitation":"(Lindberg &lt;i&gt;et al.&lt;/i&gt;, 2020)","manualFormatting":"Lindberg et al.,2020)","plainTextFormattedCitation":"(Lindberg et al., 2020)","previouslyFormattedCitation":"(Lindberg &lt;i&gt;et al.&lt;/i&gt;,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Lindberg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p>
    <w:p w14:paraId="5B963B67" w14:textId="3BD77B30" w:rsidR="00B803E8" w:rsidRPr="00AE7B34" w:rsidRDefault="006C37DC"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In addition to</w:t>
      </w:r>
      <w:r w:rsidR="00B803E8" w:rsidRPr="00AE7B34">
        <w:rPr>
          <w:rFonts w:ascii="Times New Roman" w:hAnsi="Times New Roman" w:cs="Times New Roman"/>
          <w:color w:val="000000" w:themeColor="text1"/>
          <w:sz w:val="22"/>
          <w:szCs w:val="22"/>
          <w:lang w:val="en-US"/>
        </w:rPr>
        <w:t xml:space="preserve"> changes on demographics, coronavirus lockdown has inevitably emerged new consumer behavior patterns. Undoubtedly, this pandemic has revealed multifaceted questions about the meaning of life, life- resilience, trusting one another, socializing, mingling, bonding, working or even going to museums virtually via one PC, </w:t>
      </w:r>
      <w:proofErr w:type="gramStart"/>
      <w:r w:rsidR="00B803E8" w:rsidRPr="00AE7B34">
        <w:rPr>
          <w:rFonts w:ascii="Times New Roman" w:hAnsi="Times New Roman" w:cs="Times New Roman"/>
          <w:color w:val="000000" w:themeColor="text1"/>
          <w:sz w:val="22"/>
          <w:szCs w:val="22"/>
          <w:lang w:val="en-US"/>
        </w:rPr>
        <w:t>iPad</w:t>
      </w:r>
      <w:proofErr w:type="gramEnd"/>
      <w:r w:rsidR="00B803E8" w:rsidRPr="00AE7B34">
        <w:rPr>
          <w:rFonts w:ascii="Times New Roman" w:hAnsi="Times New Roman" w:cs="Times New Roman"/>
          <w:color w:val="000000" w:themeColor="text1"/>
          <w:sz w:val="22"/>
          <w:szCs w:val="22"/>
          <w:lang w:val="en-US"/>
        </w:rPr>
        <w:t xml:space="preserve"> or smartphone screen. Consequently, </w:t>
      </w:r>
      <w:r w:rsidR="007B33DC" w:rsidRPr="00AE7B34">
        <w:rPr>
          <w:rFonts w:ascii="Times New Roman" w:hAnsi="Times New Roman" w:cs="Times New Roman"/>
          <w:color w:val="000000" w:themeColor="text1"/>
          <w:sz w:val="22"/>
          <w:szCs w:val="22"/>
          <w:lang w:val="en-US"/>
        </w:rPr>
        <w:t>COVID-19</w:t>
      </w:r>
      <w:r w:rsidR="00B803E8" w:rsidRPr="00AE7B34">
        <w:rPr>
          <w:rFonts w:ascii="Times New Roman" w:hAnsi="Times New Roman" w:cs="Times New Roman"/>
          <w:color w:val="000000" w:themeColor="text1"/>
          <w:sz w:val="22"/>
          <w:szCs w:val="22"/>
          <w:lang w:val="en-US"/>
        </w:rPr>
        <w:t xml:space="preserve"> has triggered academia and industry</w:t>
      </w:r>
      <w:r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t>(</w:t>
      </w:r>
      <w:proofErr w:type="gramStart"/>
      <w:r w:rsidR="00515A1B" w:rsidRPr="00AE7B34">
        <w:rPr>
          <w:rFonts w:ascii="Times New Roman" w:hAnsi="Times New Roman" w:cs="Times New Roman"/>
          <w:color w:val="000000" w:themeColor="text1"/>
          <w:sz w:val="22"/>
          <w:szCs w:val="22"/>
          <w:lang w:val="en-US"/>
        </w:rPr>
        <w:t>e.g.</w:t>
      </w:r>
      <w:proofErr w:type="gramEnd"/>
      <w:r w:rsidR="00B803E8" w:rsidRPr="00AE7B34">
        <w:rPr>
          <w:rFonts w:ascii="Times New Roman" w:hAnsi="Times New Roman" w:cs="Times New Roman"/>
          <w:color w:val="000000" w:themeColor="text1"/>
          <w:sz w:val="22"/>
          <w:szCs w:val="22"/>
          <w:lang w:val="en-US"/>
        </w:rPr>
        <w:t xml:space="preserve"> Deloitte, KPMG, Accenture) attention. Thus, a considerable amount of literature has been published </w:t>
      </w:r>
      <w:r w:rsidR="00344DF7" w:rsidRPr="00AE7B34">
        <w:rPr>
          <w:rFonts w:ascii="Times New Roman" w:hAnsi="Times New Roman" w:cs="Times New Roman"/>
          <w:color w:val="000000" w:themeColor="text1"/>
          <w:sz w:val="22"/>
          <w:szCs w:val="22"/>
          <w:lang w:val="en-US"/>
        </w:rPr>
        <w:t>regarding the</w:t>
      </w:r>
      <w:r w:rsidR="00B803E8" w:rsidRPr="00AE7B34">
        <w:rPr>
          <w:rFonts w:ascii="Times New Roman" w:hAnsi="Times New Roman" w:cs="Times New Roman"/>
          <w:color w:val="000000" w:themeColor="text1"/>
          <w:sz w:val="22"/>
          <w:szCs w:val="22"/>
          <w:lang w:val="en-US"/>
        </w:rPr>
        <w:t xml:space="preserve"> impact of </w:t>
      </w:r>
      <w:r w:rsidR="007B33DC" w:rsidRPr="00AE7B34">
        <w:rPr>
          <w:rFonts w:ascii="Times New Roman" w:hAnsi="Times New Roman" w:cs="Times New Roman"/>
          <w:color w:val="000000" w:themeColor="text1"/>
          <w:sz w:val="22"/>
          <w:szCs w:val="22"/>
          <w:lang w:val="en-US"/>
        </w:rPr>
        <w:t>COVID-19</w:t>
      </w:r>
      <w:r w:rsidR="00B803E8" w:rsidRPr="00AE7B34">
        <w:rPr>
          <w:rFonts w:ascii="Times New Roman" w:hAnsi="Times New Roman" w:cs="Times New Roman"/>
          <w:color w:val="000000" w:themeColor="text1"/>
          <w:sz w:val="22"/>
          <w:szCs w:val="22"/>
          <w:lang w:val="en-US"/>
        </w:rPr>
        <w:t xml:space="preserve"> on changes in consumer behavior </w:t>
      </w:r>
      <w:r w:rsidR="00B803E8" w:rsidRPr="00AE7B34">
        <w:rPr>
          <w:rFonts w:ascii="Times New Roman" w:hAnsi="Times New Roman" w:cs="Times New Roman"/>
          <w:color w:val="000000" w:themeColor="text1"/>
          <w:sz w:val="22"/>
          <w:szCs w:val="22"/>
          <w:lang w:val="en-US"/>
        </w:rPr>
        <w:fldChar w:fldCharType="begin" w:fldLock="1"/>
      </w:r>
      <w:r w:rsidR="000A33E0" w:rsidRPr="00AE7B34">
        <w:rPr>
          <w:rFonts w:ascii="Times New Roman" w:hAnsi="Times New Roman" w:cs="Times New Roman"/>
          <w:color w:val="000000" w:themeColor="text1"/>
          <w:sz w:val="22"/>
          <w:szCs w:val="22"/>
          <w:lang w:val="en-US"/>
        </w:rPr>
        <w:instrText>ADDIN CSL_CITATION {"citationItems":[{"id":"ITEM-1","itemData":{"DOI":"10.1016/j.jbusres.2020.06.008","ISSN":"01482963","abstract":"The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author":[{"dropping-particle":"","family":"Donthu","given":"Naveen","non-dropping-particle":"","parse-names":false,"suffix":""},{"dropping-particle":"","family":"Gustafsson","given":"Anders","non-dropping-particle":"","parse-names":false,"suffix":""}],"container-title":"Journal of Business Research","id":"ITEM-1","issue":"June","issued":{"date-parts":[["2020"]]},"note":"Abtsract \nThe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leadership.\n\n\npolu kalo sos \n\ngia eisagogika kai new trends s allages &amp;amp; chalelnges covid19 \n\naim: In total, there are 13 papers that cover different industry sectors (e.g., tourism, retail, higher education), changes in consumer behavior and\nbusinesses, ethical issues, and aspects related to employees and leadership.","page":"284-289","title":"Effects of COVID-19 on business and research","type":"article-journal","volume":"117"},"uris":["http://www.mendeley.com/documents/?uuid=382c1949-3dc3-427a-a42c-0eb26ff8769c"]},{"id":"ITEM-2","itemData":{"DOI":"10.1016/j.jbusres.2020.05.059","ISSN":"01482963","abstract":"The COVID-19 pandemic and the lockdown and social distancing mandates have disrupted the consumer habits of buying as well as shopping. Consumers are learning to improvise and learn new habits. For example, consumers cannot go to the store, so the store comes to home. While consumers go back to old habits, it is likely that they will be modified by new regulations and procedures in the way consumers shop and buy products and services. New habits will also emerge by technology advances, changing demographics and innovative ways consumers have learned to cope with blurring the work, leisure, and education boundaries.","author":[{"dropping-particle":"","family":"Sheth","given":"Jagdish","non-dropping-particle":"","parse-names":false,"suffix":""}],"container-title":"Journal of Business Research","id":"ITEM-2","issued":{"date-parts":[["2020"]]},"note":"polu kalo gia eisagigi gia museia nad convid and con behh and digital transfromation \n\naim: \nThe purpose of this research paper is to examine the impact of Covid-19 pandemic on consumer behavior.\n\nConlusion: \n1. The lockdown and social distancing to combat the covid-19 virus has generated significant disruptions on consumer behavior. \n2. All con-sumption is time bound and location bound. With time flexibility but location rigidity, consumers have learned to improvise in creative and innovative ways. \n3. The work-life boundaries are now blurred as peoplevwork at home, study at home, and relax at home. \n4. Since the consumer is unable to go to the store, the store has to come to the consumer.As consumers adapt to the house arrest for a prolonged period of time, they are likely to adopt newer technologies which facilitate work,study and consumption in a more convenient manner.\n5. Embracing di-gital technology is likely to modify existing habits. \n\n6. Finally, public policy will also impose new consumption habits especially in public places such as airports, concerts, and public parks.","page":"280-283","publisher":"Elsevier","title":"Impact of Covid-19 on consumer behavior: Will the old habits return or die?","type":"article-journal","volume":"117"},"uris":["http://www.mendeley.com/documents/?uuid=a5280948-1d40-4d4c-ab33-089821bfe292"]},{"id":"ITEM-3","itemData":{"author":[{"dropping-particle":"","family":"Group","given":"Swiss Re","non-dropping-particle":"","parse-names":false,"suffix":""}],"id":"ITEM-3","issued":{"date-parts":[["2021"]]},"title":"All change : how COVID-19 is transforming consumer behaviour « Customers ' digital experiences across industries are creating","type":"article-magazine"},"uris":["http://www.mendeley.com/documents/?uuid=895e485d-9b28-4381-9364-7bc6a7a51926"]},{"id":"ITEM-4","itemData":{"DOI":"10.1016/j.jbusres.2020.05.034","ISSN":"01482963","abstract":"The Covid-19 pandemic has disrupted business schools worldwide mainly through the shift to emergency remote teaching. I provide a rudimentary framework to understand this transformation through recognizing the changes in the university, the business world and the student. This disruption is going to lead to a decade-long technology-led remaking of business education. Finally, I share a triphasic model that maps the evolution of online learning in business schools.","author":[{"dropping-particle":"","family":"Krishnamurthy","given":"Sandeep","non-dropping-particle":"","parse-names":false,"suffix":""}],"container-title":"Journal of Business Research","id":"ITEM-4","issue":"May","issued":{"date-parts":[["2020"]]},"note":"oxi gia modelo . gia tourman isos gia new trends","page":"1-5","publisher":"Elsevier","title":"The future of business education: A commentary in the shadow of the Covid-19 pandemic","type":"article-journal","volume":"117"},"uris":["http://www.mendeley.com/documents/?uuid=cbf080e0-0d83-4110-8ddc-e85a42940b75"]}],"mendeley":{"formattedCitation":"(Donthu and Gustafsson, 2020; Krishnamurthy, 2020; Sheth, 2020; Group &lt;i&gt;et al.&lt;/i&gt;, 2021)","manualFormatting":"(Donthu and Gustafsson, 2020; Krishnamurthy, 2020; Sheth, 2020; Swiss Group et al., 2021","plainTextFormattedCitation":"(Donthu and Gustafsson, 2020; Krishnamurthy, 2020; Sheth, 2020; Group et al., 2021)","previouslyFormattedCitation":"(Donthu and Gustafsson, 2020; Krishnamurthy, 2020; Sheth, 2020; Group &lt;i&gt;et al.&lt;/i&gt;, 2021)"},"properties":{"noteIndex":0},"schema":"https://github.com/citation-style-language/schema/raw/master/csl-citation.json"}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(Donthu and Gustafsson, 2020; Krishnamurthy, 2020; Sheth, 2020; Group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2021</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{"citationItems":[{"id":"ITEM-1","itemData":{"DOI":"10.1177/0972063420940834","ISBN":"0972063420","ISSN":"09730729","abstract":"A critical situation pushes human behaviour towards different directions with some aspects of behaviour being irrevocable. COVID-19 pandemic is not a normal crisis, and to control the spread of disease various measures were taken including complete and then partial lockdown. Since all elements of the economy are intricately interrelated with public health measures and lockdown, this resulted in economic instabilities of the nations hinting towards change in market dynamics. In every market, consumers are the drivers of the market competitiveness, growth and economic integration. With economic instability, consumers are also experiencing a transformation in behaviour, though how much of transformation experienced during the crisis will sustain is a question. This article looks at the consumer behaviour during COVID-19 crisis and in the subsequent lockdown period when the world stood still for more than a quarter of a year. Further, the article attempts to weave through the maze of literature available about consumer behaviour in normal times and in crisis times, strengthens it with the rapid assessment reports culled out by the different consulting organisations during lockdown phase, substantiates the same with first-hand telling and retelling of experiences by consumers and professionals with marketing background to bring up a hypothesis of the pandemic affecting a paradigm shift from consumer materialism to consumer spiritualism. The proposition offers further testable hypotheses for future research to understand consumer sentiments or requirement in buying ‘what is enough’ within the marketing context and how it can be reinforced post-COVID crisis for ensuring sustainability of business models. It would also be interesting to explore the correlates of this forced consumer behaviour with other variables such as learning from crisis, changing needs, personality, nationality, culture, new market segment and age to develop new models of consumer behaviour.","author":[{"dropping-particle":"","family":"Mehta","given":"Seema","non-dropping-particle":"","parse-names":false,"suffix":""},{"dropping-particle":"","family":"Saxena","given":"Tanjul","non-dropping-particle":"","parse-names":false,"suffix":""},{"dropping-particle":"","family":"Purohit","given":"Neetu","non-dropping-particle":"","parse-names":false,"suffix":""}],"container-title":"Journal of Health Management","id":"ITEM-1","issue":"2","issued":{"date-parts":[["2020"]]},"page":"291-301","title":"The New Consumer Behaviour Paradigm amid COVID-19: Permanent or Transient?","type":"article-journal","volume":"22"},"uris":["http://www.mendeley.com/documents/?uuid=8470277f-d2cc-4171-9aaf-3568eeb3c965"]},{"id":"ITEM-2","itemData":{"DOI":"10.2991/assehr.k.201105.010","abstract":"In the modern world, social networks have become one of the main means of communication with consumers. Because of the COVID-19 pandemic, people have become distanced and the role of the Internet has increased more than ever. This channel has become a key means of communication for people. Social networks have become more actively used by companies as platforms for displaying content and communicating with consumers. Consumer behavior has also changed. The article will examine this change, the impact of the pandemic on social networks, digital marketing strategies, and specific examples of how companies used social media marketing strategies during COVID-19. Recommendations will also be offered for adapting digital marketing","author":[{"dropping-particle":"","family":"Arzhanova","given":"K.A.","non-dropping-particle":"","parse-names":false,"suffix":""},{"dropping-particle":"","family":"Beregovskaya","given":"T.A.","non-dropping-particle":"","parse-names":false,"suffix":""},{"dropping-particle":"","family":"Silina","given":"S.A.","non-dropping-particle":"","parse-names":false,"suffix":""}],"id":"ITEM-2","issue":"Rtcov","issued":{"date-parts":[["2020"]]},"page":"50-57","title":"The Impact of the COVID-19 Pandemic on Consumer Behavior and Companies’ Internet Communication Strategies","type":"article-journal","volume":"486"},"uris":["http://www.mendeley.com/documents/?uuid=7690a3e8-8c0c-4474-b7cf-9457542e9865"]}],"mendeley":{"formattedCitation":"(Arzhanova, Beregovskaya and Silina, 2020; Mehta, Saxena and Purohit, 2020)","manualFormatting":"Arzhanova, Beregovskaya and Silina, 2020; Mehta, Saxena and Purohit, 2020)","plainTextFormattedCitation":"(Arzhanova, Beregovskaya and Silina, 2020; Mehta, Saxena and Purohit, 2020)","previouslyFormattedCitation":"(Arzhanova, Beregovskaya and Silina, 2020; Mehta, Saxena and Purohit,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Arzhanova, Beregovskaya and Silina, 2020; Mehta, Saxena and Purohit,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and business – services operational s</w:t>
      </w:r>
      <w:r w:rsidR="00A13D44" w:rsidRPr="00AE7B34">
        <w:rPr>
          <w:rFonts w:ascii="Times New Roman" w:hAnsi="Times New Roman" w:cs="Times New Roman"/>
          <w:color w:val="000000" w:themeColor="text1"/>
          <w:sz w:val="22"/>
          <w:szCs w:val="22"/>
          <w:lang w:val="en-US"/>
        </w:rPr>
        <w:t>hifts</w:t>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fldChar w:fldCharType="begin" w:fldLock="1"/>
      </w:r>
      <w:r w:rsidR="00057F7F" w:rsidRPr="00AE7B34">
        <w:rPr>
          <w:rFonts w:ascii="Times New Roman" w:hAnsi="Times New Roman" w:cs="Times New Roman"/>
          <w:color w:val="000000" w:themeColor="text1"/>
          <w:sz w:val="22"/>
          <w:szCs w:val="22"/>
          <w:lang w:val="en-US"/>
        </w:rPr>
        <w:instrText>ADDIN CSL_CITATION {"citationItems":[{"id":"ITEM-1","itemData":{"DOI":"10.1016/j.jbusres.2020.05.030","ISSN":"01482963","PMID":"32457556","abstract":"In this article, we offer some initial examination on how Covid-19 pandemic can influence the developments of CSR and marketing. We argue that Covid-19 pandemic offers a great opportunity for businesses to shift towards more genuine and authentic CSR and contribute to address urgent global social and environmental challenges. We also discuss some potential directions of how consumer ethical decision making will be shifted to due to the pandemic. In our discussion of marketing, we outline how we believe marketing is being affected by this pandemic and how we think this will change, not only the context of marketing, but how organizations approach their strategic marketing efforts. We end the paper with a identifying a number of potentially fruitful research themes and directions.","author":[{"dropping-particle":"","family":"He","given":"Hongwei","non-dropping-particle":"","parse-names":false,"suffix":""},{"dropping-particle":"","family":"Harris","given":"Lloyd","non-dropping-particle":"","parse-names":false,"suffix":""}],"container-title":"Journal of Business Research","id":"ITEM-1","issue":"May","issued":{"date-parts":[["2020"]]},"note":"kalo na po gia allagi cons beh and csr kia oti to ekanan k mouseia auto","page":"176-182","publisher":"Elsevier","title":"The impact of Covid-19 pandemic on corporate social responsibility and marketing philosophy","type":"article-journal","volume":"116"},"uris":["http://www.mendeley.com/documents/?uuid=6d860f43-85a1-41e8-a53c-e744dbf81b16"]},{"id":"ITEM-2","itemData":{"DOI":"10.1007/s40558-020-00181-3","ISBN":"4055802000181","ISSN":"19434294","abstract":"This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Tourism","id":"ITEM-2","issue":"2","issued":{"date-parts":[["2020"]]},"note":"kalo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-3","itemData":{"DOI":"10.3389/fmed.2020.00223","ISSN":"2296858X","author":[{"dropping-particle":"","family":"Frutos","given":"Roger","non-dropping-particle":"","parse-names":false,"suffix":""},{"dropping-particle":"","family":"Lopez Roig","given":"Marc","non-dropping-particle":"","parse-names":false,"suffix":""},{"dropping-particle":"","family":"Serra-Cobo","given":"Jordi","non-dropping-particle":"","parse-names":false,"suffix":""},{"dropping-particle":"","family":"Devaux","given":"Christian A.","non-dropping-particle":"","parse-names":false,"suffix":""}],"container-title":"Frontiers in Medicine","id":"ITEM-3","issue":"May","issued":{"date-parts":[["2020"]]},"note":"iatriko oxi klao","page":"1-5","title":"COVID-19: The Conjunction of Events Leading to the Coronavirus Pandemic and Lessons to Learn for Future Threats","type":"article-journal","volume":"7"},"uris":["http://www.mendeley.com/documents/?uuid=1ac2fed7-0012-4830-af3f-f1c9bca001c5"]},{"id":"ITEM-4","itemData":{"DOI":"10.1016/j.jbusres.2020.06.008","ISSN":"01482963","abstract":"The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author":[{"dropping-particle":"","family":"Donthu","given":"Naveen","non-dropping-particle":"","parse-names":false,"suffix":""},{"dropping-particle":"","family":"Gustafsson","given":"Anders","non-dropping-particle":"","parse-names":false,"suffix":""}],"container-title":"Journal of Business Research","id":"ITEM-4","issue":"June","issued":{"date-parts":[["2020"]]},"note":"Abtsract \nThe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leadership.\n\n\npolu kalo sos \n\ngia eisagogika kai new trends s allages &amp;amp; chalelnges covid19 \n\naim: In total, there are 13 papers that cover different industry sectors (e.g., tourism, retail, higher education), changes in consumer behavior and\nbusinesses, ethical issues, and aspects related to employees and leadership.","page":"284-289","title":"Effects of COVID-19 on business and research","type":"article-journal","volume":"117"},"uris":["http://www.mendeley.com/documents/?uuid=382c1949-3dc3-427a-a42c-0eb26ff8769c"]},{"id":"ITEM-5","itemData":{"DOI":"10.1016/j.jbusres.2020.05.034","ISSN":"01482963","abstract":"The Covid-19 pandemic has disrupted business schools worldwide mainly through the shift to emergency remote teaching. I provide a rudimentary framework to understand this transformation through recognizing the changes in the university, the business world and the student. This disruption is going to lead to a decade-long technology-led remaking of business education. Finally, I share a triphasic model that maps the evolution of online learning in business schools.","author":[{"dropping-particle":"","family":"Krishnamurthy","given":"Sandeep","non-dropping-particle":"","parse-names":false,"suffix":""}],"container-title":"Journal of Business Research","id":"ITEM-5","issue":"May","issued":{"date-parts":[["2020"]]},"note":"oxi gia modelo . gia tourman isos gia new trends","page":"1-5","publisher":"Elsevier","title":"The future of business education: A commentary in the shadow of the Covid-19 pandemic","type":"article-journal","volume":"117"},"uris":["http://www.mendeley.com/documents/?uuid=cbf080e0-0d83-4110-8ddc-e85a42940b75"]},{"id":"ITEM-6","itemData":{"DOI":"10.1080/02508281.2020.1847422","author":[{"dropping-particle":"","family":"Maditinos","given":"Zisis","non-dropping-particle":"","parse-names":false,"suffix":""},{"dropping-particle":"","family":"Vassiliadis","given":"Christos","non-dropping-particle":"","parse-names":false,"suffix":""},{"dropping-particle":"","family":"Tzavlopoulos","given":"Yannis","non-dropping-particle":"","parse-names":false,"suffix":""},{"dropping-particle":"","family":"Vassiliadis","given":"Serafeim","non-dropping-particle":"","parse-names":false,"suffix":""}],"container-title":"Tourism Recreation Research","id":"ITEM-6","issued":{"date-parts":[["2020","12","13"]]},"note":"kalo gi tin paragrfo me eisasogi se genikes allages covdi19 kai gia festival\n\nprotupo gia to paper modelo na doe pos parousiazei - ti deixnei grafisitka apo sem\nblepe prasino kai mob xroma \n\n\nmethod : a focus group of 10 experienced runners.\n\n- In addition to the race destination issues the research\nrevealed the race conditions issues that are serious for\nthe runners.","page":"1-12","title":"Sports events and the COVID-19 pandemic: assessing runners' intentions for future participation in running events – evidence from Greece","type":"article-journal"},"uris":["http://www.mendeley.com/documents/?uuid=20b1d9d3-b670-4346-b4d3-6a9a03baa361"]},{"id":"ITEM-7","itemData":{"DOI":"10.1016/S2214-109X(20)30110-8","ISSN":"2214109X","PMID":"32199072","author":[{"dropping-particle":"","family":"Lazzerini","given":"Marzia","non-dropping-particle":"","parse-names":false,"suffix":""},{"dropping-particle":"","family":"Putoto","given":"Giovanni","non-dropping-particle":"","parse-names":false,"suffix":""}],"container-title":"The Lancet Global Health","id":"ITEM-7","issue":"5","issued":{"date-parts":[["2020"]]},"note":"iatriko oxi kalo","page":"e641-e642","publisher":"The Author(s). Published by Elsevier Ltd. This is an Open Access article under the CC BY 4.0 license","title":"COVID-19 in Italy: momentous decisions and many uncertainties","type":"article-journal","volume":"8"},"uris":["http://www.mendeley.com/documents/?uuid=6304f0a8-0478-4d2c-81e3-ee426232671b"]},{"id":"ITEM-8","itemData":{"DOI":"10.1016/j.jbusres.2020.05.059","ISSN":"01482963","abstract":"The COVID-19 pandemic and the lockdown and social distancing mandates have disrupted the consumer habits of buying as well as shopping. Consumers are learning to improvise and learn new habits. For example, consumers cannot go to the store, so the store comes to home. While consumers go back to old habits, it is likely that they will be modified by new regulations and procedures in the way consumers shop and buy products and services. New habits will also emerge by technology advances, changing demographics and innovative ways consumers have learned to cope with blurring the work, leisure, and education boundaries.","author":[{"dropping-particle":"","family":"Sheth","given":"Jagdish","non-dropping-particle":"","parse-names":false,"suffix":""}],"container-title":"Journal of Business Research","id":"ITEM-8","issued":{"date-parts":[["2020"]]},"note":"polu kalo gia eisagigi gia museia nad convid and con behh and digital transfromation \n\naim: \nThe purpose of this research paper is to examine the impact of Covid-19 pandemic on consumer behavior.\n\nConlusion: \n1. The lockdown and social distancing to combat the covid-19 virus has generated significant disruptions on consumer behavior. \n2. All con-sumption is time bound and location bound. With time flexibility but location rigidity, consumers have learned to improvise in creative and innovative ways. \n3. The work-life boundaries are now blurred as peoplevwork at home, study at home, and relax at home. \n4. Since the consumer is unable to go to the store, the store has to come to the consumer.As consumers adapt to the house arrest for a prolonged period of time, they are likely to adopt newer technologies which facilitate work,study and consumption in a more convenient manner.\n5. Embracing di-gital technology is likely to modify existing habits. \n\n6. Finally, public policy will also impose new consumption habits especially in public places such as airports, concerts, and public parks.","page":"280-283","publisher":"Elsevier","title":"Impact of Covid-19 on consumer behavior: Will the old habits return or die?","type":"article-journal","volume":"117"},"uris":["http://www.mendeley.com/documents/?uuid=a5280948-1d40-4d4c-ab33-089821bfe292"]},{"id":"ITEM-9","itemData":{"DOI":"10.1016/j.jbusres.2020.06.015","ISSN":"01482963","PMID":"32546875","abstract":"The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Research","id":"ITEM-9","issue":"June","issued":{"date-parts":[["2020"]]},"note":"Polu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research","type":"article-journal","volume":"117"},"uris":["http://www.mendeley.com/documents/?uuid=f7d3cdac-c386-47a5-98b2-0d71b15c1cc6"]},{"id":"ITEM-10","itemData":{"DOI":"10.1016/j.jbusres.2020.05.029","ISSN":"01482963","abstract":"As a worldwide disaster, the COVID-19 crisis is profoundly affecting the development of the global economy and threatening the survival of firms worldwide. It seems unavoidable that this natural disruption has hit the global economy and produced a huge crisis for firms. This study explores how firms in China are innovating their marketing strategies by critically identifying the typology of firms’ marketing innovations using two dimensions, namely, motivation for innovations and the level of collaborative innovations. This research also explores the influence of the external environment, internal advantages (e.g., dynamic capabilities and resource dependence), and characteristics of firms on Chinese firms’ choice and implementation of marketing innovation strategies. It provides valuable insights for firms to respond successfully to similar crisis events in the future.","author":[{"dropping-particle":"","family":"Wang","given":"Yonggui","non-dropping-particle":"","parse-names":false,"suffix":""},{"dropping-particle":"","family":"Hong","given":"Aoran","non-dropping-particle":"","parse-names":false,"suffix":""},{"dropping-particle":"","family":"Li","given":"Xia","non-dropping-particle":"","parse-names":false,"suffix":""},{"dropping-particle":"","family":"Gao","given":"Jia","non-dropping-particle":"","parse-names":false,"suffix":""}],"container-title":"Journal of Business Research","id":"ITEM-10","issue":"May","issued":{"date-parts":[["2020"]]},"note":"oxi kalo\nisos mia anaofra","page":"214-220","publisher":"Elsevier","title":"Marketing innovations during a global crisis: A study of China firms’ response to COVID-19","type":"article-journal","volume":"116"},"uris":["http://www.mendeley.com/documents/?uuid=ce186d4c-07c9-48f4-aedd-30389cfe309b"]},{"id":"ITEM-11","itemData":{"abstract":"This second report COVID-19 Related Travel Restrictions – A Global Review for Tourism was developed by the World Tourism Organization’s (UNWTO) Sustainable Development of Tourism Department. The report was prepared under the supervision of Dr. Dirk Glaesser with lead contributions from Lorna Hartantyo, Marianna Stori and Cordula Wohlmuther. Virginia Fernández-Trapa reviewed and provided feedback to the report. Comments on the previous version of this report were provided by Sandra Carvao, Orianne Derrier, Hernán Epstein, Harry Hwang, Beka Jakeli and Merjen Meretgulyyeva. Layout of the cover was provided by Alberto G. Uceda and layout of the report by Javier P. Spuch. We wish to thank Mrs Fiona Barron and Mr Rodolfo Losada from the World Food Programme for the clarifications and support provided.","author":[{"dropping-particle":"","family":"World Tourism Organization (UNWTO)","given":"","non-dropping-particle":"","parse-names":false,"suffix":""}],"container-title":"World Tourism Organization","id":"ITEM-11","issue":"April","issued":{"date-parts":[["2020"]]},"note":"kalo os vasi \n\n\nIntroduction - SOS\n\n\n7. Conclusions\n\n- Destinations continue to ease travel\nrestrictions. The analysis shows that there\nare various factors influencing thi trend\nDestinations with a higher score of the\nhealth and hygiene indicator as well as\nlow infection rates are among those which\neased restrictions faster than destinations of\ndifferent characteristics. Also, the importance\nof tourism is, although not in all countries,\ninfluencing that borders are getting reopened.\n\n\n\n0- However, many countries still keep their borders closed with impacts not only for international tourism but significant side effects for their economies and societies.\n\n\n- \nGovernments in destinations that have eased\nrestrictions continue to indicate that travel\nrestrictions will be reintroduced in case of\nincreasing infection rates at any time. These\ntravel\noften\nrestrictions\nrapid changes in\nremain a major challenge. Consequently,\nimmigration procedures and requirements will\ndiffer from destination to destination, which is\nespecially challenging for the consistency of\ninformation on procedures and requirements\nacross the different national authorities,\nnamely health, foreign affairs, immigration\nand tourism authorities of a country.\n\n\n- It is now, especially in view of the upcoming\nfast changing procedures and requirements,\neven more important that national authorities\nensure that immigration procedures and\nrequirements are provided in a timely, reliable \nand consistent manner across all information\nsystems and platforms, to maintain confidence\nand trust.\n\nProportionate and responsible opening\nof borders for international tourism\n\n\n\nWith seven months of the pandemic in place,\nlessons learned from attempts of limiting the\nspread of COVID-19 have become available.\nOne of the lessons might be that through\nsocial distancing and\ntesting and tracing,\nrelevant\nas hand\nhygiene measure such\nwashing and the wearing of mask the spread of\ninfection can be limited. Based on this and on\nthe introduction of protocols and procedures\nin general and in tourism in particular, reasons\nand justification for lifting and easing travel\nrestrictions might be provided.","page":"1-11","title":"Covid - 19 related travel restrictions a global review for tourism","type":"article-journal"},"uris":["http://www.mendeley.com/documents/?uuid=37b18eff-d4df-4966-8daf-6112820eb729"]},{"id":"ITEM-12","itemData":{"DOI":"10.1080/09540962.2020.1764206","ISSN":"14679302","abstract":"In an unexpected circumstance, such as the COVID-19 pandemic, public service delivery cannot be suspended, but must be delivered online, relying on the available digital technology. Social media, specifically, have been widely used to reach a broader portion of the population. This article discusses the digital acceleration that governments and organizations are now facing. The focus is on Italian state museums, which have been pushed for years to adopt digital tools to increase participation. This article highlights three main dilemmas in service delivery: user engagement; planning and control; and costs. The three dilemmas show the social and organizational challenges connected to digital transformation, underlining the issues that organizations will have to face in the future and not just in an emergency such as COVID-19.IMPACT: How should public sector institutions use digital technologies for service delivery in unexpected circumstances, such as the COVID-19 pandemic? Starting from the empirical setting of 100 Italian state museums, this article shows how digital technologies, and social media particularly, can be a powerful tool for public service delivery when an onsite service cannot be provided. The authors explain the benefits of online service delivery, for example broader audiences and new ways of interacting with users. They also highlight areas that need discussion and further research, for example whether online services should be provided with a fee or free and the trade-off between carefully planning a digital transformation and reacting promptly to catastrophic events.","author":[{"dropping-particle":"","family":"Agostino","given":"Deborah","non-dropping-particle":"","parse-names":false,"suffix":""},{"dropping-particle":"","family":"Arnaboldi","given":"Michela","non-dropping-particle":"","parse-names":false,"suffix":""},{"dropping-particle":"","family":"Lema","given":"Melisa Diaz","non-dropping-particle":"","parse-names":false,"suffix":""}],"container-title":"Public Money and Management","id":"ITEM-12","issue":"0","issued":{"date-parts":[["2020"]]},"note":"abtsract :\nThis article highlights three main dilemmas in service delivery:\nuser engagement; planning and control; and costs. The three dilemmas show the social and\norganizational challenges connected to digital transformation, underlining the issues that\norganizations will have to face in the future and not just in an emergency such as COVID-19.\n\nStarting from the empirical setting of 100\nItalian state museums, this article shows how digital technologies, and social media\nparticularly, can be a powerful tool for public service delivery when an onsite service cannot\nbe provided.\n\n\nConlusions \n\nConcluding remarks\nCOVID-19 has acted as an accelerator for digital\ntransformation in public service delivery. The\nempirical evidence from 100 Italian state museums, currently closed to the public and with digital service delivery as their only option, is an extreme case.\n\n\n- \nOur three dilemmas highlight issues that we will\nhave to face in the future, not only in an emergency\nsuch as COVID-19, but also more routinely in the\nchallenge of digital transformation. \n\n- These issues are\nonly partially linked to technology, which is\nobviously an enabler but, more specifically, they\nbring up the social and organizational challenges\nconnected to digital transformations. \n\n- Users are more\nthan service recipients who want, and can easily\nhave (through social media and other digital\ntechnologies), a voice. \n\n- Information can be collected and services personalized but, paradoxically, the\nsearch for the best ‘tailor-made’ technology can\ncause delays and rigidity, as can be seen in several service delivery aspects, from pricing to planning and preparing an offer. \n- Novel transformational skills\nwill be key to dealing with this new setting; these may be new professional roles and competences, flexible assets or other resources. However, there is clearly an urgent need for further research to find the best way forward.","page":"1-4","publisher":"Taylor &amp; Francis","title":"New development: COVID-19 as an accelerator of digital transformation in public service delivery","type":"article-journal","volume":"0"},"uris":["http://www.mendeley.com/documents/?uuid=0dc499cd-9dc9-4263-a596-ac5b022eef2a"]}],"mendeley":{"formattedCitation":"(Agostino, Arnaboldi and Lema, 2020; Donthu and Gustafsson, 2020; Wang &lt;i&gt;et al.&lt;/i&gt;, 2020; World Tourism Organization (UNWTO), 2020; Frutos &lt;i&gt;et al.&lt;/i&gt;, 2020; Gretzel &lt;i&gt;et al.&lt;/i&gt;, 2020; He and Harris, 2020; Krishnamurthy, 2020; Lazzerini and Putoto, 2020; Maditinos &lt;i&gt;et al.&lt;/i&gt;, 2020; Sheth, 2020; Sigala, 2020)","manualFormatting":"(Agostino, Arnaboldi and Lema, 2020; Donthu and Gustafsson, 2020; Wang et al., 2020; World Tourism Organization (UNWTO), 2020; Frutos et al., 2020; Gretzel et al., 2020a; He and Harris, 2020; Krishnamurthy, 2020; Lazzerini and Putoto, 2020; Maditinos et al., 2020; Sheth, 2020; Sigala, 2020","plainTextFormattedCitation":"(Agostino, Arnaboldi and Lema, 2020; Donthu and Gustafsson, 2020; Wang et al., 2020; World Tourism Organization (UNWTO), 2020; Frutos et al., 2020; Gretzel et al., 2020; He and Harris, 2020; Krishnamurthy, 2020; Lazzerini and Putoto, 2020; Maditinos et al., 2020; Sheth, 2020; Sigala, 2020)","previouslyFormattedCitation":"(Agostino, Arnaboldi and Lema, 2020; Donthu and Gustafsson, 2020; Wang &lt;i&gt;et al.&lt;/i&gt;, 2020; World Tourism Organization (UNWTO), 2020; Frutos &lt;i&gt;et al.&lt;/i&gt;, 2020; Gretzel &lt;i&gt;et al.&lt;/i&gt;, 2020; He and Harris, 2020; Krishnamurthy, 2020; Lazzerini and Putoto, 2020; Maditinos &lt;i&gt;et al.&lt;/i&gt;, 2020; Sheth, 2020; Sigala,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(Agostino, Arnaboldi and Lema, 2020; Donthu and Gustafsson, 2020; Wang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 World Tourism Organization (UNWTO), 2020; Frutos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 Gretzel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2020a; He and Harris, 2020; Krishnamurthy, 2020; Lazzerini and Putoto, 2020; Maditinos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2020; Sheth, 2020; Sigala,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Recovery","id":"ITEM-1","issued":{"date-parts":[["2020"]]},"note":"SOS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Academia.edu","type":"book"},"uris":["http://www.mendeley.com/documents/?uuid=38ef854f-ed7c-40eb-9ee5-9934347b68e0"]}],"mendeley":{"formattedCitation":"(Course and Systems, 2020)","manualFormatting":";Course and Systems, 2020)","plainTextFormattedCitation":"(Course and Systems, 2020)","previouslyFormattedCitation":"(Course and Systems,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;Course and Systems,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w:t>
      </w:r>
    </w:p>
    <w:p w14:paraId="2D71CEF6" w14:textId="03AE7506" w:rsidR="00B803E8" w:rsidRPr="00AE7B34" w:rsidRDefault="00B803E8" w:rsidP="00A13D44">
      <w:pPr>
        <w:tabs>
          <w:tab w:val="left" w:pos="709"/>
        </w:tabs>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ab/>
      </w:r>
      <w:r w:rsidR="006C37DC" w:rsidRPr="00AE7B34">
        <w:rPr>
          <w:rFonts w:ascii="Times New Roman" w:hAnsi="Times New Roman" w:cs="Times New Roman"/>
          <w:color w:val="000000" w:themeColor="text1"/>
          <w:sz w:val="22"/>
          <w:szCs w:val="22"/>
          <w:lang w:val="en-US"/>
        </w:rPr>
        <w:t>With regard to</w:t>
      </w:r>
      <w:r w:rsidRPr="00AE7B34">
        <w:rPr>
          <w:rFonts w:ascii="Times New Roman" w:hAnsi="Times New Roman" w:cs="Times New Roman"/>
          <w:color w:val="000000" w:themeColor="text1"/>
          <w:sz w:val="22"/>
          <w:szCs w:val="22"/>
          <w:lang w:val="en-US"/>
        </w:rPr>
        <w:t xml:space="preserve"> shifts in consumer behavior,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{"citationItems":[{"id":"ITEM-1","itemData":{"DOI":"10.1016/j.jbusres.2020.05.059","ISSN":"01482963","abstract":"The COVID-19 pandemic and the lockdown and social distancing mandates have disrupted the consumer habits of buying as well as shopping. Consumers are learning to improvise and learn new habits. For example, consumers cannot go to the store, so the store comes to home. While consumers go back to old habits, it is likely that they will be modified by new regulations and procedures in the way consumers shop and buy products and services. New habits will also emerge by technology advances, changing demographics and innovative ways consumers have learned to cope with blurring the work, leisure, and education boundaries.","author":[{"dropping-particle":"","family":"Sheth","given":"Jagdish","non-dropping-particle":"","parse-names":false,"suffix":""}],"container-title":"Journal of Business Research","id":"ITEM-1","issued":{"date-parts":[["2020"]]},"note":"polu kalo gia eisagigi gia museia nad convid and con behh and digital transfromation \n\naim: \nThe purpose of this research paper is to examine the impact of Covid-19 pandemic on consumer behavior.\n\nConlusion: \n1. The lockdown and social distancing to combat the covid-19 virus has generated significant disruptions on consumer behavior. \n2. All con-sumption is time bound and location bound. With time flexibility but location rigidity, consumers have learned to improvise in creative and innovative ways. \n3. The work-life boundaries are now blurred as peoplevwork at home, study at home, and relax at home. \n4. Since the consumer is unable to go to the store, the store has to come to the consumer.As consumers adapt to the house arrest for a prolonged period of time, they are likely to adopt newer technologies which facilitate work,study and consumption in a more convenient manner.\n5. Embracing di-gital technology is likely to modify existing habits. \n\n6. Finally, public policy will also impose new consumption habits especially in public places such as airports, concerts, and public parks.","page":"280-283","publisher":"Elsevier","title":"Impact of Covid-19 on consumer behavior: Will the old habits return or die?","type":"article-journal","volume":"117"},"uris":["http://www.mendeley.com/documents/?uuid=a5280948-1d40-4d4c-ab33-089821bfe292"]}],"mendeley":{"formattedCitation":"(Sheth, 2020)","manualFormatting":"Sheth (2020)","plainTextFormattedCitation":"(Sheth, 2020)","previouslyFormattedCitation":"(Sheth,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Sheth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analyzing the post </w:t>
      </w:r>
      <w:r w:rsidR="00496BF3" w:rsidRPr="00AE7B34">
        <w:rPr>
          <w:rFonts w:ascii="Times New Roman" w:hAnsi="Times New Roman" w:cs="Times New Roman"/>
          <w:color w:val="000000" w:themeColor="text1"/>
          <w:sz w:val="22"/>
          <w:szCs w:val="22"/>
          <w:lang w:val="en-US"/>
        </w:rPr>
        <w:t xml:space="preserve">pandemic </w:t>
      </w:r>
      <w:r w:rsidRPr="00AE7B34">
        <w:rPr>
          <w:rFonts w:ascii="Times New Roman" w:hAnsi="Times New Roman" w:cs="Times New Roman"/>
          <w:color w:val="000000" w:themeColor="text1"/>
          <w:sz w:val="22"/>
          <w:szCs w:val="22"/>
          <w:lang w:val="en-US"/>
        </w:rPr>
        <w:t>era in consumer behavior identifies the following eight behavioral patterns. (1) “Hoarding” and its relevant tendency of consumers for stockpiling</w:t>
      </w:r>
      <w:r w:rsidR="00496BF3"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(2) “Improvisation” of consumers to find solutions toward the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constraints, (3) “Pent- Up Demand”, and postponement of discretionary products such as sport, luxury good, tourism, restaurants, automobiles, homes</w:t>
      </w:r>
      <w:r w:rsidR="006C37DC" w:rsidRPr="00AE7B34">
        <w:rPr>
          <w:rFonts w:ascii="Times New Roman" w:hAnsi="Times New Roman" w:cs="Times New Roman"/>
          <w:color w:val="000000" w:themeColor="text1"/>
          <w:sz w:val="22"/>
          <w:szCs w:val="22"/>
          <w:lang w:val="en-US"/>
        </w:rPr>
        <w:t xml:space="preserve"> are </w:t>
      </w:r>
      <w:r w:rsidR="00515A1B" w:rsidRPr="00AE7B34">
        <w:rPr>
          <w:rFonts w:ascii="Times New Roman" w:hAnsi="Times New Roman" w:cs="Times New Roman"/>
          <w:color w:val="000000" w:themeColor="text1"/>
          <w:sz w:val="22"/>
          <w:szCs w:val="22"/>
          <w:lang w:val="en-US"/>
        </w:rPr>
        <w:t>prototypical</w:t>
      </w:r>
      <w:r w:rsidR="00344DF7" w:rsidRPr="00AE7B34">
        <w:rPr>
          <w:rFonts w:ascii="Times New Roman" w:hAnsi="Times New Roman" w:cs="Times New Roman"/>
          <w:color w:val="000000" w:themeColor="text1"/>
          <w:sz w:val="22"/>
          <w:szCs w:val="22"/>
          <w:lang w:val="en-US"/>
        </w:rPr>
        <w:t xml:space="preserve"> lockdown</w:t>
      </w:r>
      <w:r w:rsidR="00515A1B" w:rsidRPr="00AE7B34">
        <w:rPr>
          <w:rFonts w:ascii="Times New Roman" w:hAnsi="Times New Roman" w:cs="Times New Roman"/>
          <w:color w:val="000000" w:themeColor="text1"/>
          <w:sz w:val="22"/>
          <w:szCs w:val="22"/>
          <w:lang w:val="en-US"/>
        </w:rPr>
        <w:t xml:space="preserve"> behaviors</w:t>
      </w:r>
      <w:r w:rsidRPr="00AE7B34">
        <w:rPr>
          <w:rFonts w:ascii="Times New Roman" w:hAnsi="Times New Roman" w:cs="Times New Roman"/>
          <w:color w:val="000000" w:themeColor="text1"/>
          <w:sz w:val="22"/>
          <w:szCs w:val="22"/>
          <w:lang w:val="en-US"/>
        </w:rPr>
        <w:t xml:space="preserve">. </w:t>
      </w:r>
      <w:r w:rsidR="00496BF3" w:rsidRPr="00AE7B34">
        <w:rPr>
          <w:rFonts w:ascii="Times New Roman" w:hAnsi="Times New Roman" w:cs="Times New Roman"/>
          <w:color w:val="000000" w:themeColor="text1"/>
          <w:sz w:val="22"/>
          <w:szCs w:val="22"/>
          <w:lang w:val="en-US"/>
        </w:rPr>
        <w:t>Next</w:t>
      </w:r>
      <w:r w:rsidRPr="00AE7B34">
        <w:rPr>
          <w:rFonts w:ascii="Times New Roman" w:hAnsi="Times New Roman" w:cs="Times New Roman"/>
          <w:color w:val="000000" w:themeColor="text1"/>
          <w:sz w:val="22"/>
          <w:szCs w:val="22"/>
          <w:lang w:val="en-US"/>
        </w:rPr>
        <w:t>, (4</w:t>
      </w:r>
      <w:r w:rsidR="005D5CE2" w:rsidRPr="00AE7B34">
        <w:rPr>
          <w:rFonts w:ascii="Times New Roman" w:hAnsi="Times New Roman" w:cs="Times New Roman"/>
          <w:color w:val="000000" w:themeColor="text1"/>
          <w:sz w:val="22"/>
          <w:szCs w:val="22"/>
          <w:lang w:val="en-US"/>
        </w:rPr>
        <w:t>)” Embracing</w:t>
      </w:r>
      <w:r w:rsidRPr="00AE7B34">
        <w:rPr>
          <w:rFonts w:ascii="Times New Roman" w:hAnsi="Times New Roman" w:cs="Times New Roman"/>
          <w:color w:val="000000" w:themeColor="text1"/>
          <w:sz w:val="22"/>
          <w:szCs w:val="22"/>
          <w:lang w:val="en-US"/>
        </w:rPr>
        <w:t xml:space="preserve"> Digital Technology”, (5) “Store Comes to Home” likely to work, education and purchasing, (6) “Blurring Work- Life </w:t>
      </w:r>
      <w:r w:rsidR="00CC695B" w:rsidRPr="00AE7B34">
        <w:rPr>
          <w:rFonts w:ascii="Times New Roman" w:hAnsi="Times New Roman" w:cs="Times New Roman"/>
          <w:color w:val="000000" w:themeColor="text1"/>
          <w:sz w:val="22"/>
          <w:szCs w:val="22"/>
          <w:lang w:val="en-US"/>
        </w:rPr>
        <w:t>Boundaries” emerged.</w:t>
      </w:r>
      <w:r w:rsidRPr="00AE7B34">
        <w:rPr>
          <w:rFonts w:ascii="Times New Roman" w:hAnsi="Times New Roman" w:cs="Times New Roman"/>
          <w:color w:val="000000" w:themeColor="text1"/>
          <w:sz w:val="22"/>
          <w:szCs w:val="22"/>
          <w:lang w:val="en-US"/>
        </w:rPr>
        <w:t xml:space="preserve"> </w:t>
      </w:r>
      <w:r w:rsidR="00A27697" w:rsidRPr="00AE7B34">
        <w:rPr>
          <w:rFonts w:ascii="Times New Roman" w:hAnsi="Times New Roman" w:cs="Times New Roman"/>
          <w:color w:val="000000" w:themeColor="text1"/>
          <w:sz w:val="22"/>
          <w:szCs w:val="22"/>
          <w:lang w:val="en-US"/>
        </w:rPr>
        <w:t xml:space="preserve">Upon </w:t>
      </w:r>
      <w:r w:rsidR="00CC695B" w:rsidRPr="00AE7B34">
        <w:rPr>
          <w:rFonts w:ascii="Times New Roman" w:hAnsi="Times New Roman" w:cs="Times New Roman"/>
          <w:color w:val="000000" w:themeColor="text1"/>
          <w:sz w:val="22"/>
          <w:szCs w:val="22"/>
          <w:lang w:val="en-US"/>
        </w:rPr>
        <w:t>the restricted</w:t>
      </w:r>
      <w:r w:rsidR="00A27697" w:rsidRPr="00AE7B34">
        <w:rPr>
          <w:rFonts w:ascii="Times New Roman" w:hAnsi="Times New Roman" w:cs="Times New Roman"/>
          <w:color w:val="000000" w:themeColor="text1"/>
          <w:sz w:val="22"/>
          <w:szCs w:val="22"/>
          <w:lang w:val="en-US"/>
        </w:rPr>
        <w:t xml:space="preserve"> daily routine </w:t>
      </w:r>
      <w:r w:rsidRPr="00AE7B34">
        <w:rPr>
          <w:rFonts w:ascii="Times New Roman" w:hAnsi="Times New Roman" w:cs="Times New Roman"/>
          <w:color w:val="000000" w:themeColor="text1"/>
          <w:sz w:val="22"/>
          <w:szCs w:val="22"/>
          <w:lang w:val="en-US"/>
        </w:rPr>
        <w:t>in the time of COVI</w:t>
      </w:r>
      <w:r w:rsidR="001B7F42" w:rsidRPr="00AE7B34">
        <w:rPr>
          <w:rFonts w:ascii="Times New Roman" w:hAnsi="Times New Roman" w:cs="Times New Roman"/>
          <w:color w:val="000000" w:themeColor="text1"/>
          <w:sz w:val="22"/>
          <w:szCs w:val="22"/>
          <w:lang w:val="en-US"/>
        </w:rPr>
        <w:t>D-</w:t>
      </w:r>
      <w:r w:rsidRPr="00AE7B34">
        <w:rPr>
          <w:rFonts w:ascii="Times New Roman" w:hAnsi="Times New Roman" w:cs="Times New Roman"/>
          <w:color w:val="000000" w:themeColor="text1"/>
          <w:sz w:val="22"/>
          <w:szCs w:val="22"/>
          <w:lang w:val="en-US"/>
        </w:rPr>
        <w:t>19</w:t>
      </w:r>
      <w:r w:rsidR="00344DF7"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(7) “Reunions with Friends &amp; Family” </w:t>
      </w:r>
      <w:r w:rsidR="00496BF3" w:rsidRPr="00AE7B34">
        <w:rPr>
          <w:rFonts w:ascii="Times New Roman" w:hAnsi="Times New Roman" w:cs="Times New Roman"/>
          <w:color w:val="000000" w:themeColor="text1"/>
          <w:sz w:val="22"/>
          <w:szCs w:val="22"/>
          <w:lang w:val="en-US"/>
        </w:rPr>
        <w:t>f</w:t>
      </w:r>
      <w:r w:rsidRPr="00AE7B34">
        <w:rPr>
          <w:rFonts w:ascii="Times New Roman" w:hAnsi="Times New Roman" w:cs="Times New Roman"/>
          <w:color w:val="000000" w:themeColor="text1"/>
          <w:sz w:val="22"/>
          <w:szCs w:val="22"/>
          <w:lang w:val="en-US"/>
        </w:rPr>
        <w:t>o</w:t>
      </w:r>
      <w:r w:rsidR="00496BF3" w:rsidRPr="00AE7B34">
        <w:rPr>
          <w:rFonts w:ascii="Times New Roman" w:hAnsi="Times New Roman" w:cs="Times New Roman"/>
          <w:color w:val="000000" w:themeColor="text1"/>
          <w:sz w:val="22"/>
          <w:szCs w:val="22"/>
          <w:lang w:val="en-US"/>
        </w:rPr>
        <w:t>r</w:t>
      </w:r>
      <w:r w:rsidRPr="00AE7B34">
        <w:rPr>
          <w:rFonts w:ascii="Times New Roman" w:hAnsi="Times New Roman" w:cs="Times New Roman"/>
          <w:color w:val="000000" w:themeColor="text1"/>
          <w:sz w:val="22"/>
          <w:szCs w:val="22"/>
          <w:lang w:val="en-US"/>
        </w:rPr>
        <w:t xml:space="preserve"> stay</w:t>
      </w:r>
      <w:r w:rsidR="00496BF3" w:rsidRPr="00AE7B34">
        <w:rPr>
          <w:rFonts w:ascii="Times New Roman" w:hAnsi="Times New Roman" w:cs="Times New Roman"/>
          <w:color w:val="000000" w:themeColor="text1"/>
          <w:sz w:val="22"/>
          <w:szCs w:val="22"/>
          <w:lang w:val="en-US"/>
        </w:rPr>
        <w:t>ing</w:t>
      </w:r>
      <w:r w:rsidRPr="00AE7B34">
        <w:rPr>
          <w:rFonts w:ascii="Times New Roman" w:hAnsi="Times New Roman" w:cs="Times New Roman"/>
          <w:color w:val="000000" w:themeColor="text1"/>
          <w:sz w:val="22"/>
          <w:szCs w:val="22"/>
          <w:lang w:val="en-US"/>
        </w:rPr>
        <w:t xml:space="preserve"> social beings despite the </w:t>
      </w:r>
      <w:r w:rsidR="00CC695B" w:rsidRPr="00AE7B34">
        <w:rPr>
          <w:rFonts w:ascii="Times New Roman" w:hAnsi="Times New Roman" w:cs="Times New Roman"/>
          <w:color w:val="000000" w:themeColor="text1"/>
          <w:sz w:val="22"/>
          <w:szCs w:val="22"/>
          <w:lang w:val="en-US"/>
        </w:rPr>
        <w:t xml:space="preserve">confinement, </w:t>
      </w:r>
      <w:proofErr w:type="gramStart"/>
      <w:r w:rsidR="00CC695B" w:rsidRPr="00AE7B34">
        <w:rPr>
          <w:rFonts w:ascii="Times New Roman" w:hAnsi="Times New Roman" w:cs="Times New Roman"/>
          <w:color w:val="000000" w:themeColor="text1"/>
          <w:sz w:val="22"/>
          <w:szCs w:val="22"/>
          <w:lang w:val="en-US"/>
        </w:rPr>
        <w:t>and</w:t>
      </w:r>
      <w:r w:rsidR="00515A1B" w:rsidRPr="00AE7B34">
        <w:rPr>
          <w:rFonts w:ascii="Times New Roman" w:hAnsi="Times New Roman" w:cs="Times New Roman"/>
          <w:color w:val="000000" w:themeColor="text1"/>
          <w:sz w:val="22"/>
          <w:szCs w:val="22"/>
          <w:lang w:val="en-US"/>
        </w:rPr>
        <w:t>,</w:t>
      </w:r>
      <w:proofErr w:type="gramEnd"/>
      <w:r w:rsidR="00515A1B"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(8) Discovery of Talent given the plenty time of “stay at home” mode</w:t>
      </w:r>
      <w:r w:rsidR="006C37DC" w:rsidRPr="00AE7B34">
        <w:rPr>
          <w:rFonts w:ascii="Times New Roman" w:hAnsi="Times New Roman" w:cs="Times New Roman"/>
          <w:color w:val="000000" w:themeColor="text1"/>
          <w:sz w:val="22"/>
          <w:szCs w:val="22"/>
          <w:lang w:val="en-US"/>
        </w:rPr>
        <w:t xml:space="preserve"> </w:t>
      </w:r>
      <w:r w:rsidR="00A27697" w:rsidRPr="00AE7B34">
        <w:rPr>
          <w:rFonts w:ascii="Times New Roman" w:hAnsi="Times New Roman" w:cs="Times New Roman"/>
          <w:color w:val="000000" w:themeColor="text1"/>
          <w:sz w:val="22"/>
          <w:szCs w:val="22"/>
          <w:lang w:val="en-US"/>
        </w:rPr>
        <w:t xml:space="preserve">rise </w:t>
      </w:r>
      <w:r w:rsidR="00353D50" w:rsidRPr="00AE7B34">
        <w:rPr>
          <w:rFonts w:ascii="Times New Roman" w:hAnsi="Times New Roman" w:cs="Times New Roman"/>
          <w:color w:val="000000" w:themeColor="text1"/>
          <w:sz w:val="22"/>
          <w:szCs w:val="22"/>
          <w:lang w:val="en-US"/>
        </w:rPr>
        <w:t>as new</w:t>
      </w:r>
      <w:r w:rsidR="006C37DC" w:rsidRPr="00AE7B34">
        <w:rPr>
          <w:rFonts w:ascii="Times New Roman" w:hAnsi="Times New Roman" w:cs="Times New Roman"/>
          <w:color w:val="000000" w:themeColor="text1"/>
          <w:sz w:val="22"/>
          <w:szCs w:val="22"/>
          <w:lang w:val="en-US"/>
        </w:rPr>
        <w:t xml:space="preserve"> pattern</w:t>
      </w:r>
      <w:r w:rsidR="00515A1B" w:rsidRPr="00AE7B34">
        <w:rPr>
          <w:rFonts w:ascii="Times New Roman" w:hAnsi="Times New Roman" w:cs="Times New Roman"/>
          <w:color w:val="000000" w:themeColor="text1"/>
          <w:sz w:val="22"/>
          <w:szCs w:val="22"/>
          <w:lang w:val="en-US"/>
        </w:rPr>
        <w:t>s</w:t>
      </w:r>
      <w:r w:rsidR="00344DF7" w:rsidRPr="00AE7B34">
        <w:rPr>
          <w:rFonts w:ascii="Times New Roman" w:hAnsi="Times New Roman" w:cs="Times New Roman"/>
          <w:color w:val="000000" w:themeColor="text1"/>
          <w:sz w:val="22"/>
          <w:szCs w:val="22"/>
          <w:lang w:val="en-US"/>
        </w:rPr>
        <w:t xml:space="preserve"> </w:t>
      </w:r>
      <w:r w:rsidR="00515A1B" w:rsidRPr="00AE7B34">
        <w:rPr>
          <w:rFonts w:ascii="Times New Roman" w:hAnsi="Times New Roman" w:cs="Times New Roman"/>
          <w:color w:val="000000" w:themeColor="text1"/>
          <w:sz w:val="22"/>
          <w:szCs w:val="22"/>
          <w:lang w:val="en-US"/>
        </w:rPr>
        <w:t xml:space="preserve">of the </w:t>
      </w:r>
      <w:r w:rsidR="006C37DC" w:rsidRPr="00AE7B34">
        <w:rPr>
          <w:rFonts w:ascii="Times New Roman" w:hAnsi="Times New Roman" w:cs="Times New Roman"/>
          <w:color w:val="000000" w:themeColor="text1"/>
          <w:sz w:val="22"/>
          <w:szCs w:val="22"/>
          <w:lang w:val="en-US"/>
        </w:rPr>
        <w:t>digital life shift</w:t>
      </w:r>
      <w:r w:rsidRPr="00AE7B34">
        <w:rPr>
          <w:rFonts w:ascii="Times New Roman" w:hAnsi="Times New Roman" w:cs="Times New Roman"/>
          <w:color w:val="000000" w:themeColor="text1"/>
          <w:sz w:val="22"/>
          <w:szCs w:val="22"/>
          <w:lang w:val="en-US"/>
        </w:rPr>
        <w:t xml:space="preserve">. Similarly, </w:t>
      </w:r>
      <w:proofErr w:type="spellStart"/>
      <w:r w:rsidRPr="00AE7B34">
        <w:rPr>
          <w:rFonts w:ascii="Times New Roman" w:hAnsi="Times New Roman" w:cs="Times New Roman"/>
          <w:color w:val="000000" w:themeColor="text1"/>
          <w:sz w:val="22"/>
          <w:szCs w:val="22"/>
          <w:lang w:val="en-US"/>
        </w:rPr>
        <w:t>Donthu</w:t>
      </w:r>
      <w:proofErr w:type="spellEnd"/>
      <w:r w:rsidRPr="00AE7B34">
        <w:rPr>
          <w:rFonts w:ascii="Times New Roman" w:hAnsi="Times New Roman" w:cs="Times New Roman"/>
          <w:color w:val="000000" w:themeColor="text1"/>
          <w:sz w:val="22"/>
          <w:szCs w:val="22"/>
          <w:lang w:val="en-US"/>
        </w:rPr>
        <w:t xml:space="preserve"> and Gustafsson</w:t>
      </w:r>
      <w:r w:rsidR="00353D50" w:rsidRPr="00AE7B34">
        <w:rPr>
          <w:rFonts w:ascii="Times New Roman" w:hAnsi="Times New Roman" w:cs="Times New Roman"/>
          <w:color w:val="000000" w:themeColor="text1"/>
          <w:sz w:val="22"/>
          <w:szCs w:val="22"/>
          <w:lang w:val="en-US"/>
        </w:rPr>
        <w:t xml:space="preserve"> (2020)</w:t>
      </w:r>
      <w:r w:rsidRPr="00AE7B34">
        <w:rPr>
          <w:rFonts w:ascii="Times New Roman" w:hAnsi="Times New Roman" w:cs="Times New Roman"/>
          <w:color w:val="000000" w:themeColor="text1"/>
          <w:sz w:val="22"/>
          <w:szCs w:val="22"/>
          <w:lang w:val="en-US"/>
        </w:rPr>
        <w:t xml:space="preserve"> accentuated the </w:t>
      </w:r>
      <w:r w:rsidR="00D22458" w:rsidRPr="00AE7B34">
        <w:rPr>
          <w:rFonts w:ascii="Times New Roman" w:hAnsi="Times New Roman" w:cs="Times New Roman"/>
          <w:color w:val="000000" w:themeColor="text1"/>
          <w:sz w:val="22"/>
          <w:szCs w:val="22"/>
          <w:lang w:val="en-US"/>
        </w:rPr>
        <w:t>positive</w:t>
      </w:r>
      <w:r w:rsidRPr="00AE7B34">
        <w:rPr>
          <w:rFonts w:ascii="Times New Roman" w:hAnsi="Times New Roman" w:cs="Times New Roman"/>
          <w:color w:val="000000" w:themeColor="text1"/>
          <w:sz w:val="22"/>
          <w:szCs w:val="22"/>
          <w:lang w:val="en-US"/>
        </w:rPr>
        <w:t xml:space="preserve"> facets of human behavior caused by social distancing</w:t>
      </w:r>
      <w:r w:rsidR="00496BF3"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such as reconnecting with mental – inner self and a </w:t>
      </w:r>
      <w:r w:rsidR="00D22458" w:rsidRPr="00AE7B34">
        <w:rPr>
          <w:rFonts w:ascii="Times New Roman" w:hAnsi="Times New Roman" w:cs="Times New Roman"/>
          <w:color w:val="000000" w:themeColor="text1"/>
          <w:sz w:val="22"/>
          <w:szCs w:val="22"/>
          <w:lang w:val="en-US"/>
        </w:rPr>
        <w:t>healthier lifestyle</w:t>
      </w:r>
      <w:r w:rsidR="006C37DC" w:rsidRPr="00AE7B34">
        <w:rPr>
          <w:rFonts w:ascii="Times New Roman" w:hAnsi="Times New Roman" w:cs="Times New Roman"/>
          <w:color w:val="000000" w:themeColor="text1"/>
          <w:sz w:val="22"/>
          <w:szCs w:val="22"/>
          <w:lang w:val="en-US"/>
        </w:rPr>
        <w:t>.</w:t>
      </w:r>
      <w:r w:rsidR="00515A1B" w:rsidRPr="00AE7B34">
        <w:rPr>
          <w:rFonts w:ascii="Times New Roman" w:hAnsi="Times New Roman" w:cs="Times New Roman"/>
          <w:color w:val="000000" w:themeColor="text1"/>
          <w:sz w:val="22"/>
          <w:szCs w:val="22"/>
          <w:lang w:val="en-US"/>
        </w:rPr>
        <w:t xml:space="preserve"> </w:t>
      </w:r>
      <w:r w:rsidR="0090554E" w:rsidRPr="00AE7B34">
        <w:rPr>
          <w:rFonts w:ascii="Times New Roman" w:hAnsi="Times New Roman" w:cs="Times New Roman"/>
          <w:color w:val="000000" w:themeColor="text1"/>
          <w:sz w:val="22"/>
          <w:szCs w:val="22"/>
          <w:lang w:val="en-US"/>
        </w:rPr>
        <w:t>Additionally,</w:t>
      </w:r>
      <w:r w:rsidRPr="00AE7B34">
        <w:rPr>
          <w:rFonts w:ascii="Times New Roman" w:hAnsi="Times New Roman" w:cs="Times New Roman"/>
          <w:color w:val="000000" w:themeColor="text1"/>
          <w:sz w:val="22"/>
          <w:szCs w:val="22"/>
          <w:lang w:val="en-US"/>
        </w:rPr>
        <w:t xml:space="preserve"> </w:t>
      </w:r>
      <w:r w:rsidR="00A13D44" w:rsidRPr="00AE7B34">
        <w:rPr>
          <w:rFonts w:ascii="Times New Roman" w:hAnsi="Times New Roman" w:cs="Times New Roman"/>
          <w:color w:val="000000" w:themeColor="text1"/>
          <w:sz w:val="22"/>
          <w:szCs w:val="22"/>
          <w:lang w:val="en-US"/>
        </w:rPr>
        <w:t>t</w:t>
      </w:r>
      <w:r w:rsidRPr="00AE7B34">
        <w:rPr>
          <w:rFonts w:ascii="Times New Roman" w:hAnsi="Times New Roman" w:cs="Times New Roman"/>
          <w:color w:val="000000" w:themeColor="text1"/>
          <w:sz w:val="22"/>
          <w:szCs w:val="22"/>
          <w:lang w:val="en-US"/>
        </w:rPr>
        <w:t>he</w:t>
      </w:r>
      <w:r w:rsidR="00A13D44" w:rsidRPr="00AE7B34">
        <w:rPr>
          <w:rFonts w:ascii="Times New Roman" w:hAnsi="Times New Roman" w:cs="Times New Roman"/>
          <w:color w:val="000000" w:themeColor="text1"/>
          <w:sz w:val="22"/>
          <w:szCs w:val="22"/>
          <w:lang w:val="en-US"/>
        </w:rPr>
        <w:t>y</w:t>
      </w:r>
      <w:r w:rsidRPr="00AE7B34">
        <w:rPr>
          <w:rFonts w:ascii="Times New Roman" w:hAnsi="Times New Roman" w:cs="Times New Roman"/>
          <w:color w:val="000000" w:themeColor="text1"/>
          <w:sz w:val="22"/>
          <w:szCs w:val="22"/>
          <w:lang w:val="en-US"/>
        </w:rPr>
        <w:t xml:space="preserve"> </w:t>
      </w:r>
      <w:r w:rsidR="0064689A" w:rsidRPr="00AE7B34">
        <w:rPr>
          <w:rFonts w:ascii="Times New Roman" w:hAnsi="Times New Roman" w:cs="Times New Roman"/>
          <w:color w:val="000000" w:themeColor="text1"/>
          <w:sz w:val="22"/>
          <w:szCs w:val="22"/>
          <w:lang w:val="en-US"/>
        </w:rPr>
        <w:t>underscored</w:t>
      </w:r>
      <w:r w:rsidRPr="00AE7B34">
        <w:rPr>
          <w:rFonts w:ascii="Times New Roman" w:hAnsi="Times New Roman" w:cs="Times New Roman"/>
          <w:color w:val="000000" w:themeColor="text1"/>
          <w:sz w:val="22"/>
          <w:szCs w:val="22"/>
          <w:lang w:val="en-US"/>
        </w:rPr>
        <w:t xml:space="preserve"> the surge of Internet and social media and he questioned how the </w:t>
      </w:r>
      <w:r w:rsidR="0064689A" w:rsidRPr="00AE7B34">
        <w:rPr>
          <w:rFonts w:ascii="Times New Roman" w:hAnsi="Times New Roman" w:cs="Times New Roman"/>
          <w:color w:val="000000" w:themeColor="text1"/>
          <w:sz w:val="22"/>
          <w:szCs w:val="22"/>
          <w:lang w:val="en-US"/>
        </w:rPr>
        <w:t>post pandemic</w:t>
      </w:r>
      <w:r w:rsidRPr="00AE7B34">
        <w:rPr>
          <w:rFonts w:ascii="Times New Roman" w:hAnsi="Times New Roman" w:cs="Times New Roman"/>
          <w:color w:val="000000" w:themeColor="text1"/>
          <w:sz w:val="22"/>
          <w:szCs w:val="22"/>
          <w:lang w:val="en-US"/>
        </w:rPr>
        <w:t xml:space="preserve"> human </w:t>
      </w:r>
      <w:r w:rsidR="00D22458" w:rsidRPr="00AE7B34">
        <w:rPr>
          <w:rFonts w:ascii="Times New Roman" w:hAnsi="Times New Roman" w:cs="Times New Roman"/>
          <w:color w:val="000000" w:themeColor="text1"/>
          <w:sz w:val="22"/>
          <w:szCs w:val="22"/>
          <w:lang w:val="en-US"/>
        </w:rPr>
        <w:t>behavior</w:t>
      </w:r>
      <w:r w:rsidRPr="00AE7B34">
        <w:rPr>
          <w:rFonts w:ascii="Times New Roman" w:hAnsi="Times New Roman" w:cs="Times New Roman"/>
          <w:color w:val="000000" w:themeColor="text1"/>
          <w:sz w:val="22"/>
          <w:szCs w:val="22"/>
          <w:lang w:val="en-US"/>
        </w:rPr>
        <w:t xml:space="preserve"> will be like. </w:t>
      </w:r>
    </w:p>
    <w:p w14:paraId="021D8677" w14:textId="47612282" w:rsidR="00B803E8" w:rsidRPr="00AE7B34" w:rsidRDefault="006C37DC"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Upon this</w:t>
      </w:r>
      <w:r w:rsidR="00B803E8" w:rsidRPr="00AE7B34">
        <w:rPr>
          <w:rFonts w:ascii="Times New Roman" w:hAnsi="Times New Roman" w:cs="Times New Roman"/>
          <w:color w:val="000000" w:themeColor="text1"/>
          <w:sz w:val="22"/>
          <w:szCs w:val="22"/>
          <w:lang w:val="en-US"/>
        </w:rPr>
        <w:t xml:space="preserve"> black swan event, more recent attention has </w:t>
      </w:r>
      <w:r w:rsidR="00496BF3" w:rsidRPr="00AE7B34">
        <w:rPr>
          <w:rFonts w:ascii="Times New Roman" w:hAnsi="Times New Roman" w:cs="Times New Roman"/>
          <w:color w:val="000000" w:themeColor="text1"/>
          <w:sz w:val="22"/>
          <w:szCs w:val="22"/>
          <w:lang w:val="en-US"/>
        </w:rPr>
        <w:t>explored</w:t>
      </w:r>
      <w:r w:rsidR="00B803E8" w:rsidRPr="00AE7B34">
        <w:rPr>
          <w:rFonts w:ascii="Times New Roman" w:hAnsi="Times New Roman" w:cs="Times New Roman"/>
          <w:color w:val="000000" w:themeColor="text1"/>
          <w:sz w:val="22"/>
          <w:szCs w:val="22"/>
          <w:lang w:val="en-US"/>
        </w:rPr>
        <w:t xml:space="preserve"> the COVID-19 impact on business operations </w:t>
      </w:r>
      <w:r w:rsidR="00B803E8" w:rsidRPr="00AE7B34">
        <w:rPr>
          <w:rFonts w:ascii="Times New Roman" w:hAnsi="Times New Roman" w:cs="Times New Roman"/>
          <w:color w:val="000000" w:themeColor="text1"/>
          <w:sz w:val="22"/>
          <w:szCs w:val="22"/>
          <w:lang w:val="en-US"/>
        </w:rPr>
        <w:fldChar w:fldCharType="begin" w:fldLock="1"/>
      </w:r>
      <w:r w:rsidR="00057F7F" w:rsidRPr="00AE7B34">
        <w:rPr>
          <w:rFonts w:ascii="Times New Roman" w:hAnsi="Times New Roman" w:cs="Times New Roman"/>
          <w:color w:val="000000" w:themeColor="text1"/>
          <w:sz w:val="22"/>
          <w:szCs w:val="22"/>
          <w:lang w:val="en-US"/>
        </w:rPr>
        <w:instrText>ADDIN CSL_CITATION {"citationItems":[{"id":"ITEM-1","itemData":{"DOI":"10.1016/j.jbusres.2020.05.030","ISSN":"01482963","PMID":"32457556","abstract":"In this article, we offer some initial examination on how Covid-19 pandemic can influence the developments of CSR and marketing. We argue that Covid-19 pandemic offers a great opportunity for businesses to shift towards more genuine and authentic CSR and contribute to address urgent global social and environmental challenges. We also discuss some potential directions of how consumer ethical decision making will be shifted to due to the pandemic. In our discussion of marketing, we outline how we believe marketing is being affected by this pandemic and how we think this will change, not only the context of marketing, but how organizations approach their strategic marketing efforts. We end the paper with a identifying a number of potentially fruitful research themes and directions.","author":[{"dropping-particle":"","family":"He","given":"Hongwei","non-dropping-particle":"","parse-names":false,"suffix":""},{"dropping-particle":"","family":"Harris","given":"Lloyd","non-dropping-particle":"","parse-names":false,"suffix":""}],"container-title":"Journal of Business Research","id":"ITEM-1","issue":"May","issued":{"date-parts":[["2020"]]},"note":"kalo na po gia allagi cons beh and csr kia oti to ekanan k mouseia auto","page":"176-182","publisher":"Elsevier","title":"The impact of Covid-19 pandemic on corporate social responsibility and marketing philosophy","type":"article-journal","volume":"116"},"uris":["http://www.mendeley.com/documents/?uuid=6d860f43-85a1-41e8-a53c-e744dbf81b16"]},{"id":"ITEM-2","itemData":{"DOI":"10.1007/s40558-020-00181-3","ISBN":"4055802000181","ISSN":"19434294","abstract":"This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Tourism","id":"ITEM-2","issue":"2","issued":{"date-parts":[["2020"]]},"note":"kalo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-3","itemData":{"DOI":"10.3389/fmed.2020.00223","ISSN":"2296858X","author":[{"dropping-particle":"","family":"Frutos","given":"Roger","non-dropping-particle":"","parse-names":false,"suffix":""},{"dropping-particle":"","family":"Lopez Roig","given":"Marc","non-dropping-particle":"","parse-names":false,"suffix":""},{"dropping-particle":"","family":"Serra-Cobo","given":"Jordi","non-dropping-particle":"","parse-names":false,"suffix":""},{"dropping-particle":"","family":"Devaux","given":"Christian A.","non-dropping-particle":"","parse-names":false,"suffix":""}],"container-title":"Frontiers in Medicine","id":"ITEM-3","issue":"May","issued":{"date-parts":[["2020"]]},"note":"iatriko oxi klao","page":"1-5","title":"COVID-19: The Conjunction of Events Leading to the Coronavirus Pandemic and Lessons to Learn for Future Threats","type":"article-journal","volume":"7"},"uris":["http://www.mendeley.com/documents/?uuid=1ac2fed7-0012-4830-af3f-f1c9bca001c5"]},{"id":"ITEM-4","itemData":{"DOI":"10.1016/j.jbusres.2020.06.008","ISSN":"01482963","abstract":"The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author":[{"dropping-particle":"","family":"Donthu","given":"Naveen","non-dropping-particle":"","parse-names":false,"suffix":""},{"dropping-particle":"","family":"Gustafsson","given":"Anders","non-dropping-particle":"","parse-names":false,"suffix":""}],"container-title":"Journal of Business Research","id":"ITEM-4","issue":"June","issued":{"date-parts":[["2020"]]},"note":"Abtsract \nThe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leadership.\n\n\npolu kalo sos \n\ngia eisagogika kai new trends s allages &amp;amp; chalelnges covid19 \n\naim: In total, there are 13 papers that cover different industry sectors (e.g., tourism, retail, higher education), changes in consumer behavior and\nbusinesses, ethical issues, and aspects related to employees and leadership.","page":"284-289","title":"Effects of COVID-19 on business and research","type":"article-journal","volume":"117"},"uris":["http://www.mendeley.com/documents/?uuid=382c1949-3dc3-427a-a42c-0eb26ff8769c"]},{"id":"ITEM-5","itemData":{"DOI":"10.1016/j.jbusres.2020.05.034","ISSN":"01482963","abstract":"The Covid-19 pandemic has disrupted business schools worldwide mainly through the shift to emergency remote teaching. I provide a rudimentary framework to understand this transformation through recognizing the changes in the university, the business world and the student. This disruption is going to lead to a decade-long technology-led remaking of business education. Finally, I share a triphasic model that maps the evolution of online learning in business schools.","author":[{"dropping-particle":"","family":"Krishnamurthy","given":"Sandeep","non-dropping-particle":"","parse-names":false,"suffix":""}],"container-title":"Journal of Business Research","id":"ITEM-5","issue":"May","issued":{"date-parts":[["2020"]]},"note":"oxi gia modelo . gia tourman isos gia new trends","page":"1-5","publisher":"Elsevier","title":"The future of business education: A commentary in the shadow of the Covid-19 pandemic","type":"article-journal","volume":"117"},"uris":["http://www.mendeley.com/documents/?uuid=cbf080e0-0d83-4110-8ddc-e85a42940b75"]},{"id":"ITEM-6","itemData":{"DOI":"10.1080/02508281.2020.1847422","author":[{"dropping-particle":"","family":"Maditinos","given":"Zisis","non-dropping-particle":"","parse-names":false,"suffix":""},{"dropping-particle":"","family":"Vassiliadis","given":"Christos","non-dropping-particle":"","parse-names":false,"suffix":""},{"dropping-particle":"","family":"Tzavlopoulos","given":"Yannis","non-dropping-particle":"","parse-names":false,"suffix":""},{"dropping-particle":"","family":"Vassiliadis","given":"Serafeim","non-dropping-particle":"","parse-names":false,"suffix":""}],"container-title":"Tourism Recreation Research","id":"ITEM-6","issued":{"date-parts":[["2020","12","13"]]},"note":"kalo gi tin paragrfo me eisasogi se genikes allages covdi19 kai gia festival\n\nprotupo gia to paper modelo na doe pos parousiazei - ti deixnei grafisitka apo sem\nblepe prasino kai mob xroma \n\n\nmethod : a focus group of 10 experienced runners.\n\n- In addition to the race destination issues the research\nrevealed the race conditions issues that are serious for\nthe runners.","page":"1-12","title":"Sports events and the COVID-19 pandemic: assessing runners' intentions for future participation in running events – evidence from Greece","type":"article-journal"},"uris":["http://www.mendeley.com/documents/?uuid=20b1d9d3-b670-4346-b4d3-6a9a03baa361"]},{"id":"ITEM-7","itemData":{"DOI":"10.1016/S2214-109X(20)30110-8","ISSN":"2214109X","PMID":"32199072","author":[{"dropping-particle":"","family":"Lazzerini","given":"Marzia","non-dropping-particle":"","parse-names":false,"suffix":""},{"dropping-particle":"","family":"Putoto","given":"Giovanni","non-dropping-particle":"","parse-names":false,"suffix":""}],"container-title":"The Lancet Global Health","id":"ITEM-7","issue":"5","issued":{"date-parts":[["2020"]]},"note":"iatriko oxi kalo","page":"e641-e642","publisher":"The Author(s). Published by Elsevier Ltd. This is an Open Access article under the CC BY 4.0 license","title":"COVID-19 in Italy: momentous decisions and many uncertainties","type":"article-journal","volume":"8"},"uris":["http://www.mendeley.com/documents/?uuid=6304f0a8-0478-4d2c-81e3-ee426232671b"]},{"id":"ITEM-8","itemData":{"DOI":"10.1016/j.jbusres.2020.05.059","ISSN":"01482963","abstract":"The COVID-19 pandemic and the lockdown and social distancing mandates have disrupted the consumer habits of buying as well as shopping. Consumers are learning to improvise and learn new habits. For example, consumers cannot go to the store, so the store comes to home. While consumers go back to old habits, it is likely that they will be modified by new regulations and procedures in the way consumers shop and buy products and services. New habits will also emerge by technology advances, changing demographics and innovative ways consumers have learned to cope with blurring the work, leisure, and education boundaries.","author":[{"dropping-particle":"","family":"Sheth","given":"Jagdish","non-dropping-particle":"","parse-names":false,"suffix":""}],"container-title":"Journal of Business Research","id":"ITEM-8","issued":{"date-parts":[["2020"]]},"note":"polu kalo gia eisagigi gia museia nad convid and con behh and digital transfromation \n\naim: \nThe purpose of this research paper is to examine the impact of Covid-19 pandemic on consumer behavior.\n\nConlusion: \n1. The lockdown and social distancing to combat the covid-19 virus has generated significant disruptions on consumer behavior. \n2. All con-sumption is time bound and location bound. With time flexibility but location rigidity, consumers have learned to improvise in creative and innovative ways. \n3. The work-life boundaries are now blurred as peoplevwork at home, study at home, and relax at home. \n4. Since the consumer is unable to go to the store, the store has to come to the consumer.As consumers adapt to the house arrest for a prolonged period of time, they are likely to adopt newer technologies which facilitate work,study and consumption in a more convenient manner.\n5. Embracing di-gital technology is likely to modify existing habits. \n\n6. Finally, public policy will also impose new consumption habits especially in public places such as airports, concerts, and public parks.","page":"280-283","publisher":"Elsevier","title":"Impact of Covid-19 on consumer behavior: Will the old habits return or die?","type":"article-journal","volume":"117"},"uris":["http://www.mendeley.com/documents/?uuid=a5280948-1d40-4d4c-ab33-089821bfe292"]},{"id":"ITEM-9","itemData":{"DOI":"10.1016/j.jbusres.2020.06.015","ISSN":"01482963","PMID":"32546875","abstract":"The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Research","id":"ITEM-9","issue":"June","issued":{"date-parts":[["2020"]]},"note":"Polu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research","type":"article-journal","volume":"117"},"uris":["http://www.mendeley.com/documents/?uuid=f7d3cdac-c386-47a5-98b2-0d71b15c1cc6"]},{"id":"ITEM-10","itemData":{"DOI":"10.1016/j.jbusres.2020.05.029","ISSN":"01482963","abstract":"As a worldwide disaster, the COVID-19 crisis is profoundly affecting the development of the global economy and threatening the survival of firms worldwide. It seems unavoidable that this natural disruption has hit the global economy and produced a huge crisis for firms. This study explores how firms in China are innovating their marketing strategies by critically identifying the typology of firms’ marketing innovations using two dimensions, namely, motivation for innovations and the level of collaborative innovations. This research also explores the influence of the external environment, internal advantages (e.g., dynamic capabilities and resource dependence), and characteristics of firms on Chinese firms’ choice and implementation of marketing innovation strategies. It provides valuable insights for firms to respond successfully to similar crisis events in the future.","author":[{"dropping-particle":"","family":"Wang","given":"Yonggui","non-dropping-particle":"","parse-names":false,"suffix":""},{"dropping-particle":"","family":"Hong","given":"Aoran","non-dropping-particle":"","parse-names":false,"suffix":""},{"dropping-particle":"","family":"Li","given":"Xia","non-dropping-particle":"","parse-names":false,"suffix":""},{"dropping-particle":"","family":"Gao","given":"Jia","non-dropping-particle":"","parse-names":false,"suffix":""}],"container-title":"Journal of Business Research","id":"ITEM-10","issue":"May","issued":{"date-parts":[["2020"]]},"note":"oxi kalo\nisos mia anaofra","page":"214-220","publisher":"Elsevier","title":"Marketing innovations during a global crisis: A study of China firms’ response to COVID-19","type":"article-journal","volume":"116"},"uris":["http://www.mendeley.com/documents/?uuid=ce186d4c-07c9-48f4-aedd-30389cfe309b"]},{"id":"ITEM-11","itemData":{"abstract":"This second report COVID-19 Related Travel Restrictions – A Global Review for Tourism was developed by the World Tourism Organization’s (UNWTO) Sustainable Development of Tourism Department. The report was prepared under the supervision of Dr. Dirk Glaesser with lead contributions from Lorna Hartantyo, Marianna Stori and Cordula Wohlmuther. Virginia Fernández-Trapa reviewed and provided feedback to the report. Comments on the previous version of this report were provided by Sandra Carvao, Orianne Derrier, Hernán Epstein, Harry Hwang, Beka Jakeli and Merjen Meretgulyyeva. Layout of the cover was provided by Alberto G. Uceda and layout of the report by Javier P. Spuch. We wish to thank Mrs Fiona Barron and Mr Rodolfo Losada from the World Food Programme for the clarifications and support provided.","author":[{"dropping-particle":"","family":"World Tourism Organization (UNWTO)","given":"","non-dropping-particle":"","parse-names":false,"suffix":""}],"container-title":"World Tourism Organization","id":"ITEM-11","issue":"April","issued":{"date-parts":[["2020"]]},"note":"kalo os vasi \n\n\nIntroduction - SOS\n\n\n7. Conclusions\n\n- Destinations continue to ease travel\nrestrictions. The analysis shows that there\nare various factors influencing thi trend\nDestinations with a higher score of the\nhealth and hygiene indicator as well as\nlow infection rates are among those which\neased restrictions faster than destinations of\ndifferent characteristics. Also, the importance\nof tourism is, although not in all countries,\ninfluencing that borders are getting reopened.\n\n\n\n0- However, many countries still keep their borders closed with impacts not only for international tourism but significant side effects for their economies and societies.\n\n\n- \nGovernments in destinations that have eased\nrestrictions continue to indicate that travel\nrestrictions will be reintroduced in case of\nincreasing infection rates at any time. These\ntravel\noften\nrestrictions\nrapid changes in\nremain a major challenge. Consequently,\nimmigration procedures and requirements will\ndiffer from destination to destination, which is\nespecially challenging for the consistency of\ninformation on procedures and requirements\nacross the different national authorities,\nnamely health, foreign affairs, immigration\nand tourism authorities of a country.\n\n\n- It is now, especially in view of the upcoming\nfast changing procedures and requirements,\neven more important that national authorities\nensure that immigration procedures and\nrequirements are provided in a timely, reliable \nand consistent manner across all information\nsystems and platforms, to maintain confidence\nand trust.\n\nProportionate and responsible opening\nof borders for international tourism\n\n\n\nWith seven months of the pandemic in place,\nlessons learned from attempts of limiting the\nspread of COVID-19 have become available.\nOne of the lessons might be that through\nsocial distancing and\ntesting and tracing,\nrelevant\nas hand\nhygiene measure such\nwashing and the wearing of mask the spread of\ninfection can be limited. Based on this and on\nthe introduction of protocols and procedures\nin general and in tourism in particular, reasons\nand justification for lifting and easing travel\nrestrictions might be provided.","page":"1-11","title":"Covid - 19 related travel restrictions a global review for tourism","type":"article-journal"},"uris":["http://www.mendeley.com/documents/?uuid=37b18eff-d4df-4966-8daf-6112820eb729"]},{"id":"ITEM-12","itemData":{"DOI":"10.1080/09540962.2020.1764206","ISSN":"14679302","abstract":"In an unexpected circumstance, such as the COVID-19 pandemic, public service delivery cannot be suspended, but must be delivered online, relying on the available digital technology. Social media, specifically, have been widely used to reach a broader portion of the population. This article discusses the digital acceleration that governments and organizations are now facing. The focus is on Italian state museums, which have been pushed for years to adopt digital tools to increase participation. This article highlights three main dilemmas in service delivery: user engagement; planning and control; and costs. The three dilemmas show the social and organizational challenges connected to digital transformation, underlining the issues that organizations will have to face in the future and not just in an emergency such as COVID-19.IMPACT: How should public sector institutions use digital technologies for service delivery in unexpected circumstances, such as the COVID-19 pandemic? Starting from the empirical setting of 100 Italian state museums, this article shows how digital technologies, and social media particularly, can be a powerful tool for public service delivery when an onsite service cannot be provided. The authors explain the benefits of online service delivery, for example broader audiences and new ways of interacting with users. They also highlight areas that need discussion and further research, for example whether online services should be provided with a fee or free and the trade-off between carefully planning a digital transformation and reacting promptly to catastrophic events.","author":[{"dropping-particle":"","family":"Agostino","given":"Deborah","non-dropping-particle":"","parse-names":false,"suffix":""},{"dropping-particle":"","family":"Arnaboldi","given":"Michela","non-dropping-particle":"","parse-names":false,"suffix":""},{"dropping-particle":"","family":"Lema","given":"Melisa Diaz","non-dropping-particle":"","parse-names":false,"suffix":""}],"container-title":"Public Money and Management","id":"ITEM-12","issue":"0","issued":{"date-parts":[["2020"]]},"note":"abtsract :\nThis article highlights three main dilemmas in service delivery:\nuser engagement; planning and control; and costs. The three dilemmas show the social and\norganizational challenges connected to digital transformation, underlining the issues that\norganizations will have to face in the future and not just in an emergency such as COVID-19.\n\nStarting from the empirical setting of 100\nItalian state museums, this article shows how digital technologies, and social media\nparticularly, can be a powerful tool for public service delivery when an onsite service cannot\nbe provided.\n\n\nConlusions \n\nConcluding remarks\nCOVID-19 has acted as an accelerator for digital\ntransformation in public service delivery. The\nempirical evidence from 100 Italian state museums, currently closed to the public and with digital service delivery as their only option, is an extreme case.\n\n\n- \nOur three dilemmas highlight issues that we will\nhave to face in the future, not only in an emergency\nsuch as COVID-19, but also more routinely in the\nchallenge of digital transformation. \n\n- These issues are\nonly partially linked to technology, which is\nobviously an enabler but, more specifically, they\nbring up the social and organizational challenges\nconnected to digital transformations. \n\n- Users are more\nthan service recipients who want, and can easily\nhave (through social media and other digital\ntechnologies), a voice. \n\n- Information can be collected and services personalized but, paradoxically, the\nsearch for the best ‘tailor-made’ technology can\ncause delays and rigidity, as can be seen in several service delivery aspects, from pricing to planning and preparing an offer. \n- Novel transformational skills\nwill be key to dealing with this new setting; these may be new professional roles and competences, flexible assets or other resources. However, there is clearly an urgent need for further research to find the best way forward.","page":"1-4","publisher":"Taylor &amp; Francis","title":"New development: COVID-19 as an accelerator of digital transformation in public service delivery","type":"article-journal","volume":"0"},"uris":["http://www.mendeley.com/documents/?uuid=0dc499cd-9dc9-4263-a596-ac5b022eef2a"]}],"mendeley":{"formattedCitation":"(Agostino, Arnaboldi and Lema, 2020; Donthu and Gustafsson, 2020; Wang &lt;i&gt;et al.&lt;/i&gt;, 2020; World Tourism Organization (UNWTO), 2020; Frutos &lt;i&gt;et al.&lt;/i&gt;, 2020; Gretzel &lt;i&gt;et al.&lt;/i&gt;, 2020; He and Harris, 2020; Krishnamurthy, 2020; Lazzerini and Putoto, 2020; Maditinos &lt;i&gt;et al.&lt;/i&gt;, 2020; Sheth, 2020; Sigala, 2020)","manualFormatting":"(Agostino, Arnaboldi and Lema, 2020; Donthu and Gustafsson, 2020; Wang et al., 2020; World Tourism Organization (UNWTO), 2020; Frutos et al., 2020; Gretzel et al., 2020a; He and Harris, 2020; Krishnamurthy, 2020; Lazzerini and Putoto, 2020; Maditinos et al., 2020; Sheth, 2020; Sigala, 2020","plainTextFormattedCitation":"(Agostino, Arnaboldi and Lema, 2020; Donthu and Gustafsson, 2020; Wang et al., 2020; World Tourism Organization (UNWTO), 2020; Frutos et al., 2020; Gretzel et al., 2020; He and Harris, 2020; Krishnamurthy, 2020; Lazzerini and Putoto, 2020; Maditinos et al., 2020; Sheth, 2020; Sigala, 2020)","previouslyFormattedCitation":"(Agostino, Arnaboldi and Lema, 2020; Donthu and Gustafsson, 2020; Wang &lt;i&gt;et al.&lt;/i&gt;, 2020; World Tourism Organization (UNWTO), 2020; Frutos &lt;i&gt;et al.&lt;/i&gt;, 2020; Gretzel &lt;i&gt;et al.&lt;/i&gt;, 2020; He and Harris, 2020; Krishnamurthy, 2020; Lazzerini and Putoto, 2020; Maditinos &lt;i&gt;et al.&lt;/i&gt;, 2020; Sheth, 2020; Sigala,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(Agostino, Arnaboldi and Lema, 2020; Donthu and Gustafsson, 2020; Wang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 World Tourism Organization (UNWTO), 2020; Frutos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 Gretzel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2020a; He and Harris, 2020; Krishnamurthy, 2020; Lazzerini and Putoto, 2020; Maditinos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2020; Sheth, 2020; Sigala,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Recovery","id":"ITEM-1","issued":{"date-parts":[["2020"]]},"note":"SOS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Academia.edu","type":"book"},"uris":["http://www.mendeley.com/documents/?uuid=38ef854f-ed7c-40eb-9ee5-9934347b68e0"]}],"mendeley":{"formattedCitation":"(Course and Systems, 2020)","manualFormatting":";Course and Systems, 2020","plainTextFormattedCitation":"(Course and Systems, 2020)","previouslyFormattedCitation":"(Course and Systems,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;Course and Systems,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{"citationItems":[{"id":"ITEM-1","itemData":{"DOI":"10.1073/pnas.2006991117","ISSN":"10916490","PMID":"32651281","abstract":"To explore the impact of coronavirus disease 2019 (COVID-19) on small businesses, we conducted a survey of more than 5,800 small businesses between March 28 and April 4, 2020. Several themes emerged. First, mass layoffs and closures had already occurred—just a few weeks into the crisis. Second, the risk of closure was negatively associated with the expected length of the crisis. Moreover, businesses had widely varying beliefs about the likely duration of COVID-related disruptions. Third, many small businesses are financially fragile: The median business with more than $10,000 in monthly expenses had only about 2 wk of cash on hand at the time of the survey. Fourth, the majority of businesses planned to seek funding through the Coronavirus Aid, Relief, and Economic Security (CARES) Act. However, many anticipated problems with accessing the program, such as bureaucratic hassles and difficulties establishing eligibility. Using experimental variation, we also assess take-up rates and business resilience effects for loans relative to grants-based programs.","author":[{"dropping-particle":"","family":"Bartik","given":"Alexander W.","non-dropping-particle":"","parse-names":false,"suffix":""},{"dropping-particle":"","family":"Bertrand","given":"Marianne","non-dropping-particle":"","parse-names":false,"suffix":""},{"dropping-particle":"","family":"Cullen","given":"Zoe","non-dropping-particle":"","parse-names":false,"suffix":""},{"dropping-particle":"","family":"Glaeser","given":"Edward L.","non-dropping-particle":"","parse-names":false,"suffix":""},{"dropping-particle":"","family":"Luca","given":"Michael","non-dropping-particle":"","parse-names":false,"suffix":""},{"dropping-particle":"","family":"Stanton","given":"Christopher","non-dropping-particle":"","parse-names":false,"suffix":""}],"container-title":"Proceedings of the National Academy of Sciences of the United States of America","id":"ITEM-1","issue":"30","issued":{"date-parts":[["2020"]]},"page":"17656-17666","title":"The impact of COVID-19 on small business outcomes and expectations","type":"article-journal","volume":"117"},"uris":["http://www.mendeley.com/documents/?uuid=9bc69ac7-5ff3-4779-a270-f3cfa78cad2e"]}],"mendeley":{"formattedCitation":"(Bartik &lt;i&gt;et al.&lt;/i&gt;, 2020)","manualFormatting":"; Bartik et al., 2020)","plainTextFormattedCitation":"(Bartik et al., 2020)","previouslyFormattedCitation":"(Bartik &lt;i&gt;et al.&lt;/i&gt;,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 Bartik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2020)</w:t>
      </w:r>
      <w:r w:rsidR="00B803E8" w:rsidRPr="00AE7B34">
        <w:rPr>
          <w:rFonts w:ascii="Times New Roman" w:hAnsi="Times New Roman" w:cs="Times New Roman"/>
          <w:color w:val="000000" w:themeColor="text1"/>
          <w:sz w:val="22"/>
          <w:szCs w:val="22"/>
          <w:lang w:val="en-US"/>
        </w:rPr>
        <w:fldChar w:fldCharType="end"/>
      </w:r>
      <w:r w:rsidR="00307A1A" w:rsidRPr="00AE7B34">
        <w:rPr>
          <w:rFonts w:ascii="Times New Roman" w:hAnsi="Times New Roman" w:cs="Times New Roman"/>
          <w:color w:val="000000" w:themeColor="text1"/>
          <w:sz w:val="22"/>
          <w:szCs w:val="22"/>
          <w:lang w:val="en-US"/>
        </w:rPr>
        <w:t>, or</w:t>
      </w:r>
      <w:r w:rsidR="00933996" w:rsidRPr="00AE7B34">
        <w:rPr>
          <w:rFonts w:ascii="Times New Roman" w:hAnsi="Times New Roman" w:cs="Times New Roman"/>
          <w:color w:val="000000" w:themeColor="text1"/>
          <w:sz w:val="22"/>
          <w:szCs w:val="22"/>
          <w:lang w:val="en-US"/>
        </w:rPr>
        <w:t xml:space="preserve"> </w:t>
      </w:r>
      <w:r w:rsidR="00307A1A" w:rsidRPr="00AE7B34">
        <w:rPr>
          <w:rFonts w:ascii="Times New Roman" w:hAnsi="Times New Roman" w:cs="Times New Roman"/>
          <w:color w:val="000000" w:themeColor="text1"/>
          <w:sz w:val="22"/>
          <w:szCs w:val="22"/>
          <w:lang w:val="en-US"/>
        </w:rPr>
        <w:t xml:space="preserve">forecasting scenarios on tourism demand </w:t>
      </w:r>
      <w:r w:rsidR="00307A1A" w:rsidRPr="00AE7B34">
        <w:rPr>
          <w:rFonts w:ascii="Times New Roman" w:hAnsi="Times New Roman" w:cs="Times New Roman"/>
          <w:color w:val="000000" w:themeColor="text1"/>
          <w:sz w:val="22"/>
          <w:szCs w:val="22"/>
          <w:lang w:val="en-US"/>
        </w:rPr>
        <w:fldChar w:fldCharType="begin" w:fldLock="1"/>
      </w:r>
      <w:r w:rsidR="00CC695B" w:rsidRPr="00AE7B34">
        <w:rPr>
          <w:rFonts w:ascii="Times New Roman" w:hAnsi="Times New Roman" w:cs="Times New Roman"/>
          <w:color w:val="000000" w:themeColor="text1"/>
          <w:sz w:val="22"/>
          <w:szCs w:val="22"/>
          <w:lang w:val="en-US"/>
        </w:rPr>
        <w:instrText>ADDIN CSL_CITATION {"citationItems":[{"id":"ITEM-1","itemData":{"DOI":"10.1016/j.annals.2020.103117","ISSN":"01607383","abstract":"This paper is to produce different scenarios in forecasts for international tourism demand, in light of the COVID-19 pandemic. By implementing two distinct methodologies (the Long Short Term Memory neural network and the Generalized Additive Model), based on recent crises, we are able to calculate the expected drop in the international tourist arrivals for the next 12 months. We use a rolling-window testing strategy to calculate accuracy metrics and show that even though all models have comparable accuracy, the forecasts produced vary significantly according to the training data set, a finding that should be alarming to researchers. Our results indicate that the drop in tourist arrivals can range between 30.8% and 76.3% and will persist at least until June 2021.","author":[{"dropping-particle":"","family":"Fotiadis","given":"Anestis","non-dropping-particle":"","parse-names":false,"suffix":""},{"dropping-particle":"","family":"Polyzos","given":"Stathis","non-dropping-particle":"","parse-names":false,"suffix":""},{"dropping-particle":"","family":"Huan","given":"Tzung Cheng T.C.","non-dropping-particle":"","parse-names":false,"suffix":""}],"container-title":"Annals of Tourism Research","id":"ITEM-1","issued":{"date-parts":[["2021"]]},"note":"na to valo se intro gia covid19 kai erevna new res stresm kai erevnes gia trou demand pou exoun kanei \n\nThis paper is to produce different scenarios in forecasts for international tourism demand, in\nlight of the COVID-19 pandemic. By implementing two distinct methodologies (the Long\nShort Term Memory neural network and the Generalized Additive Model), based on recent cri-ses, we are able to calculate the expected drop in the international tourist arrivals for the next\n12 months.\n\n\nOur results indicate that the drop in tourist arrivals can range between 30.8% and 76.3% and\nwill persistatleast until June 2021.","page":"103117","publisher":"Elsevier Ltd","title":"The good, the bad and the ugly on COVID-19 tourism recovery","type":"article-journal","volume":"87"},"uris":["http://www.mendeley.com/documents/?uuid=6d6b187d-185a-45f6-9c74-c41871fbef3e"]}],"mendeley":{"formattedCitation":"(Fotiadis, Polyzos and Huan, 2021)","plainTextFormattedCitation":"(Fotiadis, Polyzos and Huan, 2021)","previouslyFormattedCitation":"(Fotiadis, Polyzos and Huan, 2021)"},"properties":{"noteIndex":0},"schema":"https://github.com/citation-style-language/schema/raw/master/csl-citation.json"}</w:instrText>
      </w:r>
      <w:r w:rsidR="00307A1A" w:rsidRPr="00AE7B34">
        <w:rPr>
          <w:rFonts w:ascii="Times New Roman" w:hAnsi="Times New Roman" w:cs="Times New Roman"/>
          <w:color w:val="000000" w:themeColor="text1"/>
          <w:sz w:val="22"/>
          <w:szCs w:val="22"/>
          <w:lang w:val="en-US"/>
        </w:rPr>
        <w:fldChar w:fldCharType="separate"/>
      </w:r>
      <w:r w:rsidR="00307A1A" w:rsidRPr="00AE7B34">
        <w:rPr>
          <w:rFonts w:ascii="Times New Roman" w:hAnsi="Times New Roman" w:cs="Times New Roman"/>
          <w:noProof/>
          <w:color w:val="000000" w:themeColor="text1"/>
          <w:sz w:val="22"/>
          <w:szCs w:val="22"/>
          <w:lang w:val="en-US"/>
        </w:rPr>
        <w:t>(Fotiadis, Polyzos and Huan, 2021)</w:t>
      </w:r>
      <w:r w:rsidR="00307A1A"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Accordingly</w:t>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{"citationItems":[{"id":"ITEM-1","itemData":{"DOI":"10.3389/fmed.2020.00223","ISSN":"2296858X","author":[{"dropping-particle":"","family":"Frutos","given":"Roger","non-dropping-particle":"","parse-names":false,"suffix":""},{"dropping-particle":"","family":"Lopez Roig","given":"Marc","non-dropping-particle":"","parse-names":false,"suffix":""},{"dropping-particle":"","family":"Serra-Cobo","given":"Jordi","non-dropping-particle":"","parse-names":false,"suffix":""},{"dropping-particle":"","family":"Devaux","given":"Christian A.","non-dropping-particle":"","parse-names":false,"suffix":""}],"container-title":"Frontiers in Medicine","id":"ITEM-1","issue":"May","issued":{"date-parts":[["2020"]]},"note":"iatriko oxi klao","page":"1-5","title":"COVID-19: The Conjunction of Events Leading to the Coronavirus Pandemic and Lessons to Learn for Future Threats","type":"article-journal","volume":"7"},"uris":["http://www.mendeley.com/documents/?uuid=1ac2fed7-0012-4830-af3f-f1c9bca001c5"]}],"mendeley":{"formattedCitation":"(Frutos &lt;i&gt;et al.&lt;/i&gt;, 2020)","manualFormatting":"Frutos (et al., 2020)","plainTextFormattedCitation":"(Frutos et al., 2020)","previouslyFormattedCitation":"(Frutos &lt;i&gt;et al.&lt;/i&gt;,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Frutos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approaching pandemic from medical and </w:t>
      </w:r>
      <w:r w:rsidR="00D22458" w:rsidRPr="00AE7B34">
        <w:rPr>
          <w:rFonts w:ascii="Times New Roman" w:hAnsi="Times New Roman" w:cs="Times New Roman"/>
          <w:color w:val="000000" w:themeColor="text1"/>
          <w:sz w:val="22"/>
          <w:szCs w:val="22"/>
          <w:lang w:val="en-US"/>
        </w:rPr>
        <w:t>environmental</w:t>
      </w:r>
      <w:r w:rsidR="00B803E8" w:rsidRPr="00AE7B34">
        <w:rPr>
          <w:rFonts w:ascii="Times New Roman" w:hAnsi="Times New Roman" w:cs="Times New Roman"/>
          <w:color w:val="000000" w:themeColor="text1"/>
          <w:sz w:val="22"/>
          <w:szCs w:val="22"/>
          <w:lang w:val="en-US"/>
        </w:rPr>
        <w:t xml:space="preserve"> perspective </w:t>
      </w:r>
      <w:r w:rsidR="00D22458" w:rsidRPr="00AE7B34">
        <w:rPr>
          <w:rFonts w:ascii="Times New Roman" w:hAnsi="Times New Roman" w:cs="Times New Roman"/>
          <w:color w:val="000000" w:themeColor="text1"/>
          <w:sz w:val="22"/>
          <w:szCs w:val="22"/>
          <w:lang w:val="en-US"/>
        </w:rPr>
        <w:t>insists</w:t>
      </w:r>
      <w:r w:rsidR="00B803E8" w:rsidRPr="00AE7B34">
        <w:rPr>
          <w:rFonts w:ascii="Times New Roman" w:hAnsi="Times New Roman" w:cs="Times New Roman"/>
          <w:color w:val="000000" w:themeColor="text1"/>
          <w:sz w:val="22"/>
          <w:szCs w:val="22"/>
          <w:lang w:val="en-US"/>
        </w:rPr>
        <w:t xml:space="preserve"> that “the threat is global, but the answer is local” (2020:3)</w:t>
      </w:r>
      <w:r w:rsidR="00515A1B" w:rsidRPr="00AE7B34">
        <w:rPr>
          <w:rFonts w:ascii="Times New Roman" w:hAnsi="Times New Roman" w:cs="Times New Roman"/>
          <w:color w:val="000000" w:themeColor="text1"/>
          <w:sz w:val="22"/>
          <w:szCs w:val="22"/>
          <w:lang w:val="en-US"/>
        </w:rPr>
        <w:t>.</w:t>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{"citationItems":[{"id":"ITEM-1","itemData":{"DOI":"10.1016/j.jbusres.2020.05.029","ISSN":"01482963","abstract":"As a worldwide disaster, the COVID-19 crisis is profoundly affecting the development of the global economy and threatening the survival of firms worldwide. It seems unavoidable that this natural disruption has hit the global economy and produced a huge crisis for firms. This study explores how firms in China are innovating their marketing strategies by critically identifying the typology of firms’ marketing innovations using two dimensions, namely, motivation for innovations and the level of collaborative innovations. This research also explores the influence of the external environment, internal advantages (e.g., dynamic capabilities and resource dependence), and characteristics of firms on Chinese firms’ choice and implementation of marketing innovation strategies. It provides valuable insights for firms to respond successfully to similar crisis events in the future.","author":[{"dropping-particle":"","family":"Wang","given":"Yonggui","non-dropping-particle":"","parse-names":false,"suffix":""},{"dropping-particle":"","family":"Hong","given":"Aoran","non-dropping-particle":"","parse-names":false,"suffix":""},{"dropping-particle":"","family":"Li","given":"Xia","non-dropping-particle":"","parse-names":false,"suffix":""},{"dropping-particle":"","family":"Gao","given":"Jia","non-dropping-particle":"","parse-names":false,"suffix":""}],"container-title":"Journal of Business Research","id":"ITEM-1","issue":"May","issued":{"date-parts":[["2020"]]},"note":"oxi kalo\nisos mia anaofra","page":"214-220","publisher":"Elsevier","title":"Marketing innovations during a global crisis: A study of China firms’ response to COVID-19","type":"article-journal","volume":"116"},"uris":["http://www.mendeley.com/documents/?uuid=ce186d4c-07c9-48f4-aedd-30389cfe309b"]}],"mendeley":{"formattedCitation":"(Wang &lt;i&gt;et al.&lt;/i&gt;, 2020)","manualFormatting":"Wang et al. (2020)","plainTextFormattedCitation":"(Wang et al., 2020)","previouslyFormattedCitation":"(Wang &lt;i&gt;et al.&lt;/i&gt;,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Wang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xml:space="preserve">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w:t>
      </w:r>
      <w:r w:rsidR="00344DF7" w:rsidRPr="00AE7B34">
        <w:rPr>
          <w:rFonts w:ascii="Times New Roman" w:hAnsi="Times New Roman" w:cs="Times New Roman"/>
          <w:color w:val="000000" w:themeColor="text1"/>
          <w:sz w:val="22"/>
          <w:szCs w:val="22"/>
          <w:lang w:val="en-US"/>
        </w:rPr>
        <w:t>accentuates</w:t>
      </w:r>
      <w:r w:rsidR="00B803E8" w:rsidRPr="00AE7B34">
        <w:rPr>
          <w:rFonts w:ascii="Times New Roman" w:hAnsi="Times New Roman" w:cs="Times New Roman"/>
          <w:color w:val="000000" w:themeColor="text1"/>
          <w:sz w:val="22"/>
          <w:szCs w:val="22"/>
          <w:lang w:val="en-US"/>
        </w:rPr>
        <w:t xml:space="preserve"> that business managers must </w:t>
      </w:r>
      <w:r w:rsidR="0064689A" w:rsidRPr="00AE7B34">
        <w:rPr>
          <w:rFonts w:ascii="Times New Roman" w:hAnsi="Times New Roman" w:cs="Times New Roman"/>
          <w:color w:val="000000" w:themeColor="text1"/>
          <w:sz w:val="22"/>
          <w:szCs w:val="22"/>
          <w:lang w:val="en-US"/>
        </w:rPr>
        <w:t>determine</w:t>
      </w:r>
      <w:r w:rsidR="00B803E8" w:rsidRPr="00AE7B34">
        <w:rPr>
          <w:rFonts w:ascii="Times New Roman" w:hAnsi="Times New Roman" w:cs="Times New Roman"/>
          <w:color w:val="000000" w:themeColor="text1"/>
          <w:sz w:val="22"/>
          <w:szCs w:val="22"/>
          <w:lang w:val="en-US"/>
        </w:rPr>
        <w:t xml:space="preserve"> how to adjust their marketing strategies to disruptive environments and boost resilience in future </w:t>
      </w:r>
      <w:r w:rsidR="0064689A" w:rsidRPr="00AE7B34">
        <w:rPr>
          <w:rFonts w:ascii="Times New Roman" w:hAnsi="Times New Roman" w:cs="Times New Roman"/>
          <w:color w:val="000000" w:themeColor="text1"/>
          <w:sz w:val="22"/>
          <w:szCs w:val="22"/>
          <w:lang w:val="en-US"/>
        </w:rPr>
        <w:t>disruptive</w:t>
      </w:r>
      <w:r w:rsidR="00B803E8" w:rsidRPr="00AE7B34">
        <w:rPr>
          <w:rFonts w:ascii="Times New Roman" w:hAnsi="Times New Roman" w:cs="Times New Roman"/>
          <w:color w:val="000000" w:themeColor="text1"/>
          <w:sz w:val="22"/>
          <w:szCs w:val="22"/>
          <w:lang w:val="en-US"/>
        </w:rPr>
        <w:t xml:space="preserve"> events. </w:t>
      </w:r>
      <w:r w:rsidR="003B334A" w:rsidRPr="00AE7B34">
        <w:rPr>
          <w:rFonts w:ascii="Times New Roman" w:hAnsi="Times New Roman" w:cs="Times New Roman"/>
          <w:color w:val="000000" w:themeColor="text1"/>
          <w:sz w:val="22"/>
          <w:szCs w:val="22"/>
          <w:lang w:val="en-US"/>
        </w:rPr>
        <w:t>Moreover</w:t>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lastRenderedPageBreak/>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{"citationItems":[{"id":"ITEM-1","itemData":{"DOI":"10.1016/j.jbusres.2020.05.030","ISSN":"01482963","PMID":"32457556","abstract":"In this article, we offer some initial examination on how Covid-19 pandemic can influence the developments of CSR and marketing. We argue that Covid-19 pandemic offers a great opportunity for businesses to shift towards more genuine and authentic CSR and contribute to address urgent global social and environmental challenges. We also discuss some potential directions of how consumer ethical decision making will be shifted to due to the pandemic. In our discussion of marketing, we outline how we believe marketing is being affected by this pandemic and how we think this will change, not only the context of marketing, but how organizations approach their strategic marketing efforts. We end the paper with a identifying a number of potentially fruitful research themes and directions.","author":[{"dropping-particle":"","family":"He","given":"Hongwei","non-dropping-particle":"","parse-names":false,"suffix":""},{"dropping-particle":"","family":"Harris","given":"Lloyd","non-dropping-particle":"","parse-names":false,"suffix":""}],"container-title":"Journal of Business Research","id":"ITEM-1","issue":"May","issued":{"date-parts":[["2020"]]},"note":"kalo na po gia allagi cons beh and csr kia oti to ekanan k mouseia auto","page":"176-182","publisher":"Elsevier","title":"The impact of Covid-19 pandemic on corporate social responsibility and marketing philosophy","type":"article-journal","volume":"116"},"uris":["http://www.mendeley.com/documents/?uuid=6d860f43-85a1-41e8-a53c-e744dbf81b16"]}],"mendeley":{"formattedCitation":"(He and Harris, 2020)","manualFormatting":"He and Harris (2020) ","plainTextFormattedCitation":"(He and Harris, 2020)","previouslyFormattedCitation":"(He and Harris,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He and Harris (2020) </w:t>
      </w:r>
      <w:r w:rsidR="00B803E8" w:rsidRPr="00AE7B34">
        <w:rPr>
          <w:rFonts w:ascii="Times New Roman" w:hAnsi="Times New Roman" w:cs="Times New Roman"/>
          <w:color w:val="000000" w:themeColor="text1"/>
          <w:sz w:val="22"/>
          <w:szCs w:val="22"/>
          <w:lang w:val="en-US"/>
        </w:rPr>
        <w:fldChar w:fldCharType="end"/>
      </w:r>
      <w:r w:rsidR="007B33DC" w:rsidRPr="00AE7B34">
        <w:rPr>
          <w:rFonts w:ascii="Times New Roman" w:hAnsi="Times New Roman" w:cs="Times New Roman"/>
          <w:color w:val="000000" w:themeColor="text1"/>
          <w:sz w:val="22"/>
          <w:szCs w:val="22"/>
          <w:lang w:val="en-US"/>
        </w:rPr>
        <w:t>COVID-19</w:t>
      </w:r>
      <w:r w:rsidR="00B803E8" w:rsidRPr="00AE7B34">
        <w:rPr>
          <w:rFonts w:ascii="Times New Roman" w:hAnsi="Times New Roman" w:cs="Times New Roman"/>
          <w:color w:val="000000" w:themeColor="text1"/>
          <w:sz w:val="22"/>
          <w:szCs w:val="22"/>
          <w:lang w:val="en-US"/>
        </w:rPr>
        <w:t xml:space="preserve"> heighte</w:t>
      </w:r>
      <w:r w:rsidR="00A13D44" w:rsidRPr="00AE7B34">
        <w:rPr>
          <w:rFonts w:ascii="Times New Roman" w:hAnsi="Times New Roman" w:cs="Times New Roman"/>
          <w:color w:val="000000" w:themeColor="text1"/>
          <w:sz w:val="22"/>
          <w:szCs w:val="22"/>
          <w:lang w:val="en-US"/>
        </w:rPr>
        <w:t>ned</w:t>
      </w:r>
      <w:r w:rsidR="00B803E8" w:rsidRPr="00AE7B34">
        <w:rPr>
          <w:rFonts w:ascii="Times New Roman" w:hAnsi="Times New Roman" w:cs="Times New Roman"/>
          <w:color w:val="000000" w:themeColor="text1"/>
          <w:sz w:val="22"/>
          <w:szCs w:val="22"/>
          <w:lang w:val="en-US"/>
        </w:rPr>
        <w:t xml:space="preserve"> the need for firms to rethink about their commitment  towards  Corporate Social Responsibility (CSR</w:t>
      </w:r>
      <w:r w:rsidR="003B334A" w:rsidRPr="00AE7B34">
        <w:rPr>
          <w:rFonts w:ascii="Times New Roman" w:hAnsi="Times New Roman" w:cs="Times New Roman"/>
          <w:color w:val="000000" w:themeColor="text1"/>
          <w:sz w:val="22"/>
          <w:szCs w:val="22"/>
          <w:lang w:val="en-US"/>
        </w:rPr>
        <w:t>)</w:t>
      </w:r>
      <w:r w:rsidR="00B803E8" w:rsidRPr="00AE7B34">
        <w:rPr>
          <w:rFonts w:ascii="Times New Roman" w:hAnsi="Times New Roman" w:cs="Times New Roman"/>
          <w:color w:val="000000" w:themeColor="text1"/>
          <w:sz w:val="22"/>
          <w:szCs w:val="22"/>
          <w:lang w:val="en-US"/>
        </w:rPr>
        <w:t xml:space="preserve"> at both strategic and tactical level</w:t>
      </w:r>
      <w:r w:rsidR="003B334A" w:rsidRPr="00AE7B34">
        <w:rPr>
          <w:rFonts w:ascii="Times New Roman" w:hAnsi="Times New Roman" w:cs="Times New Roman"/>
          <w:color w:val="000000" w:themeColor="text1"/>
          <w:sz w:val="22"/>
          <w:szCs w:val="22"/>
          <w:lang w:val="en-US"/>
        </w:rPr>
        <w:t xml:space="preserve"> to tackle </w:t>
      </w:r>
      <w:r w:rsidR="00B803E8" w:rsidRPr="00AE7B34">
        <w:rPr>
          <w:rFonts w:ascii="Times New Roman" w:hAnsi="Times New Roman" w:cs="Times New Roman"/>
          <w:color w:val="000000" w:themeColor="text1"/>
          <w:sz w:val="22"/>
          <w:szCs w:val="22"/>
          <w:lang w:val="en-US"/>
        </w:rPr>
        <w:t>ingrained  and social issues, such as poverty, inequality and depression</w:t>
      </w:r>
      <w:r w:rsidR="003B334A" w:rsidRPr="00AE7B34">
        <w:rPr>
          <w:rFonts w:ascii="Times New Roman" w:hAnsi="Times New Roman" w:cs="Times New Roman"/>
          <w:color w:val="000000" w:themeColor="text1"/>
          <w:sz w:val="22"/>
          <w:szCs w:val="22"/>
          <w:lang w:val="en-US"/>
        </w:rPr>
        <w:t>.</w:t>
      </w:r>
    </w:p>
    <w:p w14:paraId="79F2D914" w14:textId="4D681F64" w:rsidR="003B334A" w:rsidRPr="00AE7B34" w:rsidRDefault="0064689A" w:rsidP="00BE5452">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According</w:t>
      </w:r>
      <w:r w:rsidR="00B803E8" w:rsidRPr="00AE7B34">
        <w:rPr>
          <w:rFonts w:ascii="Times New Roman" w:hAnsi="Times New Roman" w:cs="Times New Roman"/>
          <w:color w:val="000000" w:themeColor="text1"/>
          <w:sz w:val="22"/>
          <w:szCs w:val="22"/>
          <w:lang w:val="en-US"/>
        </w:rPr>
        <w:t xml:space="preserve"> to </w:t>
      </w:r>
      <w:hyperlink r:id="rId10" w:history="1">
        <w:proofErr w:type="spellStart"/>
        <w:r w:rsidR="00B803E8" w:rsidRPr="00AE7B34">
          <w:rPr>
            <w:rStyle w:val="Hyperlink"/>
            <w:rFonts w:ascii="Times New Roman" w:hAnsi="Times New Roman" w:cs="Times New Roman"/>
            <w:color w:val="000000" w:themeColor="text1"/>
            <w:sz w:val="22"/>
            <w:szCs w:val="22"/>
            <w:lang w:val="en-US"/>
          </w:rPr>
          <w:t>Mckinsey</w:t>
        </w:r>
        <w:proofErr w:type="spellEnd"/>
        <w:r w:rsidR="003D0EE1" w:rsidRPr="00AE7B34">
          <w:rPr>
            <w:rStyle w:val="Hyperlink"/>
            <w:rFonts w:ascii="Times New Roman" w:hAnsi="Times New Roman" w:cs="Times New Roman"/>
            <w:color w:val="000000" w:themeColor="text1"/>
            <w:sz w:val="22"/>
            <w:szCs w:val="22"/>
            <w:lang w:val="en-US"/>
          </w:rPr>
          <w:t xml:space="preserve"> (2021)</w:t>
        </w:r>
        <w:r w:rsidR="00B803E8" w:rsidRPr="00AE7B34">
          <w:rPr>
            <w:rStyle w:val="Hyperlink"/>
            <w:rFonts w:ascii="Times New Roman" w:hAnsi="Times New Roman" w:cs="Times New Roman"/>
            <w:color w:val="000000" w:themeColor="text1"/>
            <w:sz w:val="22"/>
            <w:szCs w:val="22"/>
            <w:lang w:val="en-US"/>
          </w:rPr>
          <w:t xml:space="preserve">, </w:t>
        </w:r>
      </w:hyperlink>
      <w:r w:rsidR="00B803E8" w:rsidRPr="00AE7B34">
        <w:rPr>
          <w:rFonts w:ascii="Times New Roman" w:hAnsi="Times New Roman" w:cs="Times New Roman"/>
          <w:color w:val="000000" w:themeColor="text1"/>
          <w:sz w:val="22"/>
          <w:szCs w:val="22"/>
          <w:lang w:val="en-US"/>
        </w:rPr>
        <w:t xml:space="preserve">from redesign of the </w:t>
      </w:r>
      <w:r w:rsidRPr="00AE7B34">
        <w:rPr>
          <w:rFonts w:ascii="Times New Roman" w:hAnsi="Times New Roman" w:cs="Times New Roman"/>
          <w:color w:val="000000" w:themeColor="text1"/>
          <w:sz w:val="22"/>
          <w:szCs w:val="22"/>
          <w:lang w:val="en-US"/>
        </w:rPr>
        <w:t>operational</w:t>
      </w:r>
      <w:r w:rsidR="00B803E8" w:rsidRPr="00AE7B34">
        <w:rPr>
          <w:rFonts w:ascii="Times New Roman" w:hAnsi="Times New Roman" w:cs="Times New Roman"/>
          <w:color w:val="000000" w:themeColor="text1"/>
          <w:sz w:val="22"/>
          <w:szCs w:val="22"/>
          <w:lang w:val="en-US"/>
        </w:rPr>
        <w:t xml:space="preserve"> nature of certain business  to</w:t>
      </w:r>
      <w:r w:rsidR="00344DF7"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t xml:space="preserve"> the need of new set of </w:t>
      </w:r>
      <w:r w:rsidRPr="00AE7B34">
        <w:rPr>
          <w:rFonts w:ascii="Times New Roman" w:hAnsi="Times New Roman" w:cs="Times New Roman"/>
          <w:color w:val="000000" w:themeColor="text1"/>
          <w:sz w:val="22"/>
          <w:szCs w:val="22"/>
          <w:lang w:val="en-US"/>
        </w:rPr>
        <w:t>workforce</w:t>
      </w:r>
      <w:r w:rsidR="00B803E8" w:rsidRPr="00AE7B34">
        <w:rPr>
          <w:rFonts w:ascii="Times New Roman" w:hAnsi="Times New Roman" w:cs="Times New Roman"/>
          <w:color w:val="000000" w:themeColor="text1"/>
          <w:sz w:val="22"/>
          <w:szCs w:val="22"/>
          <w:lang w:val="en-US"/>
        </w:rPr>
        <w:t xml:space="preserve"> skills (</w:t>
      </w:r>
      <w:r w:rsidRPr="00AE7B34">
        <w:rPr>
          <w:rFonts w:ascii="Times New Roman" w:hAnsi="Times New Roman" w:cs="Times New Roman"/>
          <w:color w:val="000000" w:themeColor="text1"/>
          <w:sz w:val="22"/>
          <w:szCs w:val="22"/>
          <w:lang w:val="en-US"/>
        </w:rPr>
        <w:t>social, emotional</w:t>
      </w:r>
      <w:r w:rsidR="00B803E8" w:rsidRPr="00AE7B34">
        <w:rPr>
          <w:rFonts w:ascii="Times New Roman" w:hAnsi="Times New Roman" w:cs="Times New Roman"/>
          <w:color w:val="000000" w:themeColor="text1"/>
          <w:sz w:val="22"/>
          <w:szCs w:val="22"/>
          <w:lang w:val="en-US"/>
        </w:rPr>
        <w:t xml:space="preserve">, advanced cognitive, and digital skills) the pandemic as fierce teacher has </w:t>
      </w:r>
      <w:r w:rsidR="003B334A" w:rsidRPr="00AE7B34">
        <w:rPr>
          <w:rFonts w:ascii="Times New Roman" w:hAnsi="Times New Roman" w:cs="Times New Roman"/>
          <w:color w:val="000000" w:themeColor="text1"/>
          <w:sz w:val="22"/>
          <w:szCs w:val="22"/>
          <w:lang w:val="en-US"/>
        </w:rPr>
        <w:t xml:space="preserve">also </w:t>
      </w:r>
      <w:r w:rsidR="00B803E8" w:rsidRPr="00AE7B34">
        <w:rPr>
          <w:rFonts w:ascii="Times New Roman" w:hAnsi="Times New Roman" w:cs="Times New Roman"/>
          <w:color w:val="000000" w:themeColor="text1"/>
          <w:sz w:val="22"/>
          <w:szCs w:val="22"/>
          <w:lang w:val="en-US"/>
        </w:rPr>
        <w:t xml:space="preserve">caused dramatic fluctuation in the business landscape. These fluctuations derive </w:t>
      </w:r>
      <w:r w:rsidR="00344DF7" w:rsidRPr="00AE7B34">
        <w:rPr>
          <w:rFonts w:ascii="Times New Roman" w:hAnsi="Times New Roman" w:cs="Times New Roman"/>
          <w:color w:val="000000" w:themeColor="text1"/>
          <w:sz w:val="22"/>
          <w:szCs w:val="22"/>
          <w:lang w:val="en-US"/>
        </w:rPr>
        <w:t>merely</w:t>
      </w:r>
      <w:r w:rsidR="00B803E8" w:rsidRPr="00AE7B34">
        <w:rPr>
          <w:rFonts w:ascii="Times New Roman" w:hAnsi="Times New Roman" w:cs="Times New Roman"/>
          <w:color w:val="000000" w:themeColor="text1"/>
          <w:sz w:val="22"/>
          <w:szCs w:val="22"/>
          <w:lang w:val="en-US"/>
        </w:rPr>
        <w:t xml:space="preserve"> due to new emerging </w:t>
      </w:r>
      <w:r w:rsidRPr="00AE7B34">
        <w:rPr>
          <w:rFonts w:ascii="Times New Roman" w:hAnsi="Times New Roman" w:cs="Times New Roman"/>
          <w:color w:val="000000" w:themeColor="text1"/>
          <w:sz w:val="22"/>
          <w:szCs w:val="22"/>
          <w:lang w:val="en-US"/>
        </w:rPr>
        <w:t>behavioral</w:t>
      </w:r>
      <w:r w:rsidR="00B803E8" w:rsidRPr="00AE7B34">
        <w:rPr>
          <w:rFonts w:ascii="Times New Roman" w:hAnsi="Times New Roman" w:cs="Times New Roman"/>
          <w:color w:val="000000" w:themeColor="text1"/>
          <w:sz w:val="22"/>
          <w:szCs w:val="22"/>
          <w:lang w:val="en-US"/>
        </w:rPr>
        <w:t xml:space="preserve"> trends </w:t>
      </w:r>
      <w:r w:rsidR="003B334A" w:rsidRPr="00AE7B34">
        <w:rPr>
          <w:rFonts w:ascii="Times New Roman" w:hAnsi="Times New Roman" w:cs="Times New Roman"/>
          <w:color w:val="000000" w:themeColor="text1"/>
          <w:sz w:val="22"/>
          <w:szCs w:val="22"/>
          <w:lang w:val="en-US"/>
        </w:rPr>
        <w:t xml:space="preserve">further to </w:t>
      </w:r>
      <w:proofErr w:type="spellStart"/>
      <w:r w:rsidR="00B803E8" w:rsidRPr="00AE7B34">
        <w:rPr>
          <w:rFonts w:ascii="Times New Roman" w:hAnsi="Times New Roman" w:cs="Times New Roman"/>
          <w:color w:val="000000" w:themeColor="text1"/>
          <w:sz w:val="22"/>
          <w:szCs w:val="22"/>
          <w:lang w:val="en-US"/>
        </w:rPr>
        <w:t>anthropause</w:t>
      </w:r>
      <w:proofErr w:type="spellEnd"/>
      <w:r w:rsidR="003B334A"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t>as consumers confided to their homes and economies are shut down. Pandemic massively affected not only certain discretionary services, such as expos, tourism services, cultural gatherings but also more general, daily industries like taxis, hairdressers, electronics industries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{"citationItems":[{"id":"ITEM-1","itemData":{"DOI":"10.1016/j.jbusres.2020.06.008","ISSN":"01482963","abstract":"The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author":[{"dropping-particle":"","family":"Donthu","given":"Naveen","non-dropping-particle":"","parse-names":false,"suffix":""},{"dropping-particle":"","family":"Gustafsson","given":"Anders","non-dropping-particle":"","parse-names":false,"suffix":""}],"container-title":"Journal of Business Research","id":"ITEM-1","issue":"June","issued":{"date-parts":[["2020"]]},"note":"Abtsract \nThe COVID-19 outbreak is a sharp reminder that pandemics, like other rarely occurring catastrophes, have happened in the past and will continue to happen in the future. Even if we cannot prevent dangerous viruses from emerging, we should prepare to dampen their effects on society. The current outbreak has had severe economic consequences across the globe, and it does not look like any country will be unaffected. This not only has consequences for the economy; all of society is affected, which has led to dramatic changes in how businesses act and consumers behave. This special issue is a global effort to address some of the pandemic-related issues affecting society. In total, there are 13 papers that cover different industry sectors (e.g., tourism, retail, higher education), changes in consumer behavior and businesses, ethical issues, and aspects related to employees and leadership.\n\n\npolu kalo sos \n\ngia eisagogika kai new trends s allages &amp;amp; chalelnges covid19 \n\naim: In total, there are 13 papers that cover different industry sectors (e.g., tourism, retail, higher education), changes in consumer behavior and\nbusinesses, ethical issues, and aspects related to employees and leadership.","page":"284-289","title":"Effects of COVID-19 on business and research","type":"article-journal","volume":"117"},"uris":["http://www.mendeley.com/documents/?uuid=382c1949-3dc3-427a-a42c-0eb26ff8769c"]}],"mendeley":{"formattedCitation":"(Donthu and Gustafsson, 2020)","manualFormatting":"Donthu and Gustafsson, 2020)","plainTextFormattedCitation":"(Donthu and Gustafsson, 2020)","previouslyFormattedCitation":"(Donthu and Gustafsson,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Donthu and Gustafsson,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Indeed, in the case of sports events, </w:t>
      </w:r>
      <w:r w:rsidR="00B803E8" w:rsidRPr="00AE7B34">
        <w:rPr>
          <w:rFonts w:ascii="Times New Roman" w:hAnsi="Times New Roman" w:cs="Times New Roman"/>
          <w:color w:val="000000" w:themeColor="text1"/>
          <w:sz w:val="22"/>
          <w:szCs w:val="22"/>
          <w:lang w:val="en-US"/>
        </w:rPr>
        <w:fldChar w:fldCharType="begin" w:fldLock="1"/>
      </w:r>
      <w:r w:rsidR="00057F7F" w:rsidRPr="00AE7B34">
        <w:rPr>
          <w:rFonts w:ascii="Times New Roman" w:hAnsi="Times New Roman" w:cs="Times New Roman"/>
          <w:color w:val="000000" w:themeColor="text1"/>
          <w:sz w:val="22"/>
          <w:szCs w:val="22"/>
          <w:lang w:val="en-US"/>
        </w:rPr>
        <w:instrText>ADDIN CSL_CITATION {"citationItems":[{"id":"ITEM-1","itemData":{"DOI":"10.1080/02508281.2020.1847422","author":[{"dropping-particle":"","family":"Maditinos","given":"Zisis","non-dropping-particle":"","parse-names":false,"suffix":""},{"dropping-particle":"","family":"Vassiliadis","given":"Christos","non-dropping-particle":"","parse-names":false,"suffix":""},{"dropping-particle":"","family":"Tzavlopoulos","given":"Yannis","non-dropping-particle":"","parse-names":false,"suffix":""},{"dropping-particle":"","family":"Vassiliadis","given":"Serafeim","non-dropping-particle":"","parse-names":false,"suffix":""}],"container-title":"Tourism Recreation Research","id":"ITEM-1","issued":{"date-parts":[["2020","12","13"]]},"note":"kalo gi tin paragrfo me eisasogi se genikes allages covdi19 kai gia festival\n\nprotupo gia to paper modelo na doe pos parousiazei - ti deixnei grafisitka apo sem\nblepe prasino kai mob xroma \n\n\nmethod : a focus group of 10 experienced runners.\n\n- In addition to the race destination issues the research\nrevealed the race conditions issues that are serious for\nthe runners.","page":"1-12","title":"Sports events and the COVID-19 pandemic: assessing runners' intentions for future participation in running events – evidence from Greece","type":"article-journal"},"uris":["http://www.mendeley.com/documents/?uuid=20b1d9d3-b670-4346-b4d3-6a9a03baa361"]}],"mendeley":{"formattedCitation":"(Maditinos &lt;i&gt;et al.&lt;/i&gt;, 2020)","manualFormatting":"Maditinos et al., (2020)","plainTextFormattedCitation":"(Maditinos et al., 2020)","previouslyFormattedCitation":"(Maditinos &lt;i&gt;et al.&lt;/i&gt;,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 xml:space="preserve">Maditinos </w:t>
      </w:r>
      <w:r w:rsidR="00B803E8" w:rsidRPr="00AE7B34">
        <w:rPr>
          <w:rFonts w:ascii="Times New Roman" w:hAnsi="Times New Roman" w:cs="Times New Roman"/>
          <w:i/>
          <w:noProof/>
          <w:color w:val="000000" w:themeColor="text1"/>
          <w:sz w:val="22"/>
          <w:szCs w:val="22"/>
          <w:lang w:val="en-US"/>
        </w:rPr>
        <w:t>et al.</w:t>
      </w:r>
      <w:r w:rsidR="00B803E8" w:rsidRPr="00AE7B34">
        <w:rPr>
          <w:rFonts w:ascii="Times New Roman" w:hAnsi="Times New Roman" w:cs="Times New Roman"/>
          <w:noProof/>
          <w:color w:val="000000" w:themeColor="text1"/>
          <w:sz w:val="22"/>
          <w:szCs w:val="22"/>
          <w:lang w:val="en-US"/>
        </w:rPr>
        <w:t>,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highlighted that race destination and  race conditions as issues that are serious for the runners and effected by COVID-19. </w:t>
      </w:r>
      <w:r w:rsidR="00F72A2B" w:rsidRPr="00AE7B34">
        <w:rPr>
          <w:rFonts w:ascii="Times New Roman" w:hAnsi="Times New Roman" w:cs="Times New Roman"/>
          <w:color w:val="000000" w:themeColor="text1"/>
          <w:sz w:val="22"/>
          <w:szCs w:val="22"/>
          <w:lang w:val="en-US"/>
        </w:rPr>
        <w:t xml:space="preserve">In terms of COVID-19 and Italian accommodation,  </w:t>
      </w:r>
      <w:r w:rsidR="00F72A2B" w:rsidRPr="00AE7B34">
        <w:rPr>
          <w:rFonts w:ascii="Times New Roman" w:hAnsi="Times New Roman" w:cs="Times New Roman"/>
          <w:color w:val="000000" w:themeColor="text1"/>
          <w:sz w:val="22"/>
          <w:szCs w:val="22"/>
          <w:lang w:val="en-US"/>
        </w:rPr>
        <w:fldChar w:fldCharType="begin" w:fldLock="1"/>
      </w:r>
      <w:r w:rsidR="0010051E" w:rsidRPr="00AE7B34">
        <w:rPr>
          <w:rFonts w:ascii="Times New Roman" w:hAnsi="Times New Roman" w:cs="Times New Roman"/>
          <w:color w:val="000000" w:themeColor="text1"/>
          <w:sz w:val="22"/>
          <w:szCs w:val="22"/>
          <w:lang w:val="en-US"/>
        </w:rPr>
        <w:instrText>ADDIN CSL_CITATION {"citationItems":[{"id":"ITEM-1","itemData":{"DOI":"10.31261/zpppips.2021.19.03","ISSN":"0208-5003","abstract":"The Italian response to the Covid-19 crisis involved a general lockdown of all nonessential activities, accompanied by significant labour law and social security measures. The overall idea behind the Government’s action has been that of safeguarding, as far as practicable, the employment level and workers/families income, notwithstanding the sharp slowdown of business and professional activities. For that purpose, a temporary block of dismissals for economic reasons has been issued, combined with an almost mandatory use of remote work, whenever feasible, and a massive recourseto short-time work compensation schemes. Other measures have involved financial support for the self-employed, extraordinary leaves for parents to cope with schools closure, and special health and safety measures when work is to be performed within the employer’s premises.","author":[{"dropping-particle":"","family":"Chiappa","given":"Giacomo","non-dropping-particle":"Del","parse-names":false,"suffix":""},{"dropping-particle":"","family":"Bregoli","given":"Ilenia","non-dropping-particle":"","parse-names":false,"suffix":""},{"dropping-particle":"","family":"Fotiadis","given":"Anestis K.","non-dropping-particle":"","parse-names":false,"suffix":""}],"container-title":"ournal of Tourism, Heritage &amp; Services Marketing,","id":"ITEM-1","issue":"1","issued":{"date-parts":[["2021"]]},"note":"tha mpei se p3 prin to maiditno \n\nThe results showed that Italian entrepreneurs and managers were over-relying on interventions from the public sector and that there was a lack of business actions being made, thus evidencing a deficit in terms of long-term strategic thinking and the innovation required during such turbulent times. Implications: Although these results cannot be generalised to the whole of the hospitality industry, they shed light on important elements that industry associations should take into account","page":"13-22","title":"The impact of COVID-19 on Italian accommodation: A supply-perspective","type":"article-journal","volume":"7"},"uris":["http://www.mendeley.com/documents/?uuid=eb5c076f-7290-4268-bace-94d1d1bafc31"]}],"mendeley":{"formattedCitation":"(Del Chiappa, Bregoli and Fotiadis, 2021)","manualFormatting":"Del Chiappa, Bregoli and Fotiadis,(2021)","plainTextFormattedCitation":"(Del Chiappa, Bregoli and Fotiadis, 2021)","previouslyFormattedCitation":"(Del Chiappa, Bregoli and Fotiadis, 2021)"},"properties":{"noteIndex":0},"schema":"https://github.com/citation-style-language/schema/raw/master/csl-citation.json"}</w:instrText>
      </w:r>
      <w:r w:rsidR="00F72A2B" w:rsidRPr="00AE7B34">
        <w:rPr>
          <w:rFonts w:ascii="Times New Roman" w:hAnsi="Times New Roman" w:cs="Times New Roman"/>
          <w:color w:val="000000" w:themeColor="text1"/>
          <w:sz w:val="22"/>
          <w:szCs w:val="22"/>
          <w:lang w:val="en-US"/>
        </w:rPr>
        <w:fldChar w:fldCharType="separate"/>
      </w:r>
      <w:r w:rsidR="00F72A2B" w:rsidRPr="00AE7B34">
        <w:rPr>
          <w:rFonts w:ascii="Times New Roman" w:hAnsi="Times New Roman" w:cs="Times New Roman"/>
          <w:noProof/>
          <w:color w:val="000000" w:themeColor="text1"/>
          <w:sz w:val="22"/>
          <w:szCs w:val="22"/>
          <w:lang w:val="en-US"/>
        </w:rPr>
        <w:t>Del Chiappa, Bregoli and Fotiadis,(2021)</w:t>
      </w:r>
      <w:r w:rsidR="00F72A2B" w:rsidRPr="00AE7B34">
        <w:rPr>
          <w:rFonts w:ascii="Times New Roman" w:hAnsi="Times New Roman" w:cs="Times New Roman"/>
          <w:color w:val="000000" w:themeColor="text1"/>
          <w:sz w:val="22"/>
          <w:szCs w:val="22"/>
          <w:lang w:val="en-US"/>
        </w:rPr>
        <w:fldChar w:fldCharType="end"/>
      </w:r>
      <w:r w:rsidR="00F72A2B" w:rsidRPr="00AE7B34">
        <w:rPr>
          <w:rFonts w:ascii="Times New Roman" w:hAnsi="Times New Roman" w:cs="Times New Roman"/>
          <w:color w:val="000000" w:themeColor="text1"/>
          <w:sz w:val="22"/>
          <w:szCs w:val="22"/>
          <w:lang w:val="en-US"/>
        </w:rPr>
        <w:t xml:space="preserve"> extoled the lack of prompt business reflexes in terms of strategic and innovation management. </w:t>
      </w:r>
    </w:p>
    <w:p w14:paraId="6F125254" w14:textId="0EDAE9AA" w:rsidR="00B803E8" w:rsidRPr="00AE7B34" w:rsidRDefault="00B803E8" w:rsidP="00A13D44">
      <w:pPr>
        <w:tabs>
          <w:tab w:val="left" w:pos="709"/>
        </w:tabs>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iCs/>
          <w:color w:val="000000" w:themeColor="text1"/>
          <w:sz w:val="22"/>
          <w:szCs w:val="22"/>
          <w:lang w:val="en-US"/>
        </w:rPr>
        <w:t xml:space="preserve">Similarly, over the last months and upon the black swan event of </w:t>
      </w:r>
      <w:r w:rsidR="007B33DC" w:rsidRPr="00AE7B34">
        <w:rPr>
          <w:rFonts w:ascii="Times New Roman" w:hAnsi="Times New Roman" w:cs="Times New Roman"/>
          <w:iCs/>
          <w:color w:val="000000" w:themeColor="text1"/>
          <w:sz w:val="22"/>
          <w:szCs w:val="22"/>
          <w:lang w:val="en-US"/>
        </w:rPr>
        <w:t>COVID-19</w:t>
      </w:r>
      <w:r w:rsidRPr="00AE7B34">
        <w:rPr>
          <w:rFonts w:ascii="Times New Roman" w:hAnsi="Times New Roman" w:cs="Times New Roman"/>
          <w:iCs/>
          <w:color w:val="000000" w:themeColor="text1"/>
          <w:sz w:val="22"/>
          <w:szCs w:val="22"/>
          <w:lang w:val="en-US"/>
        </w:rPr>
        <w:t xml:space="preserve">  till today, few days before the museums reopening in Greece, museums have been questioning their “raison </w:t>
      </w:r>
      <w:proofErr w:type="spellStart"/>
      <w:r w:rsidRPr="00AE7B34">
        <w:rPr>
          <w:rFonts w:ascii="Times New Roman" w:hAnsi="Times New Roman" w:cs="Times New Roman"/>
          <w:iCs/>
          <w:color w:val="000000" w:themeColor="text1"/>
          <w:sz w:val="22"/>
          <w:szCs w:val="22"/>
          <w:lang w:val="en-US"/>
        </w:rPr>
        <w:t>d’etre</w:t>
      </w:r>
      <w:proofErr w:type="spellEnd"/>
      <w:r w:rsidRPr="00AE7B34">
        <w:rPr>
          <w:rFonts w:ascii="Times New Roman" w:hAnsi="Times New Roman" w:cs="Times New Roman"/>
          <w:iCs/>
          <w:color w:val="000000" w:themeColor="text1"/>
          <w:sz w:val="22"/>
          <w:szCs w:val="22"/>
          <w:lang w:val="en-US"/>
        </w:rPr>
        <w:t>”</w:t>
      </w:r>
      <w:r w:rsidR="00496BF3"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fldChar w:fldCharType="begin" w:fldLock="1"/>
      </w:r>
      <w:r w:rsidRPr="00AE7B34">
        <w:rPr>
          <w:rFonts w:ascii="Times New Roman" w:hAnsi="Times New Roman" w:cs="Times New Roman"/>
          <w:iCs/>
          <w:color w:val="000000" w:themeColor="text1"/>
          <w:sz w:val="22"/>
          <w:szCs w:val="22"/>
          <w:lang w:val="en-US"/>
        </w:rPr>
        <w:instrText>ADDIN CSL_CITATION {"citationItems":[{"id":"ITEM-1","itemData":{"author":[{"dropping-particle":"","family":"Kahn","given":"Rebecca","non-dropping-particle":"","parse-names":false,"suffix":""}],"container-title":"Elephant in the Lab","id":"ITEM-1","issued":{"date-parts":[["2020"]]},"note":"Key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pandemic","type":"article-journal"},"uris":["http://www.mendeley.com/documents/?uuid=1e2d9064-603e-446f-b332-1e739081b59b"]}],"mendeley":{"formattedCitation":"(Kahn, 2020)","plainTextFormattedCitation":"(Kahn, 2020)","previouslyFormattedCitation":"(Kahn, 2020)"},"properties":{"noteIndex":0},"schema":"https://github.com/citation-style-language/schema/raw/master/csl-citation.json"}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(Kahn, 2020)</w:t>
      </w:r>
      <w:r w:rsidRPr="00AE7B34">
        <w:rPr>
          <w:rFonts w:ascii="Times New Roman" w:hAnsi="Times New Roman" w:cs="Times New Roman"/>
          <w:color w:val="000000" w:themeColor="text1"/>
          <w:sz w:val="22"/>
          <w:szCs w:val="22"/>
          <w:lang w:val="en-US"/>
        </w:rPr>
        <w:fldChar w:fldCharType="end"/>
      </w:r>
      <w:r w:rsidR="00496BF3"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t>as museums were shield</w:t>
      </w:r>
      <w:r w:rsidRPr="00AE7B34">
        <w:rPr>
          <w:rFonts w:ascii="Times New Roman" w:hAnsi="Times New Roman" w:cs="Times New Roman"/>
          <w:color w:val="000000" w:themeColor="text1"/>
          <w:sz w:val="22"/>
          <w:szCs w:val="22"/>
          <w:lang w:val="en-US"/>
        </w:rPr>
        <w:t>. Consequently, despite its infancy, a growing body of literature has explored the link between pandemic and museums</w:t>
      </w:r>
      <w:r w:rsidR="0064689A"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001429CE" w:rsidRPr="00AE7B34">
        <w:rPr>
          <w:rFonts w:ascii="Times New Roman" w:hAnsi="Times New Roman" w:cs="Times New Roman"/>
          <w:color w:val="000000" w:themeColor="text1"/>
          <w:sz w:val="22"/>
          <w:szCs w:val="22"/>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-1","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COVID-19","type":"article-journal","volume":"9"},"uris":["http://www.mendeley.com/documents/?uuid=32c71aaa-4e10-4fe5-aa0a-99cb18a1c41d"]}],"mendeley":{"formattedCitation":"(Bonin-Rodriguez and Vakharia, 2020)","manualFormatting":"Bonin-Rodriguez and Vakharia (2020","plainTextFormattedCitation":"(Bonin-Rodriguez and Vakharia, 2020)","previouslyFormattedCitation":"(Bonin-Rodriguez and Vakharia,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Bonin-Rodriguez and Vakharia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3B334A" w:rsidRPr="00AE7B34">
        <w:rPr>
          <w:rFonts w:ascii="Times New Roman" w:hAnsi="Times New Roman" w:cs="Times New Roman"/>
          <w:color w:val="000000" w:themeColor="text1"/>
          <w:sz w:val="22"/>
          <w:szCs w:val="22"/>
          <w:lang w:val="en-US"/>
        </w:rPr>
        <w:t>predicted</w:t>
      </w:r>
      <w:r w:rsidR="00344DF7"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that in the</w:t>
      </w:r>
      <w:r w:rsidR="003B334A" w:rsidRPr="00AE7B34">
        <w:rPr>
          <w:rFonts w:ascii="Times New Roman" w:hAnsi="Times New Roman" w:cs="Times New Roman"/>
          <w:color w:val="000000" w:themeColor="text1"/>
          <w:sz w:val="22"/>
          <w:szCs w:val="22"/>
          <w:lang w:val="en-US"/>
        </w:rPr>
        <w:t>ir</w:t>
      </w:r>
      <w:r w:rsidRPr="00AE7B34">
        <w:rPr>
          <w:rFonts w:ascii="Times New Roman" w:hAnsi="Times New Roman" w:cs="Times New Roman"/>
          <w:color w:val="000000" w:themeColor="text1"/>
          <w:sz w:val="22"/>
          <w:szCs w:val="22"/>
          <w:lang w:val="en-US"/>
        </w:rPr>
        <w:t xml:space="preserve"> struggle to survive museums </w:t>
      </w:r>
      <w:r w:rsidR="00530828" w:rsidRPr="00AE7B34">
        <w:rPr>
          <w:rFonts w:ascii="Times New Roman" w:hAnsi="Times New Roman" w:cs="Times New Roman"/>
          <w:color w:val="000000" w:themeColor="text1"/>
          <w:sz w:val="22"/>
          <w:szCs w:val="22"/>
          <w:lang w:val="en-US"/>
        </w:rPr>
        <w:t>would harness</w:t>
      </w:r>
      <w:r w:rsidRPr="00AE7B34">
        <w:rPr>
          <w:rFonts w:ascii="Times New Roman" w:hAnsi="Times New Roman" w:cs="Times New Roman"/>
          <w:color w:val="000000" w:themeColor="text1"/>
          <w:sz w:val="22"/>
          <w:szCs w:val="22"/>
          <w:lang w:val="en-US"/>
        </w:rPr>
        <w:t xml:space="preserve"> various new digital toolboxes and synergies </w:t>
      </w:r>
      <w:r w:rsidR="003B334A" w:rsidRPr="00AE7B34">
        <w:rPr>
          <w:rFonts w:ascii="Times New Roman" w:hAnsi="Times New Roman" w:cs="Times New Roman"/>
          <w:color w:val="000000" w:themeColor="text1"/>
          <w:sz w:val="22"/>
          <w:szCs w:val="22"/>
          <w:lang w:val="en-US"/>
        </w:rPr>
        <w:t xml:space="preserve">among </w:t>
      </w:r>
      <w:r w:rsidRPr="00AE7B34">
        <w:rPr>
          <w:rFonts w:ascii="Times New Roman" w:hAnsi="Times New Roman" w:cs="Times New Roman"/>
          <w:color w:val="000000" w:themeColor="text1"/>
          <w:sz w:val="22"/>
          <w:szCs w:val="22"/>
          <w:lang w:val="en-US"/>
        </w:rPr>
        <w:t>stakeholders (</w:t>
      </w:r>
      <w:r w:rsidR="00DE2E78" w:rsidRPr="00AE7B34">
        <w:rPr>
          <w:rFonts w:ascii="Times New Roman" w:hAnsi="Times New Roman" w:cs="Times New Roman"/>
          <w:color w:val="000000" w:themeColor="text1"/>
          <w:sz w:val="22"/>
          <w:szCs w:val="22"/>
          <w:lang w:val="en-US"/>
        </w:rPr>
        <w:t>from artists</w:t>
      </w:r>
      <w:r w:rsidRPr="00AE7B34">
        <w:rPr>
          <w:rFonts w:ascii="Times New Roman" w:hAnsi="Times New Roman" w:cs="Times New Roman"/>
          <w:color w:val="000000" w:themeColor="text1"/>
          <w:sz w:val="22"/>
          <w:szCs w:val="22"/>
          <w:lang w:val="en-US"/>
        </w:rPr>
        <w:t xml:space="preserve">, organizations, </w:t>
      </w:r>
      <w:r w:rsidR="00933996" w:rsidRPr="00AE7B34">
        <w:rPr>
          <w:rFonts w:ascii="Times New Roman" w:hAnsi="Times New Roman" w:cs="Times New Roman"/>
          <w:color w:val="000000" w:themeColor="text1"/>
          <w:sz w:val="22"/>
          <w:szCs w:val="22"/>
          <w:lang w:val="en-US"/>
        </w:rPr>
        <w:t>to funders</w:t>
      </w:r>
      <w:r w:rsidRPr="00AE7B34">
        <w:rPr>
          <w:rFonts w:ascii="Times New Roman" w:hAnsi="Times New Roman" w:cs="Times New Roman"/>
          <w:color w:val="000000" w:themeColor="text1"/>
          <w:sz w:val="22"/>
          <w:szCs w:val="22"/>
          <w:lang w:val="en-US"/>
        </w:rPr>
        <w:t xml:space="preserve">, cities, service organizations, and states). </w:t>
      </w:r>
      <w:r w:rsidR="00A27697" w:rsidRPr="00AE7B34">
        <w:rPr>
          <w:rFonts w:ascii="Times New Roman" w:hAnsi="Times New Roman" w:cs="Times New Roman"/>
          <w:color w:val="000000" w:themeColor="text1"/>
          <w:sz w:val="22"/>
          <w:szCs w:val="22"/>
          <w:lang w:val="en-US"/>
        </w:rPr>
        <w:t>Particularly</w:t>
      </w:r>
      <w:r w:rsidRPr="00AE7B34">
        <w:rPr>
          <w:rFonts w:ascii="Times New Roman" w:hAnsi="Times New Roman" w:cs="Times New Roman"/>
          <w:color w:val="000000" w:themeColor="text1"/>
          <w:sz w:val="22"/>
          <w:szCs w:val="22"/>
          <w:lang w:val="en-US"/>
        </w:rPr>
        <w:t xml:space="preserve">, </w:t>
      </w:r>
      <w:r w:rsidR="00A27697" w:rsidRPr="00AE7B34">
        <w:rPr>
          <w:rFonts w:ascii="Times New Roman" w:hAnsi="Times New Roman" w:cs="Times New Roman"/>
          <w:color w:val="000000" w:themeColor="text1"/>
          <w:sz w:val="22"/>
          <w:szCs w:val="22"/>
          <w:lang w:val="en-US"/>
        </w:rPr>
        <w:t xml:space="preserve">as for </w:t>
      </w:r>
      <w:r w:rsidRPr="00AE7B34">
        <w:rPr>
          <w:rFonts w:ascii="Times New Roman" w:hAnsi="Times New Roman" w:cs="Times New Roman"/>
          <w:color w:val="000000" w:themeColor="text1"/>
          <w:sz w:val="22"/>
          <w:szCs w:val="22"/>
          <w:lang w:val="en-US"/>
        </w:rPr>
        <w:t>Italian museums</w:t>
      </w:r>
      <w:r w:rsidR="00A27697" w:rsidRPr="00AE7B34">
        <w:rPr>
          <w:rFonts w:ascii="Times New Roman" w:hAnsi="Times New Roman" w:cs="Times New Roman"/>
          <w:color w:val="000000" w:themeColor="text1"/>
          <w:sz w:val="22"/>
          <w:szCs w:val="22"/>
          <w:lang w:val="en-US"/>
        </w:rPr>
        <w:t>,</w:t>
      </w:r>
      <w:r w:rsidR="00C1560E"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Agostino, </w:t>
      </w:r>
      <w:proofErr w:type="spellStart"/>
      <w:r w:rsidRPr="00AE7B34">
        <w:rPr>
          <w:rFonts w:ascii="Times New Roman" w:hAnsi="Times New Roman" w:cs="Times New Roman"/>
          <w:color w:val="000000" w:themeColor="text1"/>
          <w:sz w:val="22"/>
          <w:szCs w:val="22"/>
          <w:lang w:val="en-US"/>
        </w:rPr>
        <w:t>Arnaboldi</w:t>
      </w:r>
      <w:proofErr w:type="spellEnd"/>
      <w:r w:rsidRPr="00AE7B34">
        <w:rPr>
          <w:rFonts w:ascii="Times New Roman" w:hAnsi="Times New Roman" w:cs="Times New Roman"/>
          <w:color w:val="000000" w:themeColor="text1"/>
          <w:sz w:val="22"/>
          <w:szCs w:val="22"/>
          <w:lang w:val="en-US"/>
        </w:rPr>
        <w:t xml:space="preserve"> and </w:t>
      </w:r>
      <w:proofErr w:type="spellStart"/>
      <w:r w:rsidRPr="00AE7B34">
        <w:rPr>
          <w:rFonts w:ascii="Times New Roman" w:hAnsi="Times New Roman" w:cs="Times New Roman"/>
          <w:color w:val="000000" w:themeColor="text1"/>
          <w:sz w:val="22"/>
          <w:szCs w:val="22"/>
          <w:lang w:val="en-US"/>
        </w:rPr>
        <w:t>Lema</w:t>
      </w:r>
      <w:proofErr w:type="spellEnd"/>
      <w:r w:rsidRPr="00AE7B34">
        <w:rPr>
          <w:rFonts w:ascii="Times New Roman" w:hAnsi="Times New Roman" w:cs="Times New Roman"/>
          <w:color w:val="000000" w:themeColor="text1"/>
          <w:sz w:val="22"/>
          <w:szCs w:val="22"/>
          <w:lang w:val="en-US"/>
        </w:rPr>
        <w:t xml:space="preserve"> (2020) highlighted the fact that museums had and have an intense desire to remain active online despite their physical sites being closed.</w:t>
      </w:r>
    </w:p>
    <w:p w14:paraId="2CED4A64" w14:textId="161C8CB8" w:rsidR="00B803E8" w:rsidRPr="00AE7B34" w:rsidRDefault="00B803E8" w:rsidP="00A13D44">
      <w:pPr>
        <w:ind w:firstLine="709"/>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fldChar w:fldCharType="begin" w:fldLock="1"/>
      </w:r>
      <w:r w:rsidR="001429CE" w:rsidRPr="00AE7B34">
        <w:rPr>
          <w:rFonts w:ascii="Times New Roman" w:hAnsi="Times New Roman" w:cs="Times New Roman"/>
          <w:color w:val="000000" w:themeColor="text1"/>
          <w:sz w:val="22"/>
          <w:szCs w:val="22"/>
          <w:lang w:val="en-US"/>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-1","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COVID-19","type":"article-journal","volume":"9"},"uris":["http://www.mendeley.com/documents/?uuid=32c71aaa-4e10-4fe5-aa0a-99cb18a1c41d"]}],"mendeley":{"formattedCitation":"(Bonin-Rodriguez and Vakharia, 2020)","manualFormatting":" Bonin-Rodriguez and Vakharia (2020","plainTextFormattedCitation":"(Bonin-Rodriguez and Vakharia, 2020)","previouslyFormattedCitation":"(Bonin-Rodriguez and Vakharia,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 Bonin-Rodriguez and Vakharia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3B334A" w:rsidRPr="00AE7B34">
        <w:rPr>
          <w:rFonts w:ascii="Times New Roman" w:hAnsi="Times New Roman" w:cs="Times New Roman"/>
          <w:color w:val="000000" w:themeColor="text1"/>
          <w:sz w:val="22"/>
          <w:szCs w:val="22"/>
          <w:lang w:val="en-US"/>
        </w:rPr>
        <w:t xml:space="preserve">acknowledge the </w:t>
      </w:r>
      <w:r w:rsidRPr="00AE7B34">
        <w:rPr>
          <w:rFonts w:ascii="Times New Roman" w:hAnsi="Times New Roman" w:cs="Times New Roman"/>
          <w:color w:val="000000" w:themeColor="text1"/>
          <w:sz w:val="22"/>
          <w:szCs w:val="22"/>
          <w:lang w:val="en-US"/>
        </w:rPr>
        <w:t xml:space="preserve">pandemic </w:t>
      </w:r>
      <w:r w:rsidR="003B334A" w:rsidRPr="00AE7B34">
        <w:rPr>
          <w:rFonts w:ascii="Times New Roman" w:hAnsi="Times New Roman" w:cs="Times New Roman"/>
          <w:color w:val="000000" w:themeColor="text1"/>
          <w:sz w:val="22"/>
          <w:szCs w:val="22"/>
          <w:lang w:val="en-US"/>
        </w:rPr>
        <w:t xml:space="preserve">as </w:t>
      </w:r>
      <w:r w:rsidRPr="00AE7B34">
        <w:rPr>
          <w:rFonts w:ascii="Times New Roman" w:hAnsi="Times New Roman" w:cs="Times New Roman"/>
          <w:color w:val="000000" w:themeColor="text1"/>
          <w:sz w:val="22"/>
          <w:szCs w:val="22"/>
          <w:lang w:val="en-US"/>
        </w:rPr>
        <w:t>a chance for museums</w:t>
      </w:r>
      <w:r w:rsidR="003B334A"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r w:rsidR="003B334A" w:rsidRPr="00AE7B34">
        <w:rPr>
          <w:rFonts w:ascii="Times New Roman" w:hAnsi="Times New Roman" w:cs="Times New Roman"/>
          <w:color w:val="000000" w:themeColor="text1"/>
          <w:sz w:val="22"/>
          <w:szCs w:val="22"/>
          <w:lang w:val="en-US"/>
        </w:rPr>
        <w:t>A</w:t>
      </w:r>
      <w:r w:rsidRPr="00AE7B34">
        <w:rPr>
          <w:rFonts w:ascii="Times New Roman" w:hAnsi="Times New Roman" w:cs="Times New Roman"/>
          <w:color w:val="000000" w:themeColor="text1"/>
          <w:sz w:val="22"/>
          <w:szCs w:val="22"/>
          <w:lang w:val="en-US"/>
        </w:rPr>
        <w:t>t this end of the COVID-19 storm</w:t>
      </w:r>
      <w:r w:rsidR="003B334A"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museum practitioners should </w:t>
      </w:r>
      <w:r w:rsidR="003B334A" w:rsidRPr="00AE7B34">
        <w:rPr>
          <w:rFonts w:ascii="Times New Roman" w:hAnsi="Times New Roman" w:cs="Times New Roman"/>
          <w:color w:val="000000" w:themeColor="text1"/>
          <w:sz w:val="22"/>
          <w:szCs w:val="22"/>
          <w:lang w:val="en-US"/>
        </w:rPr>
        <w:t xml:space="preserve">have </w:t>
      </w:r>
      <w:r w:rsidRPr="00AE7B34">
        <w:rPr>
          <w:rFonts w:ascii="Times New Roman" w:hAnsi="Times New Roman" w:cs="Times New Roman"/>
          <w:color w:val="000000" w:themeColor="text1"/>
          <w:sz w:val="22"/>
          <w:szCs w:val="22"/>
          <w:lang w:val="en-US"/>
        </w:rPr>
        <w:t>accumulate</w:t>
      </w:r>
      <w:r w:rsidR="003B334A" w:rsidRPr="00AE7B34">
        <w:rPr>
          <w:rFonts w:ascii="Times New Roman" w:hAnsi="Times New Roman" w:cs="Times New Roman"/>
          <w:color w:val="000000" w:themeColor="text1"/>
          <w:sz w:val="22"/>
          <w:szCs w:val="22"/>
          <w:lang w:val="en-US"/>
        </w:rPr>
        <w:t>d</w:t>
      </w:r>
      <w:r w:rsidRPr="00AE7B34">
        <w:rPr>
          <w:rFonts w:ascii="Times New Roman" w:hAnsi="Times New Roman" w:cs="Times New Roman"/>
          <w:color w:val="000000" w:themeColor="text1"/>
          <w:sz w:val="22"/>
          <w:szCs w:val="22"/>
          <w:lang w:val="en-US"/>
        </w:rPr>
        <w:t xml:space="preserve"> “COVID-19 lessons learnt” </w:t>
      </w:r>
      <w:r w:rsidR="003B334A" w:rsidRPr="00AE7B34">
        <w:rPr>
          <w:rFonts w:ascii="Times New Roman" w:hAnsi="Times New Roman" w:cs="Times New Roman"/>
          <w:color w:val="000000" w:themeColor="text1"/>
          <w:sz w:val="22"/>
          <w:szCs w:val="22"/>
          <w:lang w:val="en-US"/>
        </w:rPr>
        <w:t>regarding</w:t>
      </w:r>
      <w:r w:rsidRPr="00AE7B34">
        <w:rPr>
          <w:rFonts w:ascii="Times New Roman" w:hAnsi="Times New Roman" w:cs="Times New Roman"/>
          <w:color w:val="000000" w:themeColor="text1"/>
          <w:sz w:val="22"/>
          <w:szCs w:val="22"/>
          <w:lang w:val="en-US"/>
        </w:rPr>
        <w:t xml:space="preserve"> resilience, and digital life of cultural heritage. </w:t>
      </w:r>
      <w:r w:rsidR="003B334A" w:rsidRPr="00AE7B34">
        <w:rPr>
          <w:rFonts w:ascii="Times New Roman" w:hAnsi="Times New Roman" w:cs="Times New Roman"/>
          <w:color w:val="000000" w:themeColor="text1"/>
          <w:sz w:val="22"/>
          <w:szCs w:val="22"/>
          <w:lang w:val="en-US"/>
        </w:rPr>
        <w:t>Hence, a</w:t>
      </w:r>
      <w:r w:rsidRPr="00AE7B34">
        <w:rPr>
          <w:rFonts w:ascii="Times New Roman" w:hAnsi="Times New Roman" w:cs="Times New Roman"/>
          <w:color w:val="000000" w:themeColor="text1"/>
          <w:sz w:val="22"/>
          <w:szCs w:val="22"/>
          <w:lang w:val="en-US"/>
        </w:rPr>
        <w:t xml:space="preserve">n integrative </w:t>
      </w:r>
      <w:r w:rsidR="00D22458" w:rsidRPr="00AE7B34">
        <w:rPr>
          <w:rFonts w:ascii="Times New Roman" w:hAnsi="Times New Roman" w:cs="Times New Roman"/>
          <w:color w:val="000000" w:themeColor="text1"/>
          <w:sz w:val="22"/>
          <w:szCs w:val="22"/>
          <w:lang w:val="en-US"/>
        </w:rPr>
        <w:t>Literature</w:t>
      </w:r>
      <w:r w:rsidRPr="00AE7B34">
        <w:rPr>
          <w:rFonts w:ascii="Times New Roman" w:hAnsi="Times New Roman" w:cs="Times New Roman"/>
          <w:color w:val="000000" w:themeColor="text1"/>
          <w:sz w:val="22"/>
          <w:szCs w:val="22"/>
          <w:lang w:val="en-US"/>
        </w:rPr>
        <w:t xml:space="preserve"> Review</w:t>
      </w:r>
      <w:r w:rsidR="00231A82" w:rsidRPr="00AE7B34">
        <w:rPr>
          <w:rFonts w:ascii="Times New Roman" w:hAnsi="Times New Roman" w:cs="Times New Roman"/>
          <w:color w:val="000000" w:themeColor="text1"/>
          <w:sz w:val="22"/>
          <w:szCs w:val="22"/>
          <w:lang w:val="en-US"/>
        </w:rPr>
        <w:t xml:space="preserve"> (LR)</w:t>
      </w:r>
      <w:r w:rsidRPr="00AE7B34">
        <w:rPr>
          <w:rFonts w:ascii="Times New Roman" w:hAnsi="Times New Roman" w:cs="Times New Roman"/>
          <w:color w:val="000000" w:themeColor="text1"/>
          <w:sz w:val="22"/>
          <w:szCs w:val="22"/>
          <w:lang w:val="en-US"/>
        </w:rPr>
        <w:t xml:space="preserve"> provides a deeper insight into the above questions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Research","id":"ITEM-1","issue":"July","issued":{"date-parts":[["2019"]]},"note":"aim: \nThis\npaper discusses literature review as a methodology for conducting research and offers an overview of different\ntypes of reviews, as well as some guidelines to how to both conduct and evaluate a literature review paper.\n\nsos gi aLR","page":"333-339","publisher":"Elsevier","title":"Literature review as a research methodology: An overview and guidelines","type":"article-journal","volume":"104"},"uris":["http://www.mendeley.com/documents/?uuid=dbacf861-109d-4d02-825b-169252970e3f"]},{"id":"ITEM-2","itemData":{"ISBN":"9781550586015","abstract":"Preface Why this Handbook? e overall aim of this handbook is to provide a practical guide on the evaluation of eHealth systems. Over the years, we have seen a steady growth in the number and type of eHealth systems being adopted in different healthcare settings. Proponents of these systems claim eHealth can improve the quality of care provided, leading to better provider performance and health outcomes. Yet the evidence for such claims is mixed thus far, with some studies demonstrating benefits, others showing little to no impact, and some settings being even worse off than before. Understandably, there are now increasing pressures on government agencies and health organizations to demonstrate tangible return on value for the significant eHealth investments made. Despite the growing importance and need to evaluate eHealth systems, there are relatively few formal courses available from post-secondary educational institutions on how to plan, conduct, report and appraise eHealth evaluation studies. Most educational institutions that offer degree programs related to health research, administration and services would typically include eHealth evaluation as part of their health research methods or program evaluation courses. Of those that offer health informatics degree programs, only some have eHealth evaluation as a full self-contained course. For institutions that offer eHealth evaluation as either a course or a topic within a course, the choice of textbooks and reference materials can vary greatly depending on what is available and the preference of the instructors. To date, there have been just a few books published on eHealth evaluation. Notable examples are the reference texts edited by van Gennip and Talmon (1994), Anderson and Aydin (2005), and Friedman and Wyatt (2006), as well as the handbook written by Brender (2006). Aside from these, we are not aware of other major reference texts published in the last 10 years focused solely on this topic. Yet during this period we have witnessed an exponential growth in the number of published journal articles and government reports on eHealth evaluation. ese publications often contain descriptions of different evaluation approaches and/or field studies on the design, implementation, use and effects of particular eHealth systems in specific settings. Overall, what seems lacking is a reference text that brings together these diverse approaches, studies and lessons as a coherent body of literature on the current…","author":[{"dropping-particle":"","family":"Lau","given":"Francis","non-dropping-particle":"","parse-names":false,"suffix":""},{"dropping-particle":"","family":"Kuziemsky","given":"Craig","non-dropping-particle":"","parse-names":false,"suffix":""}],"container-title":"Handbook of eHealth Evaluation: An Evidence-based Approach","id":"ITEM-2","issued":{"date-parts":[["2016"]]},"note":"Chapter 9\nMethods for Literature Reviews Guy Paré, Spyros Kitsiou\n9.1 page 171","number-of-pages":"504","title":"Handbook of eHealth Evaluation: An Evidence-based Approach","type":"book"},"uris":["http://www.mendeley.com/documents/?uuid=acf2334c-8f85-4586-9019-26671e715984"]}],"mendeley":{"formattedCitation":"(Lau and Kuziemsky, 2016; Snyder, 2019)","plainTextFormattedCitation":"(Lau and Kuziemsky, 2016; Snyder, 2019)","previouslyFormattedCitation":"(Lau and Kuziemsky, 2016; Snyder, 2019)"},"properties":{"noteIndex":0},"schema":"https://github.com/citation-style-language/schema/raw/master/csl-citation.json"}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(Lau and Kuziemsky, 2016; Snyder, 2019)</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3B334A" w:rsidRPr="00AE7B34">
        <w:rPr>
          <w:rFonts w:ascii="Times New Roman" w:hAnsi="Times New Roman" w:cs="Times New Roman"/>
          <w:color w:val="000000" w:themeColor="text1"/>
          <w:sz w:val="22"/>
          <w:szCs w:val="22"/>
          <w:lang w:val="en-US"/>
        </w:rPr>
        <w:t>This</w:t>
      </w:r>
      <w:r w:rsidRPr="00AE7B34">
        <w:rPr>
          <w:rFonts w:ascii="Times New Roman" w:hAnsi="Times New Roman" w:cs="Times New Roman"/>
          <w:color w:val="000000" w:themeColor="text1"/>
          <w:sz w:val="22"/>
          <w:szCs w:val="22"/>
          <w:lang w:val="en-GB"/>
        </w:rPr>
        <w:t xml:space="preserve"> study based on Literature Review Analysis and Multiple Case Study of Thessaloniki International Film Festival and </w:t>
      </w:r>
      <w:proofErr w:type="spellStart"/>
      <w:r w:rsidR="001429CE" w:rsidRPr="00AE7B34">
        <w:rPr>
          <w:rFonts w:ascii="Times New Roman" w:hAnsi="Times New Roman" w:cs="Times New Roman"/>
          <w:color w:val="000000" w:themeColor="text1"/>
          <w:sz w:val="22"/>
          <w:szCs w:val="22"/>
          <w:lang w:val="en-GB"/>
        </w:rPr>
        <w:t>MOMus</w:t>
      </w:r>
      <w:proofErr w:type="spellEnd"/>
      <w:r w:rsidR="001429CE" w:rsidRPr="00AE7B34">
        <w:rPr>
          <w:rFonts w:ascii="Times New Roman" w:hAnsi="Times New Roman" w:cs="Times New Roman"/>
          <w:color w:val="000000" w:themeColor="text1"/>
          <w:sz w:val="22"/>
          <w:szCs w:val="22"/>
          <w:lang w:val="en-GB"/>
        </w:rPr>
        <w:t xml:space="preserve"> Thessaloniki Museum of Photography</w:t>
      </w:r>
      <w:r w:rsidRPr="00AE7B34">
        <w:rPr>
          <w:rFonts w:ascii="Times New Roman" w:hAnsi="Times New Roman" w:cs="Times New Roman"/>
          <w:color w:val="000000" w:themeColor="text1"/>
          <w:sz w:val="22"/>
          <w:szCs w:val="22"/>
          <w:lang w:val="en-GB"/>
        </w:rPr>
        <w:t xml:space="preserve"> sought to </w:t>
      </w:r>
      <w:r w:rsidR="003B334A" w:rsidRPr="00AE7B34">
        <w:rPr>
          <w:rFonts w:ascii="Times New Roman" w:hAnsi="Times New Roman" w:cs="Times New Roman"/>
          <w:color w:val="000000" w:themeColor="text1"/>
          <w:sz w:val="22"/>
          <w:szCs w:val="22"/>
          <w:lang w:val="en-GB"/>
        </w:rPr>
        <w:t>address this</w:t>
      </w:r>
      <w:r w:rsidRPr="00AE7B34">
        <w:rPr>
          <w:rFonts w:ascii="Times New Roman" w:hAnsi="Times New Roman" w:cs="Times New Roman"/>
          <w:color w:val="000000" w:themeColor="text1"/>
          <w:sz w:val="22"/>
          <w:szCs w:val="22"/>
          <w:lang w:val="en-GB"/>
        </w:rPr>
        <w:t xml:space="preserve"> gap. </w:t>
      </w:r>
    </w:p>
    <w:p w14:paraId="4E1A7D6D" w14:textId="21855FDB" w:rsidR="00BF2F46" w:rsidRPr="00AE7B34" w:rsidRDefault="00BF2F46" w:rsidP="00BF2F46">
      <w:pPr>
        <w:jc w:val="both"/>
        <w:rPr>
          <w:rFonts w:ascii="Times New Roman" w:hAnsi="Times New Roman" w:cs="Times New Roman"/>
          <w:color w:val="000000" w:themeColor="text1"/>
          <w:sz w:val="22"/>
          <w:szCs w:val="22"/>
          <w:lang w:val="en-US"/>
        </w:rPr>
      </w:pPr>
    </w:p>
    <w:p w14:paraId="196631AF" w14:textId="3F5DECD8" w:rsidR="00B4617F" w:rsidRPr="00AE7B34" w:rsidRDefault="00B4617F"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RESEARCH METHODOLOGY</w:t>
      </w:r>
    </w:p>
    <w:p w14:paraId="1153EF11" w14:textId="77777777" w:rsidR="001429CE" w:rsidRPr="00AE7B34" w:rsidRDefault="001429CE" w:rsidP="00BF2F46">
      <w:pPr>
        <w:jc w:val="both"/>
        <w:rPr>
          <w:rFonts w:ascii="Times New Roman" w:hAnsi="Times New Roman" w:cs="Times New Roman"/>
          <w:b/>
          <w:bCs/>
          <w:color w:val="000000" w:themeColor="text1"/>
          <w:lang w:val="en-US"/>
        </w:rPr>
      </w:pPr>
    </w:p>
    <w:p w14:paraId="110B6D07" w14:textId="51E74F2F" w:rsidR="0064689A" w:rsidRPr="00AE7B34" w:rsidRDefault="00B803E8" w:rsidP="0064689A">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To explore </w:t>
      </w:r>
      <w:r w:rsidRPr="00AE7B34">
        <w:rPr>
          <w:rFonts w:ascii="Times New Roman" w:hAnsi="Times New Roman" w:cs="Times New Roman"/>
          <w:color w:val="000000" w:themeColor="text1"/>
          <w:sz w:val="22"/>
          <w:szCs w:val="22"/>
          <w:lang w:val="en-GB"/>
        </w:rPr>
        <w:t xml:space="preserve">the interplay among museums/festivals, </w:t>
      </w:r>
      <w:r w:rsidR="007B33DC" w:rsidRPr="00AE7B34">
        <w:rPr>
          <w:rFonts w:ascii="Times New Roman" w:hAnsi="Times New Roman" w:cs="Times New Roman"/>
          <w:color w:val="000000" w:themeColor="text1"/>
          <w:sz w:val="22"/>
          <w:szCs w:val="22"/>
          <w:lang w:val="en-GB"/>
        </w:rPr>
        <w:t>COVID-19</w:t>
      </w:r>
      <w:r w:rsidRPr="00AE7B34">
        <w:rPr>
          <w:rFonts w:ascii="Times New Roman" w:hAnsi="Times New Roman" w:cs="Times New Roman"/>
          <w:color w:val="000000" w:themeColor="text1"/>
          <w:sz w:val="22"/>
          <w:szCs w:val="22"/>
          <w:lang w:val="en-GB"/>
        </w:rPr>
        <w:t xml:space="preserve"> and social media / digital tools</w:t>
      </w:r>
      <w:r w:rsidRPr="00AE7B34">
        <w:rPr>
          <w:rFonts w:ascii="Times New Roman" w:hAnsi="Times New Roman" w:cs="Times New Roman"/>
          <w:color w:val="000000" w:themeColor="text1"/>
          <w:sz w:val="22"/>
          <w:szCs w:val="22"/>
          <w:lang w:val="en-US"/>
        </w:rPr>
        <w:t xml:space="preserve">, a systematic literature review </w:t>
      </w:r>
      <w:r w:rsidRPr="00AE7B34">
        <w:rPr>
          <w:rFonts w:ascii="Times New Roman" w:hAnsi="Times New Roman" w:cs="Times New Roman"/>
          <w:color w:val="000000" w:themeColor="text1"/>
          <w:sz w:val="22"/>
          <w:szCs w:val="22"/>
          <w:lang w:val="en-GB"/>
        </w:rPr>
        <w:t>was deployed between September 2020 – April 2021</w:t>
      </w:r>
      <w:r w:rsidRPr="00AE7B34">
        <w:rPr>
          <w:rFonts w:ascii="Times New Roman" w:hAnsi="Times New Roman" w:cs="Times New Roman"/>
          <w:color w:val="000000" w:themeColor="text1"/>
          <w:sz w:val="22"/>
          <w:szCs w:val="22"/>
          <w:lang w:val="en-US"/>
        </w:rPr>
        <w:t>. LR as a research method appears as the best methodological tool to provide a starting point of a new emerging topic (</w:t>
      </w:r>
      <w:r w:rsidRPr="00AE7B34">
        <w:rPr>
          <w:rFonts w:ascii="Times New Roman" w:hAnsi="Times New Roman" w:cs="Times New Roman"/>
          <w:color w:val="000000" w:themeColor="text1"/>
          <w:sz w:val="22"/>
          <w:szCs w:val="22"/>
          <w:lang w:val="en-US"/>
        </w:rPr>
        <w:fldChar w:fldCharType="begin" w:fldLock="1"/>
      </w:r>
      <w:r w:rsidR="00057F7F" w:rsidRPr="00AE7B34">
        <w:rPr>
          <w:rFonts w:ascii="Times New Roman" w:hAnsi="Times New Roman" w:cs="Times New Roman"/>
          <w:color w:val="000000" w:themeColor="text1"/>
          <w:sz w:val="22"/>
          <w:szCs w:val="22"/>
          <w:lang w:val="en-US"/>
        </w:rPr>
        <w:instrText>ADDIN CSL_CITATION {"citationItems":[{"id":"ITEM-1","itemData":{"ISBN":"9781550586015","abstract":"Preface Why this Handbook? e overall aim of this handbook is to provide a practical guide on the evaluation of eHealth systems. Over the years, we have seen a steady growth in the number and type of eHealth systems being adopted in different healthcare settings. Proponents of these systems claim eHealth can improve the quality of care provided, leading to better provider performance and health outcomes. Yet the evidence for such claims is mixed thus far, with some studies demonstrating benefits, others showing little to no impact, and some settings being even worse off than before. Understandably, there are now increasing pressures on government agencies and health organizations to demonstrate tangible return on value for the significant eHealth investments made. Despite the growing importance and need to evaluate eHealth systems, there are relatively few formal courses available from post-secondary educational institutions on how to plan, conduct, report and appraise eHealth evaluation studies. Most educational institutions that offer degree programs related to health research, administration and services would typically include eHealth evaluation as part of their health research methods or program evaluation courses. Of those that offer health informatics degree programs, only some have eHealth evaluation as a full self-contained course. For institutions that offer eHealth evaluation as either a course or a topic within a course, the choice of textbooks and reference materials can vary greatly depending on what is available and the preference of the instructors. To date, there have been just a few books published on eHealth evaluation. Notable examples are the reference texts edited by van Gennip and Talmon (1994), Anderson and Aydin (2005), and Friedman and Wyatt (2006), as well as the handbook written by Brender (2006). Aside from these, we are not aware of other major reference texts published in the last 10 years focused solely on this topic. Yet during this period we have witnessed an exponential growth in the number of published journal articles and government reports on eHealth evaluation. ese publications often contain descriptions of different evaluation approaches and/or field studies on the design, implementation, use and effects of particular eHealth systems in specific settings. Overall, what seems lacking is a reference text that brings together these diverse approaches, studies and lessons as a coherent body of literature on the current…","author":[{"dropping-particle":"","family":"Lau","given":"Francis","non-dropping-particle":"","parse-names":false,"suffix":""},{"dropping-particle":"","family":"Kuziemsky","given":"Craig","non-dropping-particle":"","parse-names":false,"suffix":""}],"container-title":"Handbook of eHealth Evaluation: An Evidence-based Approach","id":"ITEM-1","issued":{"date-parts":[["2016"]]},"note":"Chapter 9\nMethods for Literature Reviews Guy Paré, Spyros Kitsiou\n9.1 page 171","number-of-pages":"504","title":"Handbook of eHealth Evaluation: An Evidence-based Approach","type":"book"},"uris":["http://www.mendeley.com/documents/?uuid=acf2334c-8f85-4586-9019-26671e715984"]}],"mendeley":{"formattedCitation":"(Lau and Kuziemsky, 2016)","manualFormatting":"Lau and Kuziemsky, 2016 ","plainTextFormattedCitation":"(Lau and Kuziemsky, 2016)","previouslyFormattedCitation":"(Lau and Kuziemsky, 2016)"},"properties":{"noteIndex":0},"schema":"https://github.com/citation-style-language/schema/raw/master/csl-citation.json"}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Lau and Kuziemsky</w:t>
      </w:r>
      <w:r w:rsidR="00D56CDB" w:rsidRPr="00AE7B34">
        <w:rPr>
          <w:rFonts w:ascii="Times New Roman" w:hAnsi="Times New Roman" w:cs="Times New Roman"/>
          <w:noProof/>
          <w:color w:val="000000" w:themeColor="text1"/>
          <w:sz w:val="22"/>
          <w:szCs w:val="22"/>
          <w:lang w:val="en-US"/>
        </w:rPr>
        <w:t xml:space="preserve">, </w:t>
      </w:r>
      <w:r w:rsidRPr="00AE7B34">
        <w:rPr>
          <w:rFonts w:ascii="Times New Roman" w:hAnsi="Times New Roman" w:cs="Times New Roman"/>
          <w:noProof/>
          <w:color w:val="000000" w:themeColor="text1"/>
          <w:sz w:val="22"/>
          <w:szCs w:val="22"/>
          <w:lang w:val="en-US"/>
        </w:rPr>
        <w:t xml:space="preserve">2016 </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{"citationItems":[{"id":"ITEM-1","itemData":{"DOI":"10.1016/j.jbusres.2019.07.039","ISSN":"01482963","abstract":"Knowledge production within the field of business research is accelerating at a tremendous speed while at the same time remaining fragmented and interdisciplinary. This makes it hard to keep up with state-of-the-art and to be at the forefront of research, as well as to assess the collective evidence in a particular area of business research. This is why the literature review as a research method is more relevant than ever. Traditional literature reviews often lack thoroughness and rigor and are conducted ad hoc, rather than following a specific methodology. Therefore, questions can be raised about the quality and trustworthiness of these types of reviews. This paper discusses literature review as a methodology for conducting research and offers an overview of different types of reviews, as well as some guidelines to how to both conduct and evaluate a literature review paper. It also discusses common pitfalls and how to get literature reviews published.","author":[{"dropping-particle":"","family":"Snyder","given":"Hannah","non-dropping-particle":"","parse-names":false,"suffix":""}],"container-title":"Journal of Business Research","id":"ITEM-1","issue":"July","issued":{"date-parts":[["2019"]]},"note":"aim: \nThis\npaper discusses literature review as a methodology for conducting research and offers an overview of different\ntypes of reviews, as well as some guidelines to how to both conduct and evaluate a literature review paper.\n\nsos gi aLR","page":"333-339","publisher":"Elsevier","title":"Literature review as a research methodology: An overview and guidelines","type":"article-journal","volume":"104"},"uris":["http://www.mendeley.com/documents/?uuid=dbacf861-109d-4d02-825b-169252970e3f"]}],"mendeley":{"formattedCitation":"(Snyder, 2019)","manualFormatting":"Snyder 2019)","plainTextFormattedCitation":"(Snyder, 2019)","previouslyFormattedCitation":"(Snyder, 2019)"},"properties":{"noteIndex":0},"schema":"https://github.com/citation-style-language/schema/raw/master/csl-citation.json"}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Snyder 2019)</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w:t>
      </w:r>
    </w:p>
    <w:p w14:paraId="4395675F" w14:textId="6373BF12" w:rsidR="00B803E8" w:rsidRPr="00AE7B34" w:rsidRDefault="00B803E8"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The search strands that were used are “social media, digital tools, museums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 “ social media, digital tools, museum brand awareness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“social media digital tools, museum brand engagement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 social media, digital tools, festivals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 “ social media, digital tools, festival brand awareness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“social media digital tools, festival brand engagement and </w:t>
      </w:r>
      <w:r w:rsidR="007B33DC" w:rsidRPr="00AE7B34">
        <w:rPr>
          <w:rFonts w:ascii="Times New Roman" w:hAnsi="Times New Roman" w:cs="Times New Roman"/>
          <w:color w:val="000000" w:themeColor="text1"/>
          <w:sz w:val="22"/>
          <w:szCs w:val="22"/>
          <w:lang w:val="en-US"/>
        </w:rPr>
        <w:t>COVID-19</w:t>
      </w:r>
      <w:r w:rsidR="00344DF7"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“digital transformation in museums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w:t>
      </w:r>
      <w:r w:rsidR="00344DF7"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digital transformation in festivals and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GB"/>
        </w:rPr>
        <w:t>These publications were identified and gathered from renowned online database</w:t>
      </w:r>
      <w:r w:rsidR="00C32FFA" w:rsidRPr="00AE7B34">
        <w:rPr>
          <w:rFonts w:ascii="Times New Roman" w:hAnsi="Times New Roman" w:cs="Times New Roman"/>
          <w:color w:val="000000" w:themeColor="text1"/>
          <w:sz w:val="22"/>
          <w:szCs w:val="22"/>
          <w:lang w:val="en-GB"/>
        </w:rPr>
        <w:t>s</w:t>
      </w:r>
      <w:r w:rsidRPr="00AE7B34">
        <w:rPr>
          <w:rFonts w:ascii="Times New Roman" w:hAnsi="Times New Roman" w:cs="Times New Roman"/>
          <w:color w:val="000000" w:themeColor="text1"/>
          <w:sz w:val="22"/>
          <w:szCs w:val="22"/>
          <w:lang w:val="en-GB"/>
        </w:rPr>
        <w:t xml:space="preserve"> and search engines such as Science Direct, EBSCOHOST and Google Scholar. Findings of this review were further assessed. Hence, drawing on a review of </w:t>
      </w:r>
      <w:r w:rsidR="00353D50" w:rsidRPr="00AE7B34">
        <w:rPr>
          <w:rFonts w:ascii="Times New Roman" w:hAnsi="Times New Roman" w:cs="Times New Roman"/>
          <w:color w:val="000000" w:themeColor="text1"/>
          <w:sz w:val="22"/>
          <w:szCs w:val="22"/>
          <w:lang w:val="en-GB"/>
        </w:rPr>
        <w:t>76</w:t>
      </w:r>
      <w:r w:rsidRPr="00AE7B34">
        <w:rPr>
          <w:rFonts w:ascii="Times New Roman" w:hAnsi="Times New Roman" w:cs="Times New Roman"/>
          <w:color w:val="000000" w:themeColor="text1"/>
          <w:sz w:val="22"/>
          <w:szCs w:val="22"/>
          <w:lang w:val="en-GB"/>
        </w:rPr>
        <w:t xml:space="preserve">papers three research questions emerged. These questions were used as the basic research tool for this qualitative research for the case study. </w:t>
      </w:r>
    </w:p>
    <w:p w14:paraId="55AB9295" w14:textId="3AA05F37" w:rsidR="00B803E8" w:rsidRPr="00AE7B34" w:rsidRDefault="00B803E8" w:rsidP="0064689A">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Moreover, </w:t>
      </w:r>
      <w:r w:rsidRPr="00AE7B34">
        <w:rPr>
          <w:rFonts w:ascii="Times New Roman" w:hAnsi="Times New Roman" w:cs="Times New Roman"/>
          <w:color w:val="000000" w:themeColor="text1"/>
          <w:sz w:val="22"/>
          <w:szCs w:val="22"/>
          <w:lang w:val="en-GB"/>
        </w:rPr>
        <w:t xml:space="preserve">a case-study approach was used to allow a deeper insight into this exploratory study. “Case research is specifically welcome in new situations where little is known about the phenomenon and in situations where current theories seem inadequate (Hudson </w:t>
      </w:r>
      <w:r w:rsidR="00A115B4" w:rsidRPr="00AE7B34">
        <w:rPr>
          <w:rFonts w:ascii="Times New Roman" w:hAnsi="Times New Roman" w:cs="Times New Roman"/>
          <w:color w:val="000000" w:themeColor="text1"/>
          <w:sz w:val="22"/>
          <w:szCs w:val="22"/>
          <w:lang w:val="en-GB"/>
        </w:rPr>
        <w:t>and</w:t>
      </w:r>
      <w:r w:rsidRPr="00AE7B34">
        <w:rPr>
          <w:rFonts w:ascii="Times New Roman" w:hAnsi="Times New Roman" w:cs="Times New Roman"/>
          <w:color w:val="000000" w:themeColor="text1"/>
          <w:sz w:val="22"/>
          <w:szCs w:val="22"/>
          <w:lang w:val="en-GB"/>
        </w:rPr>
        <w:t xml:space="preserve"> Hudson, 2013:221). </w:t>
      </w:r>
      <w:r w:rsidRPr="00AE7B34">
        <w:rPr>
          <w:rFonts w:ascii="Times New Roman" w:hAnsi="Times New Roman" w:cs="Times New Roman"/>
          <w:color w:val="000000" w:themeColor="text1"/>
          <w:sz w:val="22"/>
          <w:szCs w:val="22"/>
          <w:lang w:val="en-US"/>
        </w:rPr>
        <w:t xml:space="preserve">Upon the infancy </w:t>
      </w:r>
      <w:r w:rsidR="00231A82" w:rsidRPr="00AE7B34">
        <w:rPr>
          <w:rFonts w:ascii="Times New Roman" w:hAnsi="Times New Roman" w:cs="Times New Roman"/>
          <w:color w:val="000000" w:themeColor="text1"/>
          <w:sz w:val="22"/>
          <w:szCs w:val="22"/>
          <w:lang w:val="en-US"/>
        </w:rPr>
        <w:t xml:space="preserve">of </w:t>
      </w:r>
      <w:r w:rsidRPr="00AE7B34">
        <w:rPr>
          <w:rFonts w:ascii="Times New Roman" w:hAnsi="Times New Roman" w:cs="Times New Roman"/>
          <w:color w:val="000000" w:themeColor="text1"/>
          <w:sz w:val="22"/>
          <w:szCs w:val="22"/>
          <w:lang w:val="en-US"/>
        </w:rPr>
        <w:t xml:space="preserve">the stream </w:t>
      </w:r>
      <w:r w:rsidR="00231A82" w:rsidRPr="00AE7B34">
        <w:rPr>
          <w:rFonts w:ascii="Times New Roman" w:hAnsi="Times New Roman" w:cs="Times New Roman"/>
          <w:color w:val="000000" w:themeColor="text1"/>
          <w:sz w:val="22"/>
          <w:szCs w:val="22"/>
          <w:lang w:val="en-US"/>
        </w:rPr>
        <w:t xml:space="preserve">in </w:t>
      </w:r>
      <w:r w:rsidR="007B33DC" w:rsidRPr="00AE7B34">
        <w:rPr>
          <w:rFonts w:ascii="Times New Roman" w:hAnsi="Times New Roman" w:cs="Times New Roman"/>
          <w:color w:val="000000" w:themeColor="text1"/>
          <w:sz w:val="22"/>
          <w:szCs w:val="22"/>
          <w:lang w:val="en-US"/>
        </w:rPr>
        <w:t>COVID-19</w:t>
      </w:r>
      <w:r w:rsidRPr="00AE7B34">
        <w:rPr>
          <w:rFonts w:ascii="Times New Roman" w:hAnsi="Times New Roman" w:cs="Times New Roman"/>
          <w:color w:val="000000" w:themeColor="text1"/>
          <w:sz w:val="22"/>
          <w:szCs w:val="22"/>
          <w:lang w:val="en-US"/>
        </w:rPr>
        <w:t>, social and digitalization tools, this work follow</w:t>
      </w:r>
      <w:r w:rsidR="00231A82" w:rsidRPr="00AE7B34">
        <w:rPr>
          <w:rFonts w:ascii="Times New Roman" w:hAnsi="Times New Roman" w:cs="Times New Roman"/>
          <w:color w:val="000000" w:themeColor="text1"/>
          <w:sz w:val="22"/>
          <w:szCs w:val="22"/>
          <w:lang w:val="en-US"/>
        </w:rPr>
        <w:t>ed</w:t>
      </w:r>
      <w:r w:rsidRPr="00AE7B34">
        <w:rPr>
          <w:rFonts w:ascii="Times New Roman" w:hAnsi="Times New Roman" w:cs="Times New Roman"/>
          <w:color w:val="000000" w:themeColor="text1"/>
          <w:sz w:val="22"/>
          <w:szCs w:val="22"/>
          <w:lang w:val="en-US"/>
        </w:rPr>
        <w:t xml:space="preserve"> the protocol of prior studies </w:t>
      </w:r>
      <w:r w:rsidR="00231A82" w:rsidRPr="00AE7B34">
        <w:rPr>
          <w:rFonts w:ascii="Times New Roman" w:hAnsi="Times New Roman" w:cs="Times New Roman"/>
          <w:color w:val="000000" w:themeColor="text1"/>
          <w:sz w:val="22"/>
          <w:szCs w:val="22"/>
          <w:lang w:val="en-US"/>
        </w:rPr>
        <w:t>applied in</w:t>
      </w:r>
      <w:r w:rsidRPr="00AE7B34">
        <w:rPr>
          <w:rFonts w:ascii="Times New Roman" w:hAnsi="Times New Roman" w:cs="Times New Roman"/>
          <w:color w:val="000000" w:themeColor="text1"/>
          <w:sz w:val="22"/>
          <w:szCs w:val="22"/>
          <w:lang w:val="en-US"/>
        </w:rPr>
        <w:t xml:space="preserve"> museums.</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museums","type":"article-journal","volume":"ahead-of-p"},"uris":["http://www.mendeley.com/documents/?uuid=bdc7389f-f1f2-4ac6-8536-524dd6cc6e43"]}],"mendeley":{"formattedCitation":"(Raimo &lt;i&gt;et al.&lt;/i&gt;, 2021)","plainTextFormattedCitation":"(Raimo et al., 2021)","previouslyFormattedCitation":"(Raimo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Thessaloniki International Film Festival was chosen upon its world class heritage </w:t>
      </w:r>
      <w:r w:rsidRPr="00AE7B34">
        <w:rPr>
          <w:rFonts w:ascii="Times New Roman" w:hAnsi="Times New Roman" w:cs="Times New Roman"/>
          <w:color w:val="000000" w:themeColor="text1"/>
          <w:sz w:val="22"/>
          <w:szCs w:val="22"/>
          <w:lang w:val="en-US"/>
        </w:rPr>
        <w:lastRenderedPageBreak/>
        <w:t xml:space="preserve">reputation as one of the oldest and leading festival in </w:t>
      </w:r>
      <w:r w:rsidR="00344DF7" w:rsidRPr="00AE7B34">
        <w:rPr>
          <w:rFonts w:ascii="Times New Roman" w:hAnsi="Times New Roman" w:cs="Times New Roman"/>
          <w:color w:val="000000" w:themeColor="text1"/>
          <w:sz w:val="22"/>
          <w:szCs w:val="22"/>
          <w:lang w:val="en-US"/>
        </w:rPr>
        <w:t>s</w:t>
      </w:r>
      <w:r w:rsidR="00231A82" w:rsidRPr="00AE7B34">
        <w:rPr>
          <w:rFonts w:ascii="Times New Roman" w:hAnsi="Times New Roman" w:cs="Times New Roman"/>
          <w:color w:val="000000" w:themeColor="text1"/>
          <w:sz w:val="22"/>
          <w:szCs w:val="22"/>
          <w:lang w:val="en-US"/>
        </w:rPr>
        <w:t>outheast</w:t>
      </w:r>
      <w:r w:rsidRPr="00AE7B34">
        <w:rPr>
          <w:rFonts w:ascii="Times New Roman" w:hAnsi="Times New Roman" w:cs="Times New Roman"/>
          <w:color w:val="000000" w:themeColor="text1"/>
          <w:sz w:val="22"/>
          <w:szCs w:val="22"/>
          <w:lang w:val="en-US"/>
        </w:rPr>
        <w:t xml:space="preserve"> Europe and Greece. Likewise, </w:t>
      </w:r>
      <w:proofErr w:type="spellStart"/>
      <w:r w:rsidR="001429CE" w:rsidRPr="00AE7B34">
        <w:rPr>
          <w:rFonts w:ascii="Times New Roman" w:hAnsi="Times New Roman" w:cs="Times New Roman"/>
          <w:color w:val="000000" w:themeColor="text1"/>
          <w:sz w:val="22"/>
          <w:szCs w:val="22"/>
          <w:lang w:val="en-US"/>
        </w:rPr>
        <w:t>MOMus</w:t>
      </w:r>
      <w:proofErr w:type="spellEnd"/>
      <w:r w:rsidR="001429CE" w:rsidRPr="00AE7B34">
        <w:rPr>
          <w:rFonts w:ascii="Times New Roman" w:hAnsi="Times New Roman" w:cs="Times New Roman"/>
          <w:color w:val="000000" w:themeColor="text1"/>
          <w:sz w:val="22"/>
          <w:szCs w:val="22"/>
          <w:lang w:val="en-US"/>
        </w:rPr>
        <w:t xml:space="preserve"> Thessaloniki Museum of Photography </w:t>
      </w:r>
      <w:r w:rsidRPr="00AE7B34">
        <w:rPr>
          <w:rFonts w:ascii="Times New Roman" w:hAnsi="Times New Roman" w:cs="Times New Roman"/>
          <w:color w:val="000000" w:themeColor="text1"/>
          <w:sz w:val="22"/>
          <w:szCs w:val="22"/>
          <w:lang w:val="en-US"/>
        </w:rPr>
        <w:t xml:space="preserve">was chosen following its repetitive contribution on international photography. </w:t>
      </w:r>
    </w:p>
    <w:p w14:paraId="6F11637C" w14:textId="77777777" w:rsidR="00BF2F46" w:rsidRPr="00AE7B34" w:rsidRDefault="00BF2F46" w:rsidP="00BF2F46">
      <w:pPr>
        <w:jc w:val="both"/>
        <w:rPr>
          <w:rFonts w:ascii="Times New Roman" w:hAnsi="Times New Roman" w:cs="Times New Roman"/>
          <w:color w:val="000000" w:themeColor="text1"/>
          <w:sz w:val="22"/>
          <w:szCs w:val="22"/>
          <w:lang w:val="en-US"/>
        </w:rPr>
      </w:pPr>
    </w:p>
    <w:p w14:paraId="3D0E5142" w14:textId="77777777" w:rsidR="00B4617F" w:rsidRPr="00AE7B34" w:rsidRDefault="00B4617F"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FINDINGS AND ANALYSIS</w:t>
      </w:r>
    </w:p>
    <w:p w14:paraId="69502173" w14:textId="77777777" w:rsidR="00B4617F" w:rsidRPr="00AE7B34" w:rsidRDefault="00B4617F" w:rsidP="00BF2F46">
      <w:pPr>
        <w:jc w:val="both"/>
        <w:rPr>
          <w:rFonts w:ascii="Times New Roman" w:hAnsi="Times New Roman" w:cs="Times New Roman"/>
          <w:color w:val="000000" w:themeColor="text1"/>
          <w:sz w:val="22"/>
          <w:szCs w:val="22"/>
          <w:lang w:val="en-US"/>
        </w:rPr>
      </w:pPr>
    </w:p>
    <w:p w14:paraId="4137C99F" w14:textId="77777777" w:rsidR="00A13D44" w:rsidRPr="00AE7B34" w:rsidRDefault="00B803E8" w:rsidP="00A13D44">
      <w:pPr>
        <w:jc w:val="both"/>
        <w:rPr>
          <w:rFonts w:ascii="Times New Roman" w:hAnsi="Times New Roman" w:cs="Times New Roman"/>
          <w:b/>
          <w:bCs/>
          <w:color w:val="000000" w:themeColor="text1"/>
          <w:sz w:val="22"/>
          <w:szCs w:val="22"/>
          <w:lang w:val="en-GB"/>
        </w:rPr>
      </w:pPr>
      <w:r w:rsidRPr="00AE7B34">
        <w:rPr>
          <w:rFonts w:ascii="Times New Roman" w:hAnsi="Times New Roman" w:cs="Times New Roman"/>
          <w:b/>
          <w:bCs/>
          <w:color w:val="000000" w:themeColor="text1"/>
          <w:sz w:val="22"/>
          <w:szCs w:val="22"/>
          <w:lang w:val="en-GB"/>
        </w:rPr>
        <w:t xml:space="preserve">Quo </w:t>
      </w:r>
      <w:proofErr w:type="spellStart"/>
      <w:r w:rsidRPr="00AE7B34">
        <w:rPr>
          <w:rFonts w:ascii="Times New Roman" w:hAnsi="Times New Roman" w:cs="Times New Roman"/>
          <w:b/>
          <w:bCs/>
          <w:color w:val="000000" w:themeColor="text1"/>
          <w:sz w:val="22"/>
          <w:szCs w:val="22"/>
          <w:lang w:val="en-GB"/>
        </w:rPr>
        <w:t>vadis</w:t>
      </w:r>
      <w:proofErr w:type="spellEnd"/>
      <w:r w:rsidRPr="00AE7B34">
        <w:rPr>
          <w:rFonts w:ascii="Times New Roman" w:hAnsi="Times New Roman" w:cs="Times New Roman"/>
          <w:b/>
          <w:bCs/>
          <w:color w:val="000000" w:themeColor="text1"/>
          <w:sz w:val="22"/>
          <w:szCs w:val="22"/>
          <w:lang w:val="en-GB"/>
        </w:rPr>
        <w:t xml:space="preserve"> both museums and festivals in the time of Corona?</w:t>
      </w:r>
    </w:p>
    <w:p w14:paraId="20962D4B" w14:textId="5C780AE1" w:rsidR="00B803E8" w:rsidRPr="00AE7B34" w:rsidRDefault="00B803E8" w:rsidP="00A13D44">
      <w:pPr>
        <w:tabs>
          <w:tab w:val="left" w:pos="851"/>
        </w:tabs>
        <w:jc w:val="both"/>
        <w:rPr>
          <w:rFonts w:ascii="Times New Roman" w:hAnsi="Times New Roman" w:cs="Times New Roman"/>
          <w:b/>
          <w:bCs/>
          <w:color w:val="000000" w:themeColor="text1"/>
          <w:sz w:val="22"/>
          <w:szCs w:val="22"/>
          <w:lang w:val="en-GB"/>
        </w:rPr>
      </w:pPr>
      <w:r w:rsidRPr="00AE7B34">
        <w:rPr>
          <w:rFonts w:ascii="Times New Roman" w:hAnsi="Times New Roman" w:cs="Times New Roman"/>
          <w:iCs/>
          <w:color w:val="000000" w:themeColor="text1"/>
          <w:sz w:val="22"/>
          <w:szCs w:val="22"/>
          <w:lang w:val="en-US"/>
        </w:rPr>
        <w:t xml:space="preserve">With respect to the first research question, the majority or recent studies confirmed the effectiveness of social media and digital tools as a first aid kid fighting the </w:t>
      </w:r>
      <w:r w:rsidR="007B33DC" w:rsidRPr="00AE7B34">
        <w:rPr>
          <w:rFonts w:ascii="Times New Roman" w:hAnsi="Times New Roman" w:cs="Times New Roman"/>
          <w:iCs/>
          <w:color w:val="000000" w:themeColor="text1"/>
          <w:sz w:val="22"/>
          <w:szCs w:val="22"/>
          <w:lang w:val="en-US"/>
        </w:rPr>
        <w:t>COVID-19</w:t>
      </w:r>
      <w:r w:rsidRPr="00AE7B34">
        <w:rPr>
          <w:rFonts w:ascii="Times New Roman" w:hAnsi="Times New Roman" w:cs="Times New Roman"/>
          <w:iCs/>
          <w:color w:val="000000" w:themeColor="text1"/>
          <w:sz w:val="22"/>
          <w:szCs w:val="22"/>
          <w:lang w:val="en-US"/>
        </w:rPr>
        <w:t xml:space="preserve"> </w:t>
      </w:r>
      <w:proofErr w:type="spellStart"/>
      <w:r w:rsidRPr="00AE7B34">
        <w:rPr>
          <w:rFonts w:ascii="Times New Roman" w:hAnsi="Times New Roman" w:cs="Times New Roman"/>
          <w:iCs/>
          <w:color w:val="000000" w:themeColor="text1"/>
          <w:sz w:val="22"/>
          <w:szCs w:val="22"/>
          <w:lang w:val="en-US"/>
        </w:rPr>
        <w:t>anthropause</w:t>
      </w:r>
      <w:proofErr w:type="spellEnd"/>
      <w:r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fldChar w:fldCharType="begin" w:fldLock="1"/>
      </w:r>
      <w:r w:rsidR="00B5562F" w:rsidRPr="00AE7B34">
        <w:rPr>
          <w:rFonts w:ascii="Times New Roman" w:hAnsi="Times New Roman" w:cs="Times New Roman"/>
          <w:iCs/>
          <w:color w:val="000000" w:themeColor="text1"/>
          <w:sz w:val="22"/>
          <w:szCs w:val="22"/>
          <w:lang w:val="en-US"/>
        </w:rPr>
        <w:instrText>ADDIN CSL_CITATION {"citationItems":[{"id":"ITEM-1","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museumstidsskrift","id":"ITEM-1","issue":"02","issued":{"date-parts":[["2020"]]},"note":"Aim: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COVID-19","type":"article-journal","volume":"6"},"uris":["http://www.mendeley.com/documents/?uuid=20dc630b-634d-4065-9539-6ea2541ce1e4"]},{"id":"ITEM-2","itemData":{"DOI":"10.1007/s40558-020-00181-3","ISBN":"4055802000181","ISSN":"19434294","abstract":"This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Tourism","id":"ITEM-2","issue":"2","issued":{"date-parts":[["2020"]]},"note":"kalo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-3","itemData":{"author":[{"dropping-particle":"","family":"NEMO","given":"","non-dropping-particle":"","parse-names":false,"suffix":""}],"id":"ITEM-3","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Europe","type":"article-journal"},"uris":["http://www.mendeley.com/documents/?uuid=afa71f7b-f749-40c9-bddc-38817493a4fa"]},{"id":"ITEM-4","itemData":{"abstract":"This second report COVID-19 Related Travel Restrictions – A Global Review for Tourism was developed by the World Tourism Organization’s (UNWTO) Sustainable Development of Tourism Department. The report was prepared under the supervision of Dr. Dirk Glaesser with lead contributions from Lorna Hartantyo, Marianna Stori and Cordula Wohlmuther. Virginia Fernández-Trapa reviewed and provided feedback to the report. Comments on the previous version of this report were provided by Sandra Carvao, Orianne Derrier, Hernán Epstein, Harry Hwang, Beka Jakeli and Merjen Meretgulyyeva. Layout of the cover was provided by Alberto G. Uceda and layout of the report by Javier P. Spuch. We wish to thank Mrs Fiona Barron and Mr Rodolfo Losada from the World Food Programme for the clarifications and support provided.","author":[{"dropping-particle":"","family":"World Tourism Organization (UNWTO)","given":"","non-dropping-particle":"","parse-names":false,"suffix":""}],"container-title":"World Tourism Organization","id":"ITEM-4","issue":"April","issued":{"date-parts":[["2020"]]},"note":"kalo os vasi \n\n\nIntroduction - SOS\n\n\n7. Conclusions\n\n- Destinations continue to ease travel\nrestrictions. The analysis shows that there\nare various factors influencing thi trend\nDestinations with a higher score of the\nhealth and hygiene indicator as well as\nlow infection rates are among those which\neased restrictions faster than destinations of\ndifferent characteristics. Also, the importance\nof tourism is, although not in all countries,\ninfluencing that borders are getting reopened.\n\n\n\n0- However, many countries still keep their borders closed with impacts not only for international tourism but significant side effects for their economies and societies.\n\n\n- \nGovernments in destinations that have eased\nrestrictions continue to indicate that travel\nrestrictions will be reintroduced in case of\nincreasing infection rates at any time. These\ntravel\noften\nrestrictions\nrapid changes in\nremain a major challenge. Consequently,\nimmigration procedures and requirements will\ndiffer from destination to destination, which is\nespecially challenging for the consistency of\ninformation on procedures and requirements\nacross the different national authorities,\nnamely health, foreign affairs, immigration\nand tourism authorities of a country.\n\n\n- It is now, especially in view of the upcoming\nfast changing procedures and requirements,\neven more important that national authorities\nensure that immigration procedures and\nrequirements are provided in a timely, reliable \nand consistent manner across all information\nsystems and platforms, to maintain confidence\nand trust.\n\nProportionate and responsible opening\nof borders for international tourism\n\n\n\nWith seven months of the pandemic in place,\nlessons learned from attempts of limiting the\nspread of COVID-19 have become available.\nOne of the lessons might be that through\nsocial distancing and\ntesting and tracing,\nrelevant\nas hand\nhygiene measure such\nwashing and the wearing of mask the spread of\ninfection can be limited. Based on this and on\nthe introduction of protocols and procedures\nin general and in tourism in particular, reasons\nand justification for lifting and easing travel\nrestrictions might be provided.","page":"1-11","title":"Covid - 19 related travel restrictions a global review for tourism","type":"article-journal"},"uris":["http://www.mendeley.com/documents/?uuid=37b18eff-d4df-4966-8daf-6112820eb729"]},{"id":"ITEM-5","itemData":{"abstract":"Culture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Organisations","given":"","non-dropping-particle":"","parse-names":false,"suffix":""}],"id":"ITEM-5","issue":"May","issued":{"date-parts":[["2020"]]},"note":"1.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Recommendations","type":"report"},"uris":["http://www.mendeley.com/documents/?uuid=4829ec80-1b8d-4aec-bd98-6f9aa420f9da"]},{"id":"ITEM-6","itemData":{"DOI":"10.1080/09647775.2020.1762361","ISSN":"0964-7775","abstract":"No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Curatorship","id":"ITEM-6","issue":"3","issued":{"date-parts":[["2020"]]},"note":"polu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COVID-19","type":"article-journal","volume":"35"},"uris":["http://www.mendeley.com/documents/?uuid=f40f9c99-dbe0-42fd-bec2-0dfeec139d75"]},{"id":"ITEM-7","itemData":{"DOI":"10.1016/j.jbusres.2020.06.015","ISSN":"01482963","PMID":"32546875","abstract":"The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Research","id":"ITEM-7","issue":"June","issued":{"date-parts":[["2020"]]},"note":"Polu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id":"ITEM-8","itemData":{"author":[{"dropping-particle":"","family":"Kahn","given":"Rebecca","non-dropping-particle":"","parse-names":false,"suffix":""}],"container-title":"Elephant in the Lab","id":"ITEM-8","issued":{"date-parts":[["2020"]]},"note":"Key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-9","itemData":{"URL":"https://westmuse.org/articles/wma’s-social-media-best-practices-help-your-brand-during-covid-19","author":[{"dropping-particle":"","family":"Association","given":"Western Museums","non-dropping-particle":"","parse-names":false,"suffix":""}],"id":"ITEM-9","issued":{"date-parts":[["2021"]]},"page":"1-4","title":"WMA ’ s Social Media Best Practices : Help Your Brand During","type":"webpage"},"uris":["http://www.mendeley.com/documents/?uuid=c137a726-ea38-4bc5-a125-1f163dbea5e2"]},{"id":"ITEM-10","itemData":{"DOI":"10.1080/09647775.2020.1790029","ISSN":"09647775","abstract":"This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Curatorship","id":"ITEM-10","issue":"0","issued":{"date-parts":[["2020"]]},"note":"Poly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openness","type":"article-journal","volume":"0"},"uris":["http://www.mendeley.com/documents/?uuid=0f6150cb-afda-4c53-be4f-552b0f2a63b7"]},{"id":"ITEM-11","itemData":{"author":[{"dropping-particle":"","family":"Calvert","given":"Contributors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-11","issue":"May","issued":{"date-parts":[["2020"]]},"title":"Social Media during COVID-19 A Quick Guide for Canadian Museums","type":"article-journal"},"uris":["http://www.mendeley.com/documents/?uuid=d80d7ef1-656d-410a-8aad-68ab71788373"]},{"id":"ITEM-12","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Research","id":"ITEM-12","issue":"ahead-of-print","issued":{"date-parts":[["2021"]]},"note":"SOS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id":"ITEM-13","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Recovery","id":"ITEM-13","issued":{"date-parts":[["2020"]]},"note":"SOS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Academia.edu","type":"book"},"uris":["http://www.mendeley.com/documents/?uuid=38ef854f-ed7c-40eb-9ee5-9934347b68e0"]},{"id":"ITEM-14","itemData":{"DOI":"10.1017/CBO9781107415324.004","ISBN":"9788578110796","ISSN":"1098-6596","PMID":"25246403","abstract":"Predicting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-14","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COVID-19","type":"article-journal","volume":"9"},"uris":["http://www.mendeley.com/documents/?uuid=32c71aaa-4e10-4fe5-aa0a-99cb18a1c41d"]},{"id":"ITEM-15","itemData":{"abstract":"Culture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Organisations","given":"","non-dropping-particle":"","parse-names":false,"suffix":""}],"id":"ITEM-15","issue":"May","issued":{"date-parts":[["2020"]]},"note":"This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id":"ITEM-16","itemData":{"author":[{"dropping-particle":"","family":"Practice","given":"Creative","non-dropping-particle":"","parse-names":false,"suffix":""}],"id":"ITEM-16","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Practice","type":"report"},"uris":["http://www.mendeley.com/documents/?uuid=204b0046-f189-4fee-a2eb-5e3187725b6c"]},{"id":"ITEM-17","itemData":{"DOI":"10.29311/mas.v18i3.3539","ISSN":"1479-8360","abstract":"In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Society","id":"ITEM-17","issue":"3","issued":{"date-parts":[["2020"]]},"note":"metrio\n\nanagki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COVID-19","type":"article-journal","volume":"18"},"uris":["http://www.mendeley.com/documents/?uuid=60646f35-8be4-4fa3-bd0f-65a067fa5e04"]}],"mendeley":{"formattedCitation":"(Agostino, Arnaboldi and Lampis, 2020; Network of European Museum Organisations, 2020b, 2020a; Ou, 2020; Practice, 2020; Sigala, 2020; World Tourism Organization (UNWTO), 2020; Bonin-Rodriguez and Vakharia, 2020; Burke, Jørgensen and Jørgensen, 2020; Calvert &lt;i&gt;et al.&lt;/i&gt;, 2020; Course and Systems, 2020; Gretzel &lt;i&gt;et al.&lt;/i&gt;, 2020; Kahn, 2020; Kist, 2020; NEMO, 2020; Association, 2021; Raimo &lt;i&gt;et al.&lt;/i&gt;, 2021)","manualFormatting":"(Agostino, Arnaboldi and Lampis, 2020; Network of European Museum Organizations, 2020b, 2020a; Ou, 2020; Practice, 2020; Sigala, 2020; World Tourism Organization (UNWTO), 2020; Bonin-Rodriguez and Vakharia, 2020; Burke, Jørgensen and Jørgensen, 2020; Calvert et al., 2020; Course and Systems, 2020; Gretzel et al., 2020; Kahn, 2020; Kist, 2020; NEMO, 2020; Association, 2021; Raimo et al., 2021)","plainTextFormattedCitation":"(Agostino, Arnaboldi and Lampis, 2020; Network of European Museum Organisations, 2020b, 2020a; Ou, 2020; Practice, 2020; Sigala, 2020; World Tourism Organization (UNWTO), 2020; Bonin-Rodriguez and Vakharia, 2020; Burke, Jørgensen and Jørgensen, 2020; Calvert et al., 2020; Course and Systems, 2020; Gretzel et al., 2020; Kahn, 2020; Kist, 2020; NEMO, 2020; Association, 2021; Raimo et al., 2021)","previouslyFormattedCitation":"(Agostino, Arnaboldi and Lampis, 2020; Network of European Museum Organisations, 2020b, 2020a; Ou, 2020; Practice, 2020; Sigala, 2020; World Tourism Organization (UNWTO), 2020; Bonin-Rodriguez and Vakharia, 2020; Burke, Jørgensen and Jørgensen, 2020; Calvert &lt;i&gt;et al.&lt;/i&gt;, 2020; Course and Systems, 2020; Gretzel &lt;i&gt;et al.&lt;/i&gt;, 2020; Kahn, 2020; Kist, 2020; NEMO, 2020; Association, 2021; Raimo &lt;i&gt;et al.&lt;/i&gt;, 2021)"},"properties":{"noteIndex":0},"schema":"https://github.com/citation-style-language/schema/raw/master/csl-citation.json"}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 xml:space="preserve">(Agostino, Arnaboldi and Lampis, 2020; Network of European Museum </w:t>
      </w:r>
      <w:r w:rsidR="00D53AF3" w:rsidRPr="00AE7B34">
        <w:rPr>
          <w:rFonts w:ascii="Times New Roman" w:hAnsi="Times New Roman" w:cs="Times New Roman"/>
          <w:iCs/>
          <w:noProof/>
          <w:color w:val="000000" w:themeColor="text1"/>
          <w:sz w:val="22"/>
          <w:szCs w:val="22"/>
          <w:lang w:val="en-US"/>
        </w:rPr>
        <w:t>Organizations</w:t>
      </w:r>
      <w:r w:rsidRPr="00AE7B34">
        <w:rPr>
          <w:rFonts w:ascii="Times New Roman" w:hAnsi="Times New Roman" w:cs="Times New Roman"/>
          <w:iCs/>
          <w:noProof/>
          <w:color w:val="000000" w:themeColor="text1"/>
          <w:sz w:val="22"/>
          <w:szCs w:val="22"/>
          <w:lang w:val="en-US"/>
        </w:rPr>
        <w:t xml:space="preserve">, 2020b, 2020a; Ou, 2020; Practice, 2020; Sigala, 2020; World Tourism Organization (UNWTO), 2020; Bonin-Rodriguez and Vakharia, 2020; Burke, Jørgensen and Jørgensen, 2020; Calvert </w:t>
      </w:r>
      <w:r w:rsidRPr="00AE7B34">
        <w:rPr>
          <w:rFonts w:ascii="Times New Roman" w:hAnsi="Times New Roman" w:cs="Times New Roman"/>
          <w:i/>
          <w:iCs/>
          <w:noProof/>
          <w:color w:val="000000" w:themeColor="text1"/>
          <w:sz w:val="22"/>
          <w:szCs w:val="22"/>
          <w:lang w:val="en-US"/>
        </w:rPr>
        <w:t>et al.</w:t>
      </w:r>
      <w:r w:rsidRPr="00AE7B34">
        <w:rPr>
          <w:rFonts w:ascii="Times New Roman" w:hAnsi="Times New Roman" w:cs="Times New Roman"/>
          <w:iCs/>
          <w:noProof/>
          <w:color w:val="000000" w:themeColor="text1"/>
          <w:sz w:val="22"/>
          <w:szCs w:val="22"/>
          <w:lang w:val="en-US"/>
        </w:rPr>
        <w:t xml:space="preserve">, 2020; Course and Systems, 2020; Gretzel </w:t>
      </w:r>
      <w:r w:rsidRPr="00AE7B34">
        <w:rPr>
          <w:rFonts w:ascii="Times New Roman" w:hAnsi="Times New Roman" w:cs="Times New Roman"/>
          <w:i/>
          <w:iCs/>
          <w:noProof/>
          <w:color w:val="000000" w:themeColor="text1"/>
          <w:sz w:val="22"/>
          <w:szCs w:val="22"/>
          <w:lang w:val="en-US"/>
        </w:rPr>
        <w:t>et al.</w:t>
      </w:r>
      <w:r w:rsidRPr="00AE7B34">
        <w:rPr>
          <w:rFonts w:ascii="Times New Roman" w:hAnsi="Times New Roman" w:cs="Times New Roman"/>
          <w:iCs/>
          <w:noProof/>
          <w:color w:val="000000" w:themeColor="text1"/>
          <w:sz w:val="22"/>
          <w:szCs w:val="22"/>
          <w:lang w:val="en-US"/>
        </w:rPr>
        <w:t xml:space="preserve">, 2020; Kahn, 2020; Kist, 2020; NEMO, 2020; Association, 2021; Raimo </w:t>
      </w:r>
      <w:r w:rsidRPr="00AE7B34">
        <w:rPr>
          <w:rFonts w:ascii="Times New Roman" w:hAnsi="Times New Roman" w:cs="Times New Roman"/>
          <w:i/>
          <w:iCs/>
          <w:noProof/>
          <w:color w:val="000000" w:themeColor="text1"/>
          <w:sz w:val="22"/>
          <w:szCs w:val="22"/>
          <w:lang w:val="en-US"/>
        </w:rPr>
        <w:t>et al.</w:t>
      </w:r>
      <w:r w:rsidRPr="00AE7B34">
        <w:rPr>
          <w:rFonts w:ascii="Times New Roman" w:hAnsi="Times New Roman" w:cs="Times New Roman"/>
          <w:iCs/>
          <w:noProof/>
          <w:color w:val="000000" w:themeColor="text1"/>
          <w:sz w:val="22"/>
          <w:szCs w:val="22"/>
          <w:lang w:val="en-US"/>
        </w:rPr>
        <w:t>,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t xml:space="preserve">. More particularly, over the last months and upon the black swan event of </w:t>
      </w:r>
      <w:r w:rsidR="007B33DC" w:rsidRPr="00AE7B34">
        <w:rPr>
          <w:rFonts w:ascii="Times New Roman" w:hAnsi="Times New Roman" w:cs="Times New Roman"/>
          <w:iCs/>
          <w:color w:val="000000" w:themeColor="text1"/>
          <w:sz w:val="22"/>
          <w:szCs w:val="22"/>
          <w:lang w:val="en-US"/>
        </w:rPr>
        <w:t>COVID-19</w:t>
      </w:r>
      <w:r w:rsidRPr="00AE7B34">
        <w:rPr>
          <w:rFonts w:ascii="Times New Roman" w:hAnsi="Times New Roman" w:cs="Times New Roman"/>
          <w:iCs/>
          <w:color w:val="000000" w:themeColor="text1"/>
          <w:sz w:val="22"/>
          <w:szCs w:val="22"/>
          <w:lang w:val="en-US"/>
        </w:rPr>
        <w:t xml:space="preserve"> museum question their “raison </w:t>
      </w:r>
      <w:proofErr w:type="spellStart"/>
      <w:r w:rsidRPr="00AE7B34">
        <w:rPr>
          <w:rFonts w:ascii="Times New Roman" w:hAnsi="Times New Roman" w:cs="Times New Roman"/>
          <w:iCs/>
          <w:color w:val="000000" w:themeColor="text1"/>
          <w:sz w:val="22"/>
          <w:szCs w:val="22"/>
          <w:lang w:val="en-US"/>
        </w:rPr>
        <w:t>d’etre</w:t>
      </w:r>
      <w:proofErr w:type="spellEnd"/>
      <w:r w:rsidRPr="00AE7B34">
        <w:rPr>
          <w:rFonts w:ascii="Times New Roman" w:hAnsi="Times New Roman" w:cs="Times New Roman"/>
          <w:iCs/>
          <w:color w:val="000000" w:themeColor="text1"/>
          <w:sz w:val="22"/>
          <w:szCs w:val="22"/>
          <w:lang w:val="en-US"/>
        </w:rPr>
        <w:t xml:space="preserve">” </w:t>
      </w:r>
      <w:r w:rsidRPr="00AE7B34">
        <w:rPr>
          <w:rFonts w:ascii="Times New Roman" w:hAnsi="Times New Roman" w:cs="Times New Roman"/>
          <w:iCs/>
          <w:color w:val="000000" w:themeColor="text1"/>
          <w:sz w:val="22"/>
          <w:szCs w:val="22"/>
          <w:lang w:val="en-US"/>
        </w:rPr>
        <w:fldChar w:fldCharType="begin" w:fldLock="1"/>
      </w:r>
      <w:r w:rsidRPr="00AE7B34">
        <w:rPr>
          <w:rFonts w:ascii="Times New Roman" w:hAnsi="Times New Roman" w:cs="Times New Roman"/>
          <w:iCs/>
          <w:color w:val="000000" w:themeColor="text1"/>
          <w:sz w:val="22"/>
          <w:szCs w:val="22"/>
          <w:lang w:val="en-US"/>
        </w:rPr>
        <w:instrText>ADDIN CSL_CITATION {"citationItems":[{"id":"ITEM-1","itemData":{"author":[{"dropping-particle":"","family":"Kahn","given":"Rebecca","non-dropping-particle":"","parse-names":false,"suffix":""}],"container-title":"Elephant in the Lab","id":"ITEM-1","issued":{"date-parts":[["2020"]]},"note":"Key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pandemic","type":"article-journal"},"uris":["http://www.mendeley.com/documents/?uuid=1e2d9064-603e-446f-b332-1e739081b59b"]}],"mendeley":{"formattedCitation":"(Kahn, 2020)","plainTextFormattedCitation":"(Kahn, 2020)","previouslyFormattedCitation":"(Kahn, 2020)"},"properties":{"noteIndex":0},"schema":"https://github.com/citation-style-language/schema/raw/master/csl-citation.json"}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(Kahn,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iCs/>
          <w:color w:val="000000" w:themeColor="text1"/>
          <w:sz w:val="22"/>
          <w:szCs w:val="22"/>
          <w:lang w:val="en-US"/>
        </w:rPr>
        <w:t xml:space="preserve"> as museums were shield</w:t>
      </w:r>
      <w:r w:rsidRPr="00AE7B34">
        <w:rPr>
          <w:rFonts w:ascii="Times New Roman" w:hAnsi="Times New Roman" w:cs="Times New Roman"/>
          <w:color w:val="000000" w:themeColor="text1"/>
          <w:sz w:val="22"/>
          <w:szCs w:val="22"/>
          <w:lang w:val="en-US"/>
        </w:rPr>
        <w:t>. Cultural tourism products, such as museums / festivals underwent a drastic loss of income. However, closed physically cultural organizations remained open via social media and digital services. This online shift undoubtedly has rebut</w:t>
      </w:r>
      <w:r w:rsidR="005A2A22" w:rsidRPr="00AE7B34">
        <w:rPr>
          <w:rFonts w:ascii="Times New Roman" w:hAnsi="Times New Roman" w:cs="Times New Roman"/>
          <w:color w:val="000000" w:themeColor="text1"/>
          <w:sz w:val="22"/>
          <w:szCs w:val="22"/>
          <w:lang w:val="en-US"/>
        </w:rPr>
        <w:t>ted</w:t>
      </w:r>
      <w:r w:rsidRPr="00AE7B34">
        <w:rPr>
          <w:rFonts w:ascii="Times New Roman" w:hAnsi="Times New Roman" w:cs="Times New Roman"/>
          <w:color w:val="000000" w:themeColor="text1"/>
          <w:sz w:val="22"/>
          <w:szCs w:val="22"/>
          <w:lang w:val="en-US"/>
        </w:rPr>
        <w:t xml:space="preserve"> the deliverable experience from brick and mortar to online context leaving a positive digital footprint and lasting positive effect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museums","type":"article-journal","volume":"ahead-of-p"},"uris":["http://www.mendeley.com/documents/?uuid=bdc7389f-f1f2-4ac6-8536-524dd6cc6e43"]},{"id":"ITEM-2","itemData":{"DOI":"10.1016/j.jbusres.2020.06.015","ISSN":"01482963","PMID":"32546875","abstract":"The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Research","id":"ITEM-2","issue":"June","issued":{"date-parts":[["2020"]]},"note":"Polu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research","type":"article-journal","volume":"117"},"uris":["http://www.mendeley.com/documents/?uuid=f7d3cdac-c386-47a5-98b2-0d71b15c1cc6"]}],"mendeley":{"formattedCitation":"(Sigala, 2020; Raimo &lt;i&gt;et al.&lt;/i&gt;, 2021)","plainTextFormattedCitation":"(Sigala, 2020; Raimo et al., 2021)","previouslyFormattedCitation":"(Sigala, 2020; 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(Sigala, 2020; 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Digital cultural heritage offered enjoyment, creativity, a virtual window to escape, to experience and to share its content online. </w:t>
      </w:r>
    </w:p>
    <w:p w14:paraId="3C545749" w14:textId="2628A680" w:rsidR="00B803E8" w:rsidRPr="00AE7B34" w:rsidRDefault="00B803E8" w:rsidP="00A13D44">
      <w:pPr>
        <w:tabs>
          <w:tab w:val="left" w:pos="709"/>
        </w:tabs>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All these studies shown that museums have proved their resilience across the world and have </w:t>
      </w:r>
      <w:r w:rsidR="00A13D44" w:rsidRPr="00AE7B34">
        <w:rPr>
          <w:rFonts w:ascii="Times New Roman" w:hAnsi="Times New Roman" w:cs="Times New Roman"/>
          <w:color w:val="000000" w:themeColor="text1"/>
          <w:sz w:val="22"/>
          <w:szCs w:val="22"/>
          <w:lang w:val="en-US"/>
        </w:rPr>
        <w:t>also expanded</w:t>
      </w:r>
      <w:r w:rsidRPr="00AE7B34">
        <w:rPr>
          <w:rFonts w:ascii="Times New Roman" w:hAnsi="Times New Roman" w:cs="Times New Roman"/>
          <w:color w:val="000000" w:themeColor="text1"/>
          <w:sz w:val="22"/>
          <w:szCs w:val="22"/>
          <w:lang w:val="en-US"/>
        </w:rPr>
        <w:t xml:space="preserve"> resilience to society by building bridges </w:t>
      </w:r>
      <w:r w:rsidR="00A13D44" w:rsidRPr="00AE7B34">
        <w:rPr>
          <w:rFonts w:ascii="Times New Roman" w:hAnsi="Times New Roman" w:cs="Times New Roman"/>
          <w:color w:val="000000" w:themeColor="text1"/>
          <w:sz w:val="22"/>
          <w:szCs w:val="22"/>
          <w:lang w:val="en-US"/>
        </w:rPr>
        <w:t xml:space="preserve">and </w:t>
      </w:r>
      <w:r w:rsidRPr="00AE7B34">
        <w:rPr>
          <w:rFonts w:ascii="Times New Roman" w:hAnsi="Times New Roman" w:cs="Times New Roman"/>
          <w:color w:val="000000" w:themeColor="text1"/>
          <w:sz w:val="22"/>
          <w:szCs w:val="22"/>
          <w:lang w:val="en-US"/>
        </w:rPr>
        <w:t xml:space="preserve">staying alive… via art within the fertile and prominent digital context. From Australia, China, USA and Canada to Italy and Greece , across any time zone museums expanding the borders or time and place, enabled the foundations of the “museum out of the museum era”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museumstidsskrift","id":"ITEM-1","issue":"02","issued":{"date-parts":[["2020"]]},"note":"Aim: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COVID-19","type":"article-journal","volume":"6"},"uris":["http://www.mendeley.com/documents/?uuid=20dc630b-634d-4065-9539-6ea2541ce1e4"]},{"id":"ITEM-2","itemData":{"DOI":"10.1007/s40558-020-00181-3","ISBN":"4055802000181","ISSN":"19434294","abstract":"This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Tourism","id":"ITEM-2","issue":"2","issued":{"date-parts":[["2020"]]},"note":"kalo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-3","itemData":{"author":[{"dropping-particle":"","family":"NEMO","given":"","non-dropping-particle":"","parse-names":false,"suffix":""}],"id":"ITEM-3","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Europe","type":"article-journal"},"uris":["http://www.mendeley.com/documents/?uuid=afa71f7b-f749-40c9-bddc-38817493a4fa"]},{"id":"ITEM-4","itemData":{"DOI":"10.1080/09647775.2020.1762361","ISSN":"0964-7775","abstract":"No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Curatorship","id":"ITEM-4","issue":"3","issued":{"date-parts":[["2020"]]},"note":"polu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-5","itemData":{"URL":"https://westmuse.org/articles/wma’s-social-media-best-practices-help-your-brand-during-covid-19","author":[{"dropping-particle":"","family":"Association","given":"Western Museums","non-dropping-particle":"","parse-names":false,"suffix":""}],"id":"ITEM-5","issued":{"date-parts":[["2021"]]},"page":"1-4","title":"WMA ’ s Social Media Best Practices : Help Your Brand During","type":"webpage"},"uris":["http://www.mendeley.com/documents/?uuid=c137a726-ea38-4bc5-a125-1f163dbea5e2"]},{"id":"ITEM-6","itemData":{"author":[{"dropping-particle":"","family":"Calvert","given":"Contributors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-6","issue":"May","issued":{"date-parts":[["2020"]]},"title":"Social Media during COVID-19 A Quick Guide for Canadian Museums","type":"article-journal"},"uris":["http://www.mendeley.com/documents/?uuid=d80d7ef1-656d-410a-8aad-68ab71788373"]},{"id":"ITEM-7","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Recovery","id":"ITEM-7","issued":{"date-parts":[["2020"]]},"note":"SOS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Academia.edu","type":"book"},"uris":["http://www.mendeley.com/documents/?uuid=38ef854f-ed7c-40eb-9ee5-9934347b68e0"]}],"mendeley":{"formattedCitation":"(Burke, Jørgensen and Jørgensen, 2020; Calvert &lt;i&gt;et al.&lt;/i&gt;, 2020; Course and Systems, 2020; Gretzel &lt;i&gt;et al.&lt;/i&gt;, 2020; NEMO, 2020; Ou, 2020; Association, 2021)","plainTextFormattedCitation":"(Burke, Jørgensen and Jørgensen, 2020; Calvert et al., 2020; Course and Systems, 2020; Gretzel et al., 2020; NEMO, 2020; Ou, 2020; Association, 2021)","previouslyFormattedCitation":"(Burke, Jørgensen and Jørgensen, 2020; Calvert &lt;i&gt;et al.&lt;/i&gt;, 2020; Course and Systems, 2020; Gretzel &lt;i&gt;et al.&lt;/i&gt;, 2020; NEMO, 2020; Ou, 2020; Association,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(Burke, Jørgensen and Jørgensen, 2020; Calvert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2020; Course and Systems, 2020; Gretzel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2020; NEMO, 2020</w:t>
      </w:r>
      <w:r w:rsidR="002308B5" w:rsidRPr="00AE7B34">
        <w:rPr>
          <w:rFonts w:ascii="Times New Roman" w:hAnsi="Times New Roman" w:cs="Times New Roman"/>
          <w:noProof/>
          <w:color w:val="000000" w:themeColor="text1"/>
          <w:sz w:val="22"/>
          <w:szCs w:val="22"/>
          <w:lang w:val="en-US"/>
        </w:rPr>
        <w:t>a</w:t>
      </w:r>
      <w:r w:rsidR="004C170D" w:rsidRPr="00AE7B34">
        <w:rPr>
          <w:rFonts w:ascii="Times New Roman" w:hAnsi="Times New Roman" w:cs="Times New Roman"/>
          <w:noProof/>
          <w:color w:val="000000" w:themeColor="text1"/>
          <w:sz w:val="22"/>
          <w:szCs w:val="22"/>
          <w:lang w:val="en-US"/>
        </w:rPr>
        <w:t>,</w:t>
      </w:r>
      <w:r w:rsidR="002308B5" w:rsidRPr="00AE7B34">
        <w:rPr>
          <w:rFonts w:ascii="Times New Roman" w:hAnsi="Times New Roman" w:cs="Times New Roman"/>
          <w:noProof/>
          <w:color w:val="000000" w:themeColor="text1"/>
          <w:sz w:val="22"/>
          <w:szCs w:val="22"/>
          <w:lang w:val="en-US"/>
        </w:rPr>
        <w:t>2020b</w:t>
      </w:r>
      <w:r w:rsidRPr="00AE7B34">
        <w:rPr>
          <w:rFonts w:ascii="Times New Roman" w:hAnsi="Times New Roman" w:cs="Times New Roman"/>
          <w:noProof/>
          <w:color w:val="000000" w:themeColor="text1"/>
          <w:sz w:val="22"/>
          <w:szCs w:val="22"/>
          <w:lang w:val="en-US"/>
        </w:rPr>
        <w:t>; Ou, 2020; Association,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Hence, museums came to visitors and Web 2.0 tools launched a brand- new museum visiting experience. This new experience doesn’t have any time or place borders. </w:t>
      </w:r>
      <w:r w:rsidR="0023218B" w:rsidRPr="00AE7B34">
        <w:rPr>
          <w:rFonts w:ascii="Times New Roman" w:hAnsi="Times New Roman" w:cs="Times New Roman"/>
          <w:color w:val="000000" w:themeColor="text1"/>
          <w:sz w:val="22"/>
          <w:szCs w:val="22"/>
          <w:lang w:val="en-US"/>
        </w:rPr>
        <w:t>On the contrary</w:t>
      </w:r>
      <w:r w:rsidRPr="00AE7B34">
        <w:rPr>
          <w:rFonts w:ascii="Times New Roman" w:hAnsi="Times New Roman" w:cs="Times New Roman"/>
          <w:color w:val="000000" w:themeColor="text1"/>
          <w:sz w:val="22"/>
          <w:szCs w:val="22"/>
          <w:lang w:val="en-US"/>
        </w:rPr>
        <w:t>, the museum visit experience in the new ICT / smart era is not built merely on the understanding of museum artefacts, but it is all about the visiting experience “of the museum out of the museum” mindset.</w:t>
      </w:r>
    </w:p>
    <w:p w14:paraId="0AA55879" w14:textId="77777777" w:rsidR="00B803E8" w:rsidRPr="00AE7B34" w:rsidRDefault="00B803E8" w:rsidP="00B803E8">
      <w:pPr>
        <w:jc w:val="both"/>
        <w:rPr>
          <w:rFonts w:ascii="Times New Roman" w:hAnsi="Times New Roman" w:cs="Times New Roman"/>
          <w:b/>
          <w:bCs/>
          <w:color w:val="000000" w:themeColor="text1"/>
          <w:sz w:val="22"/>
          <w:szCs w:val="22"/>
          <w:lang w:val="en-GB"/>
        </w:rPr>
      </w:pPr>
    </w:p>
    <w:p w14:paraId="69A10B87" w14:textId="73304E34" w:rsidR="001A2076" w:rsidRPr="00AE7B34" w:rsidRDefault="00344DF7" w:rsidP="001A2076">
      <w:pPr>
        <w:jc w:val="both"/>
        <w:rPr>
          <w:rFonts w:ascii="Times New Roman" w:hAnsi="Times New Roman" w:cs="Times New Roman"/>
          <w:b/>
          <w:bCs/>
          <w:color w:val="000000" w:themeColor="text1"/>
          <w:sz w:val="22"/>
          <w:szCs w:val="22"/>
          <w:lang w:val="en-GB"/>
        </w:rPr>
      </w:pPr>
      <w:r w:rsidRPr="00AE7B34">
        <w:rPr>
          <w:rFonts w:ascii="Times New Roman" w:hAnsi="Times New Roman" w:cs="Times New Roman"/>
          <w:b/>
          <w:bCs/>
          <w:color w:val="000000" w:themeColor="text1"/>
          <w:sz w:val="22"/>
          <w:szCs w:val="22"/>
          <w:lang w:val="en-GB"/>
        </w:rPr>
        <w:t>D</w:t>
      </w:r>
      <w:r w:rsidR="001A2076" w:rsidRPr="00AE7B34">
        <w:rPr>
          <w:rFonts w:ascii="Times New Roman" w:hAnsi="Times New Roman" w:cs="Times New Roman"/>
          <w:b/>
          <w:bCs/>
          <w:color w:val="000000" w:themeColor="text1"/>
          <w:sz w:val="22"/>
          <w:szCs w:val="22"/>
          <w:lang w:val="en-GB"/>
        </w:rPr>
        <w:t>igital transformation tools as brand awareness and brand engagement tool for museums and festivals during lockdown</w:t>
      </w:r>
    </w:p>
    <w:p w14:paraId="7FECB6D7" w14:textId="3570B301" w:rsidR="001A2076" w:rsidRPr="00AE7B34" w:rsidRDefault="001A2076" w:rsidP="001A2076">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European Union defines digital transformation as the “integration of digital technologies by European enterprises and the impact on society of new technologies, such as the Internet of Things (IoT), cloud computing, innovative digital platforms and blockchain technologies” </w:t>
      </w:r>
      <w:r w:rsidRPr="00AE7B34">
        <w:rPr>
          <w:rFonts w:ascii="Times New Roman" w:hAnsi="Times New Roman" w:cs="Times New Roman"/>
          <w:iCs/>
          <w:color w:val="000000" w:themeColor="text1"/>
          <w:sz w:val="22"/>
          <w:szCs w:val="22"/>
          <w:lang w:val="en-US"/>
        </w:rPr>
        <w:fldChar w:fldCharType="begin" w:fldLock="1"/>
      </w:r>
      <w:r w:rsidRPr="00AE7B34">
        <w:rPr>
          <w:rFonts w:ascii="Times New Roman" w:hAnsi="Times New Roman" w:cs="Times New Roman"/>
          <w:iCs/>
          <w:color w:val="000000" w:themeColor="text1"/>
          <w:sz w:val="22"/>
          <w:szCs w:val="22"/>
          <w:lang w:val="en-US"/>
        </w:rPr>
        <w:instrText>ADDIN CSL_CITATION {"citationItems":[{"id":"ITEM-1","itemData":{"abstract":"A digital revolution is transforming the world as we know it at unprecedented speed. Digital technologies have changed the way businesses operate, how people connect and exchange information, and how they interact with the public and private sectors. European businesses and citizens alike need an adequate policy framework and appropriate skills and infrastructures to capture the enormous value created by the digital economy and make a success of digital transformation. The European Union plays an active role in shaping the digital economy, with cross-policy initiatives that range from boosting investment to reforming EU laws, to non-legislative actions to improve Member States' coordination and exchange of best practices. The 2014-2019 parliamentary term has seen a number of initiatives in the areas of digitalisation of industry and public services, investment in digital infrastructure and services, research programmes, cybersecurity, e-commerce, copyright and data protection legislation. There is a growing awareness among EU citizens that digital technologies play an important role in their everyday lives. In a 2017 survey, two-thirds of Europeans said that these technologies have a positive impact on society, the economy and their own lives. However, they also bring new challenges. A majority of respondents felt that the EU, Member States' authorities and companies need to take action to address the impacts of these technologies. The European Union will increase its support for digital transformation in the coming years, as illustrated by the recent proposal for the Digital Europe programme (for 2021-2027) – which would be the first ever funding programme dedicated solely to supporting digital transformation in the EU. Further EU action will doubtless be needed, notably to increase infrastructure investment, boost innovation, foster digital champions and businesses digitalisation, reduce existing digital divides, remove remaining barriers in the digital single market and ensure an adequate legal and regulatory framework in the areas of advanced computing and data, artificial intelligence, and cybersecurity. The European Parliament, as co-legislator, is closely involved in shaping the policy framework that will help citizens and businesses fully exploit the potential of digital technologies.","author":[{"dropping-particle":"","family":"European Parliamentary Research Service","given":"","non-dropping-particle":"","parse-names":false,"suffix":""}],"container-title":"European Parliamentary Research Service","id":"ITEM-1","issue":"June","issued":{"date-parts":[["2019"]]},"number-of-pages":"10","title":"EU policies – Delivering for citizens","type":"report"},"uris":["http://www.mendeley.com/documents/?uuid=8eb1badb-f1bc-4b89-99ca-1fb3a5536794"]}],"mendeley":{"formattedCitation":"(European Parliamentary Research Service, 2019)","manualFormatting":"(European Parliamentary Research Service, 2019: 2)","plainTextFormattedCitation":"(European Parliamentary Research Service, 2019)","previouslyFormattedCitation":"(European Parliamentary Research Service, 2019)"},"properties":{"noteIndex":0},"schema":"https://github.com/citation-style-language/schema/raw/master/csl-citation.json"}</w:instrText>
      </w:r>
      <w:r w:rsidRPr="00AE7B34">
        <w:rPr>
          <w:rFonts w:ascii="Times New Roman" w:hAnsi="Times New Roman" w:cs="Times New Roman"/>
          <w:iCs/>
          <w:color w:val="000000" w:themeColor="text1"/>
          <w:sz w:val="22"/>
          <w:szCs w:val="22"/>
          <w:lang w:val="en-US"/>
        </w:rPr>
        <w:fldChar w:fldCharType="separate"/>
      </w:r>
      <w:r w:rsidRPr="00AE7B34">
        <w:rPr>
          <w:rFonts w:ascii="Times New Roman" w:hAnsi="Times New Roman" w:cs="Times New Roman"/>
          <w:iCs/>
          <w:noProof/>
          <w:color w:val="000000" w:themeColor="text1"/>
          <w:sz w:val="22"/>
          <w:szCs w:val="22"/>
          <w:lang w:val="en-US"/>
        </w:rPr>
        <w:t>(European Parliamentary Research Service, 2019: 2)</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E55BB6" w:rsidRPr="00AE7B34">
        <w:rPr>
          <w:rFonts w:ascii="Times New Roman" w:hAnsi="Times New Roman" w:cs="Times New Roman"/>
          <w:color w:val="000000" w:themeColor="text1"/>
          <w:sz w:val="22"/>
          <w:szCs w:val="22"/>
          <w:lang w:val="en-US"/>
        </w:rPr>
        <w:t>As for the second</w:t>
      </w:r>
      <w:r w:rsidRPr="00AE7B34">
        <w:rPr>
          <w:rFonts w:ascii="Times New Roman" w:hAnsi="Times New Roman" w:cs="Times New Roman"/>
          <w:color w:val="000000" w:themeColor="text1"/>
          <w:sz w:val="22"/>
          <w:szCs w:val="22"/>
          <w:lang w:val="en-US"/>
        </w:rPr>
        <w:t xml:space="preserve"> question, a strong relationship between COVID-19  and digital transformation in museums  has been reported in the literature,  according to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Research","id":"ITEM-1","issue":"June","issued":{"date-parts":[["2020"]]},"note":"Polu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id":"ITEM-2","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Research","id":"ITEM-2","issue":"ahead-of-print","issued":{"date-parts":[["2021"]]},"note":"SOS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museums","type":"article-journal","volume":"ahead-of-p"},"uris":["http://www.mendeley.com/documents/?uuid=bdc7389f-f1f2-4ac6-8536-524dd6cc6e43"]}],"mendeley":{"formattedCitation":"(Sigala, 2020; Raimo &lt;i&gt;et al.&lt;/i&gt;, 2021)","manualFormatting":"Sigala ( 2020) and Raimo et al.(2021)","plainTextFormattedCitation":"(Sigala, 2020; Raimo et al., 2021)","previouslyFormattedCitation":"(Sigala, 2020; 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Sigala ( 2020) and 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Indeed,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museums","type":"article-journal","volume":"ahead-of-p"},"uris":["http://www.mendeley.com/documents/?uuid=bdc7389f-f1f2-4ac6-8536-524dd6cc6e43"]}],"mendeley":{"formattedCitation":"(Raimo &lt;i&gt;et al.&lt;/i&gt;, 2021)","manualFormatting":"Raimo et al. (2021)","plainTextFormattedCitation":"(Raimo et al., 2021)","previouslyFormattedCitation":"(Raimo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based on multiple case studies in Italian museum context found that the COVID-19 pandemic has accelerated the adoption of digital technologies. </w:t>
      </w:r>
    </w:p>
    <w:p w14:paraId="1CEB49FB" w14:textId="77777777" w:rsidR="002E40A1" w:rsidRPr="00AE7B34" w:rsidRDefault="001A2076" w:rsidP="002E40A1">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Moreover,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museums","type":"article-journal","volume":"ahead-of-p"},"uris":["http://www.mendeley.com/documents/?uuid=bdc7389f-f1f2-4ac6-8536-524dd6cc6e43"]}],"mendeley":{"formattedCitation":"(Raimo &lt;i&gt;et al.&lt;/i&gt;, 2021)","manualFormatting":"Raimo et al. (2021)","plainTextFormattedCitation":"(Raimo et al., 2021)","previouslyFormattedCitation":"(Raimo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distinguishes the following three major areas in which the application of new technologies has brought a beneficial contributions: promotion of culture, enjoyment on-site, and managerial and organizational activities. As review has shown, the milestone of this transformation both in in cultural tourism lies in the advent of social media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{"citationItems":[{"id":"ITEM-1","itemData":{"author":[{"dropping-particle":"","family":"Belenioti","given":"Zoe- Charis","non-dropping-particle":"","parse-names":false,"suffix":""}],"id":"ITEM-1","issued":{"date-parts":[["2020"]]},"publisher":"Aristotle University of Thessaloniki","title":"THE CONTRIBUTION OF E-MARKETING TO THE BRANDING OF NONPROFIT ORGANIZATIONS ( NPOs ): THE CASE OF GREEK MUSEUMS ZOI ( ZOE ) - CHARIS BELENIOTI","type":"thesis"},"uris":["http://www.mendeley.com/documents/?uuid=c6c5f623-b320-4c41-9b08-d70ff82fb824"]},{"id":"ITEM-2","itemData":{"author":[{"dropping-particle":"","family":"Belenioti","given":"Zoe","non-dropping-particle":"","parse-names":false,"suffix":""},{"dropping-particle":"","family":"Vassiliadis","given":"CHRISTOS","non-dropping-particle":"","parse-names":false,"suffix":""}],"container-title":"\"Strategic Innovative Marketing: 4th IC-SIM, Mykonos, Greece 2015\",2016, Springer","id":"ITEM-2","issue":"2016, Springer","issued":{"date-parts":[["2016"]]},"page":"115-121","title":"Branding in the New Museum Era .","type":"chapter"},"uris":["http://www.mendeley.com/documents/?uuid=938c91a2-ca71-4aa2-b30b-142f2ff99680"]},{"id":"ITEM-3","itemData":{"ISBN":"978-1-61069-776-7","author":[{"dropping-particle":"","family":"Belenioti","given":"Zoe Charis","non-dropping-particle":"","parse-names":false,"suffix":""}],"editor":[{"dropping-particle":"","family":"Steckman","given":"Laura","non-dropping-particle":"","parse-names":false,"suffix":""},{"dropping-particle":"","family":"Andrews","given":"Marilyn","non-dropping-particle":"","parse-names":false,"suffix":""}],"id":"ITEM-3","issued":{"date-parts":[["2017"]]},"number-of-pages":"109-113","publisher":"ABC- CLIO","publisher-place":"San Francisco","title":"Online around the world_ Greece_Belenioti.pdf","type":"book"},"uris":["http://www.mendeley.com/documents/?uuid=18d49ac4-4ae5-4359-994b-74314a4a282a"]},{"id":"ITEM-4","itemData":{"abstract":"Museums are increasingly using social media to include newer active experiences and entertainment. Not only does this digital shift provide a cost-effective, targeted and direct communication with the audience, but it also expands the museum experience beyond the borders of time and place. Although social media has triggered the attention of scholars, no previous study has classified the main ways in which social media affect museums. Drawing on a review of 54 papers this paper both categorizes and presents four major effects. The first effect relates to the opportunities of social media to museum experience and communication. The second effect is the social media enhancement to museums’ learning process. The third effect analyses patterns of social media use in museums. The fourth effect involves both the problems and the barriers attendant to social media integration in museums. This study contributes by presenting new theoretical insights, research topics and managerial implications","author":[{"dropping-particle":"","family":"Vassiliadis","given":"Chris","non-dropping-particle":"","parse-names":false,"suffix":""},{"dropping-particle":"","family":"Belenioti","given":"Zoe Charis","non-dropping-particle":"","parse-names":false,"suffix":""}],"container-title":"Tourismos: An international multidisciplinary Journal for Tourism, Special Issue 2017","id":"ITEM-4","issue":"3","issued":{"date-parts":[["2017"]]},"page":"97-132","title":"MUSEUMS &amp; CULTURAL HERITAGE VIA SOCIAL MEDIA: AN INTEGRATED LITERATURE REVIEW","type":"article-journal","volume":"12"},"uris":["http://www.mendeley.com/documents/?uuid=e36e2c9d-671a-442e-85e1-7fda206619b7"]}],"mendeley":{"formattedCitation":"(Belenioti and Vassiliadis, 2016; Belenioti, 2017, 2020; Vassiliadis and Belenioti, 2017)","plainTextFormattedCitation":"(Belenioti and Vassiliadis, 2016; Belenioti, 2017, 2020; Vassiliadis and Belenioti, 2017)","previouslyFormattedCitation":"(Belenioti and Vassiliadis, 2016; Belenioti, 2017, 2020; Vassiliadis and Belenioti, 2017)"},"properties":{"noteIndex":0},"schema":"https://github.com/citation-style-language/schema/raw/master/csl-citation.json"}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(Belenioti and Vassiliadis, 2016; Belenioti, 2017, 2020; Vassiliadis and Belenioti, 2017)</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thanks to its  a continuous, dialogic, well targeted and cost-effective communication (Belenioti, 2020; </w:t>
      </w:r>
      <w:r w:rsidRPr="00AE7B34">
        <w:rPr>
          <w:rFonts w:ascii="Times New Roman" w:hAnsi="Times New Roman" w:cs="Times New Roman"/>
          <w:color w:val="000000" w:themeColor="text1"/>
          <w:sz w:val="22"/>
          <w:szCs w:val="22"/>
          <w:lang w:val="en-US"/>
        </w:rPr>
        <w:fldChar w:fldCharType="begin" w:fldLock="1"/>
      </w:r>
      <w:r w:rsidR="002308B5" w:rsidRPr="00AE7B34">
        <w:rPr>
          <w:rFonts w:ascii="Times New Roman" w:hAnsi="Times New Roman" w:cs="Times New Roman"/>
          <w:color w:val="000000" w:themeColor="text1"/>
          <w:sz w:val="22"/>
          <w:szCs w:val="22"/>
          <w:lang w:val="en-US"/>
        </w:rPr>
        <w:instrText>ADDIN CSL_CITATION {"citationItems":[{"id":"ITEM-1","itemData":{"ISBN":"9789963711567","abstract":"Extensive research has repeatedly acknowledged the link between traditional and digital marketing communication tools and branding performance (Berthon, et al., 2012; Bruhn et al., 2012; Hennig-Thurau et al., 2010; Kapoor, et al., 2013; Keller, 2009). Moreover, social media, the milestone of Web 2.0 era, have definitely introduced a new revolutionary status quo of both corporate and personal communication by emerging new notions such as ''produser'' and “co-creation” both in For Profit Organizations (henceforth, FPOs) (Berthon, et al., 2012; Bruhn et al., 2012; Hennig-Thurau et al., 2010; Kapoor, et al., 2013; Keller, 2009; (Belenioti, 2015, 2017; Belenioti, Andronikidis and Vassiliadis, 2015) and Non Profit Organizations (henceforth NPOs) context. In light of these recent trends, a considerable literature has grown up around the theme of both e- marketing tools (Of, 2002; Hede, 2005; Jensen, 2007; Bernhard, María &amp; Chapter, 2009; Milano, 2011; Lange-Faria &amp;Elliot, 2012; Lim, Chung &amp; Weaver, 2012; Vassiliadis, Fotiadis &amp; Piper, 2013) and social media impact on destination branding, as well (Buhalis &amp; Inversini, 2014; Zeng &amp; Gerritsen, 2014; Wozniak, Stangl &amp; Liebrich, 2016; Xu, Buhalis &amp; Weber, 2017). In the same vein, social media is becoming a key aspect for museums’ sustainability and successful performance given its multidimensional affects both at communicational, educational and promotional level (Vassiliadis &amp; Belenioti, 2015). Despite this growing importance, there is still very little scientific understanding of social media influence on brand equity (Bruhn et al., 2012; Langaro et al., 2015 ; Kuvykaite &amp; Piligrimiene 2014 ; Belenioti, 2015; Belenioti et al., 2015; Vassiliadis &amp; Belenioti, 2015 ; Belenioti &amp; Vassiliadis 2016). Precisely, within NPOs sector few studies have investigated the impact of social media on brand equity (Vassiliadis &amp; Belenioti, 2015; Belenioti &amp; Vassiliadis, 2017; Belenioti, Garane &amp; Vassiliadis, 2017). Following the call within FPOs and NPOs sector (Barreda et al. 2015 ; Vassiliadis &amp; Belenioti, 2015; Belenioti &amp; Vassiliadis, 2016; Belenioti, Tsourvakas &amp; Vassiliadis, 2016), and having already conceptualized, (1) first, the use of social media within museums (Vassiliadis &amp; Belenioti, 2015), and (2) second, the relationship between social media impact and NPOs’ brand equity (Belenioti &amp; Vassiliadis, 2017), this paper follows now by delving into merely on the cultural NPOs’ reality. Through a literature review analysis,…","author":[{"dropping-particle":"","family":"Belenioti","given":"Zoe- Charis","non-dropping-particle":"","parse-names":false,"suffix":""},{"dropping-particle":"","family":"Vassiliadis","given":"Chris A","non-dropping-particle":"","parse-names":false,"suffix":""}],"container-title":"10th Annual Euromed Academy of Business (ΕMAB) Conference","editor":[{"dropping-particle":"","family":"Demetris Vrontis, Yaakov Weber","given":"Evangelos Tsoukatos","non-dropping-particle":"","parse-names":false,"suffix":""}],"id":"ITEM-1","issue":"September","issued":{"date-parts":[["2017"]]},"page":"150-160","publisher":"EuroMed Press","publisher-place":"Rome, Italy","title":"Social Media Impact on NPO Brand Equity : Conceptualizing the Trends and Prospects EuroMed Academy of Business Edited by :","type":"paper-conference"},"uris":["http://www.mendeley.com/documents/?uuid=dbff8f1b-9f92-4756-ba07-87f2b17eeee3"]},{"id":"ITEM-2","itemData":{"DOI":"10.1007/978-3-030-12453-3_61","ISBN":"9783030124533","abstract":"The beneficial role of traditional marketing communication tools on branding performance is a dominant feature of marketing bibliography Moreover, the advent of social media have definitely resurged this research interest following the revolution both within For Profit Organizations (henceforth, FPOs) and Non Profit Organizations (henceforth NPOs) communications context. Thus, there is a growing trend towards the impact of both e- marketing tools (and social media impact on destination branding. Parallel to social media is becoming a vital tool l for museums’ sustainability given its multidimensional effect However, due to its infant nature, very little is known on the association between social media and brand equity). Especially, within NPOs few studies – only at a desk research level- have explored the impact of social media on brand equity No single study so far has empirically explored the role of social media on museums’ branding. Addressing previous calls within FPOs and NPOs sector, and having recently reviewed and established theoretically the positive link , (1) first, between the social media and museums (2) second, between social media and NPOs’ brand equity and (3), third between social media on museum branding equity, the present study examines through a qualitative method the social media impact on museums brand equity. Data were collected using semi-structured interviews, that have been held for a month (01 June - 01 July 2017). with communication officers of 30 Greek museums in Athens and Thessaloniki. This work contributes to existing knowledge of multidisciplinary research interests such as museum branding, social media marketing and tourism marketing both by confirming the beneficial contribution of social media on museums’ brand equity, visitors’ satisfaction and visitors’ engagement, and by providing valuable managerial insights.","author":[{"dropping-particle":"","family":"Belenioti","given":"Zoe-Charis","non-dropping-particle":"","parse-names":false,"suffix":""},{"dropping-particle":"","family":"Tsourvakas","given":"George","non-dropping-particle":"","parse-names":false,"suffix":""},{"dropping-particle":"","family":"Vassiliadis","given":"Chris A.","non-dropping-particle":"","parse-names":false,"suffix":""}],"container-title":"Strategic Innovative Marketing and Tourism","id":"ITEM-2","issued":{"date-parts":[["2019"]]},"page":"533-540","title":"Do Social Media Affect Museums’ Brand Equity? An Exploratory Qualitative Study","type":"chapter"},"uris":["http://www.mendeley.com/documents/?uuid=368d3e83-0018-4dcb-8d89-3adf8fc5b9bb"]},{"id":"ITEM-3","itemData":{"abstract":"Museums and cultural organizations need publicity and media in order to inform their public about their events and activities. With the use of online information it is easier for visitors to find all the necessary information they need in order to visit the museum. Social media are changing the way that museums communicate with their public. Most of the museums seem to understand the need for using social media to communicate their events to the public. Facebook and Instagram now dominate the social media use landscape. Instagram is one of the fastest growing social network globally among young people. What users can do with the use of Instagram is to communicate their experiences through both choice of photo subject and ways they choose to manipulate and present them (Weilenmann, Hillman and Jungselius, 2013). Greek museums, especially in big cities, use social media for communications and provision of all the necessary information to the visitors. The aim of the study is to examine the use of Instagram by museums in the Greek cultural scene. More specifically the study focuses in examining the use of Instagram by the museum communication professionals and carry out a twofold investigation; do they use and in what way Instagram to reach out for their audience and also how does the public perceives this effort. Instagram has already been adopted by other groups e.g. politicians in Greece, with its usage however not being to the same extent as with other popular social media such as Facebook.","author":[{"dropping-particle":"","family":"Amanatidis","given":"Dimitrios","non-dropping-particle":"","parse-names":false,"suffix":""},{"dropping-particle":"","family":"Mylona","given":"Ifigeneia","non-dropping-particle":"","parse-names":false,"suffix":""},{"dropping-particle":"","family":"Mamalis","given":"Spyridon","non-dropping-particle":"","parse-names":false,"suffix":""},{"dropping-particle":"","family":"Kamenidou","given":"Irene Ch.","non-dropping-particle":"","parse-names":false,"suffix":""}],"container-title":"TOURMAN 2019, 3rd International Scientific Conference “Tourism, travel and hospitality at crossroads: The way ahead” 24-27","id":"ITEM-3","issue":"October","issued":{"date-parts":[["2019"]]},"note":"metrio mono na rixo mia matia - gia paper modelou isos","title":"Cultural communication through social media : Exploring Instagram Practices among Greek museums","type":"article-journal"},"uris":["http://www.mendeley.com/documents/?uuid=9afdf476-b1c2-4969-8721-4752dd3ad99a"]}],"mendeley":{"formattedCitation":"(Belenioti and Vassiliadis, 2017; Amanatidis &lt;i&gt;et al.&lt;/i&gt;, 2019; Belenioti, Tsourvakas and Chris A. Vassiliadis, 2019)","manualFormatting":"Belenioti and Vassiliadis, 2017; Amanatidis et al., 2019; Belenioti, et .al., 2019a,2019b)","plainTextFormattedCitation":"(Belenioti and Vassiliadis, 2017; Amanatidis et al., 2019; Belenioti, Tsourvakas and Chris A. Vassiliadis, 2019)","previouslyFormattedCitation":"(Belenioti and Vassiliadis, 2017; Amanatidis &lt;i&gt;et al.&lt;/i&gt;, 2019; Belenioti, Tsourvakas and Chris A. Vassiliadis, 2019)"},"properties":{"noteIndex":0},"schema":"https://github.com/citation-style-language/schema/raw/master/csl-citation.json"}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Belenioti and Vassiliadis, 2017; Amanatidis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2019; Belenioti, et .al., 2019</w:t>
      </w:r>
      <w:r w:rsidR="002308B5" w:rsidRPr="00AE7B34">
        <w:rPr>
          <w:rFonts w:ascii="Times New Roman" w:hAnsi="Times New Roman" w:cs="Times New Roman"/>
          <w:noProof/>
          <w:color w:val="000000" w:themeColor="text1"/>
          <w:sz w:val="22"/>
          <w:szCs w:val="22"/>
          <w:lang w:val="en-US"/>
        </w:rPr>
        <w:t>a,2019b</w:t>
      </w:r>
      <w:r w:rsidRPr="00AE7B34">
        <w:rPr>
          <w:rFonts w:ascii="Times New Roman" w:hAnsi="Times New Roman" w:cs="Times New Roman"/>
          <w:noProof/>
          <w:color w:val="000000" w:themeColor="text1"/>
          <w:sz w:val="22"/>
          <w:szCs w:val="22"/>
          <w:lang w:val="en-US"/>
        </w:rPr>
        <w:t>)</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p>
    <w:p w14:paraId="2C8AD7D5" w14:textId="0B56D30D" w:rsidR="001A2076" w:rsidRPr="00AE7B34" w:rsidRDefault="001A2076" w:rsidP="002E40A1">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Particularly, social media has a positive contribution not only in terms of enhancement of museums’ learning process (Vassiliadis and Belenioti, 2017) but also on brand equity</w:t>
      </w:r>
      <w:r w:rsidR="007934C0"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visitor satisfaction, visitor engagement, museum experience, and the intention to revisit </w:t>
      </w:r>
      <w:r w:rsidRPr="00AE7B34">
        <w:rPr>
          <w:rFonts w:ascii="Times New Roman" w:hAnsi="Times New Roman" w:cs="Times New Roman"/>
          <w:color w:val="000000" w:themeColor="text1"/>
          <w:sz w:val="22"/>
          <w:szCs w:val="22"/>
          <w:lang w:val="en-US"/>
        </w:rPr>
        <w:fldChar w:fldCharType="begin" w:fldLock="1"/>
      </w:r>
      <w:r w:rsidR="00A115B4" w:rsidRPr="00AE7B34">
        <w:rPr>
          <w:rFonts w:ascii="Times New Roman" w:hAnsi="Times New Roman" w:cs="Times New Roman"/>
          <w:color w:val="000000" w:themeColor="text1"/>
          <w:sz w:val="22"/>
          <w:szCs w:val="22"/>
          <w:lang w:val="en-US"/>
        </w:rPr>
        <w:instrText>ADDIN CSL_CITATION {"citationItems":[{"id":"ITEM-1","itemData":{"DOI":"10.1007/978-3-030-12453-3_61","ISBN":"9783030124533","abstract":"The beneficial role of traditional marketing communication tools on branding performance is a dominant feature of marketing bibliography Moreover, the advent of social media have definitely resurged this research interest following the revolution both within For Profit Organizations (henceforth, FPOs) and Non Profit Organizations (henceforth NPOs) communications context. Thus, there is a growing trend towards the impact of both e- marketing tools (and social media impact on destination branding. Parallel to social media is becoming a vital tool l for museums’ sustainability given its multidimensional effect However, due to its infant nature, very little is known on the association between social media and brand equity). Especially, within NPOs few studies – only at a desk research level- have explored the impact of social media on brand equity No single study so far has empirically explored the role of social media on museums’ branding. Addressing previous calls within FPOs and NPOs sector, and having recently reviewed and established theoretically the positive link , (1) first, between the social media and museums (2) second, between social media and NPOs’ brand equity and (3), third between social media on museum branding equity, the present study examines through a qualitative method the social media impact on museums brand equity. Data were collected using semi-structured interviews, that have been held for a month (01 June - 01 July 2017). with communication officers of 30 Greek museums in Athens and Thessaloniki. This work contributes to existing knowledge of multidisciplinary research interests such as museum branding, social media marketing and tourism marketing both by confirming the beneficial contribution of social media on museums’ brand equity, visitors’ satisfaction and visitors’ engagement, and by providing valuable managerial insights.","author":[{"dropping-particle":"","family":"Belenioti","given":"Zoe-Charis","non-dropping-particle":"","parse-names":false,"suffix":""},{"dropping-particle":"","family":"Tsourvakas","given":"George","non-dropping-particle":"","parse-names":false,"suffix":""},{"dropping-particle":"","family":"Vassiliadis","given":"Chris A.","non-dropping-particle":"","parse-names":false,"suffix":""}],"container-title":"Strategic Innovative Marketing and Tourism","id":"ITEM-1","issued":{"date-parts":[["2019"]]},"page":"533-540","title":"Do Social Media Affect Museums’ Brand Equity? An Exploratory Qualitative Study","type":"chapter"},"uris":["http://www.mendeley.com/documents/?uuid=368d3e83-0018-4dcb-8d89-3adf8fc5b9bb"]}],"mendeley":{"formattedCitation":"(Belenioti, Tsourvakas and Chris A. Vassiliadis, 2019)","manualFormatting":"(Belenioti, et al. 2019","plainTextFormattedCitation":"(Belenioti, Tsourvakas and Chris A. Vassiliadis, 2019)","previouslyFormattedCitation":"(Belenioti, Tsourvakas and Chris A. Vassiliadis, 2019)"},"properties":{"noteIndex":0},"schema":"https://github.com/citation-style-language/schema/raw/master/csl-citation.json"}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(Belenioti, et al. 2019</w:t>
      </w:r>
      <w:r w:rsidRPr="00AE7B34">
        <w:rPr>
          <w:rFonts w:ascii="Times New Roman" w:hAnsi="Times New Roman" w:cs="Times New Roman"/>
          <w:color w:val="000000" w:themeColor="text1"/>
          <w:sz w:val="22"/>
          <w:szCs w:val="22"/>
          <w:lang w:val="en-US"/>
        </w:rPr>
        <w:fldChar w:fldCharType="end"/>
      </w:r>
      <w:proofErr w:type="spellStart"/>
      <w:r w:rsidR="002308B5" w:rsidRPr="00AE7B34">
        <w:rPr>
          <w:rFonts w:ascii="Times New Roman" w:hAnsi="Times New Roman" w:cs="Times New Roman"/>
          <w:color w:val="000000" w:themeColor="text1"/>
          <w:sz w:val="22"/>
          <w:szCs w:val="22"/>
          <w:lang w:val="en-US"/>
        </w:rPr>
        <w:t>a</w:t>
      </w:r>
      <w:proofErr w:type="spellEnd"/>
      <w:r w:rsidR="002308B5" w:rsidRPr="00AE7B34">
        <w:rPr>
          <w:rFonts w:ascii="Times New Roman" w:hAnsi="Times New Roman" w:cs="Times New Roman"/>
          <w:color w:val="000000" w:themeColor="text1"/>
          <w:sz w:val="22"/>
          <w:szCs w:val="22"/>
          <w:lang w:val="en-US"/>
        </w:rPr>
        <w:t>; 2019a</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{"citationItems":[{"id":"ITEM-1","itemData":{"author":[{"dropping-particle":"","family":"Belenioti","given":"Zoe- Charis","non-dropping-particle":"","parse-names":false,"suffix":""}],"id":"ITEM-1","issued":{"date-parts":[["2020"]]},"publisher":"Aristotle University of Thessaloniki","title":"THE CONTRIBUTION OF E-MARKETING TO THE BRANDING OF NONPROFIT ORGANIZATIONS ( NPOs ): THE CASE OF GREEK MUSEUMS ZOI ( ZOE ) - CHARIS BELENIOTI","type":"thesis"},"uris":["http://www.mendeley.com/documents/?uuid=c6c5f623-b320-4c41-9b08-d70ff82fb824"]}],"mendeley":{"formattedCitation":"(Belenioti, 2020)","manualFormatting":"; Belenioti, 2020)","plainTextFormattedCitation":"(Belenioti, 2020)","previouslyFormattedCitation":"(Belenioti,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Belenioti,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Likewise, when it comes to festivals social media have been </w:t>
      </w:r>
      <w:r w:rsidRPr="00AE7B34">
        <w:rPr>
          <w:rFonts w:ascii="Times New Roman" w:hAnsi="Times New Roman" w:cs="Times New Roman"/>
          <w:color w:val="000000" w:themeColor="text1"/>
          <w:sz w:val="22"/>
          <w:szCs w:val="22"/>
          <w:lang w:val="en-US"/>
        </w:rPr>
        <w:lastRenderedPageBreak/>
        <w:t xml:space="preserve">repeatedly </w:t>
      </w:r>
      <w:r w:rsidR="00E55BB6" w:rsidRPr="00AE7B34">
        <w:rPr>
          <w:rFonts w:ascii="Times New Roman" w:hAnsi="Times New Roman" w:cs="Times New Roman"/>
          <w:color w:val="000000" w:themeColor="text1"/>
          <w:sz w:val="22"/>
          <w:szCs w:val="22"/>
          <w:lang w:val="en-US"/>
        </w:rPr>
        <w:t>emerged</w:t>
      </w:r>
      <w:r w:rsidRPr="00AE7B34">
        <w:rPr>
          <w:rFonts w:ascii="Times New Roman" w:hAnsi="Times New Roman" w:cs="Times New Roman"/>
          <w:color w:val="000000" w:themeColor="text1"/>
          <w:sz w:val="22"/>
          <w:szCs w:val="22"/>
          <w:lang w:val="en-US"/>
        </w:rPr>
        <w:t xml:space="preserve"> as a</w:t>
      </w:r>
      <w:r w:rsidR="00E55BB6" w:rsidRPr="00AE7B34">
        <w:rPr>
          <w:rFonts w:ascii="Times New Roman" w:hAnsi="Times New Roman" w:cs="Times New Roman"/>
          <w:color w:val="000000" w:themeColor="text1"/>
          <w:sz w:val="22"/>
          <w:szCs w:val="22"/>
          <w:lang w:val="en-US"/>
        </w:rPr>
        <w:t xml:space="preserve">n efficient awareness and engagement tool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{"citationItems":[{"id":"ITEM-1","itemData":{"ISBN":"2122299479","author":[{"dropping-particle":"","family":"Belenioti","given":"Zoe Charis","non-dropping-particle":"","parse-names":false,"suffix":""},{"dropping-particle":"","family":"Gkarane","given":"Sofia","non-dropping-particle":"","parse-names":false,"suffix":""},{"dropping-particle":"","family":"Vassiliadis","given":"Chris","non-dropping-particle":"","parse-names":false,"suffix":""}],"container-title":"5th International Conference on Contemporary Marketing Issues ICCMI,June 21-23, 2017 Thessaloniki, Greece","id":"ITEM-1","issued":{"date-parts":[["2017"]]},"page":"7877","publisher-place":"Thessaloniki, Greee","title":"The contribution of social media to small scale events: Boosting the city branding&amp; tourism demand through Thessaloniki Food Festival","type":"paper-conference"},"uris":["http://www.mendeley.com/documents/?uuid=be8357b8-fddc-4ff6-9293-2d49c7227d64"]}],"mendeley":{"formattedCitation":"(Belenioti, Gkarane and Vassiliadis, 2017)","manualFormatting":"(Hudson and Hudson, 2013; Hudson et al., 2015; Hoksbergen and Insch, 2016; Belenioti, Gkarane and Vassiliadis, 2017","plainTextFormattedCitation":"(Belenioti, Gkarane and Vassiliadis, 2017)","previouslyFormattedCitation":"(Belenioti, Gkarane and Vassiliadis, 2017)"},"properties":{"noteIndex":0},"schema":"https://github.com/citation-style-language/schema/raw/master/csl-citation.json"}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w:t>
      </w:r>
      <w:r w:rsidRPr="00AE7B34">
        <w:rPr>
          <w:rFonts w:ascii="Times New Roman" w:hAnsi="Times New Roman" w:cs="Times New Roman"/>
          <w:noProof/>
          <w:color w:val="000000" w:themeColor="text1"/>
          <w:sz w:val="22"/>
          <w:szCs w:val="22"/>
          <w:lang w:val="en-US"/>
        </w:rPr>
        <w:fldChar w:fldCharType="begin" w:fldLock="1"/>
      </w:r>
      <w:r w:rsidRPr="00AE7B34">
        <w:rPr>
          <w:rFonts w:ascii="Times New Roman" w:hAnsi="Times New Roman" w:cs="Times New Roman"/>
          <w:noProof/>
          <w:color w:val="000000" w:themeColor="text1"/>
          <w:sz w:val="22"/>
          <w:szCs w:val="22"/>
          <w:lang w:val="en-US"/>
        </w:rPr>
        <w:instrText>ADDIN CSL_CITATION {"citationItems":[{"id":"ITEM-1","itemData":{"DOI":"10.1108/IJEFM-06-2013-0012","ISBN":"1758-2954","ISSN":"1758-2954","PMID":"1691004995","abstract":"Engaging with consumers using social media: a case study of music festivals","author":[{"dropping-particle":"","family":"Hudson","given":"Simon","non-dropping-particle":"","parse-names":false,"suffix":""},{"dropping-particle":"","family":"Hudson","given":"Rupert","non-dropping-particle":"","parse-names":false,"suffix":""}],"container-title":"International Journal of Event and Festival Management","id":"ITEM-1","issue":"3","issued":{"date-parts":[["2013"]]},"note":"aim: to explore the use of sm in the music festival sector \nThis paper describes the new consumer decision\njourney, and then adds to the body of research on events and festivals management by applying this\nnew model to events and festivals.\n\nmethod: \nThe study uses a case study methodology with a multi-method\napproach to analyze the use of social media at three major music festivals. Case studies offer depth\nand comprehensiveness for understanding a specific phenomenon, enabling inductive and rich\ndescription, and are specifically welcome in new situations where little is known about the\nphenomenon.\n\n- \nGiven this new consumer decision journey with its four stages of “consider,”\n“evaluate,” “buy” and “enjoy, advocate and bond,” the main objective of this study was\nto apply the new model to music festivals and add to the body of research on events\nand festivals management in order to both validate theory and to provide practical\nadvice to event marketers. The model applies to consumer engagement with brands,\nand although there are few studies on brand ownership and brand control related\nto festivals,\n\nfindings: \n- In particular, social media is making the\n“evaluate” and “advocate” stages of the decision journey more relevant for festival marketers.\nThe data supports the suggestion that instead of focussing on\nhow to allocate spending across different media (television, radio, online, etc.) festival\nmarketers should consider targeting the various stages in the consumer decision\njourney (Edelman, 2010). Traditionally, a large proportion of the marketing budget\nhas been spent on the “consider” and “buy” stages, yet clearly consumers are often\ninfluenced more during the “evaluation” and “enjoy-advocate-bond” stages.\n- It supports the theory previously developed in this area, and is further\nevidence of the powerful impact that new technology can have on consumer behavior.\n-\nThe case study analysis provides support for the new model of consumer decision\nmaking presented earlier. The cases show that as festival-goers progress through the\nfour-stage decision journey, consumer driven marketing – word of mouth, online\nresearch, consumer reviews – has increasing impact (Court et al., 2009), and that social\nmedia is making the “evaluate” and “advocate” stages more relevant.","page":"206-223","title":"Engaging with consumers using social media: a case study of music festivals","type":"article-journal","volume":"4"},"uris":["http://www.mendeley.com/documents/?uuid=137399b2-7dea-4dc2-830e-3b7239649345"]},{"id":"ITEM-2","itemData":{"DOI":"10.1016/j.tourman.2014.09.001","ISSN":"02615177","author":[{"dropping-particle":"","family":"Hudson","given":"Simon","non-dropping-particle":"","parse-names":false,"suffix":""},{"dropping-particle":"","family":"Roth","given":"Martin S.","non-dropping-particle":"","parse-names":false,"suffix":""},{"dropping-particle":"","family":"Madden","given":"Thomas J.","non-dropping-particle":"","parse-names":false,"suffix":""},{"dropping-particle":"","family":"Hudson","given":"Rupert","non-dropping-particle":"","parse-names":false,"suffix":""}],"container-title":"Tourism Management","id":"ITEM-2","issued":{"date-parts":[["2015"]]},"note":"in a nutshell\n- This study examines the influence of social media on customer relationships. \n- A conceptual model was developed and tested using structural equation modeling.\n- The use of social media of attendees with music festivals was examined.\n- Results show social media usage has a significant influence on festival engagement. \n- Social media-based relationships also lead to positive word of mouth recommendations\n\n- Conclusion: In general, the study found compelling evidence that\nsocial media use makes a difference. Consumers that engage with\ntheir favorite brands using social media have stronger relationships\nwith those brands compared with consumers who do not interact\nwith their favorite brands using social media. Thus investments in\nsocial media programs can provide marketing benefits when they\nsucceed in facilitating customerebrand interactions.\n\n-","page":"68-76","publisher":"Elsevier Ltd","title":"The effects of social media on emotions, brand relationship quality, and word of mouth: An empirical study of music festival attendees","type":"article-journal","volume":"47"},"uris":["http://www.mendeley.com/documents/?uuid=62560057-f3a0-4c6f-ae15-6580e3ace811"]},{"id":"ITEM-3","itemData":{"DOI":"10.1108/02656710210415703","ISBN":"0320130029","ISSN":"1871-3173","PMID":"42012058","abstract":"Purpose – The purpose of this paper is to address the need to understand how younger music festival- goers use and engage with a music festival’s Facebook page, and how they perceive this social networking service (SNS) as a potential on-line platform for value co-creation. Design/methodology/approach – Face-to-face in-depth interviews were conducted with 16 young adultswho attended an annualNew Year’sEve music festival,Rhythm and Vines, in Gisborne,New Zealand. Findings – Analysis of the interview data revealed that the majority of participants did not actively engage with this platform and could be categorised as passive viewers or information-seekers. In addition, participants perceived five types of value from using this SNS: functional, social, emotional, interactive and aesthetic value. Even though participants were not segmented due to the small sample size, patterns in their levels of engagement with Facebook, attendance status, reasons for attending the festival and the combinations of forms of value that they perceived were identified. Research limitations/implications – Future research should use a large-scale survey method to obtain a representative sample that is generalisable to a specific population of music festival-goers. Practical implications – Dominance of features on Facebook providing festival-goers with functional value suggests they prefer a passive or co-optation approach to value co-creation in this context. Due to the limited extent of participants actively co-creating value on this platform, alternative means of encouraging interaction to co-create value with festival-goers should be investigated. Originality/value – This study demonstrates that this SNS provides this group of young adults with a means to connect their real-time festival experience, with their on-line Facebook social network during the year.","author":[{"dropping-particle":"","family":"Hoksbergen","given":"Emma","non-dropping-particle":"","parse-names":false,"suffix":""},{"dropping-particle":"","family":"Insch","given":"Andrea","non-dropping-particle":"","parse-names":false,"suffix":""}],"container-title":"International Journal of Event and Festival Management","id":"ITEM-3","issue":"2","issued":{"date-parts":[["2016"]]},"note":"aim: In general, the study found compelling evidence that\nsocial media use makes a difference. Consumers that engage with\ntheir favorite brands using social media have stronger relationships\nwith those brands compared with consumers who do not interact\nwith their favorite brands using social media. Thus investments in\nsocial media programs can provide marketing benefits when they\nsucceed in facilitating customerebrand interactions. \n\nfindings:","page":"84-99","title":"Facebook as a platform for co-creating music festival experiences. The case of New Zealand’s Rhythm and Vines New Year’s Eve festival","type":"article-journal","volume":"7"},"uris":["http://www.mendeley.com/documents/?uuid=c7b49219-6906-4681-8019-bac3a8483c3c"]}],"mendeley":{"formattedCitation":"(Hudson and Hudson, 2013; Hudson &lt;i&gt;et al.&lt;/i&gt;, 2015; Hoksbergen and Insch, 2016)","manualFormatting":"Hudson and Hudson, 2013; Hudson et al., 2015; Hoksbergen and Insch, 2016; ","plainTextFormattedCitation":"(Hudson and Hudson, 2013; Hudson et al., 2015; Hoksbergen and Insch, 2016)","previouslyFormattedCitation":"(Hudson and Hudson, 2013; Hudson &lt;i&gt;et al.&lt;/i&gt;, 2015; Hoksbergen and Insch, 2016)"},"properties":{"noteIndex":0},"schema":"https://github.com/citation-style-language/schema/raw/master/csl-citation.json"}</w:instrText>
      </w:r>
      <w:r w:rsidRPr="00AE7B34">
        <w:rPr>
          <w:rFonts w:ascii="Times New Roman" w:hAnsi="Times New Roman" w:cs="Times New Roman"/>
          <w:noProof/>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Hudson and Hudson, 2013; Hudson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2015; Hoksbergen and Insch, 2016; </w:t>
      </w:r>
      <w:r w:rsidRPr="00AE7B34">
        <w:rPr>
          <w:rFonts w:ascii="Times New Roman" w:hAnsi="Times New Roman" w:cs="Times New Roman"/>
          <w:noProof/>
          <w:color w:val="000000" w:themeColor="text1"/>
          <w:sz w:val="22"/>
          <w:szCs w:val="22"/>
          <w:lang w:val="en-US"/>
        </w:rPr>
        <w:fldChar w:fldCharType="end"/>
      </w:r>
      <w:r w:rsidRPr="00AE7B34">
        <w:rPr>
          <w:rFonts w:ascii="Times New Roman" w:hAnsi="Times New Roman" w:cs="Times New Roman"/>
          <w:noProof/>
          <w:color w:val="000000" w:themeColor="text1"/>
          <w:sz w:val="22"/>
          <w:szCs w:val="22"/>
          <w:lang w:val="en-US"/>
        </w:rPr>
        <w:t>Belenioti, Gkarane and Vassiliadis, 2017</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10.7752/jpes.2021.s2120","author":[{"dropping-particle":"","family":"Celuch","given":"Krzysztof","non-dropping-particle":"","parse-names":false,"suffix":""}],"id":"ITEM-1","issue":"2","issued":{"date-parts":[["2021"]]},"page":"966-973","title":"Hashtag usage and user engagement on Instagram : The case of # foodfestivals","type":"article-journal","volume":"21"},"uris":["http://www.mendeley.com/documents/?uuid=fe667a4a-913a-4864-be22-bd8d7a2c922c"]}],"mendeley":{"formattedCitation":"(Celuch, 2021)","manualFormatting":"Celuch, 2021)","plainTextFormattedCitation":"(Celuch, 2021)","previouslyFormattedCitation":"(Celuch,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Celuch, 2021)</w:t>
      </w:r>
      <w:r w:rsidRPr="00AE7B34">
        <w:rPr>
          <w:rFonts w:ascii="Times New Roman" w:hAnsi="Times New Roman" w:cs="Times New Roman"/>
          <w:color w:val="000000" w:themeColor="text1"/>
          <w:sz w:val="22"/>
          <w:szCs w:val="22"/>
          <w:lang w:val="en-US"/>
        </w:rPr>
        <w:fldChar w:fldCharType="end"/>
      </w:r>
      <w:r w:rsidR="00E55BB6" w:rsidRPr="00AE7B34">
        <w:rPr>
          <w:rFonts w:ascii="Times New Roman" w:hAnsi="Times New Roman" w:cs="Times New Roman"/>
          <w:color w:val="000000" w:themeColor="text1"/>
          <w:sz w:val="22"/>
          <w:szCs w:val="22"/>
          <w:lang w:val="en-US"/>
        </w:rPr>
        <w:t xml:space="preserve"> of digital </w:t>
      </w:r>
      <w:r w:rsidR="001429CE" w:rsidRPr="00AE7B34">
        <w:rPr>
          <w:rFonts w:ascii="Times New Roman" w:hAnsi="Times New Roman" w:cs="Times New Roman"/>
          <w:color w:val="000000" w:themeColor="text1"/>
          <w:sz w:val="22"/>
          <w:szCs w:val="22"/>
          <w:lang w:val="en-US"/>
        </w:rPr>
        <w:t>transformation</w:t>
      </w:r>
      <w:r w:rsidRPr="00AE7B34">
        <w:rPr>
          <w:rFonts w:ascii="Times New Roman" w:hAnsi="Times New Roman" w:cs="Times New Roman"/>
          <w:color w:val="000000" w:themeColor="text1"/>
          <w:sz w:val="22"/>
          <w:szCs w:val="22"/>
          <w:lang w:val="en-US"/>
        </w:rPr>
        <w:t xml:space="preserve">. </w:t>
      </w:r>
    </w:p>
    <w:p w14:paraId="7F6657C4" w14:textId="0981D4C4" w:rsidR="001A2076" w:rsidRPr="00AE7B34" w:rsidRDefault="001A2076" w:rsidP="007934C0">
      <w:pPr>
        <w:tabs>
          <w:tab w:val="left" w:pos="709"/>
        </w:tabs>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Indeed, several reports shown that museums </w:t>
      </w:r>
      <w:r w:rsidR="00E55BB6" w:rsidRPr="00AE7B34">
        <w:rPr>
          <w:rFonts w:ascii="Times New Roman" w:hAnsi="Times New Roman" w:cs="Times New Roman"/>
          <w:color w:val="000000" w:themeColor="text1"/>
          <w:sz w:val="22"/>
          <w:szCs w:val="22"/>
          <w:lang w:val="en-US"/>
        </w:rPr>
        <w:t xml:space="preserve">globally </w:t>
      </w:r>
      <w:r w:rsidRPr="00AE7B34">
        <w:rPr>
          <w:rFonts w:ascii="Times New Roman" w:hAnsi="Times New Roman" w:cs="Times New Roman"/>
          <w:color w:val="000000" w:themeColor="text1"/>
          <w:sz w:val="22"/>
          <w:szCs w:val="22"/>
          <w:lang w:val="en-US"/>
        </w:rPr>
        <w:t>harnessed new</w:t>
      </w:r>
      <w:r w:rsidR="00344DF7"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digital transformation tools to stay connected with their museum audience and friends. </w:t>
      </w:r>
      <w:r w:rsidRPr="00AE7B34">
        <w:rPr>
          <w:rFonts w:ascii="Times New Roman" w:hAnsi="Times New Roman" w:cs="Times New Roman"/>
          <w:color w:val="000000" w:themeColor="text1"/>
          <w:sz w:val="22"/>
          <w:szCs w:val="22"/>
          <w:lang w:val="en-US"/>
        </w:rPr>
        <w:fldChar w:fldCharType="begin" w:fldLock="1"/>
      </w:r>
      <w:r w:rsidR="00EB05D6" w:rsidRPr="00AE7B34">
        <w:rPr>
          <w:rFonts w:ascii="Times New Roman" w:hAnsi="Times New Roman" w:cs="Times New Roman"/>
          <w:color w:val="000000" w:themeColor="text1"/>
          <w:sz w:val="22"/>
          <w:szCs w:val="22"/>
          <w:lang w:val="en-US"/>
        </w:rPr>
        <w:instrText>ADDIN CSL_CITATION {"citationItems":[{"id":"ITEM-1","itemData":{"author":[{"dropping-particle":"","family":"NEMO","given":"","non-dropping-particle":"","parse-names":false,"suffix":""}],"id":"ITEM-1","issued":{"date-parts":[["2020"]]},"note":"a.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-2","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museumstidsskrift","id":"ITEM-2","issue":"02","issued":{"date-parts":[["2020"]]},"note":"Aim: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COVID-19","type":"article-journal","volume":"6"},"uris":["http://www.mendeley.com/documents/?uuid=20dc630b-634d-4065-9539-6ea2541ce1e4"]},{"id":"ITEM-3","itemData":{"DOI":"10.1007/s40558-020-00181-3","ISBN":"4055802000181","ISSN":"19434294","abstract":"This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Tourism","id":"ITEM-3","issue":"2","issued":{"date-parts":[["2020"]]},"note":"kalo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-4","itemData":{"URL":"https://westmuse.org/articles/wma’s-social-media-best-practices-help-your-brand-during-covid-19","author":[{"dropping-particle":"","family":"Association","given":"Western Museums","non-dropping-particle":"","parse-names":false,"suffix":""}],"id":"ITEM-4","issued":{"date-parts":[["2021"]]},"page":"1-4","title":"WMA ’ s Social Media Best Practices : Help Your Brand During","type":"webpage"},"uris":["http://www.mendeley.com/documents/?uuid=c137a726-ea38-4bc5-a125-1f163dbea5e2"]},{"id":"ITEM-5","itemData":{"DOI":"10.1080/09647775.2020.1762361","ISSN":"0964-7775","abstract":"No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Curatorship","id":"ITEM-5","issue":"3","issued":{"date-parts":[["2020"]]},"note":"polu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COVID-19","type":"article-journal","volume":"35"},"uris":["http://www.mendeley.com/documents/?uuid=f40f9c99-dbe0-42fd-bec2-0dfeec139d75"]},{"id":"ITEM-6","itemData":{"author":[{"dropping-particle":"","family":"Calvert","given":"Contributors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-6","issue":"May","issued":{"date-parts":[["2020"]]},"title":"Social Media during COVID-19 A Quick Guide for Canadian Museums","type":"article-journal"},"uris":["http://www.mendeley.com/documents/?uuid=d80d7ef1-656d-410a-8aad-68ab71788373"]},{"id":"ITEM-7","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Recovery","id":"ITEM-7","issued":{"date-parts":[["2020"]]},"note":"SOS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Academia.edu","type":"book"},"uris":["http://www.mendeley.com/documents/?uuid=38ef854f-ed7c-40eb-9ee5-9934347b68e0"]}],"mendeley":{"formattedCitation":"(Burke, Jørgensen and Jørgensen, 2020; Calvert &lt;i&gt;et al.&lt;/i&gt;, 2020; Course and Systems, 2020; Gretzel &lt;i&gt;et al.&lt;/i&gt;, 2020; NEMO, 2020; Ou, 2020; Association, 2021)","manualFormatting":"(Burke, Jørgensen and Jørgensen, 2020; Calvert et al., 2020; Course and Systems, 2020; Gretzel et al., 2020; NEMO, 2020a;2020b; Ou, 2020; Association, 2021)","plainTextFormattedCitation":"(Burke, Jørgensen and Jørgensen, 2020; Calvert et al., 2020; Course and Systems, 2020; Gretzel et al., 2020; NEMO, 2020; Ou, 2020; Association, 2021)","previouslyFormattedCitation":"(Burke, Jørgensen and Jørgensen, 2020; Calvert &lt;i&gt;et al.&lt;/i&gt;, 2020; Course and Systems, 2020; Gretzel &lt;i&gt;et al.&lt;/i&gt;, 2020; NEMO, 2020; Ou, 2020; Association,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(Burke, Jørgensen and Jørgensen, 2020; Calvert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2020; Course and Systems, 2020; Gretzel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2020; NEMO, 2020</w:t>
      </w:r>
      <w:r w:rsidR="00EB05D6" w:rsidRPr="00AE7B34">
        <w:rPr>
          <w:rFonts w:ascii="Times New Roman" w:hAnsi="Times New Roman" w:cs="Times New Roman"/>
          <w:noProof/>
          <w:color w:val="000000" w:themeColor="text1"/>
          <w:sz w:val="22"/>
          <w:szCs w:val="22"/>
          <w:lang w:val="en-US"/>
        </w:rPr>
        <w:t>a;2020b</w:t>
      </w:r>
      <w:r w:rsidRPr="00AE7B34">
        <w:rPr>
          <w:rFonts w:ascii="Times New Roman" w:hAnsi="Times New Roman" w:cs="Times New Roman"/>
          <w:noProof/>
          <w:color w:val="000000" w:themeColor="text1"/>
          <w:sz w:val="22"/>
          <w:szCs w:val="22"/>
          <w:lang w:val="en-US"/>
        </w:rPr>
        <w:t>; Ou, 2020; Association,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GB"/>
        </w:rPr>
        <w:t xml:space="preserve"> </w:t>
      </w:r>
      <w:r w:rsidR="00E55BB6" w:rsidRPr="00AE7B34">
        <w:rPr>
          <w:rFonts w:ascii="Times New Roman" w:hAnsi="Times New Roman" w:cs="Times New Roman"/>
          <w:color w:val="000000" w:themeColor="text1"/>
          <w:sz w:val="22"/>
          <w:szCs w:val="22"/>
          <w:lang w:val="en-GB"/>
        </w:rPr>
        <w:t>COVID-19</w:t>
      </w:r>
      <w:r w:rsidRPr="00AE7B34">
        <w:rPr>
          <w:rFonts w:ascii="Times New Roman" w:hAnsi="Times New Roman" w:cs="Times New Roman"/>
          <w:color w:val="000000" w:themeColor="text1"/>
          <w:sz w:val="22"/>
          <w:szCs w:val="22"/>
          <w:lang w:val="en-US"/>
        </w:rPr>
        <w:t xml:space="preserve"> resilience toolbox in museums include</w:t>
      </w:r>
      <w:r w:rsidR="00E55BB6" w:rsidRPr="00AE7B34">
        <w:rPr>
          <w:rFonts w:ascii="Times New Roman" w:hAnsi="Times New Roman" w:cs="Times New Roman"/>
          <w:color w:val="000000" w:themeColor="text1"/>
          <w:sz w:val="22"/>
          <w:szCs w:val="22"/>
          <w:lang w:val="en-US"/>
        </w:rPr>
        <w:t xml:space="preserve">d social media, </w:t>
      </w:r>
      <w:r w:rsidRPr="00AE7B34">
        <w:rPr>
          <w:rFonts w:ascii="Times New Roman" w:hAnsi="Times New Roman" w:cs="Times New Roman"/>
          <w:color w:val="000000" w:themeColor="text1"/>
          <w:sz w:val="22"/>
          <w:szCs w:val="22"/>
          <w:lang w:val="en-GB"/>
        </w:rPr>
        <w:t xml:space="preserve">5G, Livestreaming, tailor made events based on visitors’ demographics and digital analytics, virtual exhibitions, curatorial talks, viewing rooms. Moreover, tours of current collections, art fairs, and touring exhibits and </w:t>
      </w:r>
      <w:r w:rsidR="0023218B" w:rsidRPr="00AE7B34">
        <w:rPr>
          <w:rFonts w:ascii="Times New Roman" w:hAnsi="Times New Roman" w:cs="Times New Roman"/>
          <w:color w:val="000000" w:themeColor="text1"/>
          <w:sz w:val="22"/>
          <w:szCs w:val="22"/>
          <w:lang w:val="en-GB"/>
        </w:rPr>
        <w:t>e</w:t>
      </w:r>
      <w:r w:rsidRPr="00AE7B34">
        <w:rPr>
          <w:rFonts w:ascii="Times New Roman" w:hAnsi="Times New Roman" w:cs="Times New Roman"/>
          <w:color w:val="000000" w:themeColor="text1"/>
          <w:sz w:val="22"/>
          <w:szCs w:val="22"/>
          <w:lang w:val="en-GB"/>
        </w:rPr>
        <w:t>ducation / remote learning, such as drawing and photography classes/ masterclasses,</w:t>
      </w:r>
      <w:r w:rsidR="0023218B" w:rsidRPr="00AE7B34">
        <w:rPr>
          <w:rFonts w:ascii="Times New Roman" w:hAnsi="Times New Roman" w:cs="Times New Roman"/>
          <w:color w:val="000000" w:themeColor="text1"/>
          <w:sz w:val="22"/>
          <w:szCs w:val="22"/>
          <w:lang w:val="en-GB"/>
        </w:rPr>
        <w:t xml:space="preserve"> </w:t>
      </w:r>
      <w:r w:rsidRPr="00AE7B34">
        <w:rPr>
          <w:rFonts w:ascii="Times New Roman" w:hAnsi="Times New Roman" w:cs="Times New Roman"/>
          <w:color w:val="000000" w:themeColor="text1"/>
          <w:sz w:val="22"/>
          <w:szCs w:val="22"/>
          <w:lang w:val="en-GB"/>
        </w:rPr>
        <w:t xml:space="preserve">AR, VR </w:t>
      </w:r>
      <w:r w:rsidRPr="00AE7B34">
        <w:rPr>
          <w:rFonts w:ascii="Times New Roman" w:hAnsi="Times New Roman" w:cs="Times New Roman"/>
          <w:color w:val="000000" w:themeColor="text1"/>
          <w:sz w:val="22"/>
          <w:szCs w:val="22"/>
          <w:lang w:val="en-GB"/>
        </w:rPr>
        <w:fldChar w:fldCharType="begin" w:fldLock="1"/>
      </w:r>
      <w:r w:rsidRPr="00AE7B34">
        <w:rPr>
          <w:rFonts w:ascii="Times New Roman" w:hAnsi="Times New Roman" w:cs="Times New Roman"/>
          <w:color w:val="000000" w:themeColor="text1"/>
          <w:sz w:val="22"/>
          <w:szCs w:val="22"/>
          <w:lang w:val="en-GB"/>
        </w:rPr>
        <w:instrText>ADDIN CSL_CITATION {"citationItems":[{"id":"ITEM-1","itemData":{"author":[{"dropping-particle":"","family":"Practice","given":"Creative","non-dropping-particle":"","parse-names":false,"suffix":""}],"id":"ITEM-1","issue":"June","issued":{"date-parts":[["2020"]]},"note":"polu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id":"ITEM-2","itemData":{"author":[{"dropping-particle":"","family":"Kahn","given":"Rebecca","non-dropping-particle":"","parse-names":false,"suffix":""}],"container-title":"Elephant in the Lab","id":"ITEM-2","issued":{"date-parts":[["2020"]]},"note":"Key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pandemic","type":"article-journal"},"uris":["http://www.mendeley.com/documents/?uuid=1e2d9064-603e-446f-b332-1e739081b59b"]}],"mendeley":{"formattedCitation":"(Kahn, 2020; Practice, 2020)","plainTextFormattedCitation":"(Kahn, 2020; Practice, 2020)","previouslyFormattedCitation":"(Kahn, 2020; Practice, 2020)"},"properties":{"noteIndex":0},"schema":"https://github.com/citation-style-language/schema/raw/master/csl-citation.json"}</w:instrText>
      </w:r>
      <w:r w:rsidRPr="00AE7B34">
        <w:rPr>
          <w:rFonts w:ascii="Times New Roman" w:hAnsi="Times New Roman" w:cs="Times New Roman"/>
          <w:color w:val="000000" w:themeColor="text1"/>
          <w:sz w:val="22"/>
          <w:szCs w:val="22"/>
          <w:lang w:val="en-GB"/>
        </w:rPr>
        <w:fldChar w:fldCharType="separate"/>
      </w:r>
      <w:r w:rsidRPr="00AE7B34">
        <w:rPr>
          <w:rFonts w:ascii="Times New Roman" w:hAnsi="Times New Roman" w:cs="Times New Roman"/>
          <w:noProof/>
          <w:color w:val="000000" w:themeColor="text1"/>
          <w:sz w:val="22"/>
          <w:szCs w:val="22"/>
          <w:lang w:val="en-GB"/>
        </w:rPr>
        <w:t>(Kahn, 2020; Practice,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GB"/>
        </w:rPr>
        <w:t xml:space="preserve"> which </w:t>
      </w:r>
      <w:r w:rsidR="00344DF7" w:rsidRPr="00AE7B34">
        <w:rPr>
          <w:rFonts w:ascii="Times New Roman" w:hAnsi="Times New Roman" w:cs="Times New Roman"/>
          <w:color w:val="000000" w:themeColor="text1"/>
          <w:sz w:val="22"/>
          <w:szCs w:val="22"/>
          <w:lang w:val="en-GB"/>
        </w:rPr>
        <w:t xml:space="preserve">both </w:t>
      </w:r>
      <w:r w:rsidRPr="00AE7B34">
        <w:rPr>
          <w:rFonts w:ascii="Times New Roman" w:hAnsi="Times New Roman" w:cs="Times New Roman"/>
          <w:color w:val="000000" w:themeColor="text1"/>
          <w:sz w:val="22"/>
          <w:szCs w:val="22"/>
          <w:lang w:val="en-GB"/>
        </w:rPr>
        <w:t>Thessaloniki International Film Festival ha</w:t>
      </w:r>
      <w:r w:rsidR="00344DF7" w:rsidRPr="00AE7B34">
        <w:rPr>
          <w:rFonts w:ascii="Times New Roman" w:hAnsi="Times New Roman" w:cs="Times New Roman"/>
          <w:color w:val="000000" w:themeColor="text1"/>
          <w:sz w:val="22"/>
          <w:szCs w:val="22"/>
          <w:lang w:val="en-GB"/>
        </w:rPr>
        <w:t>s</w:t>
      </w:r>
      <w:r w:rsidRPr="00AE7B34">
        <w:rPr>
          <w:rFonts w:ascii="Times New Roman" w:hAnsi="Times New Roman" w:cs="Times New Roman"/>
          <w:color w:val="000000" w:themeColor="text1"/>
          <w:sz w:val="22"/>
          <w:szCs w:val="22"/>
          <w:lang w:val="en-GB"/>
        </w:rPr>
        <w:t xml:space="preserve"> been incorporating since 2018, </w:t>
      </w:r>
      <w:r w:rsidR="00344DF7" w:rsidRPr="00AE7B34">
        <w:rPr>
          <w:rFonts w:ascii="Times New Roman" w:hAnsi="Times New Roman" w:cs="Times New Roman"/>
          <w:color w:val="000000" w:themeColor="text1"/>
          <w:sz w:val="22"/>
          <w:szCs w:val="22"/>
          <w:lang w:val="en-GB"/>
        </w:rPr>
        <w:t xml:space="preserve">and </w:t>
      </w:r>
      <w:r w:rsidRPr="00AE7B34">
        <w:rPr>
          <w:rFonts w:ascii="Times New Roman" w:hAnsi="Times New Roman" w:cs="Times New Roman"/>
          <w:color w:val="000000" w:themeColor="text1"/>
          <w:sz w:val="22"/>
          <w:szCs w:val="22"/>
          <w:lang w:val="en-GB"/>
        </w:rPr>
        <w:t xml:space="preserve">Australian Museums, </w:t>
      </w:r>
      <w:r w:rsidR="007934C0" w:rsidRPr="00AE7B34">
        <w:rPr>
          <w:rFonts w:ascii="Times New Roman" w:hAnsi="Times New Roman" w:cs="Times New Roman"/>
          <w:color w:val="000000" w:themeColor="text1"/>
          <w:sz w:val="22"/>
          <w:szCs w:val="22"/>
          <w:lang w:val="en-GB"/>
        </w:rPr>
        <w:t>and, lastly</w:t>
      </w:r>
      <w:r w:rsidR="00344DF7" w:rsidRPr="00AE7B34">
        <w:rPr>
          <w:rFonts w:ascii="Times New Roman" w:hAnsi="Times New Roman" w:cs="Times New Roman"/>
          <w:color w:val="000000" w:themeColor="text1"/>
          <w:sz w:val="22"/>
          <w:szCs w:val="22"/>
          <w:lang w:val="en-GB"/>
        </w:rPr>
        <w:t>,</w:t>
      </w:r>
      <w:r w:rsidRPr="00AE7B34">
        <w:rPr>
          <w:rFonts w:ascii="Times New Roman" w:hAnsi="Times New Roman" w:cs="Times New Roman"/>
          <w:color w:val="000000" w:themeColor="text1"/>
          <w:sz w:val="22"/>
          <w:szCs w:val="22"/>
          <w:lang w:val="en-GB"/>
        </w:rPr>
        <w:t xml:space="preserve"> the prominent big data </w:t>
      </w:r>
      <w:r w:rsidRPr="00AE7B34">
        <w:rPr>
          <w:rFonts w:ascii="Times New Roman" w:hAnsi="Times New Roman" w:cs="Times New Roman"/>
          <w:color w:val="000000" w:themeColor="text1"/>
          <w:sz w:val="22"/>
          <w:szCs w:val="22"/>
          <w:lang w:val="en-GB"/>
        </w:rPr>
        <w:fldChar w:fldCharType="begin" w:fldLock="1"/>
      </w:r>
      <w:r w:rsidRPr="00AE7B34">
        <w:rPr>
          <w:rFonts w:ascii="Times New Roman" w:hAnsi="Times New Roman" w:cs="Times New Roman"/>
          <w:color w:val="000000" w:themeColor="text1"/>
          <w:sz w:val="22"/>
          <w:szCs w:val="22"/>
          <w:lang w:val="en-GB"/>
        </w:rPr>
        <w:instrText>ADDIN CSL_CITATION {"citationItems":[{"id":"ITEM-1","itemData":{"author":[{"dropping-particle":"","family":"Practice","given":"Creative","non-dropping-particle":"","parse-names":false,"suffix":""}],"id":"ITEM-1","issue":"June","issued":{"date-parts":[["2020"]]},"note":"polu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id":"ITEM-2","itemData":{"author":[{"dropping-particle":"","family":"Kahn","given":"Rebecca","non-dropping-particle":"","parse-names":false,"suffix":""}],"container-title":"Elephant in the Lab","id":"ITEM-2","issued":{"date-parts":[["2020"]]},"note":"Key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pandemic","type":"article-journal"},"uris":["http://www.mendeley.com/documents/?uuid=1e2d9064-603e-446f-b332-1e739081b59b"]}],"mendeley":{"formattedCitation":"(Kahn, 2020; Practice, 2020)","plainTextFormattedCitation":"(Kahn, 2020; Practice, 2020)","previouslyFormattedCitation":"(Kahn, 2020; Practice, 2020)"},"properties":{"noteIndex":0},"schema":"https://github.com/citation-style-language/schema/raw/master/csl-citation.json"}</w:instrText>
      </w:r>
      <w:r w:rsidRPr="00AE7B34">
        <w:rPr>
          <w:rFonts w:ascii="Times New Roman" w:hAnsi="Times New Roman" w:cs="Times New Roman"/>
          <w:color w:val="000000" w:themeColor="text1"/>
          <w:sz w:val="22"/>
          <w:szCs w:val="22"/>
          <w:lang w:val="en-GB"/>
        </w:rPr>
        <w:fldChar w:fldCharType="separate"/>
      </w:r>
      <w:r w:rsidRPr="00AE7B34">
        <w:rPr>
          <w:rFonts w:ascii="Times New Roman" w:hAnsi="Times New Roman" w:cs="Times New Roman"/>
          <w:noProof/>
          <w:color w:val="000000" w:themeColor="text1"/>
          <w:sz w:val="22"/>
          <w:szCs w:val="22"/>
          <w:lang w:val="en-GB"/>
        </w:rPr>
        <w:t>(Kahn, 2020; Practice,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GB"/>
        </w:rPr>
        <w:t xml:space="preserve"> </w:t>
      </w:r>
      <w:r w:rsidR="00344DF7" w:rsidRPr="00AE7B34">
        <w:rPr>
          <w:rFonts w:ascii="Times New Roman" w:hAnsi="Times New Roman" w:cs="Times New Roman"/>
          <w:color w:val="000000" w:themeColor="text1"/>
          <w:sz w:val="22"/>
          <w:szCs w:val="22"/>
          <w:lang w:val="en-GB"/>
        </w:rPr>
        <w:t>were</w:t>
      </w:r>
      <w:r w:rsidRPr="00AE7B34">
        <w:rPr>
          <w:rFonts w:ascii="Times New Roman" w:hAnsi="Times New Roman" w:cs="Times New Roman"/>
          <w:color w:val="000000" w:themeColor="text1"/>
          <w:sz w:val="22"/>
          <w:szCs w:val="22"/>
          <w:lang w:val="en-GB"/>
        </w:rPr>
        <w:t xml:space="preserve"> the backbone of “museum out the museum” and “co- creation museum digital era”. </w:t>
      </w:r>
      <w:r w:rsidRPr="00AE7B34">
        <w:rPr>
          <w:rFonts w:ascii="Times New Roman" w:hAnsi="Times New Roman" w:cs="Times New Roman"/>
          <w:color w:val="000000" w:themeColor="text1"/>
          <w:sz w:val="22"/>
          <w:szCs w:val="22"/>
          <w:lang w:val="en-US"/>
        </w:rPr>
        <w:t xml:space="preserve">In Italy, museums doubled their social media usage and online activity, </w:t>
      </w:r>
      <w:r w:rsidR="001429CE" w:rsidRPr="00AE7B34">
        <w:rPr>
          <w:rFonts w:ascii="Times New Roman" w:hAnsi="Times New Roman" w:cs="Times New Roman"/>
          <w:color w:val="000000" w:themeColor="text1"/>
          <w:sz w:val="22"/>
          <w:szCs w:val="22"/>
          <w:lang w:val="en-US"/>
        </w:rPr>
        <w:t>an</w:t>
      </w:r>
      <w:r w:rsidRPr="00AE7B34">
        <w:rPr>
          <w:rFonts w:ascii="Times New Roman" w:hAnsi="Times New Roman" w:cs="Times New Roman"/>
          <w:color w:val="000000" w:themeColor="text1"/>
          <w:sz w:val="22"/>
          <w:szCs w:val="22"/>
          <w:lang w:val="en-US"/>
        </w:rPr>
        <w:t xml:space="preserve">d customized their content to remain open during the </w:t>
      </w:r>
      <w:proofErr w:type="spellStart"/>
      <w:r w:rsidRPr="00AE7B34">
        <w:rPr>
          <w:rFonts w:ascii="Times New Roman" w:hAnsi="Times New Roman" w:cs="Times New Roman"/>
          <w:color w:val="000000" w:themeColor="text1"/>
          <w:sz w:val="22"/>
          <w:szCs w:val="22"/>
          <w:lang w:val="en-US"/>
        </w:rPr>
        <w:t>anthropause</w:t>
      </w:r>
      <w:proofErr w:type="spellEnd"/>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00B5562F" w:rsidRPr="00AE7B34">
        <w:rPr>
          <w:rFonts w:ascii="Times New Roman" w:hAnsi="Times New Roman" w:cs="Times New Roman"/>
          <w:color w:val="000000" w:themeColor="text1"/>
          <w:sz w:val="22"/>
          <w:szCs w:val="22"/>
          <w:lang w:val="en-US"/>
        </w:rPr>
        <w:instrText>ADDIN CSL_CITATION {"citationItems":[{"id":"ITEM-1","itemData":{"DOI":"10.1080/09647775.2020.1790029","ISSN":"09647775","abstract":"This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Curatorship","id":"ITEM-1","issue":"0","issued":{"date-parts":[["2020"]]},"note":"Poly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openness","type":"article-journal","volume":"0"},"uris":["http://www.mendeley.com/documents/?uuid=0f6150cb-afda-4c53-be4f-552b0f2a63b7"]}],"mendeley":{"formattedCitation":"(Agostino, Arnaboldi and Lampis, 2020)","manualFormatting":"Agostino, Arnaboldi and Lampis,2020)","plainTextFormattedCitation":"(Agostino, Arnaboldi and Lampis, 2020)","previouslyFormattedCitation":"(Agostino, Arnaboldi and Lampis,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Agostino, Arnaboldi and Lampis,2020)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Finally, in the case of China and Australia</w:t>
      </w:r>
      <w:r w:rsidR="00A5135F" w:rsidRPr="00AE7B34">
        <w:rPr>
          <w:rFonts w:ascii="Times New Roman" w:hAnsi="Times New Roman" w:cs="Times New Roman"/>
          <w:color w:val="000000" w:themeColor="text1"/>
          <w:sz w:val="22"/>
          <w:szCs w:val="22"/>
          <w:lang w:val="en-US"/>
        </w:rPr>
        <w:t>n</w:t>
      </w:r>
      <w:r w:rsidRPr="00AE7B34">
        <w:rPr>
          <w:rFonts w:ascii="Times New Roman" w:hAnsi="Times New Roman" w:cs="Times New Roman"/>
          <w:color w:val="000000" w:themeColor="text1"/>
          <w:sz w:val="22"/>
          <w:szCs w:val="22"/>
          <w:lang w:val="en-US"/>
        </w:rPr>
        <w:t xml:space="preserve"> museums, digital transformation tools serve</w:t>
      </w:r>
      <w:r w:rsidR="00344DF7" w:rsidRPr="00AE7B34">
        <w:rPr>
          <w:rFonts w:ascii="Times New Roman" w:hAnsi="Times New Roman" w:cs="Times New Roman"/>
          <w:color w:val="000000" w:themeColor="text1"/>
          <w:sz w:val="22"/>
          <w:szCs w:val="22"/>
          <w:lang w:val="en-US"/>
        </w:rPr>
        <w:t>d</w:t>
      </w:r>
      <w:r w:rsidRPr="00AE7B34">
        <w:rPr>
          <w:rFonts w:ascii="Times New Roman" w:hAnsi="Times New Roman" w:cs="Times New Roman"/>
          <w:color w:val="000000" w:themeColor="text1"/>
          <w:sz w:val="22"/>
          <w:szCs w:val="22"/>
          <w:lang w:val="en-US"/>
        </w:rPr>
        <w:t xml:space="preserve"> not only as a both brand awareness, brand engagement and survival tool but also as a testbed of CSR endeavor, as museums acted as connector with the healthcare industry.</w:t>
      </w:r>
    </w:p>
    <w:p w14:paraId="7AF8472D" w14:textId="77777777" w:rsidR="0034557F" w:rsidRPr="00AE7B34" w:rsidRDefault="00811F4D" w:rsidP="0034557F">
      <w:pPr>
        <w:jc w:val="both"/>
        <w:rPr>
          <w:rFonts w:ascii="Times New Roman" w:hAnsi="Times New Roman" w:cs="Times New Roman"/>
          <w:b/>
          <w:bCs/>
          <w:color w:val="000000" w:themeColor="text1"/>
          <w:sz w:val="22"/>
          <w:szCs w:val="22"/>
          <w:lang w:val="en-GB"/>
        </w:rPr>
      </w:pPr>
      <w:r w:rsidRPr="00AE7B34">
        <w:rPr>
          <w:rFonts w:ascii="Times New Roman" w:hAnsi="Times New Roman" w:cs="Times New Roman"/>
          <w:b/>
          <w:bCs/>
          <w:color w:val="000000" w:themeColor="text1"/>
          <w:sz w:val="22"/>
          <w:szCs w:val="22"/>
          <w:lang w:val="en-GB"/>
        </w:rPr>
        <w:t xml:space="preserve"> </w:t>
      </w:r>
    </w:p>
    <w:p w14:paraId="21DAE8EB" w14:textId="53E11B8B" w:rsidR="00B803E8" w:rsidRPr="00AE7B34" w:rsidRDefault="0034557F" w:rsidP="0034557F">
      <w:pPr>
        <w:jc w:val="both"/>
        <w:rPr>
          <w:rFonts w:ascii="Times New Roman" w:hAnsi="Times New Roman" w:cs="Times New Roman"/>
          <w:b/>
          <w:bCs/>
          <w:color w:val="000000" w:themeColor="text1"/>
          <w:sz w:val="22"/>
          <w:szCs w:val="22"/>
          <w:lang w:val="en-GB"/>
        </w:rPr>
      </w:pPr>
      <w:r w:rsidRPr="00AE7B34">
        <w:rPr>
          <w:rFonts w:ascii="Times New Roman" w:hAnsi="Times New Roman" w:cs="Times New Roman"/>
          <w:b/>
          <w:bCs/>
          <w:color w:val="000000" w:themeColor="text1"/>
          <w:sz w:val="22"/>
          <w:szCs w:val="22"/>
          <w:lang w:val="en-GB"/>
        </w:rPr>
        <w:t xml:space="preserve">Classification of </w:t>
      </w:r>
      <w:r w:rsidR="00B803E8" w:rsidRPr="00AE7B34">
        <w:rPr>
          <w:rFonts w:ascii="Times New Roman" w:hAnsi="Times New Roman" w:cs="Times New Roman"/>
          <w:b/>
          <w:bCs/>
          <w:color w:val="000000" w:themeColor="text1"/>
          <w:sz w:val="22"/>
          <w:szCs w:val="22"/>
          <w:lang w:val="en-GB"/>
        </w:rPr>
        <w:t xml:space="preserve">emerging research streams on the interplay among museums/festivals, </w:t>
      </w:r>
      <w:r w:rsidR="007B33DC" w:rsidRPr="00AE7B34">
        <w:rPr>
          <w:rFonts w:ascii="Times New Roman" w:hAnsi="Times New Roman" w:cs="Times New Roman"/>
          <w:b/>
          <w:bCs/>
          <w:color w:val="000000" w:themeColor="text1"/>
          <w:sz w:val="22"/>
          <w:szCs w:val="22"/>
          <w:lang w:val="en-GB"/>
        </w:rPr>
        <w:t>COVID-19</w:t>
      </w:r>
      <w:r w:rsidR="00B803E8" w:rsidRPr="00AE7B34">
        <w:rPr>
          <w:rFonts w:ascii="Times New Roman" w:hAnsi="Times New Roman" w:cs="Times New Roman"/>
          <w:b/>
          <w:bCs/>
          <w:color w:val="000000" w:themeColor="text1"/>
          <w:sz w:val="22"/>
          <w:szCs w:val="22"/>
          <w:lang w:val="en-GB"/>
        </w:rPr>
        <w:t>, social media and digital tools</w:t>
      </w:r>
    </w:p>
    <w:p w14:paraId="3DA47E19" w14:textId="5716F52A" w:rsidR="0064689A" w:rsidRPr="00AE7B34" w:rsidRDefault="00B803E8" w:rsidP="007934C0">
      <w:pPr>
        <w:tabs>
          <w:tab w:val="left" w:pos="709"/>
        </w:tabs>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 xml:space="preserve">Drawing on a review of </w:t>
      </w:r>
      <w:r w:rsidR="00353D50" w:rsidRPr="00AE7B34">
        <w:rPr>
          <w:rFonts w:ascii="Times New Roman" w:hAnsi="Times New Roman" w:cs="Times New Roman"/>
          <w:color w:val="000000" w:themeColor="text1"/>
          <w:sz w:val="22"/>
          <w:szCs w:val="22"/>
          <w:lang w:val="en-GB"/>
        </w:rPr>
        <w:t>76</w:t>
      </w:r>
      <w:r w:rsidR="00A5135F" w:rsidRPr="00AE7B34">
        <w:rPr>
          <w:rFonts w:ascii="Times New Roman" w:hAnsi="Times New Roman" w:cs="Times New Roman"/>
          <w:color w:val="000000" w:themeColor="text1"/>
          <w:sz w:val="22"/>
          <w:szCs w:val="22"/>
          <w:lang w:val="en-GB"/>
        </w:rPr>
        <w:t xml:space="preserve"> </w:t>
      </w:r>
      <w:r w:rsidRPr="00AE7B34">
        <w:rPr>
          <w:rFonts w:ascii="Times New Roman" w:hAnsi="Times New Roman" w:cs="Times New Roman"/>
          <w:color w:val="000000" w:themeColor="text1"/>
          <w:sz w:val="22"/>
          <w:szCs w:val="22"/>
          <w:lang w:val="en-GB"/>
        </w:rPr>
        <w:t xml:space="preserve">papers, of which 20 papers are focused </w:t>
      </w:r>
      <w:r w:rsidR="00600B73" w:rsidRPr="00AE7B34">
        <w:rPr>
          <w:rFonts w:ascii="Times New Roman" w:hAnsi="Times New Roman" w:cs="Times New Roman"/>
          <w:color w:val="000000" w:themeColor="text1"/>
          <w:sz w:val="22"/>
          <w:szCs w:val="22"/>
          <w:lang w:val="en-GB"/>
        </w:rPr>
        <w:t xml:space="preserve">on </w:t>
      </w:r>
      <w:r w:rsidRPr="00AE7B34">
        <w:rPr>
          <w:rFonts w:ascii="Times New Roman" w:hAnsi="Times New Roman" w:cs="Times New Roman"/>
          <w:color w:val="000000" w:themeColor="text1"/>
          <w:sz w:val="22"/>
          <w:szCs w:val="22"/>
          <w:lang w:val="en-GB"/>
        </w:rPr>
        <w:t>how museums did react fighting COVID-19</w:t>
      </w:r>
      <w:r w:rsidR="00600B73" w:rsidRPr="00AE7B34">
        <w:rPr>
          <w:rFonts w:ascii="Times New Roman" w:hAnsi="Times New Roman" w:cs="Times New Roman"/>
          <w:color w:val="000000" w:themeColor="text1"/>
          <w:sz w:val="22"/>
          <w:szCs w:val="22"/>
          <w:lang w:val="en-GB"/>
        </w:rPr>
        <w:t>,</w:t>
      </w:r>
      <w:r w:rsidRPr="00AE7B34">
        <w:rPr>
          <w:rFonts w:ascii="Times New Roman" w:hAnsi="Times New Roman" w:cs="Times New Roman"/>
          <w:color w:val="000000" w:themeColor="text1"/>
          <w:sz w:val="22"/>
          <w:szCs w:val="22"/>
          <w:lang w:val="en-GB"/>
        </w:rPr>
        <w:t xml:space="preserve"> th</w:t>
      </w:r>
      <w:r w:rsidR="00600B73" w:rsidRPr="00AE7B34">
        <w:rPr>
          <w:rFonts w:ascii="Times New Roman" w:hAnsi="Times New Roman" w:cs="Times New Roman"/>
          <w:color w:val="000000" w:themeColor="text1"/>
          <w:sz w:val="22"/>
          <w:szCs w:val="22"/>
          <w:lang w:val="en-GB"/>
        </w:rPr>
        <w:t>is</w:t>
      </w:r>
      <w:r w:rsidRPr="00AE7B34">
        <w:rPr>
          <w:rFonts w:ascii="Times New Roman" w:hAnsi="Times New Roman" w:cs="Times New Roman"/>
          <w:color w:val="000000" w:themeColor="text1"/>
          <w:sz w:val="22"/>
          <w:szCs w:val="22"/>
          <w:lang w:val="en-GB"/>
        </w:rPr>
        <w:t xml:space="preserve"> review has classified the available recent bibliography in three major strands. The first strand depicts the opportunities of social media as first aid kit fighting </w:t>
      </w:r>
      <w:r w:rsidR="007B33DC" w:rsidRPr="00AE7B34">
        <w:rPr>
          <w:rFonts w:ascii="Times New Roman" w:hAnsi="Times New Roman" w:cs="Times New Roman"/>
          <w:color w:val="000000" w:themeColor="text1"/>
          <w:sz w:val="22"/>
          <w:szCs w:val="22"/>
          <w:lang w:val="en-GB"/>
        </w:rPr>
        <w:t>COVID-19</w:t>
      </w:r>
      <w:r w:rsidRPr="00AE7B34">
        <w:rPr>
          <w:rFonts w:ascii="Times New Roman" w:hAnsi="Times New Roman" w:cs="Times New Roman"/>
          <w:color w:val="000000" w:themeColor="text1"/>
          <w:sz w:val="22"/>
          <w:szCs w:val="22"/>
          <w:lang w:val="en-GB"/>
        </w:rPr>
        <w:t xml:space="preserve"> and digital tools as the “modus operandi” of cultural heritage during and after the pandemic </w:t>
      </w:r>
      <w:r w:rsidRPr="00AE7B34">
        <w:rPr>
          <w:rFonts w:ascii="Times New Roman" w:hAnsi="Times New Roman" w:cs="Times New Roman"/>
          <w:color w:val="000000" w:themeColor="text1"/>
          <w:sz w:val="22"/>
          <w:szCs w:val="22"/>
          <w:lang w:val="en-GB"/>
        </w:rPr>
        <w:fldChar w:fldCharType="begin" w:fldLock="1"/>
      </w:r>
      <w:r w:rsidR="000D5746" w:rsidRPr="00AE7B34">
        <w:rPr>
          <w:rFonts w:ascii="Times New Roman" w:hAnsi="Times New Roman" w:cs="Times New Roman"/>
          <w:color w:val="000000" w:themeColor="text1"/>
          <w:sz w:val="22"/>
          <w:szCs w:val="22"/>
          <w:lang w:val="en-GB"/>
        </w:rPr>
        <w:instrText>ADDIN CSL_CITATION {"citationItems":[{"id":"ITEM-1","itemData":{"author":[{"dropping-particle":"","family":"NEMO","given":"","non-dropping-particle":"","parse-names":false,"suffix":""}],"id":"ITEM-1","issued":{"date-parts":[["2020"]]},"note":"a.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-2","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museumstidsskrift","id":"ITEM-2","issue":"02","issued":{"date-parts":[["2020"]]},"note":"Aim: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COVID-19","type":"article-journal","volume":"6"},"uris":["http://www.mendeley.com/documents/?uuid=20dc630b-634d-4065-9539-6ea2541ce1e4"]},{"id":"ITEM-3","itemData":{"DOI":"10.1007/s40558-020-00181-3","ISBN":"4055802000181","ISSN":"19434294","abstract":"This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Tourism","id":"ITEM-3","issue":"2","issued":{"date-parts":[["2020"]]},"note":"kalo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research","type":"article-journal","volume":"22"},"uris":["http://www.mendeley.com/documents/?uuid=f25b0921-137b-481b-b002-ec3cc08454d7"]},{"id":"ITEM-4","itemData":{"abstract":"This second report COVID-19 Related Travel Restrictions – A Global Review for Tourism was developed by the World Tourism Organization’s (UNWTO) Sustainable Development of Tourism Department. The report was prepared under the supervision of Dr. Dirk Glaesser with lead contributions from Lorna Hartantyo, Marianna Stori and Cordula Wohlmuther. Virginia Fernández-Trapa reviewed and provided feedback to the report. Comments on the previous version of this report were provided by Sandra Carvao, Orianne Derrier, Hernán Epstein, Harry Hwang, Beka Jakeli and Merjen Meretgulyyeva. Layout of the cover was provided by Alberto G. Uceda and layout of the report by Javier P. Spuch. We wish to thank Mrs Fiona Barron and Mr Rodolfo Losada from the World Food Programme for the clarifications and support provided.","author":[{"dropping-particle":"","family":"World Tourism Organization (UNWTO)","given":"","non-dropping-particle":"","parse-names":false,"suffix":""}],"container-title":"World Tourism Organization","id":"ITEM-4","issue":"April","issued":{"date-parts":[["2020"]]},"note":"kalo os vasi \n\n\nIntroduction - SOS\n\n\n7. Conclusions\n\n- Destinations continue to ease travel\nrestrictions. The analysis shows that there\nare various factors influencing thi trend\nDestinations with a higher score of the\nhealth and hygiene indicator as well as\nlow infection rates are among those which\neased restrictions faster than destinations of\ndifferent characteristics. Also, the importance\nof tourism is, although not in all countries,\ninfluencing that borders are getting reopened.\n\n\n\n0- However, many countries still keep their borders closed with impacts not only for international tourism but significant side effects for their economies and societies.\n\n\n- \nGovernments in destinations that have eased\nrestrictions continue to indicate that travel\nrestrictions will be reintroduced in case of\nincreasing infection rates at any time. These\ntravel\noften\nrestrictions\nrapid changes in\nremain a major challenge. Consequently,\nimmigration procedures and requirements will\ndiffer from destination to destination, which is\nespecially challenging for the consistency of\ninformation on procedures and requirements\nacross the different national authorities,\nnamely health, foreign affairs, immigration\nand tourism authorities of a country.\n\n\n- It is now, especially in view of the upcoming\nfast changing procedures and requirements,\neven more important that national authorities\nensure that immigration procedures and\nrequirements are provided in a timely, reliable \nand consistent manner across all information\nsystems and platforms, to maintain confidence\nand trust.\n\nProportionate and responsible opening\nof borders for international tourism\n\n\n\nWith seven months of the pandemic in place,\nlessons learned from attempts of limiting the\nspread of COVID-19 have become available.\nOne of the lessons might be that through\nsocial distancing and\ntesting and tracing,\nrelevant\nas hand\nhygiene measure such\nwashing and the wearing of mask the spread of\ninfection can be limited. Based on this and on\nthe introduction of protocols and procedures\nin general and in tourism in particular, reasons\nand justification for lifting and easing travel\nrestrictions might be provided.","page":"1-11","title":"Covid - 19 related travel restrictions a global review for tourism","type":"article-journal"},"uris":["http://www.mendeley.com/documents/?uuid=37b18eff-d4df-4966-8daf-6112820eb729"]},{"id":"ITEM-5","itemData":{"abstract":"Culture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Organisations","given":"","non-dropping-particle":"","parse-names":false,"suffix":""}],"id":"ITEM-5","issue":"May","issued":{"date-parts":[["2020"]]},"note":"1.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Recommendations","type":"report"},"uris":["http://www.mendeley.com/documents/?uuid=4829ec80-1b8d-4aec-bd98-6f9aa420f9da"]},{"id":"ITEM-6","itemData":{"DOI":"10.1080/09647775.2020.1790029","ISSN":"09647775","abstract":"This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Curatorship","id":"ITEM-6","issue":"0","issued":{"date-parts":[["2020"]]},"note":"Poly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id":"ITEM-7","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Research","id":"ITEM-7","issue":"ahead-of-print","issued":{"date-parts":[["2021"]]},"note":"SOS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id":"ITEM-8","itemData":{"URL":"https://westmuse.org/articles/wma’s-social-media-best-practices-help-your-brand-during-covid-19","author":[{"dropping-particle":"","family":"Association","given":"Western Museums","non-dropping-particle":"","parse-names":false,"suffix":""}],"id":"ITEM-8","issued":{"date-parts":[["2021"]]},"page":"1-4","title":"WMA ’ s Social Media Best Practices : Help Your Brand During","type":"webpage"},"uris":["http://www.mendeley.com/documents/?uuid=c137a726-ea38-4bc5-a125-1f163dbea5e2"]},{"id":"ITEM-9","itemData":{"author":[{"dropping-particle":"","family":"Practice","given":"Creative","non-dropping-particle":"","parse-names":false,"suffix":""}],"id":"ITEM-9","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Practice","type":"report"},"uris":["http://www.mendeley.com/documents/?uuid=204b0046-f189-4fee-a2eb-5e3187725b6c"]},{"id":"ITEM-10","itemData":{"DOI":"10.1080/09647775.2020.1762361","ISSN":"0964-7775","abstract":"No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Curatorship","id":"ITEM-10","issue":"3","issued":{"date-parts":[["2020"]]},"note":"polu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COVID-19","type":"article-journal","volume":"35"},"uris":["http://www.mendeley.com/documents/?uuid=f40f9c99-dbe0-42fd-bec2-0dfeec139d75"]},{"id":"ITEM-11","itemData":{"DOI":"10.1016/j.jbusres.2020.06.015","ISSN":"01482963","PMID":"32546875","abstract":"The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Research","id":"ITEM-11","issue":"June","issued":{"date-parts":[["2020"]]},"note":"Polu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id":"ITEM-12","itemData":{"author":[{"dropping-particle":"","family":"Kahn","given":"Rebecca","non-dropping-particle":"","parse-names":false,"suffix":""}],"container-title":"Elephant in the Lab","id":"ITEM-12","issued":{"date-parts":[["2020"]]},"note":"Key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pandemic","type":"article-journal"},"uris":["http://www.mendeley.com/documents/?uuid=1e2d9064-603e-446f-b332-1e739081b59b"]},{"id":"ITEM-13","itemData":{"author":[{"dropping-particle":"","family":"Calvert","given":"Contributors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-13","issue":"May","issued":{"date-parts":[["2020"]]},"title":"Social Media during COVID-19 A Quick Guide for Canadian Museums","type":"article-journal"},"uris":["http://www.mendeley.com/documents/?uuid=d80d7ef1-656d-410a-8aad-68ab71788373"]},{"id":"ITEM-14","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Recovery","id":"ITEM-14","issued":{"date-parts":[["2020"]]},"note":"SOS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Academia.edu","type":"book"},"uris":["http://www.mendeley.com/documents/?uuid=38ef854f-ed7c-40eb-9ee5-9934347b68e0"]},{"id":"ITEM-15","itemData":{"DOI":"10.1017/CBO9781107415324.004","ISBN":"9788578110796","ISSN":"1098-6596","PMID":"25246403","abstract":"Predicting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-15","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COVID-19","type":"article-journal","volume":"9"},"uris":["http://www.mendeley.com/documents/?uuid=32c71aaa-4e10-4fe5-aa0a-99cb18a1c41d"]},{"id":"ITEM-16","itemData":{"abstract":"Culture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Organisations","given":"","non-dropping-particle":"","parse-names":false,"suffix":""}],"id":"ITEM-16","issue":"May","issued":{"date-parts":[["2020"]]},"note":"This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Recommendations","type":"article-journal"},"uris":["http://www.mendeley.com/documents/?uuid=87c3677f-bc32-4c2f-971f-bbf5d494c8df"]},{"id":"ITEM-17","itemData":{"DOI":"10.29311/mas.v18i3.3539","ISSN":"1479-8360","abstract":"In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Society","id":"ITEM-17","issue":"3","issued":{"date-parts":[["2020"]]},"note":"metrio\n\nanagki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COVID-19","type":"article-journal","volume":"18"},"uris":["http://www.mendeley.com/documents/?uuid=60646f35-8be4-4fa3-bd0f-65a067fa5e04"]}],"mendeley":{"formattedCitation":"(Agostino, Arnaboldi and Lampis, 2020; Network of European Museum Organisations, 2020a, 2020b; Ou, 2020; Practice, 2020; Sigala, 2020; World Tourism Organization (UNWTO), 2020; Bonin-Rodriguez and Vakharia, 2020; Burke, Jørgensen and Jørgensen, 2020; Calvert &lt;i&gt;et al.&lt;/i&gt;, 2020; Course and Systems, 2020; Gretzel &lt;i&gt;et al.&lt;/i&gt;, 2020; Kahn, 2020; Kist, 2020; NEMO, 2020; Association, 2021; Raimo &lt;i&gt;et al.&lt;/i&gt;, 2021)","manualFormatting":"(Agostino, Arnaboldi and Lampis, 2020; Network of European Museum Organisations, 2020a, 2020b; Ou, 2020; Practice, 2020; Sigala, 2020; World Tourism Organization (UNWTO), 2020; Bonin-Rodriguez and Vakharia, 2020; Burke, Jørgensen and Jørgensen, 2020; Calvert et al., 2020; Course and Systems, 2020; Gretzel et al., 2020; Kahn, 2020; Kist, 2020; NEMO, 2020a;2020b Association, 2021; Raimo et al., 2021)","plainTextFormattedCitation":"(Agostino, Arnaboldi and Lampis, 2020; Network of European Museum Organisations, 2020a, 2020b; Ou, 2020; Practice, 2020; Sigala, 2020; World Tourism Organization (UNWTO), 2020; Bonin-Rodriguez and Vakharia, 2020; Burke, Jørgensen and Jørgensen, 2020; Calvert et al., 2020; Course and Systems, 2020; Gretzel et al., 2020; Kahn, 2020; Kist, 2020; NEMO, 2020; Association, 2021; Raimo et al., 2021)","previouslyFormattedCitation":"(Agostino, Arnaboldi and Lampis, 2020; Network of European Museum Organisations, 2020a, 2020b; Ou, 2020; Practice, 2020; Sigala, 2020; World Tourism Organization (UNWTO), 2020; Bonin-Rodriguez and Vakharia, 2020; Burke, Jørgensen and Jørgensen, 2020; Calvert &lt;i&gt;et al.&lt;/i&gt;, 2020; Course and Systems, 2020; Gretzel &lt;i&gt;et al.&lt;/i&gt;, 2020; Kahn, 2020; Kist, 2020; NEMO, 2020; Association, 2021; 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GB"/>
        </w:rPr>
        <w:fldChar w:fldCharType="separate"/>
      </w:r>
      <w:r w:rsidRPr="00AE7B34">
        <w:rPr>
          <w:rFonts w:ascii="Times New Roman" w:hAnsi="Times New Roman" w:cs="Times New Roman"/>
          <w:noProof/>
          <w:color w:val="000000" w:themeColor="text1"/>
          <w:sz w:val="22"/>
          <w:szCs w:val="22"/>
          <w:lang w:val="en-GB"/>
        </w:rPr>
        <w:t xml:space="preserve">(Agostino, Arnaboldi and Lampis, 2020; Network of European Museum Organisations, 2020a, 2020b; Ou, 2020; Practice, 2020; Sigala, 2020; World Tourism Organization (UNWTO), 2020; Bonin-Rodriguez and Vakharia, 2020; Burke, Jørgensen and Jørgensen, 2020; Calvert </w:t>
      </w:r>
      <w:r w:rsidRPr="00AE7B34">
        <w:rPr>
          <w:rFonts w:ascii="Times New Roman" w:hAnsi="Times New Roman" w:cs="Times New Roman"/>
          <w:i/>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Course and Systems, 2020; Gretzel </w:t>
      </w:r>
      <w:r w:rsidRPr="00AE7B34">
        <w:rPr>
          <w:rFonts w:ascii="Times New Roman" w:hAnsi="Times New Roman" w:cs="Times New Roman"/>
          <w:i/>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2020; Kahn, 2020; Kist, 2020; NEMO, 2020</w:t>
      </w:r>
      <w:r w:rsidR="000D5746" w:rsidRPr="00AE7B34">
        <w:rPr>
          <w:rFonts w:ascii="Times New Roman" w:hAnsi="Times New Roman" w:cs="Times New Roman"/>
          <w:noProof/>
          <w:color w:val="000000" w:themeColor="text1"/>
          <w:sz w:val="22"/>
          <w:szCs w:val="22"/>
          <w:lang w:val="en-GB"/>
        </w:rPr>
        <w:t>a</w:t>
      </w:r>
      <w:r w:rsidRPr="00AE7B34">
        <w:rPr>
          <w:rFonts w:ascii="Times New Roman" w:hAnsi="Times New Roman" w:cs="Times New Roman"/>
          <w:noProof/>
          <w:color w:val="000000" w:themeColor="text1"/>
          <w:sz w:val="22"/>
          <w:szCs w:val="22"/>
          <w:lang w:val="en-GB"/>
        </w:rPr>
        <w:t>;</w:t>
      </w:r>
      <w:r w:rsidR="000D5746" w:rsidRPr="00AE7B34">
        <w:rPr>
          <w:rFonts w:ascii="Times New Roman" w:hAnsi="Times New Roman" w:cs="Times New Roman"/>
          <w:noProof/>
          <w:color w:val="000000" w:themeColor="text1"/>
          <w:sz w:val="22"/>
          <w:szCs w:val="22"/>
          <w:lang w:val="en-GB"/>
        </w:rPr>
        <w:t>2020b</w:t>
      </w:r>
      <w:r w:rsidRPr="00AE7B34">
        <w:rPr>
          <w:rFonts w:ascii="Times New Roman" w:hAnsi="Times New Roman" w:cs="Times New Roman"/>
          <w:noProof/>
          <w:color w:val="000000" w:themeColor="text1"/>
          <w:sz w:val="22"/>
          <w:szCs w:val="22"/>
          <w:lang w:val="en-GB"/>
        </w:rPr>
        <w:t xml:space="preserve"> Association, 2021; Raimo </w:t>
      </w:r>
      <w:r w:rsidRPr="00AE7B34">
        <w:rPr>
          <w:rFonts w:ascii="Times New Roman" w:hAnsi="Times New Roman" w:cs="Times New Roman"/>
          <w:i/>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GB"/>
        </w:rPr>
        <w:t xml:space="preserve">. All these studies confirm that digital tools served as a </w:t>
      </w:r>
      <w:r w:rsidRPr="00AE7B34">
        <w:rPr>
          <w:rFonts w:ascii="Times New Roman" w:hAnsi="Times New Roman" w:cs="Times New Roman"/>
          <w:color w:val="000000" w:themeColor="text1"/>
          <w:sz w:val="22"/>
          <w:szCs w:val="22"/>
          <w:lang w:val="en-US"/>
        </w:rPr>
        <w:t>resilience tool in order that museums keep the society alive</w:t>
      </w:r>
      <w:r w:rsidRPr="00AE7B34">
        <w:rPr>
          <w:rFonts w:ascii="Times New Roman" w:hAnsi="Times New Roman" w:cs="Times New Roman"/>
          <w:color w:val="000000" w:themeColor="text1"/>
          <w:sz w:val="22"/>
          <w:szCs w:val="22"/>
          <w:lang w:val="en-GB"/>
        </w:rPr>
        <w:t xml:space="preserve"> by moving online the discourse and the museum experience. A considerable amount of studies  presents </w:t>
      </w:r>
      <w:r w:rsidRPr="00AE7B34">
        <w:rPr>
          <w:rFonts w:ascii="Times New Roman" w:hAnsi="Times New Roman" w:cs="Times New Roman"/>
          <w:color w:val="000000" w:themeColor="text1"/>
          <w:sz w:val="22"/>
          <w:szCs w:val="22"/>
          <w:lang w:val="en-GB"/>
        </w:rPr>
        <w:fldChar w:fldCharType="begin" w:fldLock="1"/>
      </w:r>
      <w:r w:rsidR="000D5746" w:rsidRPr="00AE7B34">
        <w:rPr>
          <w:rFonts w:ascii="Times New Roman" w:hAnsi="Times New Roman" w:cs="Times New Roman"/>
          <w:color w:val="000000" w:themeColor="text1"/>
          <w:sz w:val="22"/>
          <w:szCs w:val="22"/>
          <w:lang w:val="en-GB"/>
        </w:rPr>
        <w:instrText>ADDIN CSL_CITATION {"citationItems":[{"id":"ITEM-1","itemData":{"author":[{"dropping-particle":"","family":"Calvert","given":"Contributors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-1","issue":"May","issued":{"date-parts":[["2020"]]},"title":"Social Media during COVID-19 A Quick Guide for Canadian Museums","type":"article-journal"},"uris":["http://www.mendeley.com/documents/?uuid=d80d7ef1-656d-410a-8aad-68ab71788373"]},{"id":"ITEM-2","itemData":{"DOI":"10.1080/09647775.2020.1762361","ISSN":"0964-7775","abstract":"No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Curatorship","id":"ITEM-2","issue":"3","issued":{"date-parts":[["2020"]]},"note":"polu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-3","itemData":{"URL":"https://westmuse.org/articles/wma’s-social-media-best-practices-help-your-brand-during-covid-19","author":[{"dropping-particle":"","family":"Association","given":"Western Museums","non-dropping-particle":"","parse-names":false,"suffix":""}],"id":"ITEM-3","issued":{"date-parts":[["2021"]]},"page":"1-4","title":"WMA ’ s Social Media Best Practices : Help Your Brand During","type":"webpage"},"uris":["http://www.mendeley.com/documents/?uuid=c137a726-ea38-4bc5-a125-1f163dbea5e2"]},{"id":"ITEM-4","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museumstidsskrift","id":"ITEM-4","issue":"02","issued":{"date-parts":[["2020"]]},"note":"Aim: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-5","itemData":{"author":[{"dropping-particle":"","family":"NEMO","given":"","non-dropping-particle":"","parse-names":false,"suffix":""}],"id":"ITEM-5","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-6","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Recovery","id":"ITEM-6","issued":{"date-parts":[["2020"]]},"note":"SOS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Academia.edu","type":"book"},"uris":["http://www.mendeley.com/documents/?uuid=38ef854f-ed7c-40eb-9ee5-9934347b68e0"]}],"mendeley":{"formattedCitation":"(Burke, Jørgensen and Jørgensen, 2020; Calvert &lt;i&gt;et al.&lt;/i&gt;, 2020; Course and Systems, 2020; NEMO, 2020; Ou, 2020; Association, 2021)","manualFormatting":"(Burke, Jørgensen and Jørgensen, 2020; Calvert et al., 2020; Course and Systems, 2020; NEMO, 2020a;2020b; Ou, 2020; Association, 2021)","plainTextFormattedCitation":"(Burke, Jørgensen and Jørgensen, 2020; Calvert et al., 2020; Course and Systems, 2020; NEMO, 2020; Ou, 2020; Association, 2021)","previouslyFormattedCitation":"(Burke, Jørgensen and Jørgensen, 2020; Calvert &lt;i&gt;et al.&lt;/i&gt;, 2020; Course and Systems, 2020; NEMO, 2020; Ou, 2020; Association, 2021)"},"properties":{"noteIndex":0},"schema":"https://github.com/citation-style-language/schema/raw/master/csl-citation.json"}</w:instrText>
      </w:r>
      <w:r w:rsidRPr="00AE7B34">
        <w:rPr>
          <w:rFonts w:ascii="Times New Roman" w:hAnsi="Times New Roman" w:cs="Times New Roman"/>
          <w:color w:val="000000" w:themeColor="text1"/>
          <w:sz w:val="22"/>
          <w:szCs w:val="22"/>
          <w:lang w:val="en-GB"/>
        </w:rPr>
        <w:fldChar w:fldCharType="separate"/>
      </w:r>
      <w:r w:rsidRPr="00AE7B34">
        <w:rPr>
          <w:rFonts w:ascii="Times New Roman" w:hAnsi="Times New Roman" w:cs="Times New Roman"/>
          <w:noProof/>
          <w:color w:val="000000" w:themeColor="text1"/>
          <w:sz w:val="22"/>
          <w:szCs w:val="22"/>
          <w:lang w:val="en-GB"/>
        </w:rPr>
        <w:t xml:space="preserve">(Burke, Jørgensen and Jørgensen, 2020; Calvert </w:t>
      </w:r>
      <w:r w:rsidRPr="00AE7B34">
        <w:rPr>
          <w:rFonts w:ascii="Times New Roman" w:hAnsi="Times New Roman" w:cs="Times New Roman"/>
          <w:i/>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2020; Course and Systems, 2020; NEMO, 2020</w:t>
      </w:r>
      <w:r w:rsidR="000D5746" w:rsidRPr="00AE7B34">
        <w:rPr>
          <w:rFonts w:ascii="Times New Roman" w:hAnsi="Times New Roman" w:cs="Times New Roman"/>
          <w:noProof/>
          <w:color w:val="000000" w:themeColor="text1"/>
          <w:sz w:val="22"/>
          <w:szCs w:val="22"/>
          <w:lang w:val="en-GB"/>
        </w:rPr>
        <w:t>a;2020b</w:t>
      </w:r>
      <w:r w:rsidRPr="00AE7B34">
        <w:rPr>
          <w:rFonts w:ascii="Times New Roman" w:hAnsi="Times New Roman" w:cs="Times New Roman"/>
          <w:noProof/>
          <w:color w:val="000000" w:themeColor="text1"/>
          <w:sz w:val="22"/>
          <w:szCs w:val="22"/>
          <w:lang w:val="en-GB"/>
        </w:rPr>
        <w:t>; Ou, 2020; Association,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GB"/>
        </w:rPr>
        <w:t xml:space="preserve"> th</w:t>
      </w:r>
      <w:r w:rsidR="00DB7EF4" w:rsidRPr="00AE7B34">
        <w:rPr>
          <w:rFonts w:ascii="Times New Roman" w:hAnsi="Times New Roman" w:cs="Times New Roman"/>
          <w:color w:val="000000" w:themeColor="text1"/>
          <w:sz w:val="22"/>
          <w:szCs w:val="22"/>
          <w:lang w:val="en-GB"/>
        </w:rPr>
        <w:t>at the</w:t>
      </w:r>
      <w:r w:rsidRPr="00AE7B34">
        <w:rPr>
          <w:rFonts w:ascii="Times New Roman" w:hAnsi="Times New Roman" w:cs="Times New Roman"/>
          <w:color w:val="000000" w:themeColor="text1"/>
          <w:sz w:val="22"/>
          <w:szCs w:val="22"/>
          <w:lang w:val="en-GB"/>
        </w:rPr>
        <w:t xml:space="preserve"> new digital museum experience in the time of COVID-19 is harnessed with a wide range of the digital transformation tools umbrella</w:t>
      </w:r>
      <w:r w:rsidR="00DB7EF4" w:rsidRPr="00AE7B34">
        <w:rPr>
          <w:rFonts w:ascii="Times New Roman" w:hAnsi="Times New Roman" w:cs="Times New Roman"/>
          <w:color w:val="000000" w:themeColor="text1"/>
          <w:sz w:val="22"/>
          <w:szCs w:val="22"/>
          <w:lang w:val="en-GB"/>
        </w:rPr>
        <w:t xml:space="preserve"> and digital marketing toolbox</w:t>
      </w:r>
      <w:r w:rsidRPr="00AE7B34">
        <w:rPr>
          <w:rFonts w:ascii="Times New Roman" w:hAnsi="Times New Roman" w:cs="Times New Roman"/>
          <w:color w:val="000000" w:themeColor="text1"/>
          <w:sz w:val="22"/>
          <w:szCs w:val="22"/>
          <w:lang w:val="en-GB"/>
        </w:rPr>
        <w:t xml:space="preserve">. </w:t>
      </w:r>
    </w:p>
    <w:p w14:paraId="62935F57" w14:textId="4378B111" w:rsidR="00B803E8" w:rsidRPr="00AE7B34" w:rsidRDefault="00B803E8" w:rsidP="007934C0">
      <w:pPr>
        <w:tabs>
          <w:tab w:val="left" w:pos="709"/>
        </w:tabs>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GB"/>
        </w:rPr>
        <w:t xml:space="preserve">The second stream analyses patterns and best practices of museum and festival’s reaction during the lockdown and pandemic across the world </w:t>
      </w:r>
      <w:r w:rsidRPr="00AE7B34">
        <w:rPr>
          <w:rFonts w:ascii="Times New Roman" w:hAnsi="Times New Roman" w:cs="Times New Roman"/>
          <w:color w:val="000000" w:themeColor="text1"/>
          <w:sz w:val="22"/>
          <w:szCs w:val="22"/>
          <w:lang w:val="en-GB"/>
        </w:rPr>
        <w:fldChar w:fldCharType="begin" w:fldLock="1"/>
      </w:r>
      <w:r w:rsidR="000D5746" w:rsidRPr="00AE7B34">
        <w:rPr>
          <w:rFonts w:ascii="Times New Roman" w:hAnsi="Times New Roman" w:cs="Times New Roman"/>
          <w:color w:val="000000" w:themeColor="text1"/>
          <w:sz w:val="22"/>
          <w:szCs w:val="22"/>
          <w:lang w:val="en-GB"/>
        </w:rPr>
        <w:instrText>ADDIN CSL_CITATION {"citationItems":[{"id":"ITEM-1","itemData":{"author":[{"dropping-particle":"","family":"NEMO","given":"","non-dropping-particle":"","parse-names":false,"suffix":""}],"id":"ITEM-1","issued":{"date-parts":[["2020"]]},"note":"a.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-2","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museumstidsskrift","id":"ITEM-2","issue":"02","issued":{"date-parts":[["2020"]]},"note":"Aim: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COVID-19","type":"article-journal","volume":"6"},"uris":["http://www.mendeley.com/documents/?uuid=20dc630b-634d-4065-9539-6ea2541ce1e4"]},{"id":"ITEM-3","itemData":{"DOI":"10.1007/s40558-020-00181-3","ISBN":"4055802000181","ISSN":"19434294","abstract":"This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Tourism","id":"ITEM-3","issue":"2","issued":{"date-parts":[["2020"]]},"note":"kalo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-4","itemData":{"URL":"https://westmuse.org/articles/wma’s-social-media-best-practices-help-your-brand-during-covid-19","author":[{"dropping-particle":"","family":"Association","given":"Western Museums","non-dropping-particle":"","parse-names":false,"suffix":""}],"id":"ITEM-4","issued":{"date-parts":[["2021"]]},"page":"1-4","title":"WMA ’ s Social Media Best Practices : Help Your Brand During","type":"webpage"},"uris":["http://www.mendeley.com/documents/?uuid=c137a726-ea38-4bc5-a125-1f163dbea5e2"]},{"id":"ITEM-5","itemData":{"DOI":"10.1080/09647775.2020.1762361","ISSN":"0964-7775","abstract":"No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Curatorship","id":"ITEM-5","issue":"3","issued":{"date-parts":[["2020"]]},"note":"polu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COVID-19","type":"article-journal","volume":"35"},"uris":["http://www.mendeley.com/documents/?uuid=f40f9c99-dbe0-42fd-bec2-0dfeec139d75"]},{"id":"ITEM-6","itemData":{"author":[{"dropping-particle":"","family":"Calvert","given":"Contributors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-6","issue":"May","issued":{"date-parts":[["2020"]]},"title":"Social Media during COVID-19 A Quick Guide for Canadian Museums","type":"article-journal"},"uris":["http://www.mendeley.com/documents/?uuid=d80d7ef1-656d-410a-8aad-68ab71788373"]},{"id":"ITEM-7","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Recovery","id":"ITEM-7","issued":{"date-parts":[["2020"]]},"note":"SOS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Academia.edu","type":"book"},"uris":["http://www.mendeley.com/documents/?uuid=38ef854f-ed7c-40eb-9ee5-9934347b68e0"]}],"mendeley":{"formattedCitation":"(Burke, Jørgensen and Jørgensen, 2020; Calvert &lt;i&gt;et al.&lt;/i&gt;, 2020; Course and Systems, 2020; Gretzel &lt;i&gt;et al.&lt;/i&gt;, 2020; NEMO, 2020; Ou, 2020; Association, 2021)","manualFormatting":"(Burke, Jørgensen and Jørgensen, 2020; Calvert et al., 2020; Course and Systems, 2020; Gretzel et al., 2020; NEMO, 2020a;2020b; Ou, 2020; Association, 2021)","plainTextFormattedCitation":"(Burke, Jørgensen and Jørgensen, 2020; Calvert et al., 2020; Course and Systems, 2020; Gretzel et al., 2020; NEMO, 2020; Ou, 2020; Association, 2021)","previouslyFormattedCitation":"(Burke, Jørgensen and Jørgensen, 2020; Calvert &lt;i&gt;et al.&lt;/i&gt;, 2020; Course and Systems, 2020; Gretzel &lt;i&gt;et al.&lt;/i&gt;, 2020; NEMO, 2020; Ou, 2020; Association, 2021)"},"properties":{"noteIndex":0},"schema":"https://github.com/citation-style-language/schema/raw/master/csl-citation.json"}</w:instrText>
      </w:r>
      <w:r w:rsidRPr="00AE7B34">
        <w:rPr>
          <w:rFonts w:ascii="Times New Roman" w:hAnsi="Times New Roman" w:cs="Times New Roman"/>
          <w:color w:val="000000" w:themeColor="text1"/>
          <w:sz w:val="22"/>
          <w:szCs w:val="22"/>
          <w:lang w:val="en-GB"/>
        </w:rPr>
        <w:fldChar w:fldCharType="separate"/>
      </w:r>
      <w:r w:rsidRPr="00AE7B34">
        <w:rPr>
          <w:rFonts w:ascii="Times New Roman" w:hAnsi="Times New Roman" w:cs="Times New Roman"/>
          <w:noProof/>
          <w:color w:val="000000" w:themeColor="text1"/>
          <w:sz w:val="22"/>
          <w:szCs w:val="22"/>
          <w:lang w:val="en-GB"/>
        </w:rPr>
        <w:t xml:space="preserve">(Burke, Jørgensen and Jørgensen, 2020; Calvert </w:t>
      </w:r>
      <w:r w:rsidRPr="00AE7B34">
        <w:rPr>
          <w:rFonts w:ascii="Times New Roman" w:hAnsi="Times New Roman" w:cs="Times New Roman"/>
          <w:i/>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Course and Systems, 2020; Gretzel </w:t>
      </w:r>
      <w:r w:rsidRPr="00AE7B34">
        <w:rPr>
          <w:rFonts w:ascii="Times New Roman" w:hAnsi="Times New Roman" w:cs="Times New Roman"/>
          <w:i/>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2020; NEMO, 2020</w:t>
      </w:r>
      <w:r w:rsidR="000D5746" w:rsidRPr="00AE7B34">
        <w:rPr>
          <w:rFonts w:ascii="Times New Roman" w:hAnsi="Times New Roman" w:cs="Times New Roman"/>
          <w:noProof/>
          <w:color w:val="000000" w:themeColor="text1"/>
          <w:sz w:val="22"/>
          <w:szCs w:val="22"/>
          <w:lang w:val="en-GB"/>
        </w:rPr>
        <w:t>a;2020b</w:t>
      </w:r>
      <w:r w:rsidRPr="00AE7B34">
        <w:rPr>
          <w:rFonts w:ascii="Times New Roman" w:hAnsi="Times New Roman" w:cs="Times New Roman"/>
          <w:noProof/>
          <w:color w:val="000000" w:themeColor="text1"/>
          <w:sz w:val="22"/>
          <w:szCs w:val="22"/>
          <w:lang w:val="en-GB"/>
        </w:rPr>
        <w:t>; Ou, 2020; Association, 2021)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GB"/>
        </w:rPr>
        <w:t xml:space="preserve">. This stream as a snapshot of digital museum practices during the lockdown confirms that </w:t>
      </w:r>
      <w:r w:rsidRPr="00AE7B34">
        <w:rPr>
          <w:rFonts w:ascii="Times New Roman" w:hAnsi="Times New Roman" w:cs="Times New Roman"/>
          <w:color w:val="000000" w:themeColor="text1"/>
          <w:sz w:val="22"/>
          <w:szCs w:val="22"/>
          <w:lang w:val="en-US"/>
        </w:rPr>
        <w:t>C</w:t>
      </w:r>
      <w:r w:rsidR="00DB7EF4" w:rsidRPr="00AE7B34">
        <w:rPr>
          <w:rFonts w:ascii="Times New Roman" w:hAnsi="Times New Roman" w:cs="Times New Roman"/>
          <w:color w:val="000000" w:themeColor="text1"/>
          <w:sz w:val="22"/>
          <w:szCs w:val="22"/>
          <w:lang w:val="en-US"/>
        </w:rPr>
        <w:t>OVID-19</w:t>
      </w:r>
      <w:r w:rsidRPr="00AE7B34">
        <w:rPr>
          <w:rFonts w:ascii="Times New Roman" w:hAnsi="Times New Roman" w:cs="Times New Roman"/>
          <w:color w:val="000000" w:themeColor="text1"/>
          <w:sz w:val="22"/>
          <w:szCs w:val="22"/>
          <w:lang w:val="en-US"/>
        </w:rPr>
        <w:t xml:space="preserve"> served as an accelerator of cocreation &amp; museums digital transformation</w:t>
      </w:r>
      <w:r w:rsidR="00811F4D"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w:t>
      </w:r>
      <w:r w:rsidR="00600B73" w:rsidRPr="00AE7B34">
        <w:rPr>
          <w:rFonts w:ascii="Times New Roman" w:hAnsi="Times New Roman" w:cs="Times New Roman"/>
          <w:color w:val="000000" w:themeColor="text1"/>
          <w:sz w:val="22"/>
          <w:szCs w:val="22"/>
          <w:lang w:val="en-US"/>
        </w:rPr>
        <w:t>I</w:t>
      </w:r>
      <w:r w:rsidRPr="00AE7B34">
        <w:rPr>
          <w:rFonts w:ascii="Times New Roman" w:hAnsi="Times New Roman" w:cs="Times New Roman"/>
          <w:color w:val="000000" w:themeColor="text1"/>
          <w:sz w:val="22"/>
          <w:szCs w:val="22"/>
          <w:lang w:val="en-US"/>
        </w:rPr>
        <w:t>mmersive virtual tours and virtual exhibitions, gamification, AR, VR, storytelling, social media (Instagram, Facebook, Tik Tok), digital tools (Viber, Zoom), online ticketing, 3D animation, big data, 5G, livestreaming and chatbots harness</w:t>
      </w:r>
      <w:r w:rsidR="00600B73" w:rsidRPr="00AE7B34">
        <w:rPr>
          <w:rFonts w:ascii="Times New Roman" w:hAnsi="Times New Roman" w:cs="Times New Roman"/>
          <w:color w:val="000000" w:themeColor="text1"/>
          <w:sz w:val="22"/>
          <w:szCs w:val="22"/>
          <w:lang w:val="en-US"/>
        </w:rPr>
        <w:t>ed</w:t>
      </w:r>
      <w:r w:rsidRPr="00AE7B34">
        <w:rPr>
          <w:rFonts w:ascii="Times New Roman" w:hAnsi="Times New Roman" w:cs="Times New Roman"/>
          <w:color w:val="000000" w:themeColor="text1"/>
          <w:sz w:val="22"/>
          <w:szCs w:val="22"/>
          <w:lang w:val="en-US"/>
        </w:rPr>
        <w:t xml:space="preserve"> the digital transformation at three levels of </w:t>
      </w:r>
      <w:r w:rsidR="001429CE" w:rsidRPr="00AE7B34">
        <w:rPr>
          <w:rFonts w:ascii="Times New Roman" w:hAnsi="Times New Roman" w:cs="Times New Roman"/>
          <w:color w:val="000000" w:themeColor="text1"/>
          <w:sz w:val="22"/>
          <w:szCs w:val="22"/>
          <w:lang w:val="en-US"/>
        </w:rPr>
        <w:t>areas:</w:t>
      </w:r>
      <w:r w:rsidRPr="00AE7B34">
        <w:rPr>
          <w:rFonts w:ascii="Times New Roman" w:hAnsi="Times New Roman" w:cs="Times New Roman"/>
          <w:color w:val="000000" w:themeColor="text1"/>
          <w:sz w:val="22"/>
          <w:szCs w:val="22"/>
          <w:lang w:val="en-US"/>
        </w:rPr>
        <w:t xml:space="preserve"> promotion of culture, the enjoyment on-site, and managerial and organizational activities. </w:t>
      </w:r>
      <w:r w:rsidR="00600B73" w:rsidRPr="00AE7B34">
        <w:rPr>
          <w:rFonts w:ascii="Times New Roman" w:hAnsi="Times New Roman" w:cs="Times New Roman"/>
          <w:color w:val="000000" w:themeColor="text1"/>
          <w:sz w:val="22"/>
          <w:szCs w:val="22"/>
          <w:lang w:val="en-US"/>
        </w:rPr>
        <w:t xml:space="preserve">All these tools transformed the museum experience, and reconnected with its audience at a more interactive, dynamic, continuous via the </w:t>
      </w:r>
      <w:r w:rsidR="0090554E" w:rsidRPr="00AE7B34">
        <w:rPr>
          <w:rFonts w:ascii="Times New Roman" w:hAnsi="Times New Roman" w:cs="Times New Roman"/>
          <w:color w:val="000000" w:themeColor="text1"/>
          <w:sz w:val="22"/>
          <w:szCs w:val="22"/>
          <w:lang w:val="en-US"/>
        </w:rPr>
        <w:t>digital</w:t>
      </w:r>
      <w:r w:rsidR="00600B73" w:rsidRPr="00AE7B34">
        <w:rPr>
          <w:rFonts w:ascii="Times New Roman" w:hAnsi="Times New Roman" w:cs="Times New Roman"/>
          <w:color w:val="000000" w:themeColor="text1"/>
          <w:sz w:val="22"/>
          <w:szCs w:val="22"/>
          <w:lang w:val="en-US"/>
        </w:rPr>
        <w:t xml:space="preserve"> tools. </w:t>
      </w:r>
    </w:p>
    <w:p w14:paraId="52C18DFA" w14:textId="1D716797" w:rsidR="00E55BB6" w:rsidRPr="00AE7B34" w:rsidRDefault="00E55BB6" w:rsidP="007934C0">
      <w:pPr>
        <w:tabs>
          <w:tab w:val="left" w:pos="709"/>
        </w:tabs>
        <w:ind w:firstLine="720"/>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US"/>
        </w:rPr>
        <w:t xml:space="preserve">In Greece, renowned cultural organizations, such as </w:t>
      </w:r>
      <w:proofErr w:type="spellStart"/>
      <w:r w:rsidR="001429CE" w:rsidRPr="00AE7B34">
        <w:rPr>
          <w:rFonts w:ascii="Times New Roman" w:hAnsi="Times New Roman" w:cs="Times New Roman"/>
          <w:color w:val="000000" w:themeColor="text1"/>
          <w:sz w:val="22"/>
          <w:szCs w:val="22"/>
          <w:lang w:val="en-US"/>
        </w:rPr>
        <w:t>MOMus</w:t>
      </w:r>
      <w:proofErr w:type="spellEnd"/>
      <w:r w:rsidR="001429CE" w:rsidRPr="00AE7B34">
        <w:rPr>
          <w:rFonts w:ascii="Times New Roman" w:hAnsi="Times New Roman" w:cs="Times New Roman"/>
          <w:color w:val="000000" w:themeColor="text1"/>
          <w:sz w:val="22"/>
          <w:szCs w:val="22"/>
          <w:lang w:val="en-US"/>
        </w:rPr>
        <w:t xml:space="preserve"> Thessaloniki Museum of Photography</w:t>
      </w:r>
      <w:r w:rsidRPr="00AE7B34">
        <w:rPr>
          <w:rFonts w:ascii="Times New Roman" w:hAnsi="Times New Roman" w:cs="Times New Roman"/>
          <w:color w:val="000000" w:themeColor="text1"/>
          <w:sz w:val="22"/>
          <w:szCs w:val="22"/>
          <w:lang w:val="en-US"/>
        </w:rPr>
        <w:t xml:space="preserve"> and the </w:t>
      </w:r>
      <w:r w:rsidRPr="00AE7B34">
        <w:rPr>
          <w:rFonts w:ascii="Times New Roman" w:hAnsi="Times New Roman" w:cs="Times New Roman"/>
          <w:color w:val="000000" w:themeColor="text1"/>
          <w:sz w:val="22"/>
          <w:szCs w:val="22"/>
          <w:lang w:val="en-GB"/>
        </w:rPr>
        <w:t>Thessaloniki International Film Festival moved fully online. Digital cultural heritage again offered enjoyment, creativity, a virtual window to escape, to experience and to share its content online via livestreaming and social media</w:t>
      </w:r>
      <w:r w:rsidR="00B803E8" w:rsidRPr="00AE7B34">
        <w:rPr>
          <w:rFonts w:ascii="Times New Roman" w:hAnsi="Times New Roman" w:cs="Times New Roman"/>
          <w:color w:val="000000" w:themeColor="text1"/>
          <w:sz w:val="22"/>
          <w:szCs w:val="22"/>
          <w:lang w:val="en-GB"/>
        </w:rPr>
        <w:t>. Thus, not only did Greek museums become resilient, but they also expand</w:t>
      </w:r>
      <w:r w:rsidR="00DB7EF4" w:rsidRPr="00AE7B34">
        <w:rPr>
          <w:rFonts w:ascii="Times New Roman" w:hAnsi="Times New Roman" w:cs="Times New Roman"/>
          <w:color w:val="000000" w:themeColor="text1"/>
          <w:sz w:val="22"/>
          <w:szCs w:val="22"/>
          <w:lang w:val="en-GB"/>
        </w:rPr>
        <w:t>ed</w:t>
      </w:r>
      <w:r w:rsidR="00B803E8" w:rsidRPr="00AE7B34">
        <w:rPr>
          <w:rFonts w:ascii="Times New Roman" w:hAnsi="Times New Roman" w:cs="Times New Roman"/>
          <w:color w:val="000000" w:themeColor="text1"/>
          <w:sz w:val="22"/>
          <w:szCs w:val="22"/>
          <w:lang w:val="en-GB"/>
        </w:rPr>
        <w:t xml:space="preserve"> their brand awareness, enhanced their brand engagement. Additionally, cultural industries also bolstered their identity as source of science </w:t>
      </w:r>
      <w:r w:rsidR="00B803E8" w:rsidRPr="00AE7B34">
        <w:rPr>
          <w:rFonts w:ascii="Times New Roman" w:hAnsi="Times New Roman" w:cs="Times New Roman"/>
          <w:color w:val="000000" w:themeColor="text1"/>
          <w:sz w:val="22"/>
          <w:szCs w:val="22"/>
          <w:lang w:val="en-GB"/>
        </w:rPr>
        <w:lastRenderedPageBreak/>
        <w:t xml:space="preserve">communications and knowledge repositories </w:t>
      </w:r>
      <w:r w:rsidR="00B803E8" w:rsidRPr="00AE7B34">
        <w:rPr>
          <w:rFonts w:ascii="Times New Roman" w:hAnsi="Times New Roman" w:cs="Times New Roman"/>
          <w:color w:val="000000" w:themeColor="text1"/>
          <w:sz w:val="22"/>
          <w:szCs w:val="22"/>
          <w:lang w:val="en-GB"/>
        </w:rPr>
        <w:fldChar w:fldCharType="begin" w:fldLock="1"/>
      </w:r>
      <w:r w:rsidR="00B803E8" w:rsidRPr="00AE7B34">
        <w:rPr>
          <w:rFonts w:ascii="Times New Roman" w:hAnsi="Times New Roman" w:cs="Times New Roman"/>
          <w:color w:val="000000" w:themeColor="text1"/>
          <w:sz w:val="22"/>
          <w:szCs w:val="22"/>
          <w:lang w:val="en-GB"/>
        </w:rPr>
        <w:instrText>ADDIN CSL_CITATION {"citationItems":[{"id":"ITEM-1","itemData":{"author":[{"dropping-particle":"","family":"Kahn","given":"Rebecca","non-dropping-particle":"","parse-names":false,"suffix":""}],"container-title":"Elephant in the Lab","id":"ITEM-1","issued":{"date-parts":[["2020"]]},"note":"Key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pandemic","type":"article-journal"},"uris":["http://www.mendeley.com/documents/?uuid=1e2d9064-603e-446f-b332-1e739081b59b"]}],"mendeley":{"formattedCitation":"(Kahn, 2020)","plainTextFormattedCitation":"(Kahn, 2020)","previouslyFormattedCitation":"(Kahn,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GB"/>
        </w:rPr>
        <w:fldChar w:fldCharType="separate"/>
      </w:r>
      <w:r w:rsidR="00B803E8" w:rsidRPr="00AE7B34">
        <w:rPr>
          <w:rFonts w:ascii="Times New Roman" w:hAnsi="Times New Roman" w:cs="Times New Roman"/>
          <w:noProof/>
          <w:color w:val="000000" w:themeColor="text1"/>
          <w:sz w:val="22"/>
          <w:szCs w:val="22"/>
          <w:lang w:val="en-GB"/>
        </w:rPr>
        <w:t>(Kahn,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GB"/>
        </w:rPr>
        <w:t xml:space="preserve"> via edutainment, aligned with previous studies </w:t>
      </w:r>
      <w:r w:rsidR="00B803E8" w:rsidRPr="00AE7B34">
        <w:rPr>
          <w:rFonts w:ascii="Times New Roman" w:hAnsi="Times New Roman" w:cs="Times New Roman"/>
          <w:color w:val="000000" w:themeColor="text1"/>
          <w:sz w:val="22"/>
          <w:szCs w:val="22"/>
          <w:lang w:val="en-GB"/>
        </w:rPr>
        <w:fldChar w:fldCharType="begin" w:fldLock="1"/>
      </w:r>
      <w:r w:rsidR="00B803E8" w:rsidRPr="00AE7B34">
        <w:rPr>
          <w:rFonts w:ascii="Times New Roman" w:hAnsi="Times New Roman" w:cs="Times New Roman"/>
          <w:color w:val="000000" w:themeColor="text1"/>
          <w:sz w:val="22"/>
          <w:szCs w:val="22"/>
          <w:lang w:val="en-GB"/>
        </w:rPr>
        <w:instrText>ADDIN CSL_CITATION {"citationItems":[{"id":"ITEM-1","itemData":{"author":[{"dropping-particle":"","family":"Belenioti","given":"Zoe- Charis","non-dropping-particle":"","parse-names":false,"suffix":""}],"id":"ITEM-1","issued":{"date-parts":[["2020"]]},"publisher":"Aristotle University of Thessaloniki","title":"THE CONTRIBUTION OF E-MARKETING TO THE BRANDING OF NONPROFIT ORGANIZATIONS ( NPOs ): THE CASE OF GREEK MUSEUMS ZOI ( ZOE ) - CHARIS BELENIOTI","type":"thesis"},"uris":["http://www.mendeley.com/documents/?uuid=c6c5f623-b320-4c41-9b08-d70ff82fb824"]},{"id":"ITEM-2","itemData":{"abstract":"Museums are increasingly using social media to include newer active experiences and entertainment. Not only does this digital shift provide a cost-effective, targeted and direct communication with the audience, but it also expands the museum experience beyond the borders of time and place. Although social media has triggered the attention of scholars, no previous study has classified the main ways in which social media affect museums. Drawing on a review of 54 papers this paper both categorizes and presents four major effects. The first effect relates to the opportunities of social media to museum experience and communication. The second effect is the social media enhancement to museums’ learning process. The third effect analyses patterns of social media use in museums. The fourth effect involves both the problems and the barriers attendant to social media integration in museums. This study contributes by presenting new theoretical insights, research topics and managerial implications","author":[{"dropping-particle":"","family":"Vassiliadis","given":"Chris","non-dropping-particle":"","parse-names":false,"suffix":""},{"dropping-particle":"","family":"Belenioti","given":"Zoe Charis","non-dropping-particle":"","parse-names":false,"suffix":""}],"container-title":"Tourismos: An international multidisciplinary Journal for Tourism, Special Issue 2017","id":"ITEM-2","issue":"3","issued":{"date-parts":[["2017"]]},"page":"97-132","title":"MUSEUMS &amp; CULTURAL HERITAGE VIA SOCIAL MEDIA: AN INTEGRATED LITERATURE REVIEW","type":"article-journal","volume":"12"},"uris":["http://www.mendeley.com/documents/?uuid=e36e2c9d-671a-442e-85e1-7fda206619b7"]}],"mendeley":{"formattedCitation":"(Vassiliadis and Belenioti, 2017; Belenioti, 2020)","plainTextFormattedCitation":"(Vassiliadis and Belenioti, 2017; Belenioti, 2020)","previouslyFormattedCitation":"(Vassiliadis and Belenioti, 2017; Belenioti,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GB"/>
        </w:rPr>
        <w:fldChar w:fldCharType="separate"/>
      </w:r>
      <w:r w:rsidR="00B803E8" w:rsidRPr="00AE7B34">
        <w:rPr>
          <w:rFonts w:ascii="Times New Roman" w:hAnsi="Times New Roman" w:cs="Times New Roman"/>
          <w:noProof/>
          <w:color w:val="000000" w:themeColor="text1"/>
          <w:sz w:val="22"/>
          <w:szCs w:val="22"/>
          <w:lang w:val="en-GB"/>
        </w:rPr>
        <w:t>(Vassiliadis and Belenioti, 2017; Belenioti, 2020)</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GB"/>
        </w:rPr>
        <w:t xml:space="preserve">. </w:t>
      </w:r>
    </w:p>
    <w:p w14:paraId="62C33B2A" w14:textId="4A66D7E5" w:rsidR="00CC695B" w:rsidRPr="00AE7B34" w:rsidRDefault="0090554E" w:rsidP="00CC695B">
      <w:pPr>
        <w:ind w:firstLine="709"/>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Particularly, Thessaloniki</w:t>
      </w:r>
      <w:r w:rsidR="00E55BB6" w:rsidRPr="00AE7B34">
        <w:rPr>
          <w:rFonts w:ascii="Times New Roman" w:hAnsi="Times New Roman" w:cs="Times New Roman"/>
          <w:color w:val="000000" w:themeColor="text1"/>
          <w:sz w:val="22"/>
          <w:szCs w:val="22"/>
          <w:lang w:val="en-GB"/>
        </w:rPr>
        <w:t xml:space="preserve"> International Film Festival (TIFF) consistent to its moto “Cinema No matter What</w:t>
      </w:r>
      <w:r w:rsidR="00DB7EF4" w:rsidRPr="00AE7B34">
        <w:rPr>
          <w:rFonts w:ascii="Times New Roman" w:hAnsi="Times New Roman" w:cs="Times New Roman"/>
          <w:color w:val="000000" w:themeColor="text1"/>
          <w:sz w:val="22"/>
          <w:szCs w:val="22"/>
          <w:lang w:val="en-GB"/>
        </w:rPr>
        <w:t>, Festival in Every Way</w:t>
      </w:r>
      <w:r w:rsidR="00E55BB6" w:rsidRPr="00AE7B34">
        <w:rPr>
          <w:rFonts w:ascii="Times New Roman" w:hAnsi="Times New Roman" w:cs="Times New Roman"/>
          <w:color w:val="000000" w:themeColor="text1"/>
          <w:sz w:val="22"/>
          <w:szCs w:val="22"/>
          <w:lang w:val="en-GB"/>
        </w:rPr>
        <w:t xml:space="preserve">” and to its tech- savvy mindset, moved online delivering a </w:t>
      </w:r>
      <w:r w:rsidR="007934C0" w:rsidRPr="00AE7B34">
        <w:rPr>
          <w:rFonts w:ascii="Times New Roman" w:hAnsi="Times New Roman" w:cs="Times New Roman"/>
          <w:color w:val="000000" w:themeColor="text1"/>
          <w:sz w:val="22"/>
          <w:szCs w:val="22"/>
          <w:lang w:val="en-GB"/>
        </w:rPr>
        <w:t>memorable cultural</w:t>
      </w:r>
      <w:r w:rsidR="00E55BB6" w:rsidRPr="00AE7B34">
        <w:rPr>
          <w:rFonts w:ascii="Times New Roman" w:hAnsi="Times New Roman" w:cs="Times New Roman"/>
          <w:color w:val="000000" w:themeColor="text1"/>
          <w:sz w:val="22"/>
          <w:szCs w:val="22"/>
          <w:lang w:val="en-GB"/>
        </w:rPr>
        <w:t xml:space="preserve"> experience</w:t>
      </w:r>
      <w:r w:rsidR="007D156F" w:rsidRPr="00AE7B34">
        <w:rPr>
          <w:rFonts w:ascii="Times New Roman" w:hAnsi="Times New Roman" w:cs="Times New Roman"/>
          <w:color w:val="000000" w:themeColor="text1"/>
          <w:sz w:val="22"/>
          <w:szCs w:val="22"/>
          <w:lang w:val="en-GB"/>
        </w:rPr>
        <w:t xml:space="preserve"> </w:t>
      </w:r>
      <w:r w:rsidR="00DB7EF4" w:rsidRPr="00AE7B34">
        <w:rPr>
          <w:rFonts w:ascii="Times New Roman" w:hAnsi="Times New Roman" w:cs="Times New Roman"/>
          <w:color w:val="000000" w:themeColor="text1"/>
          <w:sz w:val="22"/>
          <w:szCs w:val="22"/>
          <w:lang w:val="en-GB"/>
        </w:rPr>
        <w:t>at</w:t>
      </w:r>
      <w:r w:rsidR="007D156F" w:rsidRPr="00AE7B34">
        <w:rPr>
          <w:rFonts w:ascii="Times New Roman" w:hAnsi="Times New Roman" w:cs="Times New Roman"/>
          <w:color w:val="000000" w:themeColor="text1"/>
          <w:sz w:val="22"/>
          <w:szCs w:val="22"/>
          <w:lang w:val="en-GB"/>
        </w:rPr>
        <w:t xml:space="preserve"> </w:t>
      </w:r>
      <w:r w:rsidR="00DB7EF4" w:rsidRPr="00AE7B34">
        <w:rPr>
          <w:rFonts w:ascii="Times New Roman" w:hAnsi="Times New Roman" w:cs="Times New Roman"/>
          <w:color w:val="000000" w:themeColor="text1"/>
          <w:sz w:val="22"/>
          <w:szCs w:val="22"/>
          <w:lang w:val="en-GB"/>
        </w:rPr>
        <w:t xml:space="preserve">both </w:t>
      </w:r>
      <w:r w:rsidR="007D156F" w:rsidRPr="00AE7B34">
        <w:rPr>
          <w:rFonts w:ascii="Times New Roman" w:hAnsi="Times New Roman" w:cs="Times New Roman"/>
          <w:color w:val="000000" w:themeColor="text1"/>
          <w:sz w:val="22"/>
          <w:szCs w:val="22"/>
          <w:lang w:val="en-GB"/>
        </w:rPr>
        <w:t xml:space="preserve">TIFF61, </w:t>
      </w:r>
      <w:r w:rsidR="00DB7EF4" w:rsidRPr="00AE7B34">
        <w:rPr>
          <w:rFonts w:ascii="Times New Roman" w:hAnsi="Times New Roman" w:cs="Times New Roman"/>
          <w:color w:val="000000" w:themeColor="text1"/>
          <w:sz w:val="22"/>
          <w:szCs w:val="22"/>
          <w:lang w:val="en-GB"/>
        </w:rPr>
        <w:t>and Thessaloniki Documentary Festival (</w:t>
      </w:r>
      <w:r w:rsidR="007D156F" w:rsidRPr="00AE7B34">
        <w:rPr>
          <w:rFonts w:ascii="Times New Roman" w:hAnsi="Times New Roman" w:cs="Times New Roman"/>
          <w:color w:val="000000" w:themeColor="text1"/>
          <w:sz w:val="22"/>
          <w:szCs w:val="22"/>
          <w:lang w:val="en-GB"/>
        </w:rPr>
        <w:t>TDF22 and TDF23</w:t>
      </w:r>
      <w:r w:rsidR="00DB7EF4" w:rsidRPr="00AE7B34">
        <w:rPr>
          <w:rFonts w:ascii="Times New Roman" w:hAnsi="Times New Roman" w:cs="Times New Roman"/>
          <w:color w:val="000000" w:themeColor="text1"/>
          <w:sz w:val="22"/>
          <w:szCs w:val="22"/>
          <w:lang w:val="en-GB"/>
        </w:rPr>
        <w:t>)</w:t>
      </w:r>
      <w:r w:rsidR="007D156F" w:rsidRPr="00AE7B34">
        <w:rPr>
          <w:rFonts w:ascii="Times New Roman" w:hAnsi="Times New Roman" w:cs="Times New Roman"/>
          <w:color w:val="000000" w:themeColor="text1"/>
          <w:sz w:val="22"/>
          <w:szCs w:val="22"/>
          <w:lang w:val="en-GB"/>
        </w:rPr>
        <w:t xml:space="preserve"> productions</w:t>
      </w:r>
      <w:r w:rsidR="00E55BB6" w:rsidRPr="00AE7B34">
        <w:rPr>
          <w:rFonts w:ascii="Times New Roman" w:hAnsi="Times New Roman" w:cs="Times New Roman"/>
          <w:color w:val="000000" w:themeColor="text1"/>
          <w:sz w:val="22"/>
          <w:szCs w:val="22"/>
          <w:lang w:val="en-GB"/>
        </w:rPr>
        <w:t xml:space="preserve">. </w:t>
      </w:r>
      <w:r w:rsidR="00B803E8" w:rsidRPr="00AE7B34">
        <w:rPr>
          <w:rFonts w:ascii="Times New Roman" w:hAnsi="Times New Roman" w:cs="Times New Roman"/>
          <w:color w:val="000000" w:themeColor="text1"/>
          <w:sz w:val="22"/>
          <w:szCs w:val="22"/>
          <w:lang w:val="en-GB"/>
        </w:rPr>
        <w:t xml:space="preserve">Not only did TIFF create content across the world by sharing and by co-creating the magic of art, </w:t>
      </w:r>
      <w:r w:rsidRPr="00AE7B34">
        <w:rPr>
          <w:rFonts w:ascii="Times New Roman" w:hAnsi="Times New Roman" w:cs="Times New Roman"/>
          <w:color w:val="000000" w:themeColor="text1"/>
          <w:sz w:val="22"/>
          <w:szCs w:val="22"/>
          <w:lang w:val="en-GB"/>
        </w:rPr>
        <w:t>cinema,</w:t>
      </w:r>
      <w:r w:rsidR="00B803E8" w:rsidRPr="00AE7B34">
        <w:rPr>
          <w:rFonts w:ascii="Times New Roman" w:hAnsi="Times New Roman" w:cs="Times New Roman"/>
          <w:color w:val="000000" w:themeColor="text1"/>
          <w:sz w:val="22"/>
          <w:szCs w:val="22"/>
          <w:lang w:val="en-GB"/>
        </w:rPr>
        <w:t xml:space="preserve"> and photography, but it also harnessed the state-of-the-art technology by creating AR, VR events, responsive website, by providing screenings and apps accessible to the digitally diverse audience (older or disabled people).</w:t>
      </w:r>
      <w:r w:rsidR="00E55BB6" w:rsidRPr="00AE7B34">
        <w:rPr>
          <w:rFonts w:ascii="Times New Roman" w:hAnsi="Times New Roman" w:cs="Times New Roman"/>
          <w:color w:val="000000" w:themeColor="text1"/>
          <w:sz w:val="22"/>
          <w:szCs w:val="22"/>
          <w:lang w:val="en-GB"/>
        </w:rPr>
        <w:t xml:space="preserve"> The following table presents </w:t>
      </w:r>
      <w:r w:rsidR="001429CE" w:rsidRPr="00AE7B34">
        <w:rPr>
          <w:rFonts w:ascii="Times New Roman" w:hAnsi="Times New Roman" w:cs="Times New Roman"/>
          <w:color w:val="000000" w:themeColor="text1"/>
          <w:sz w:val="22"/>
          <w:szCs w:val="22"/>
          <w:lang w:val="en-GB"/>
        </w:rPr>
        <w:t>the resilience</w:t>
      </w:r>
      <w:r w:rsidR="00B5562F" w:rsidRPr="00AE7B34">
        <w:rPr>
          <w:rFonts w:ascii="Times New Roman" w:hAnsi="Times New Roman" w:cs="Times New Roman"/>
          <w:color w:val="000000" w:themeColor="text1"/>
          <w:sz w:val="22"/>
          <w:szCs w:val="22"/>
          <w:lang w:val="en-GB"/>
        </w:rPr>
        <w:t xml:space="preserve"> toolbox of TIFF amid COVID-19. </w:t>
      </w:r>
    </w:p>
    <w:p w14:paraId="48F2C760" w14:textId="77777777" w:rsidR="005F21CE" w:rsidRPr="00AE7B34" w:rsidRDefault="005F21CE" w:rsidP="001429CE">
      <w:pPr>
        <w:contextualSpacing/>
        <w:jc w:val="both"/>
        <w:rPr>
          <w:rFonts w:ascii="Times New Roman" w:hAnsi="Times New Roman" w:cs="Times New Roman"/>
          <w:i/>
          <w:iCs/>
          <w:color w:val="000000" w:themeColor="text1"/>
          <w:sz w:val="22"/>
          <w:szCs w:val="22"/>
          <w:lang w:val="en-GB"/>
        </w:rPr>
      </w:pPr>
    </w:p>
    <w:p w14:paraId="40FBAA9C" w14:textId="7C162EA9" w:rsidR="001429CE" w:rsidRPr="00AE7B34" w:rsidRDefault="001429CE" w:rsidP="00CC695B">
      <w:pPr>
        <w:pStyle w:val="Caption"/>
        <w:rPr>
          <w:rFonts w:ascii="Times New Roman" w:hAnsi="Times New Roman" w:cs="Times New Roman"/>
          <w:color w:val="000000" w:themeColor="text1"/>
          <w:sz w:val="22"/>
          <w:szCs w:val="22"/>
          <w:lang w:val="en-US"/>
        </w:rPr>
      </w:pPr>
      <w:r w:rsidRPr="00AE7B34">
        <w:rPr>
          <w:color w:val="000000" w:themeColor="text1"/>
          <w:lang w:val="en-US"/>
        </w:rPr>
        <w:t xml:space="preserve">Table </w:t>
      </w:r>
      <w:r w:rsidRPr="00AE7B34">
        <w:rPr>
          <w:color w:val="000000" w:themeColor="text1"/>
        </w:rPr>
        <w:fldChar w:fldCharType="begin"/>
      </w:r>
      <w:r w:rsidRPr="00AE7B34">
        <w:rPr>
          <w:color w:val="000000" w:themeColor="text1"/>
          <w:lang w:val="en-US"/>
        </w:rPr>
        <w:instrText xml:space="preserve"> SEQ Table \* ARABIC </w:instrText>
      </w:r>
      <w:r w:rsidRPr="00AE7B34">
        <w:rPr>
          <w:color w:val="000000" w:themeColor="text1"/>
        </w:rPr>
        <w:fldChar w:fldCharType="separate"/>
      </w:r>
      <w:r w:rsidRPr="00AE7B34">
        <w:rPr>
          <w:noProof/>
          <w:color w:val="000000" w:themeColor="text1"/>
          <w:lang w:val="en-US"/>
        </w:rPr>
        <w:t>1</w:t>
      </w:r>
      <w:r w:rsidRPr="00AE7B34">
        <w:rPr>
          <w:color w:val="000000" w:themeColor="text1"/>
        </w:rPr>
        <w:fldChar w:fldCharType="end"/>
      </w:r>
      <w:r w:rsidRPr="00AE7B34">
        <w:rPr>
          <w:color w:val="000000" w:themeColor="text1"/>
          <w:lang w:val="en-US"/>
        </w:rPr>
        <w:t xml:space="preserve">: </w:t>
      </w:r>
      <w:r w:rsidR="00D10A3D" w:rsidRPr="00AE7B34">
        <w:rPr>
          <w:color w:val="000000" w:themeColor="text1"/>
          <w:lang w:val="en-US"/>
        </w:rPr>
        <w:t>Digital Transformation – COVID19 Resilience Toolbox enabled at TIFF61, TDF</w:t>
      </w:r>
      <w:r w:rsidR="00CC695B" w:rsidRPr="00AE7B34">
        <w:rPr>
          <w:color w:val="000000" w:themeColor="text1"/>
          <w:lang w:val="en-US"/>
        </w:rPr>
        <w:t>22, TDF</w:t>
      </w:r>
      <w:r w:rsidR="00D10A3D" w:rsidRPr="00AE7B34">
        <w:rPr>
          <w:color w:val="000000" w:themeColor="text1"/>
          <w:lang w:val="en-US"/>
        </w:rPr>
        <w:t>23</w:t>
      </w:r>
    </w:p>
    <w:tbl>
      <w:tblPr>
        <w:tblStyle w:val="TableGrid"/>
        <w:tblW w:w="0" w:type="auto"/>
        <w:jc w:val="center"/>
        <w:tblLook w:val="04A0" w:firstRow="1" w:lastRow="0" w:firstColumn="1" w:lastColumn="0" w:noHBand="0" w:noVBand="1"/>
      </w:tblPr>
      <w:tblGrid>
        <w:gridCol w:w="7356"/>
      </w:tblGrid>
      <w:tr w:rsidR="00AE7B34" w:rsidRPr="00AE7B34" w14:paraId="5537B16C" w14:textId="77777777" w:rsidTr="001429CE">
        <w:trPr>
          <w:trHeight w:val="262"/>
          <w:jc w:val="center"/>
        </w:trPr>
        <w:tc>
          <w:tcPr>
            <w:tcW w:w="7356" w:type="dxa"/>
          </w:tcPr>
          <w:p w14:paraId="79BCA5F5" w14:textId="269EF3CD" w:rsidR="001429CE" w:rsidRPr="00AE7B34" w:rsidRDefault="001429CE" w:rsidP="00E66757">
            <w:pPr>
              <w:contextualSpacing/>
              <w:jc w:val="both"/>
              <w:rPr>
                <w:rFonts w:ascii="Times New Roman" w:hAnsi="Times New Roman" w:cs="Times New Roman"/>
                <w:b/>
                <w:bCs/>
                <w:color w:val="000000" w:themeColor="text1"/>
                <w:sz w:val="22"/>
                <w:szCs w:val="22"/>
                <w:lang w:val="en-GB"/>
              </w:rPr>
            </w:pPr>
            <w:r w:rsidRPr="00AE7B34">
              <w:rPr>
                <w:rFonts w:ascii="Times New Roman" w:hAnsi="Times New Roman" w:cs="Times New Roman"/>
                <w:color w:val="000000" w:themeColor="text1"/>
                <w:sz w:val="22"/>
                <w:szCs w:val="22"/>
                <w:lang w:val="en-GB"/>
              </w:rPr>
              <w:t xml:space="preserve"> </w:t>
            </w:r>
            <w:r w:rsidR="006A5D6D" w:rsidRPr="00AE7B34">
              <w:rPr>
                <w:rFonts w:ascii="Times New Roman" w:hAnsi="Times New Roman" w:cs="Times New Roman"/>
                <w:b/>
                <w:bCs/>
                <w:color w:val="000000" w:themeColor="text1"/>
                <w:sz w:val="22"/>
                <w:szCs w:val="22"/>
                <w:lang w:val="en-GB"/>
              </w:rPr>
              <w:t>Digital Transformation – COVID19 Resilience Toolbox enabled at TIFF61, TDF</w:t>
            </w:r>
            <w:r w:rsidR="00DB7EF4" w:rsidRPr="00AE7B34">
              <w:rPr>
                <w:rFonts w:ascii="Times New Roman" w:hAnsi="Times New Roman" w:cs="Times New Roman"/>
                <w:b/>
                <w:bCs/>
                <w:color w:val="000000" w:themeColor="text1"/>
                <w:sz w:val="22"/>
                <w:szCs w:val="22"/>
                <w:lang w:val="en-GB"/>
              </w:rPr>
              <w:t>22, TDF</w:t>
            </w:r>
            <w:r w:rsidR="006A5D6D" w:rsidRPr="00AE7B34">
              <w:rPr>
                <w:rFonts w:ascii="Times New Roman" w:hAnsi="Times New Roman" w:cs="Times New Roman"/>
                <w:b/>
                <w:bCs/>
                <w:color w:val="000000" w:themeColor="text1"/>
                <w:sz w:val="22"/>
                <w:szCs w:val="22"/>
                <w:lang w:val="en-GB"/>
              </w:rPr>
              <w:t>23</w:t>
            </w:r>
            <w:r w:rsidR="00DB7EF4" w:rsidRPr="00AE7B34">
              <w:rPr>
                <w:rFonts w:ascii="Times New Roman" w:hAnsi="Times New Roman" w:cs="Times New Roman"/>
                <w:b/>
                <w:bCs/>
                <w:color w:val="000000" w:themeColor="text1"/>
                <w:sz w:val="22"/>
                <w:szCs w:val="22"/>
                <w:lang w:val="en-GB"/>
              </w:rPr>
              <w:t xml:space="preserve"> productions </w:t>
            </w:r>
          </w:p>
        </w:tc>
      </w:tr>
      <w:tr w:rsidR="00AE7B34" w:rsidRPr="00AE7B34" w14:paraId="5A1C5FC7" w14:textId="77777777" w:rsidTr="001429CE">
        <w:trPr>
          <w:trHeight w:val="245"/>
          <w:jc w:val="center"/>
        </w:trPr>
        <w:tc>
          <w:tcPr>
            <w:tcW w:w="7356" w:type="dxa"/>
          </w:tcPr>
          <w:p w14:paraId="549E5B2B"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AR</w:t>
            </w:r>
          </w:p>
        </w:tc>
      </w:tr>
      <w:tr w:rsidR="00AE7B34" w:rsidRPr="00AE7B34" w14:paraId="66720FC2" w14:textId="77777777" w:rsidTr="001429CE">
        <w:trPr>
          <w:trHeight w:val="262"/>
          <w:jc w:val="center"/>
        </w:trPr>
        <w:tc>
          <w:tcPr>
            <w:tcW w:w="7356" w:type="dxa"/>
          </w:tcPr>
          <w:p w14:paraId="0D93495C"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VR events</w:t>
            </w:r>
          </w:p>
        </w:tc>
      </w:tr>
      <w:tr w:rsidR="00AE7B34" w:rsidRPr="00AE7B34" w14:paraId="0A3B5E3C" w14:textId="77777777" w:rsidTr="001429CE">
        <w:trPr>
          <w:trHeight w:val="245"/>
          <w:jc w:val="center"/>
        </w:trPr>
        <w:tc>
          <w:tcPr>
            <w:tcW w:w="7356" w:type="dxa"/>
          </w:tcPr>
          <w:p w14:paraId="40D36E4D"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Responsive website</w:t>
            </w:r>
          </w:p>
        </w:tc>
      </w:tr>
      <w:tr w:rsidR="00AE7B34" w:rsidRPr="00AE7B34" w14:paraId="2C2708BD" w14:textId="77777777" w:rsidTr="001429CE">
        <w:trPr>
          <w:trHeight w:val="262"/>
          <w:jc w:val="center"/>
        </w:trPr>
        <w:tc>
          <w:tcPr>
            <w:tcW w:w="7356" w:type="dxa"/>
          </w:tcPr>
          <w:p w14:paraId="229AEA9B"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 xml:space="preserve">Online screenings </w:t>
            </w:r>
          </w:p>
        </w:tc>
      </w:tr>
      <w:tr w:rsidR="00AE7B34" w:rsidRPr="00AE7B34" w14:paraId="04FCF449" w14:textId="77777777" w:rsidTr="001429CE">
        <w:trPr>
          <w:trHeight w:val="262"/>
          <w:jc w:val="center"/>
        </w:trPr>
        <w:tc>
          <w:tcPr>
            <w:tcW w:w="7356" w:type="dxa"/>
          </w:tcPr>
          <w:p w14:paraId="7086F8A0" w14:textId="77777777" w:rsidR="001429CE" w:rsidRPr="00AE7B34" w:rsidRDefault="001429CE" w:rsidP="00E66757">
            <w:pPr>
              <w:contextualSpacing/>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GB"/>
              </w:rPr>
              <w:t>Content accessible to the digitally diverse audience (older or disabled people)</w:t>
            </w:r>
          </w:p>
        </w:tc>
      </w:tr>
      <w:tr w:rsidR="00AE7B34" w:rsidRPr="00AE7B34" w14:paraId="2B75D66A" w14:textId="77777777" w:rsidTr="001429CE">
        <w:trPr>
          <w:trHeight w:val="245"/>
          <w:jc w:val="center"/>
        </w:trPr>
        <w:tc>
          <w:tcPr>
            <w:tcW w:w="7356" w:type="dxa"/>
          </w:tcPr>
          <w:p w14:paraId="77344632"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Livestreaming</w:t>
            </w:r>
          </w:p>
        </w:tc>
      </w:tr>
      <w:tr w:rsidR="00AE7B34" w:rsidRPr="00AE7B34" w14:paraId="7E7D1674" w14:textId="77777777" w:rsidTr="001429CE">
        <w:trPr>
          <w:trHeight w:val="262"/>
          <w:jc w:val="center"/>
        </w:trPr>
        <w:tc>
          <w:tcPr>
            <w:tcW w:w="7356" w:type="dxa"/>
          </w:tcPr>
          <w:p w14:paraId="62AF69DC"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Online ticketing</w:t>
            </w:r>
          </w:p>
        </w:tc>
      </w:tr>
      <w:tr w:rsidR="00AE7B34" w:rsidRPr="00AE7B34" w14:paraId="08F63ACF" w14:textId="77777777" w:rsidTr="001429CE">
        <w:trPr>
          <w:trHeight w:val="262"/>
          <w:jc w:val="center"/>
        </w:trPr>
        <w:tc>
          <w:tcPr>
            <w:tcW w:w="7356" w:type="dxa"/>
          </w:tcPr>
          <w:p w14:paraId="1FD351CF"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Chatbots</w:t>
            </w:r>
          </w:p>
        </w:tc>
      </w:tr>
      <w:tr w:rsidR="00AE7B34" w:rsidRPr="00AE7B34" w14:paraId="0F8C7FE0" w14:textId="77777777" w:rsidTr="001429CE">
        <w:trPr>
          <w:trHeight w:val="245"/>
          <w:jc w:val="center"/>
        </w:trPr>
        <w:tc>
          <w:tcPr>
            <w:tcW w:w="7356" w:type="dxa"/>
          </w:tcPr>
          <w:p w14:paraId="693ACB0C"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 xml:space="preserve">Social media </w:t>
            </w:r>
          </w:p>
        </w:tc>
      </w:tr>
      <w:tr w:rsidR="00AE7B34" w:rsidRPr="00AE7B34" w14:paraId="0BBEE9FF" w14:textId="77777777" w:rsidTr="001429CE">
        <w:trPr>
          <w:trHeight w:val="262"/>
          <w:jc w:val="center"/>
        </w:trPr>
        <w:tc>
          <w:tcPr>
            <w:tcW w:w="7356" w:type="dxa"/>
          </w:tcPr>
          <w:p w14:paraId="1C127929" w14:textId="77777777" w:rsidR="001429CE" w:rsidRPr="00AE7B34" w:rsidRDefault="001429CE" w:rsidP="00E66757">
            <w:pPr>
              <w:contextualSpacing/>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GB"/>
              </w:rPr>
              <w:t xml:space="preserve">Virtual exhibitions / online talks &amp; masterclass &amp; online AGORA meetings </w:t>
            </w:r>
          </w:p>
        </w:tc>
      </w:tr>
      <w:tr w:rsidR="00AE7B34" w:rsidRPr="00AE7B34" w14:paraId="0E35F1B3" w14:textId="77777777" w:rsidTr="001429CE">
        <w:trPr>
          <w:trHeight w:val="245"/>
          <w:jc w:val="center"/>
        </w:trPr>
        <w:tc>
          <w:tcPr>
            <w:tcW w:w="7356" w:type="dxa"/>
          </w:tcPr>
          <w:p w14:paraId="362395C8" w14:textId="77777777" w:rsidR="001429CE" w:rsidRPr="00AE7B34" w:rsidRDefault="001429CE" w:rsidP="00E66757">
            <w:pPr>
              <w:contextualSpacing/>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GB"/>
              </w:rPr>
              <w:t xml:space="preserve">Gamification in the case of TDF23 </w:t>
            </w:r>
          </w:p>
        </w:tc>
      </w:tr>
      <w:tr w:rsidR="00AE7B34" w:rsidRPr="00AE7B34" w14:paraId="231C9137" w14:textId="77777777" w:rsidTr="001429CE">
        <w:trPr>
          <w:trHeight w:val="262"/>
          <w:jc w:val="center"/>
        </w:trPr>
        <w:tc>
          <w:tcPr>
            <w:tcW w:w="7356" w:type="dxa"/>
          </w:tcPr>
          <w:p w14:paraId="468623EA" w14:textId="77777777" w:rsidR="001429CE" w:rsidRPr="00AE7B34" w:rsidRDefault="001429CE" w:rsidP="00E66757">
            <w:pPr>
              <w:contextualSpacing/>
              <w:jc w:val="both"/>
              <w:rPr>
                <w:rFonts w:ascii="Times New Roman" w:hAnsi="Times New Roman" w:cs="Times New Roman"/>
                <w:color w:val="000000" w:themeColor="text1"/>
                <w:sz w:val="22"/>
                <w:szCs w:val="22"/>
              </w:rPr>
            </w:pPr>
            <w:r w:rsidRPr="00AE7B34">
              <w:rPr>
                <w:rFonts w:ascii="Times New Roman" w:hAnsi="Times New Roman" w:cs="Times New Roman"/>
                <w:color w:val="000000" w:themeColor="text1"/>
                <w:sz w:val="22"/>
                <w:szCs w:val="22"/>
                <w:lang w:val="en-GB"/>
              </w:rPr>
              <w:t xml:space="preserve">Storytelling in social media </w:t>
            </w:r>
          </w:p>
        </w:tc>
      </w:tr>
      <w:tr w:rsidR="001429CE" w:rsidRPr="00AE7B34" w14:paraId="67A40186" w14:textId="77777777" w:rsidTr="001429CE">
        <w:trPr>
          <w:trHeight w:val="245"/>
          <w:jc w:val="center"/>
        </w:trPr>
        <w:tc>
          <w:tcPr>
            <w:tcW w:w="7356" w:type="dxa"/>
          </w:tcPr>
          <w:p w14:paraId="19FBB038" w14:textId="77777777" w:rsidR="001429CE" w:rsidRPr="00AE7B34" w:rsidRDefault="001429CE" w:rsidP="00E66757">
            <w:pPr>
              <w:contextualSpacing/>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Apps</w:t>
            </w:r>
          </w:p>
        </w:tc>
      </w:tr>
    </w:tbl>
    <w:p w14:paraId="6F01D0DC" w14:textId="4B021218" w:rsidR="001429CE" w:rsidRPr="00AE7B34" w:rsidRDefault="001429CE" w:rsidP="00D10A3D">
      <w:pPr>
        <w:jc w:val="both"/>
        <w:rPr>
          <w:rFonts w:ascii="Times New Roman" w:hAnsi="Times New Roman" w:cs="Times New Roman"/>
          <w:color w:val="000000" w:themeColor="text1"/>
          <w:sz w:val="22"/>
          <w:szCs w:val="22"/>
          <w:lang w:val="en-GB"/>
        </w:rPr>
      </w:pPr>
    </w:p>
    <w:p w14:paraId="7BE42891" w14:textId="7AF534A3" w:rsidR="001429CE" w:rsidRPr="00AE7B34" w:rsidRDefault="001429CE" w:rsidP="001429CE">
      <w:pPr>
        <w:jc w:val="both"/>
        <w:rPr>
          <w:rFonts w:ascii="Times New Roman" w:hAnsi="Times New Roman" w:cs="Times New Roman"/>
          <w:color w:val="000000" w:themeColor="text1"/>
          <w:sz w:val="22"/>
          <w:szCs w:val="22"/>
          <w:lang w:val="en-GB"/>
        </w:rPr>
      </w:pPr>
    </w:p>
    <w:p w14:paraId="5C6C56C8" w14:textId="60A3387F" w:rsidR="00D10A3D" w:rsidRPr="00AE7B34" w:rsidRDefault="001429CE" w:rsidP="00D10A3D">
      <w:pPr>
        <w:keepNext/>
        <w:ind w:firstLine="360"/>
        <w:jc w:val="both"/>
        <w:rPr>
          <w:color w:val="000000" w:themeColor="text1"/>
        </w:rPr>
      </w:pPr>
      <w:r w:rsidRPr="00AE7B34">
        <w:rPr>
          <w:rFonts w:ascii="Times New Roman" w:hAnsi="Times New Roman" w:cs="Times New Roman"/>
          <w:noProof/>
          <w:color w:val="000000" w:themeColor="text1"/>
          <w:sz w:val="22"/>
          <w:szCs w:val="22"/>
          <w:lang w:val="en-GB"/>
        </w:rPr>
        <w:drawing>
          <wp:inline distT="0" distB="0" distL="0" distR="0" wp14:anchorId="15BA78D6" wp14:editId="1B8B423B">
            <wp:extent cx="3949002" cy="2957966"/>
            <wp:effectExtent l="0" t="0" r="1270"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98" r="2773"/>
                    <a:stretch/>
                  </pic:blipFill>
                  <pic:spPr bwMode="auto">
                    <a:xfrm>
                      <a:off x="0" y="0"/>
                      <a:ext cx="3959201" cy="2965606"/>
                    </a:xfrm>
                    <a:prstGeom prst="rect">
                      <a:avLst/>
                    </a:prstGeom>
                    <a:ln>
                      <a:noFill/>
                    </a:ln>
                    <a:extLst>
                      <a:ext uri="{53640926-AAD7-44D8-BBD7-CCE9431645EC}">
                        <a14:shadowObscured xmlns:a14="http://schemas.microsoft.com/office/drawing/2010/main"/>
                      </a:ext>
                    </a:extLst>
                  </pic:spPr>
                </pic:pic>
              </a:graphicData>
            </a:graphic>
          </wp:inline>
        </w:drawing>
      </w:r>
    </w:p>
    <w:p w14:paraId="2BF15C0F" w14:textId="6CC4CED3" w:rsidR="001429CE" w:rsidRPr="00AE7B34" w:rsidRDefault="00D10A3D" w:rsidP="00D10A3D">
      <w:pPr>
        <w:pStyle w:val="Caption"/>
        <w:jc w:val="both"/>
        <w:rPr>
          <w:rFonts w:ascii="Times New Roman" w:hAnsi="Times New Roman" w:cs="Times New Roman"/>
          <w:color w:val="000000" w:themeColor="text1"/>
          <w:sz w:val="22"/>
          <w:szCs w:val="22"/>
          <w:lang w:val="en-US"/>
        </w:rPr>
      </w:pPr>
      <w:r w:rsidRPr="00AE7B34">
        <w:rPr>
          <w:color w:val="000000" w:themeColor="text1"/>
          <w:lang w:val="en-US"/>
        </w:rPr>
        <w:t xml:space="preserve">Image  </w:t>
      </w:r>
      <w:r w:rsidRPr="00AE7B34">
        <w:rPr>
          <w:color w:val="000000" w:themeColor="text1"/>
        </w:rPr>
        <w:fldChar w:fldCharType="begin"/>
      </w:r>
      <w:r w:rsidRPr="00AE7B34">
        <w:rPr>
          <w:color w:val="000000" w:themeColor="text1"/>
          <w:lang w:val="en-US"/>
        </w:rPr>
        <w:instrText xml:space="preserve"> SEQ Image_ \* ARABIC </w:instrText>
      </w:r>
      <w:r w:rsidRPr="00AE7B34">
        <w:rPr>
          <w:color w:val="000000" w:themeColor="text1"/>
        </w:rPr>
        <w:fldChar w:fldCharType="separate"/>
      </w:r>
      <w:r w:rsidRPr="00AE7B34">
        <w:rPr>
          <w:noProof/>
          <w:color w:val="000000" w:themeColor="text1"/>
          <w:lang w:val="en-US"/>
        </w:rPr>
        <w:t>1</w:t>
      </w:r>
      <w:r w:rsidRPr="00AE7B34">
        <w:rPr>
          <w:color w:val="000000" w:themeColor="text1"/>
        </w:rPr>
        <w:fldChar w:fldCharType="end"/>
      </w:r>
      <w:r w:rsidRPr="00AE7B34">
        <w:rPr>
          <w:color w:val="000000" w:themeColor="text1"/>
          <w:lang w:val="en-US"/>
        </w:rPr>
        <w:t>: Snapshot o</w:t>
      </w:r>
      <w:r w:rsidR="00DB7EF4" w:rsidRPr="00AE7B34">
        <w:rPr>
          <w:color w:val="000000" w:themeColor="text1"/>
          <w:lang w:val="en-US"/>
        </w:rPr>
        <w:t>f</w:t>
      </w:r>
      <w:r w:rsidRPr="00AE7B34">
        <w:rPr>
          <w:color w:val="000000" w:themeColor="text1"/>
          <w:lang w:val="en-US"/>
        </w:rPr>
        <w:t xml:space="preserve"> Digital Transformation </w:t>
      </w:r>
      <w:r w:rsidR="00DB7EF4" w:rsidRPr="00AE7B34">
        <w:rPr>
          <w:color w:val="000000" w:themeColor="text1"/>
          <w:lang w:val="en-US"/>
        </w:rPr>
        <w:t>/</w:t>
      </w:r>
      <w:r w:rsidRPr="00AE7B34">
        <w:rPr>
          <w:color w:val="000000" w:themeColor="text1"/>
          <w:lang w:val="en-US"/>
        </w:rPr>
        <w:t xml:space="preserve"> COVID19 Resilience Toolbox enabled at TIFF61, TDF</w:t>
      </w:r>
      <w:proofErr w:type="gramStart"/>
      <w:r w:rsidRPr="00AE7B34">
        <w:rPr>
          <w:color w:val="000000" w:themeColor="text1"/>
          <w:lang w:val="en-US"/>
        </w:rPr>
        <w:t>22,TDF</w:t>
      </w:r>
      <w:proofErr w:type="gramEnd"/>
      <w:r w:rsidRPr="00AE7B34">
        <w:rPr>
          <w:color w:val="000000" w:themeColor="text1"/>
          <w:lang w:val="en-US"/>
        </w:rPr>
        <w:t>23</w:t>
      </w:r>
    </w:p>
    <w:p w14:paraId="0050153C" w14:textId="1B4B5160" w:rsidR="001429CE" w:rsidRPr="00AE7B34" w:rsidRDefault="001429CE" w:rsidP="001429CE">
      <w:pPr>
        <w:ind w:firstLine="360"/>
        <w:jc w:val="both"/>
        <w:rPr>
          <w:rFonts w:ascii="Times New Roman" w:hAnsi="Times New Roman" w:cs="Times New Roman"/>
          <w:color w:val="000000" w:themeColor="text1"/>
          <w:sz w:val="22"/>
          <w:szCs w:val="22"/>
          <w:lang w:val="en-GB"/>
        </w:rPr>
      </w:pPr>
    </w:p>
    <w:p w14:paraId="337D9AA8" w14:textId="5F7BFCD1" w:rsidR="006A5D6D" w:rsidRPr="00AE7B34" w:rsidRDefault="006A5D6D">
      <w:pPr>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br w:type="page"/>
      </w:r>
    </w:p>
    <w:p w14:paraId="2D6D1974" w14:textId="3F8AB45F" w:rsidR="001429CE" w:rsidRPr="00AE7B34" w:rsidRDefault="001429CE" w:rsidP="00E55BB6">
      <w:pPr>
        <w:ind w:firstLine="360"/>
        <w:jc w:val="both"/>
        <w:rPr>
          <w:rFonts w:ascii="Times New Roman" w:hAnsi="Times New Roman" w:cs="Times New Roman"/>
          <w:color w:val="000000" w:themeColor="text1"/>
          <w:sz w:val="22"/>
          <w:szCs w:val="22"/>
          <w:lang w:val="en-GB"/>
        </w:rPr>
      </w:pPr>
    </w:p>
    <w:p w14:paraId="05C0C19C" w14:textId="64706DD0" w:rsidR="00D10A3D" w:rsidRPr="00AE7B34" w:rsidRDefault="001429CE" w:rsidP="00D10A3D">
      <w:pPr>
        <w:keepNext/>
        <w:ind w:firstLine="360"/>
        <w:jc w:val="both"/>
        <w:rPr>
          <w:color w:val="000000" w:themeColor="text1"/>
        </w:rPr>
      </w:pPr>
      <w:r w:rsidRPr="00AE7B34">
        <w:rPr>
          <w:noProof/>
          <w:color w:val="000000" w:themeColor="text1"/>
        </w:rPr>
        <w:drawing>
          <wp:inline distT="0" distB="0" distL="0" distR="0" wp14:anchorId="48B569EC" wp14:editId="2886429B">
            <wp:extent cx="3312948" cy="1959429"/>
            <wp:effectExtent l="0" t="0" r="190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19738" cy="1963445"/>
                    </a:xfrm>
                    <a:prstGeom prst="rect">
                      <a:avLst/>
                    </a:prstGeom>
                  </pic:spPr>
                </pic:pic>
              </a:graphicData>
            </a:graphic>
          </wp:inline>
        </w:drawing>
      </w:r>
    </w:p>
    <w:p w14:paraId="0B06C376" w14:textId="2D360579" w:rsidR="001429CE" w:rsidRPr="00AE7B34" w:rsidRDefault="00D10A3D" w:rsidP="00D10A3D">
      <w:pPr>
        <w:pStyle w:val="Caption"/>
        <w:jc w:val="both"/>
        <w:rPr>
          <w:rFonts w:ascii="Times New Roman" w:hAnsi="Times New Roman" w:cs="Times New Roman"/>
          <w:color w:val="000000" w:themeColor="text1"/>
          <w:sz w:val="22"/>
          <w:szCs w:val="22"/>
          <w:lang w:val="en-US"/>
        </w:rPr>
      </w:pPr>
      <w:r w:rsidRPr="00AE7B34">
        <w:rPr>
          <w:color w:val="000000" w:themeColor="text1"/>
          <w:lang w:val="en-US"/>
        </w:rPr>
        <w:t xml:space="preserve">Image  </w:t>
      </w:r>
      <w:r w:rsidRPr="00AE7B34">
        <w:rPr>
          <w:color w:val="000000" w:themeColor="text1"/>
        </w:rPr>
        <w:fldChar w:fldCharType="begin"/>
      </w:r>
      <w:r w:rsidRPr="00AE7B34">
        <w:rPr>
          <w:color w:val="000000" w:themeColor="text1"/>
          <w:lang w:val="en-US"/>
        </w:rPr>
        <w:instrText xml:space="preserve"> SEQ Image_ \* ARABIC </w:instrText>
      </w:r>
      <w:r w:rsidRPr="00AE7B34">
        <w:rPr>
          <w:color w:val="000000" w:themeColor="text1"/>
        </w:rPr>
        <w:fldChar w:fldCharType="separate"/>
      </w:r>
      <w:r w:rsidRPr="00AE7B34">
        <w:rPr>
          <w:noProof/>
          <w:color w:val="000000" w:themeColor="text1"/>
          <w:lang w:val="en-US"/>
        </w:rPr>
        <w:t>2</w:t>
      </w:r>
      <w:r w:rsidRPr="00AE7B34">
        <w:rPr>
          <w:color w:val="000000" w:themeColor="text1"/>
        </w:rPr>
        <w:fldChar w:fldCharType="end"/>
      </w:r>
      <w:r w:rsidRPr="00AE7B34">
        <w:rPr>
          <w:color w:val="000000" w:themeColor="text1"/>
          <w:lang w:val="en-US"/>
        </w:rPr>
        <w:t xml:space="preserve">: </w:t>
      </w:r>
      <w:r w:rsidR="00F82917" w:rsidRPr="00AE7B34">
        <w:rPr>
          <w:color w:val="000000" w:themeColor="text1"/>
          <w:lang w:val="en-US"/>
        </w:rPr>
        <w:t xml:space="preserve">TIFF Alternative Press Conference held on YouTube </w:t>
      </w:r>
    </w:p>
    <w:p w14:paraId="01A2A9AF" w14:textId="1501EC29" w:rsidR="00E55BB6" w:rsidRPr="00AE7B34" w:rsidRDefault="007934C0" w:rsidP="007934C0">
      <w:pPr>
        <w:tabs>
          <w:tab w:val="left" w:pos="709"/>
        </w:tabs>
        <w:ind w:firstLine="360"/>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ab/>
      </w:r>
      <w:r w:rsidR="00E55BB6" w:rsidRPr="00AE7B34">
        <w:rPr>
          <w:rFonts w:ascii="Times New Roman" w:hAnsi="Times New Roman" w:cs="Times New Roman"/>
          <w:color w:val="000000" w:themeColor="text1"/>
          <w:sz w:val="22"/>
          <w:szCs w:val="22"/>
          <w:lang w:val="en-GB"/>
        </w:rPr>
        <w:t xml:space="preserve">In the same vein, </w:t>
      </w:r>
      <w:proofErr w:type="spellStart"/>
      <w:r w:rsidR="001429CE" w:rsidRPr="00AE7B34">
        <w:rPr>
          <w:rFonts w:ascii="Times New Roman" w:hAnsi="Times New Roman" w:cs="Times New Roman"/>
          <w:color w:val="000000" w:themeColor="text1"/>
          <w:sz w:val="22"/>
          <w:szCs w:val="22"/>
          <w:lang w:val="en-GB"/>
        </w:rPr>
        <w:t>MOMus</w:t>
      </w:r>
      <w:proofErr w:type="spellEnd"/>
      <w:r w:rsidR="001429CE" w:rsidRPr="00AE7B34">
        <w:rPr>
          <w:rFonts w:ascii="Times New Roman" w:hAnsi="Times New Roman" w:cs="Times New Roman"/>
          <w:color w:val="000000" w:themeColor="text1"/>
          <w:sz w:val="22"/>
          <w:szCs w:val="22"/>
          <w:lang w:val="en-GB"/>
        </w:rPr>
        <w:t xml:space="preserve"> Thessaloniki Museum of Photography</w:t>
      </w:r>
      <w:r w:rsidR="00DB7EF4" w:rsidRPr="00AE7B34">
        <w:rPr>
          <w:rFonts w:ascii="Times New Roman" w:hAnsi="Times New Roman" w:cs="Times New Roman"/>
          <w:color w:val="000000" w:themeColor="text1"/>
          <w:sz w:val="22"/>
          <w:szCs w:val="22"/>
          <w:lang w:val="en-GB"/>
        </w:rPr>
        <w:t xml:space="preserve"> </w:t>
      </w:r>
      <w:r w:rsidR="00E55BB6" w:rsidRPr="00AE7B34">
        <w:rPr>
          <w:rFonts w:ascii="Times New Roman" w:hAnsi="Times New Roman" w:cs="Times New Roman"/>
          <w:color w:val="000000" w:themeColor="text1"/>
          <w:sz w:val="22"/>
          <w:szCs w:val="22"/>
          <w:lang w:val="en-GB"/>
        </w:rPr>
        <w:t>boosting society’s Resilience &amp; enabling the notion of co – creation, launched its exhibitions in its online program "</w:t>
      </w:r>
      <w:proofErr w:type="spellStart"/>
      <w:r w:rsidR="001429CE" w:rsidRPr="00AE7B34">
        <w:rPr>
          <w:rFonts w:ascii="Times New Roman" w:hAnsi="Times New Roman" w:cs="Times New Roman"/>
          <w:color w:val="000000" w:themeColor="text1"/>
          <w:sz w:val="22"/>
          <w:szCs w:val="22"/>
          <w:lang w:val="en-GB"/>
        </w:rPr>
        <w:t>MOMus</w:t>
      </w:r>
      <w:proofErr w:type="spellEnd"/>
      <w:r w:rsidR="001429CE" w:rsidRPr="00AE7B34">
        <w:rPr>
          <w:rFonts w:ascii="Times New Roman" w:hAnsi="Times New Roman" w:cs="Times New Roman"/>
          <w:color w:val="000000" w:themeColor="text1"/>
          <w:sz w:val="22"/>
          <w:szCs w:val="22"/>
          <w:lang w:val="en-GB"/>
        </w:rPr>
        <w:t xml:space="preserve"> Thessaloniki Museum of Photography</w:t>
      </w:r>
      <w:r w:rsidR="00E55BB6" w:rsidRPr="00AE7B34">
        <w:rPr>
          <w:rFonts w:ascii="Times New Roman" w:hAnsi="Times New Roman" w:cs="Times New Roman"/>
          <w:color w:val="000000" w:themeColor="text1"/>
          <w:sz w:val="22"/>
          <w:szCs w:val="22"/>
          <w:lang w:val="en-GB"/>
        </w:rPr>
        <w:t xml:space="preserve"> Resilience Project".</w:t>
      </w:r>
      <w:r w:rsidR="001429CE" w:rsidRPr="00AE7B34">
        <w:rPr>
          <w:rFonts w:ascii="Times New Roman" w:hAnsi="Times New Roman" w:cs="Times New Roman"/>
          <w:color w:val="000000" w:themeColor="text1"/>
          <w:sz w:val="22"/>
          <w:szCs w:val="22"/>
          <w:lang w:val="en-GB"/>
        </w:rPr>
        <w:t xml:space="preserve"> </w:t>
      </w:r>
      <w:r w:rsidR="00DB7EF4" w:rsidRPr="00AE7B34">
        <w:rPr>
          <w:rFonts w:ascii="Times New Roman" w:hAnsi="Times New Roman" w:cs="Times New Roman"/>
          <w:color w:val="000000" w:themeColor="text1"/>
          <w:sz w:val="22"/>
          <w:szCs w:val="22"/>
          <w:lang w:val="en-GB"/>
        </w:rPr>
        <w:t>The milestone of this online program was t</w:t>
      </w:r>
      <w:r w:rsidR="00E55BB6" w:rsidRPr="00AE7B34">
        <w:rPr>
          <w:rFonts w:ascii="Times New Roman" w:hAnsi="Times New Roman" w:cs="Times New Roman"/>
          <w:color w:val="000000" w:themeColor="text1"/>
          <w:sz w:val="22"/>
          <w:szCs w:val="22"/>
          <w:lang w:val="en-GB"/>
        </w:rPr>
        <w:t>he exhibition</w:t>
      </w:r>
      <w:r w:rsidR="00B5562F" w:rsidRPr="00AE7B34">
        <w:rPr>
          <w:rFonts w:ascii="Times New Roman" w:hAnsi="Times New Roman" w:cs="Times New Roman"/>
          <w:color w:val="000000" w:themeColor="text1"/>
          <w:sz w:val="22"/>
          <w:szCs w:val="22"/>
          <w:lang w:val="en-GB"/>
        </w:rPr>
        <w:t xml:space="preserve"> “</w:t>
      </w:r>
      <w:proofErr w:type="spellStart"/>
      <w:r w:rsidR="00E55BB6" w:rsidRPr="00AE7B34">
        <w:rPr>
          <w:rFonts w:ascii="Times New Roman" w:hAnsi="Times New Roman" w:cs="Times New Roman"/>
          <w:color w:val="000000" w:themeColor="text1"/>
          <w:sz w:val="22"/>
          <w:szCs w:val="22"/>
          <w:lang w:val="en-GB"/>
        </w:rPr>
        <w:t>Anthropause</w:t>
      </w:r>
      <w:proofErr w:type="spellEnd"/>
      <w:r w:rsidR="00B5562F" w:rsidRPr="00AE7B34">
        <w:rPr>
          <w:rFonts w:ascii="Times New Roman" w:hAnsi="Times New Roman" w:cs="Times New Roman"/>
          <w:color w:val="000000" w:themeColor="text1"/>
          <w:sz w:val="22"/>
          <w:szCs w:val="22"/>
          <w:lang w:val="en-GB"/>
        </w:rPr>
        <w:t>”</w:t>
      </w:r>
      <w:r w:rsidR="00DB7EF4" w:rsidRPr="00AE7B34">
        <w:rPr>
          <w:rFonts w:ascii="Times New Roman" w:hAnsi="Times New Roman" w:cs="Times New Roman"/>
          <w:color w:val="000000" w:themeColor="text1"/>
          <w:sz w:val="22"/>
          <w:szCs w:val="22"/>
          <w:lang w:val="en-GB"/>
        </w:rPr>
        <w:t>. “</w:t>
      </w:r>
      <w:proofErr w:type="spellStart"/>
      <w:r w:rsidR="00DB7EF4" w:rsidRPr="00AE7B34">
        <w:rPr>
          <w:rFonts w:ascii="Times New Roman" w:hAnsi="Times New Roman" w:cs="Times New Roman"/>
          <w:color w:val="000000" w:themeColor="text1"/>
          <w:sz w:val="22"/>
          <w:szCs w:val="22"/>
          <w:lang w:val="en-GB"/>
        </w:rPr>
        <w:t>Anthropause</w:t>
      </w:r>
      <w:proofErr w:type="spellEnd"/>
      <w:r w:rsidR="00DB7EF4" w:rsidRPr="00AE7B34">
        <w:rPr>
          <w:rFonts w:ascii="Times New Roman" w:hAnsi="Times New Roman" w:cs="Times New Roman"/>
          <w:color w:val="000000" w:themeColor="text1"/>
          <w:sz w:val="22"/>
          <w:szCs w:val="22"/>
          <w:lang w:val="en-GB"/>
        </w:rPr>
        <w:t xml:space="preserve">” </w:t>
      </w:r>
      <w:r w:rsidR="00B5562F" w:rsidRPr="00AE7B34">
        <w:rPr>
          <w:rFonts w:ascii="Times New Roman" w:hAnsi="Times New Roman" w:cs="Times New Roman"/>
          <w:color w:val="000000" w:themeColor="text1"/>
          <w:sz w:val="22"/>
          <w:szCs w:val="22"/>
          <w:lang w:val="en-GB"/>
        </w:rPr>
        <w:t xml:space="preserve">is </w:t>
      </w:r>
      <w:r w:rsidR="00E55BB6" w:rsidRPr="00AE7B34">
        <w:rPr>
          <w:rFonts w:ascii="Times New Roman" w:hAnsi="Times New Roman" w:cs="Times New Roman"/>
          <w:color w:val="000000" w:themeColor="text1"/>
          <w:sz w:val="22"/>
          <w:szCs w:val="22"/>
          <w:lang w:val="en-GB"/>
        </w:rPr>
        <w:t xml:space="preserve">an inclusive exhibition created by artists, photojournalists, amateurs, citizens, museum visitors from various parts of Greece sought to articulate artistically and spiritually the invisible aspects within the condition of confinement. </w:t>
      </w:r>
      <w:r w:rsidR="00B5562F" w:rsidRPr="00AE7B34">
        <w:rPr>
          <w:rFonts w:ascii="Times New Roman" w:hAnsi="Times New Roman" w:cs="Times New Roman"/>
          <w:color w:val="000000" w:themeColor="text1"/>
          <w:sz w:val="22"/>
          <w:szCs w:val="22"/>
          <w:lang w:val="en-GB"/>
        </w:rPr>
        <w:t xml:space="preserve">The medley </w:t>
      </w:r>
      <w:r w:rsidR="00E55BB6" w:rsidRPr="00AE7B34">
        <w:rPr>
          <w:rFonts w:ascii="Times New Roman" w:hAnsi="Times New Roman" w:cs="Times New Roman"/>
          <w:color w:val="000000" w:themeColor="text1"/>
          <w:sz w:val="22"/>
          <w:szCs w:val="22"/>
          <w:lang w:val="en-GB"/>
        </w:rPr>
        <w:t>of images was also uploaded to the digital platform (</w:t>
      </w:r>
      <w:hyperlink r:id="rId13" w:history="1">
        <w:r w:rsidR="00E55BB6" w:rsidRPr="00AE7B34">
          <w:rPr>
            <w:rStyle w:val="Hyperlink"/>
            <w:rFonts w:ascii="Times New Roman" w:hAnsi="Times New Roman" w:cs="Times New Roman"/>
            <w:color w:val="000000" w:themeColor="text1"/>
            <w:sz w:val="22"/>
            <w:szCs w:val="22"/>
            <w:lang w:val="en-GB"/>
          </w:rPr>
          <w:t>http://res.</w:t>
        </w:r>
        <w:r w:rsidR="001429CE" w:rsidRPr="00AE7B34">
          <w:rPr>
            <w:rStyle w:val="Hyperlink"/>
            <w:rFonts w:ascii="Times New Roman" w:hAnsi="Times New Roman" w:cs="Times New Roman"/>
            <w:color w:val="000000" w:themeColor="text1"/>
            <w:sz w:val="22"/>
            <w:szCs w:val="22"/>
            <w:lang w:val="en-GB"/>
          </w:rPr>
          <w:t>MOMus Thessaloniki Museum of Photography</w:t>
        </w:r>
        <w:r w:rsidR="00E55BB6" w:rsidRPr="00AE7B34">
          <w:rPr>
            <w:rStyle w:val="Hyperlink"/>
            <w:rFonts w:ascii="Times New Roman" w:hAnsi="Times New Roman" w:cs="Times New Roman"/>
            <w:color w:val="000000" w:themeColor="text1"/>
            <w:sz w:val="22"/>
            <w:szCs w:val="22"/>
            <w:lang w:val="en-GB"/>
          </w:rPr>
          <w:t>.gr</w:t>
        </w:r>
      </w:hyperlink>
      <w:r w:rsidR="00E55BB6" w:rsidRPr="00AE7B34">
        <w:rPr>
          <w:rFonts w:ascii="Times New Roman" w:hAnsi="Times New Roman" w:cs="Times New Roman"/>
          <w:color w:val="000000" w:themeColor="text1"/>
          <w:sz w:val="22"/>
          <w:szCs w:val="22"/>
          <w:lang w:val="en-GB"/>
        </w:rPr>
        <w:t>) acting as an open access archive for this unique condition of coronavirus denoting that even we are so far and so close, at the same together we stand.</w:t>
      </w:r>
    </w:p>
    <w:p w14:paraId="51D9E355" w14:textId="7C95CBF7" w:rsidR="001429CE" w:rsidRPr="00AE7B34" w:rsidRDefault="001429CE" w:rsidP="00F82917">
      <w:pPr>
        <w:jc w:val="both"/>
        <w:rPr>
          <w:rFonts w:ascii="Times New Roman" w:hAnsi="Times New Roman" w:cs="Times New Roman"/>
          <w:color w:val="000000" w:themeColor="text1"/>
          <w:sz w:val="22"/>
          <w:szCs w:val="22"/>
          <w:lang w:val="en-GB"/>
        </w:rPr>
      </w:pPr>
    </w:p>
    <w:p w14:paraId="0624B5E2" w14:textId="4338C871" w:rsidR="00D10A3D" w:rsidRPr="00AE7B34" w:rsidRDefault="001429CE" w:rsidP="00D10A3D">
      <w:pPr>
        <w:keepNext/>
        <w:ind w:firstLine="360"/>
        <w:jc w:val="both"/>
        <w:rPr>
          <w:color w:val="000000" w:themeColor="text1"/>
        </w:rPr>
      </w:pPr>
      <w:r w:rsidRPr="00AE7B34">
        <w:rPr>
          <w:rFonts w:ascii="Times New Roman" w:hAnsi="Times New Roman" w:cs="Times New Roman"/>
          <w:noProof/>
          <w:color w:val="000000" w:themeColor="text1"/>
          <w:sz w:val="22"/>
          <w:szCs w:val="22"/>
        </w:rPr>
        <w:drawing>
          <wp:inline distT="0" distB="0" distL="0" distR="0" wp14:anchorId="7A48C1FF" wp14:editId="2C7D08BF">
            <wp:extent cx="3508033" cy="1929283"/>
            <wp:effectExtent l="0" t="0" r="0" b="1270"/>
            <wp:docPr id="6" name="Εικόνα 5" descr="Εικόνα που περιέχει κείμενο, διαφορετικός, στιγμιότυπο οθόνης&#10;&#10;Περιγραφή που δημιουργήθηκε αυτόματα">
              <a:extLst xmlns:a="http://schemas.openxmlformats.org/drawingml/2006/main">
                <a:ext uri="{FF2B5EF4-FFF2-40B4-BE49-F238E27FC236}">
                  <a16:creationId xmlns:a16="http://schemas.microsoft.com/office/drawing/2014/main" id="{35840F8A-4515-8F4D-9CFE-1235425829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descr="Εικόνα που περιέχει κείμενο, διαφορετικός, στιγμιότυπο οθόνης&#10;&#10;Περιγραφή που δημιουργήθηκε αυτόματα">
                      <a:extLst>
                        <a:ext uri="{FF2B5EF4-FFF2-40B4-BE49-F238E27FC236}">
                          <a16:creationId xmlns:a16="http://schemas.microsoft.com/office/drawing/2014/main" id="{35840F8A-4515-8F4D-9CFE-12354258293C}"/>
                        </a:ext>
                      </a:extLst>
                    </pic:cNvPr>
                    <pic:cNvPicPr>
                      <a:picLocks noChangeAspect="1"/>
                    </pic:cNvPicPr>
                  </pic:nvPicPr>
                  <pic:blipFill rotWithShape="1">
                    <a:blip r:embed="rId14"/>
                    <a:srcRect l="3566" r="1880" b="-2"/>
                    <a:stretch/>
                  </pic:blipFill>
                  <pic:spPr>
                    <a:xfrm>
                      <a:off x="0" y="0"/>
                      <a:ext cx="3515519" cy="1933400"/>
                    </a:xfrm>
                    <a:prstGeom prst="rect">
                      <a:avLst/>
                    </a:prstGeom>
                    <a:noFill/>
                  </pic:spPr>
                </pic:pic>
              </a:graphicData>
            </a:graphic>
          </wp:inline>
        </w:drawing>
      </w:r>
    </w:p>
    <w:p w14:paraId="44956575" w14:textId="26213CC9" w:rsidR="001429CE" w:rsidRPr="00AE7B34" w:rsidRDefault="00D10A3D" w:rsidP="00F82917">
      <w:pPr>
        <w:pStyle w:val="Caption"/>
        <w:jc w:val="both"/>
        <w:rPr>
          <w:rFonts w:ascii="Times New Roman" w:hAnsi="Times New Roman" w:cs="Times New Roman"/>
          <w:color w:val="000000" w:themeColor="text1"/>
          <w:sz w:val="22"/>
          <w:szCs w:val="22"/>
          <w:lang w:val="en-US"/>
        </w:rPr>
      </w:pPr>
      <w:r w:rsidRPr="00AE7B34">
        <w:rPr>
          <w:color w:val="000000" w:themeColor="text1"/>
          <w:lang w:val="en-US"/>
        </w:rPr>
        <w:t xml:space="preserve">Image  </w:t>
      </w:r>
      <w:r w:rsidRPr="00AE7B34">
        <w:rPr>
          <w:color w:val="000000" w:themeColor="text1"/>
        </w:rPr>
        <w:fldChar w:fldCharType="begin"/>
      </w:r>
      <w:r w:rsidRPr="00AE7B34">
        <w:rPr>
          <w:color w:val="000000" w:themeColor="text1"/>
          <w:lang w:val="en-US"/>
        </w:rPr>
        <w:instrText xml:space="preserve"> SEQ Image_ \* ARABIC </w:instrText>
      </w:r>
      <w:r w:rsidRPr="00AE7B34">
        <w:rPr>
          <w:color w:val="000000" w:themeColor="text1"/>
        </w:rPr>
        <w:fldChar w:fldCharType="separate"/>
      </w:r>
      <w:r w:rsidRPr="00AE7B34">
        <w:rPr>
          <w:noProof/>
          <w:color w:val="000000" w:themeColor="text1"/>
          <w:lang w:val="en-US"/>
        </w:rPr>
        <w:t>3</w:t>
      </w:r>
      <w:r w:rsidRPr="00AE7B34">
        <w:rPr>
          <w:color w:val="000000" w:themeColor="text1"/>
        </w:rPr>
        <w:fldChar w:fldCharType="end"/>
      </w:r>
      <w:r w:rsidRPr="00AE7B34">
        <w:rPr>
          <w:color w:val="000000" w:themeColor="text1"/>
          <w:lang w:val="en-US"/>
        </w:rPr>
        <w:t xml:space="preserve">:  </w:t>
      </w:r>
      <w:proofErr w:type="spellStart"/>
      <w:r w:rsidRPr="00AE7B34">
        <w:rPr>
          <w:color w:val="000000" w:themeColor="text1"/>
          <w:lang w:val="en-US"/>
        </w:rPr>
        <w:t>MOMus</w:t>
      </w:r>
      <w:proofErr w:type="spellEnd"/>
      <w:r w:rsidRPr="00AE7B34">
        <w:rPr>
          <w:color w:val="000000" w:themeColor="text1"/>
          <w:lang w:val="en-US"/>
        </w:rPr>
        <w:t xml:space="preserve"> Thessaloniki Museum of Photography Resilience Project"</w:t>
      </w:r>
      <w:r w:rsidR="008F6D38" w:rsidRPr="00AE7B34">
        <w:rPr>
          <w:color w:val="000000" w:themeColor="text1"/>
          <w:lang w:val="en-US"/>
        </w:rPr>
        <w:t xml:space="preserve">- </w:t>
      </w:r>
      <w:r w:rsidRPr="00AE7B34">
        <w:rPr>
          <w:color w:val="000000" w:themeColor="text1"/>
          <w:lang w:val="en-US"/>
        </w:rPr>
        <w:t xml:space="preserve">Exhibition </w:t>
      </w:r>
      <w:r w:rsidR="008F6D38" w:rsidRPr="00AE7B34">
        <w:rPr>
          <w:color w:val="000000" w:themeColor="text1"/>
          <w:lang w:val="en-US"/>
        </w:rPr>
        <w:t>“</w:t>
      </w:r>
      <w:proofErr w:type="spellStart"/>
      <w:r w:rsidRPr="00AE7B34">
        <w:rPr>
          <w:color w:val="000000" w:themeColor="text1"/>
          <w:lang w:val="en-US"/>
        </w:rPr>
        <w:t>Anthropause</w:t>
      </w:r>
      <w:proofErr w:type="spellEnd"/>
      <w:r w:rsidR="008F6D38" w:rsidRPr="00AE7B34">
        <w:rPr>
          <w:color w:val="000000" w:themeColor="text1"/>
          <w:lang w:val="en-US"/>
        </w:rPr>
        <w:t>”</w:t>
      </w:r>
    </w:p>
    <w:p w14:paraId="319E6E83" w14:textId="56AB5E96" w:rsidR="007D156F" w:rsidRPr="00AE7B34" w:rsidRDefault="00B803E8" w:rsidP="007934C0">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GB"/>
        </w:rPr>
        <w:t xml:space="preserve">Likewise, in Italy Agostino examining 100 museums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Curatorship","id":"ITEM-1","issue":"0","issued":{"date-parts":[["2020"]]},"note":"Poly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openness","type":"article-journal","volume":"0"},"uris":["http://www.mendeley.com/documents/?uuid=0f6150cb-afda-4c53-be4f-552b0f2a63b7"]}],"mendeley":{"formattedCitation":"(Agostino, Arnaboldi and Lampis, 2020)","plainTextFormattedCitation":"(Agostino, Arnaboldi and Lampis, 2020)","previouslyFormattedCitation":"(Agostino, Arnaboldi and Lampis,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(Agostino, Arnaboldi and Lampis,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notes that although museums physically were closed, were virtually more active than ever. Doubling their social media presence, Italian museums have increased their awareness, </w:t>
      </w:r>
      <w:r w:rsidR="0090554E" w:rsidRPr="00AE7B34">
        <w:rPr>
          <w:rFonts w:ascii="Times New Roman" w:hAnsi="Times New Roman" w:cs="Times New Roman"/>
          <w:color w:val="000000" w:themeColor="text1"/>
          <w:sz w:val="22"/>
          <w:szCs w:val="22"/>
          <w:lang w:val="en-US"/>
        </w:rPr>
        <w:t>followers,</w:t>
      </w:r>
      <w:r w:rsidRPr="00AE7B34">
        <w:rPr>
          <w:rFonts w:ascii="Times New Roman" w:hAnsi="Times New Roman" w:cs="Times New Roman"/>
          <w:color w:val="000000" w:themeColor="text1"/>
          <w:sz w:val="22"/>
          <w:szCs w:val="22"/>
          <w:lang w:val="en-US"/>
        </w:rPr>
        <w:t xml:space="preserve"> and brand engagement. </w:t>
      </w:r>
      <w:r w:rsidR="007D156F" w:rsidRPr="00AE7B34">
        <w:rPr>
          <w:rFonts w:ascii="Times New Roman" w:hAnsi="Times New Roman" w:cs="Times New Roman"/>
          <w:color w:val="000000" w:themeColor="text1"/>
          <w:sz w:val="22"/>
          <w:szCs w:val="22"/>
          <w:lang w:val="en-US"/>
        </w:rPr>
        <w:t>Museum</w:t>
      </w:r>
      <w:r w:rsidR="00DB7EF4" w:rsidRPr="00AE7B34">
        <w:rPr>
          <w:rFonts w:ascii="Times New Roman" w:hAnsi="Times New Roman" w:cs="Times New Roman"/>
          <w:color w:val="000000" w:themeColor="text1"/>
          <w:sz w:val="22"/>
          <w:szCs w:val="22"/>
          <w:lang w:val="en-US"/>
        </w:rPr>
        <w:t>s</w:t>
      </w:r>
      <w:r w:rsidR="007D156F" w:rsidRPr="00AE7B34">
        <w:rPr>
          <w:rFonts w:ascii="Times New Roman" w:hAnsi="Times New Roman" w:cs="Times New Roman"/>
          <w:color w:val="000000" w:themeColor="text1"/>
          <w:sz w:val="22"/>
          <w:szCs w:val="22"/>
          <w:lang w:val="en-US"/>
        </w:rPr>
        <w:t xml:space="preserve"> had s</w:t>
      </w:r>
      <w:r w:rsidRPr="00AE7B34">
        <w:rPr>
          <w:rFonts w:ascii="Times New Roman" w:hAnsi="Times New Roman" w:cs="Times New Roman"/>
          <w:color w:val="000000" w:themeColor="text1"/>
          <w:sz w:val="22"/>
          <w:szCs w:val="22"/>
          <w:lang w:val="en-US"/>
        </w:rPr>
        <w:t xml:space="preserve">ocial </w:t>
      </w:r>
      <w:r w:rsidR="007D156F" w:rsidRPr="00AE7B34">
        <w:rPr>
          <w:rFonts w:ascii="Times New Roman" w:hAnsi="Times New Roman" w:cs="Times New Roman"/>
          <w:color w:val="000000" w:themeColor="text1"/>
          <w:sz w:val="22"/>
          <w:szCs w:val="22"/>
          <w:lang w:val="en-US"/>
        </w:rPr>
        <w:t>m</w:t>
      </w:r>
      <w:r w:rsidRPr="00AE7B34">
        <w:rPr>
          <w:rFonts w:ascii="Times New Roman" w:hAnsi="Times New Roman" w:cs="Times New Roman"/>
          <w:color w:val="000000" w:themeColor="text1"/>
          <w:sz w:val="22"/>
          <w:szCs w:val="22"/>
          <w:lang w:val="en-US"/>
        </w:rPr>
        <w:t xml:space="preserve">edia </w:t>
      </w:r>
      <w:r w:rsidR="007D156F" w:rsidRPr="00AE7B34">
        <w:rPr>
          <w:rFonts w:ascii="Times New Roman" w:hAnsi="Times New Roman" w:cs="Times New Roman"/>
          <w:color w:val="000000" w:themeColor="text1"/>
          <w:sz w:val="22"/>
          <w:szCs w:val="22"/>
          <w:lang w:val="en-US"/>
        </w:rPr>
        <w:t>as</w:t>
      </w:r>
      <w:r w:rsidRPr="00AE7B34">
        <w:rPr>
          <w:rFonts w:ascii="Times New Roman" w:hAnsi="Times New Roman" w:cs="Times New Roman"/>
          <w:color w:val="000000" w:themeColor="text1"/>
          <w:sz w:val="22"/>
          <w:szCs w:val="22"/>
          <w:lang w:val="en-US"/>
        </w:rPr>
        <w:t xml:space="preserve"> vehicle </w:t>
      </w:r>
      <w:r w:rsidR="007D156F" w:rsidRPr="00AE7B34">
        <w:rPr>
          <w:rFonts w:ascii="Times New Roman" w:hAnsi="Times New Roman" w:cs="Times New Roman"/>
          <w:color w:val="000000" w:themeColor="text1"/>
          <w:sz w:val="22"/>
          <w:szCs w:val="22"/>
          <w:lang w:val="en-US"/>
        </w:rPr>
        <w:t xml:space="preserve">to act </w:t>
      </w:r>
      <w:r w:rsidRPr="00AE7B34">
        <w:rPr>
          <w:rFonts w:ascii="Times New Roman" w:hAnsi="Times New Roman" w:cs="Times New Roman"/>
          <w:color w:val="000000" w:themeColor="text1"/>
          <w:sz w:val="22"/>
          <w:szCs w:val="22"/>
          <w:lang w:val="en-US"/>
        </w:rPr>
        <w:t xml:space="preserve">as source of communication science and repository </w:t>
      </w:r>
      <w:r w:rsidR="00B5562F" w:rsidRPr="00AE7B34">
        <w:rPr>
          <w:rFonts w:ascii="Times New Roman" w:hAnsi="Times New Roman" w:cs="Times New Roman"/>
          <w:color w:val="000000" w:themeColor="text1"/>
          <w:sz w:val="22"/>
          <w:szCs w:val="22"/>
          <w:lang w:val="en-US"/>
        </w:rPr>
        <w:t>knowledge.</w:t>
      </w:r>
      <w:r w:rsidRPr="00AE7B34">
        <w:rPr>
          <w:rFonts w:ascii="Times New Roman" w:hAnsi="Times New Roman" w:cs="Times New Roman"/>
          <w:color w:val="000000" w:themeColor="text1"/>
          <w:sz w:val="22"/>
          <w:szCs w:val="22"/>
          <w:lang w:val="en-US"/>
        </w:rPr>
        <w:t xml:space="preserve"> Via SM museums spread knowledge and fun – facts about artifacts, organized interviews with experts, run virtual treasure hunts and various virtual games or even applied influencer marketing plan, with Ministry for Cultural Heritage serving as their influence. </w:t>
      </w:r>
    </w:p>
    <w:p w14:paraId="3B0194BF" w14:textId="0734E449" w:rsidR="00B5562F" w:rsidRPr="00AE7B34" w:rsidRDefault="00B803E8" w:rsidP="007934C0">
      <w:pPr>
        <w:tabs>
          <w:tab w:val="left" w:pos="709"/>
        </w:tabs>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Similarly, in Australia virtual exhibitions /curational talks and tours, educational classes such as photography masterclass via remote learning, and custom- made interactive events was also  the regime of  Australian Museums</w:t>
      </w:r>
      <w:r w:rsidR="00DB7EF4"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boosting their</w:t>
      </w:r>
      <w:r w:rsidR="00DB7EF4"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engagement and stay</w:t>
      </w:r>
      <w:r w:rsidR="00DB7EF4" w:rsidRPr="00AE7B34">
        <w:rPr>
          <w:rFonts w:ascii="Times New Roman" w:hAnsi="Times New Roman" w:cs="Times New Roman"/>
          <w:color w:val="000000" w:themeColor="text1"/>
          <w:sz w:val="22"/>
          <w:szCs w:val="22"/>
          <w:lang w:val="en-US"/>
        </w:rPr>
        <w:t>ing</w:t>
      </w:r>
      <w:r w:rsidRPr="00AE7B34">
        <w:rPr>
          <w:rFonts w:ascii="Times New Roman" w:hAnsi="Times New Roman" w:cs="Times New Roman"/>
          <w:color w:val="000000" w:themeColor="text1"/>
          <w:sz w:val="22"/>
          <w:szCs w:val="22"/>
          <w:lang w:val="en-US"/>
        </w:rPr>
        <w:t xml:space="preserve"> alive during the </w:t>
      </w:r>
      <w:proofErr w:type="spellStart"/>
      <w:r w:rsidRPr="00AE7B34">
        <w:rPr>
          <w:rFonts w:ascii="Times New Roman" w:hAnsi="Times New Roman" w:cs="Times New Roman"/>
          <w:color w:val="000000" w:themeColor="text1"/>
          <w:sz w:val="22"/>
          <w:szCs w:val="22"/>
          <w:lang w:val="en-US"/>
        </w:rPr>
        <w:t>anthropause</w:t>
      </w:r>
      <w:proofErr w:type="spellEnd"/>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{"citationItems":[{"id":"ITEM-1","itemData":{"author":[{"dropping-particle":"","family":"Practice","given":"Creative","non-dropping-particle":"","parse-names":false,"suffix":""}],"id":"ITEM-1","issue":"June","issued":{"date-parts":[["2020"]]},"note":"polu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Practice","type":"report"},"uris":["http://www.mendeley.com/documents/?uuid=204b0046-f189-4fee-a2eb-5e3187725b6c"]}],"mendeley":{"formattedCitation":"(Practice, 2020)","plainTextFormattedCitation":"(Practice, 2020)","previouslyFormattedCitation":"(Practice,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(Practice,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64689A" w:rsidRPr="00AE7B34">
        <w:rPr>
          <w:rFonts w:ascii="Times New Roman" w:hAnsi="Times New Roman" w:cs="Times New Roman"/>
          <w:color w:val="000000" w:themeColor="text1"/>
          <w:sz w:val="22"/>
          <w:szCs w:val="22"/>
          <w:lang w:val="en-US"/>
        </w:rPr>
        <w:t>Hence</w:t>
      </w:r>
      <w:r w:rsidRPr="00AE7B34">
        <w:rPr>
          <w:rFonts w:ascii="Times New Roman" w:hAnsi="Times New Roman" w:cs="Times New Roman"/>
          <w:color w:val="000000" w:themeColor="text1"/>
          <w:sz w:val="22"/>
          <w:szCs w:val="22"/>
          <w:lang w:val="en-US"/>
        </w:rPr>
        <w:t xml:space="preserve">, while God </w:t>
      </w:r>
      <w:r w:rsidR="00DB7EF4" w:rsidRPr="00AE7B34">
        <w:rPr>
          <w:rFonts w:ascii="Times New Roman" w:hAnsi="Times New Roman" w:cs="Times New Roman"/>
          <w:color w:val="000000" w:themeColor="text1"/>
          <w:sz w:val="22"/>
          <w:szCs w:val="22"/>
          <w:lang w:val="en-US"/>
        </w:rPr>
        <w:t xml:space="preserve">did </w:t>
      </w:r>
      <w:r w:rsidRPr="00AE7B34">
        <w:rPr>
          <w:rFonts w:ascii="Times New Roman" w:hAnsi="Times New Roman" w:cs="Times New Roman"/>
          <w:color w:val="000000" w:themeColor="text1"/>
          <w:sz w:val="22"/>
          <w:szCs w:val="22"/>
          <w:lang w:val="en-US"/>
        </w:rPr>
        <w:t>close the museum door, 5G opened museum window</w:t>
      </w:r>
      <w:r w:rsidR="00DB7EF4" w:rsidRPr="00AE7B34">
        <w:rPr>
          <w:rFonts w:ascii="Times New Roman" w:hAnsi="Times New Roman" w:cs="Times New Roman"/>
          <w:color w:val="000000" w:themeColor="text1"/>
          <w:sz w:val="22"/>
          <w:szCs w:val="22"/>
          <w:lang w:val="en-US"/>
        </w:rPr>
        <w:t>s.</w:t>
      </w:r>
      <w:r w:rsidRPr="00AE7B34">
        <w:rPr>
          <w:rFonts w:ascii="Times New Roman" w:hAnsi="Times New Roman" w:cs="Times New Roman"/>
          <w:color w:val="000000" w:themeColor="text1"/>
          <w:sz w:val="22"/>
          <w:szCs w:val="22"/>
          <w:lang w:val="en-US"/>
        </w:rPr>
        <w:t xml:space="preserve"> </w:t>
      </w:r>
      <w:r w:rsidR="00DB7EF4" w:rsidRPr="00AE7B34">
        <w:rPr>
          <w:rFonts w:ascii="Times New Roman" w:hAnsi="Times New Roman" w:cs="Times New Roman"/>
          <w:color w:val="000000" w:themeColor="text1"/>
          <w:sz w:val="22"/>
          <w:szCs w:val="22"/>
          <w:lang w:val="en-US"/>
        </w:rPr>
        <w:t>T</w:t>
      </w:r>
      <w:r w:rsidRPr="00AE7B34">
        <w:rPr>
          <w:rFonts w:ascii="Times New Roman" w:hAnsi="Times New Roman" w:cs="Times New Roman"/>
          <w:color w:val="000000" w:themeColor="text1"/>
          <w:sz w:val="22"/>
          <w:szCs w:val="22"/>
          <w:lang w:val="en-US"/>
        </w:rPr>
        <w:t>hus</w:t>
      </w:r>
      <w:r w:rsidR="00DB7EF4" w:rsidRPr="00AE7B34">
        <w:rPr>
          <w:rFonts w:ascii="Times New Roman" w:hAnsi="Times New Roman" w:cs="Times New Roman"/>
          <w:color w:val="000000" w:themeColor="text1"/>
          <w:sz w:val="22"/>
          <w:szCs w:val="22"/>
          <w:lang w:val="en-US"/>
        </w:rPr>
        <w:t>,</w:t>
      </w:r>
      <w:r w:rsidRPr="00AE7B34">
        <w:rPr>
          <w:rFonts w:ascii="Times New Roman" w:hAnsi="Times New Roman" w:cs="Times New Roman"/>
          <w:color w:val="000000" w:themeColor="text1"/>
          <w:sz w:val="22"/>
          <w:szCs w:val="22"/>
          <w:lang w:val="en-US"/>
        </w:rPr>
        <w:t xml:space="preserve"> not only did China Museum and Canadian museums go online but they also boost their CSR action by coordinating donation of much-needed face masks, gloves, sanitizers and other medical equipment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Curatorship","id":"ITEM-1","issue":"3","issued":{"date-parts":[["2020"]]},"note":"polu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COVID-19","type":"article-journal","volume":"35"},"uris":["http://www.mendeley.com/documents/?uuid=f40f9c99-dbe0-42fd-bec2-0dfeec139d75"]},{"id":"ITEM-2","itemData":{"author":[{"dropping-particle":"","family":"Calvert","given":"Contributors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-2","issue":"May","issued":{"date-parts":[["2020"]]},"title":"Social Media during COVID-19 A Quick Guide for Canadian Museums","type":"article-journal"},"uris":["http://www.mendeley.com/documents/?uuid=d80d7ef1-656d-410a-8aad-68ab71788373"]}],"mendeley":{"formattedCitation":"(Calvert &lt;i&gt;et al.&lt;/i&gt;, 2020; Ou, 2020)","plainTextFormattedCitation":"(Calvert et al., 2020; Ou, 2020)","previouslyFormattedCitation":"(Calvert &lt;i&gt;et al.&lt;/i&gt;, 2020; Ou,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(Calvert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2020; Ou,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p>
    <w:p w14:paraId="3F40B32E" w14:textId="2BEA67EE" w:rsidR="00B803E8" w:rsidRPr="00AE7B34" w:rsidRDefault="00B803E8" w:rsidP="007934C0">
      <w:pPr>
        <w:ind w:firstLine="709"/>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lastRenderedPageBreak/>
        <w:t xml:space="preserve">Moreover, </w:t>
      </w:r>
      <w:r w:rsidRPr="00AE7B34">
        <w:rPr>
          <w:rFonts w:ascii="Times New Roman" w:hAnsi="Times New Roman" w:cs="Times New Roman"/>
          <w:color w:val="000000" w:themeColor="text1"/>
          <w:sz w:val="22"/>
          <w:szCs w:val="22"/>
          <w:lang w:val="en-GB"/>
        </w:rPr>
        <w:t xml:space="preserve">the third stream involves both the problems and the challenges on accessibility, licenses and financial resources attendant to new museum role as knowledge repositories, communicators and community connectors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Recommendations","type":"report"},"uris":["http://www.mendeley.com/documents/?uuid=4829ec80-1b8d-4aec-bd98-6f9aa420f9da"]},{"id":"ITEM-2","itemData":{"abstract":"Culture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Organisations","given":"","non-dropping-particle":"","parse-names":false,"suffix":""}],"id":"ITEM-2","issue":"May","issued":{"date-parts":[["2020"]]},"note":"This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id":"ITEM-3","itemData":{"author":[{"dropping-particle":"","family":"NEMO","given":"","non-dropping-particle":"","parse-names":false,"suffix":""}],"id":"ITEM-3","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Europe","type":"article-journal"},"uris":["http://www.mendeley.com/documents/?uuid=afa71f7b-f749-40c9-bddc-38817493a4fa"]},{"id":"ITEM-4","itemData":{"DOI":"10.1080/09647775.2020.1790029","ISSN":"09647775","abstract":"This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Curatorship","id":"ITEM-4","issue":"0","issued":{"date-parts":[["2020"]]},"note":"Poly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openness","type":"article-journal","volume":"0"},"uris":["http://www.mendeley.com/documents/?uuid=0f6150cb-afda-4c53-be4f-552b0f2a63b7"]},{"id":"ITEM-5","itemData":{"DOI":"10.1080/09540962.2020.1764206","ISSN":"14679302","abstract":"In an unexpected circumstance, such as the COVID-19 pandemic, public service delivery cannot be suspended, but must be delivered online, relying on the available digital technology. Social media, specifically, have been widely used to reach a broader portion of the population. This article discusses the digital acceleration that governments and organizations are now facing. The focus is on Italian state museums, which have been pushed for years to adopt digital tools to increase participation. This article highlights three main dilemmas in service delivery: user engagement; planning and control; and costs. The three dilemmas show the social and organizational challenges connected to digital transformation, underlining the issues that organizations will have to face in the future and not just in an emergency such as COVID-19.IMPACT: How should public sector institutions use digital technologies for service delivery in unexpected circumstances, such as the COVID-19 pandemic? Starting from the empirical setting of 100 Italian state museums, this article shows how digital technologies, and social media particularly, can be a powerful tool for public service delivery when an onsite service cannot be provided. The authors explain the benefits of online service delivery, for example broader audiences and new ways of interacting with users. They also highlight areas that need discussion and further research, for example whether online services should be provided with a fee or free and the trade-off between carefully planning a digital transformation and reacting promptly to catastrophic events.","author":[{"dropping-particle":"","family":"Agostino","given":"Deborah","non-dropping-particle":"","parse-names":false,"suffix":""},{"dropping-particle":"","family":"Arnaboldi","given":"Michela","non-dropping-particle":"","parse-names":false,"suffix":""},{"dropping-particle":"","family":"Lema","given":"Melisa Diaz","non-dropping-particle":"","parse-names":false,"suffix":""}],"container-title":"Public Money and Management","id":"ITEM-5","issue":"0","issued":{"date-parts":[["2020"]]},"note":"abtsract :\nThis article highlights three main dilemmas in service delivery:\nuser engagement; planning and control; and costs. The three dilemmas show the social and\norganizational challenges connected to digital transformation, underlining the issues that\norganizations will have to face in the future and not just in an emergency such as COVID-19.\n\nStarting from the empirical setting of 100\nItalian state museums, this article shows how digital technologies, and social media\nparticularly, can be a powerful tool for public service delivery when an onsite service cannot\nbe provided.\n\n\nConlusions \n\nConcluding remarks\nCOVID-19 has acted as an accelerator for digital\ntransformation in public service delivery. The\nempirical evidence from 100 Italian state museums, currently closed to the public and with digital service delivery as their only option, is an extreme case.\n\n\n- \nOur three dilemmas highlight issues that we will\nhave to face in the future, not only in an emergency\nsuch as COVID-19, but also more routinely in the\nchallenge of digital transformation. \n\n- These issues are\nonly partially linked to technology, which is\nobviously an enabler but, more specifically, they\nbring up the social and organizational challenges\nconnected to digital transformations. \n\n- Users are more\nthan service recipients who want, and can easily\nhave (through social media and other digital\ntechnologies), a voice. \n\n- Information can be collected and services personalized but, paradoxically, the\nsearch for the best ‘tailor-made’ technology can\ncause delays and rigidity, as can be seen in several service delivery aspects, from pricing to planning and preparing an offer. \n- Novel transformational skills\nwill be key to dealing with this new setting; these may be new professional roles and competences, flexible assets or other resources. However, there is clearly an urgent need for further research to find the best way forward.","page":"1-4","publisher":"Taylor &amp; Francis","title":"New development: COVID-19 as an accelerator of digital transformation in public service delivery","type":"article-journal","volume":"0"},"uris":["http://www.mendeley.com/documents/?uuid=0dc499cd-9dc9-4263-a596-ac5b022eef2a"]}],"mendeley":{"formattedCitation":"(Agostino, Arnaboldi and Lampis, 2020; Agostino, Arnaboldi and Lema, 2020; NEMO, 2020; Network of European Museum Organisations, 2020a, 2020b)","manualFormatting":"(Agostino, Arnaboldi and Lampis, 2020; Agostino, Arnaboldi and Lema, 2020; NEMO, 2020; Network of European Museum Organisations, 2020a, 2020b","plainTextFormattedCitation":"(Agostino, Arnaboldi and Lampis, 2020; Agostino, Arnaboldi and Lema, 2020; NEMO, 2020; Network of European Museum Organisations, 2020a, 2020b)","previouslyFormattedCitation":"(Agostino, Arnaboldi and Lampis, 2020; Agostino, Arnaboldi and Lema, 2020; NEMO, 2020; Network of European Museum Organisations, 2020a, 2020b)"},"properties":{"noteIndex":0},"schema":"https://github.com/citation-style-language/schema/raw/master/csl-citation.json"}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(Agostino, Arnaboldi and Lampis, 2020; Agostino, Arnaboldi and Lema, 2020; NEMO, 2020; Network of European Museum Organisations, 2020a, 2020b</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Recovery","id":"ITEM-1","issued":{"date-parts":[["2020"]]},"note":"SOS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Academia.edu","type":"book"},"uris":["http://www.mendeley.com/documents/?uuid=38ef854f-ed7c-40eb-9ee5-9934347b68e0"]}],"mendeley":{"formattedCitation":"(Course and Systems, 2020)","manualFormatting":"Course and Systems, 2020;","plainTextFormattedCitation":"(Course and Systems, 2020)","previouslyFormattedCitation":"(Course and Systems,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Course and Systems,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fldChar w:fldCharType="begin" w:fldLock="1"/>
      </w:r>
      <w:r w:rsidR="00B5562F" w:rsidRPr="00AE7B34">
        <w:rPr>
          <w:rFonts w:ascii="Times New Roman" w:hAnsi="Times New Roman" w:cs="Times New Roman"/>
          <w:color w:val="000000" w:themeColor="text1"/>
          <w:sz w:val="22"/>
          <w:szCs w:val="22"/>
          <w:lang w:val="en-US"/>
        </w:rPr>
        <w:instrText>ADDIN CSL_CITATION {"citationItems":[{"id":"ITEM-1","itemData":{"abstract":"Culture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Recommendations","type":"report"},"uris":["http://www.mendeley.com/documents/?uuid=4829ec80-1b8d-4aec-bd98-6f9aa420f9da"]},{"id":"ITEM-2","itemData":{"DOI":"10.29311/mas.v18i3.3539","ISSN":"1479-8360","abstract":"In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Society","id":"ITEM-2","issue":"3","issued":{"date-parts":[["2020"]]},"note":"metrio\n\nanagki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id":"ITEM-3","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Recovery","id":"ITEM-3","issued":{"date-parts":[["2020"]]},"note":"SOS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id":"ITEM-4","itemData":{"author":[{"dropping-particle":"","family":"Kahn","given":"Rebecca","non-dropping-particle":"","parse-names":false,"suffix":""}],"container-title":"Elephant in the Lab","id":"ITEM-4","issued":{"date-parts":[["2020"]]},"note":"Key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-5","itemData":{"author":[{"dropping-particle":"","family":"NEMO","given":"","non-dropping-particle":"","parse-names":false,"suffix":""}],"id":"ITEM-5","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Europe","type":"article-journal"},"uris":["http://www.mendeley.com/documents/?uuid=afa71f7b-f749-40c9-bddc-38817493a4fa"]},{"id":"ITEM-6","itemData":{"DOI":"10.1080/09647775.2020.1762361","ISSN":"0964-7775","abstract":"No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Curatorship","id":"ITEM-6","issue":"3","issued":{"date-parts":[["2020"]]},"note":"polu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-7","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-7","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COVID-19","type":"article-journal","volume":"9"},"uris":["http://www.mendeley.com/documents/?uuid=32c71aaa-4e10-4fe5-aa0a-99cb18a1c41d"]},{"id":"ITEM-8","itemData":{"abstract":"Culture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Organisations","given":"","non-dropping-particle":"","parse-names":false,"suffix":""}],"id":"ITEM-8","issue":"May","issued":{"date-parts":[["2020"]]},"note":"This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Recommendations","type":"article-journal"},"uris":["http://www.mendeley.com/documents/?uuid=87c3677f-bc32-4c2f-971f-bbf5d494c8df"]}],"mendeley":{"formattedCitation":"(Bonin-Rodriguez and Vakharia, 2020; Course and Systems, 2020; Kahn, 2020; Kist, 2020; NEMO, 2020; Network of European Museum Organisations, 2020a, 2020b; Ou, 2020)","manualFormatting":"Bonin-Rodriguez and Vakharia, 2020; Course and Systems, 2020; Kahn, 2020; Kist, 2020; NEMO, 2020; Network of European Museum Organizations, 2020a, 2020b; Ou, 2020)","plainTextFormattedCitation":"(Bonin-Rodriguez and Vakharia, 2020; Course and Systems, 2020; Kahn, 2020; Kist, 2020; NEMO, 2020; Network of European Museum Organisations, 2020a, 2020b; Ou, 2020)","previouslyFormattedCitation":"(Bonin-Rodriguez and Vakharia, 2020; Course and Systems, 2020; Kahn, 2020; Kist, 2020; NEMO, 2020; Network of European Museum Organisations, 2020a, 2020b; Ou,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Bonin-Rodriguez and Vakharia, 2020; Course and Systems, 2020; Kahn, 2020; Kist, 2020; NEMO, 2020; Network of European Museum </w:t>
      </w:r>
      <w:r w:rsidR="0064689A" w:rsidRPr="00AE7B34">
        <w:rPr>
          <w:rFonts w:ascii="Times New Roman" w:hAnsi="Times New Roman" w:cs="Times New Roman"/>
          <w:noProof/>
          <w:color w:val="000000" w:themeColor="text1"/>
          <w:sz w:val="22"/>
          <w:szCs w:val="22"/>
          <w:lang w:val="en-US"/>
        </w:rPr>
        <w:t>Organizations</w:t>
      </w:r>
      <w:r w:rsidRPr="00AE7B34">
        <w:rPr>
          <w:rFonts w:ascii="Times New Roman" w:hAnsi="Times New Roman" w:cs="Times New Roman"/>
          <w:noProof/>
          <w:color w:val="000000" w:themeColor="text1"/>
          <w:sz w:val="22"/>
          <w:szCs w:val="22"/>
          <w:lang w:val="en-US"/>
        </w:rPr>
        <w:t>, 2020a, 2020b; Ou,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This stream alerts </w:t>
      </w:r>
      <w:r w:rsidR="00DB7EF4" w:rsidRPr="00AE7B34">
        <w:rPr>
          <w:rFonts w:ascii="Times New Roman" w:hAnsi="Times New Roman" w:cs="Times New Roman"/>
          <w:color w:val="000000" w:themeColor="text1"/>
          <w:sz w:val="22"/>
          <w:szCs w:val="22"/>
          <w:lang w:val="en-US"/>
        </w:rPr>
        <w:t xml:space="preserve">both </w:t>
      </w:r>
      <w:r w:rsidRPr="00AE7B34">
        <w:rPr>
          <w:rFonts w:ascii="Times New Roman" w:hAnsi="Times New Roman" w:cs="Times New Roman"/>
          <w:color w:val="000000" w:themeColor="text1"/>
          <w:sz w:val="22"/>
          <w:szCs w:val="22"/>
          <w:lang w:val="en-US"/>
        </w:rPr>
        <w:t>touris</w:t>
      </w:r>
      <w:r w:rsidR="00DB7EF4" w:rsidRPr="00AE7B34">
        <w:rPr>
          <w:rFonts w:ascii="Times New Roman" w:hAnsi="Times New Roman" w:cs="Times New Roman"/>
          <w:color w:val="000000" w:themeColor="text1"/>
          <w:sz w:val="22"/>
          <w:szCs w:val="22"/>
          <w:lang w:val="en-US"/>
        </w:rPr>
        <w:t>m,</w:t>
      </w:r>
      <w:r w:rsidRPr="00AE7B34">
        <w:rPr>
          <w:rFonts w:ascii="Times New Roman" w:hAnsi="Times New Roman" w:cs="Times New Roman"/>
          <w:color w:val="000000" w:themeColor="text1"/>
          <w:sz w:val="22"/>
          <w:szCs w:val="22"/>
          <w:lang w:val="en-US"/>
        </w:rPr>
        <w:t xml:space="preserve"> museum practitioners and scholars on the </w:t>
      </w:r>
      <w:r w:rsidR="007D156F" w:rsidRPr="00AE7B34">
        <w:rPr>
          <w:rFonts w:ascii="Times New Roman" w:hAnsi="Times New Roman" w:cs="Times New Roman"/>
          <w:color w:val="000000" w:themeColor="text1"/>
          <w:sz w:val="22"/>
          <w:szCs w:val="22"/>
          <w:lang w:val="en-US"/>
        </w:rPr>
        <w:t xml:space="preserve">challenges of </w:t>
      </w:r>
      <w:r w:rsidRPr="00AE7B34">
        <w:rPr>
          <w:rFonts w:ascii="Times New Roman" w:hAnsi="Times New Roman" w:cs="Times New Roman"/>
          <w:color w:val="000000" w:themeColor="text1"/>
          <w:sz w:val="22"/>
          <w:szCs w:val="22"/>
          <w:lang w:val="en-US"/>
        </w:rPr>
        <w:t xml:space="preserve"> digital transformation</w:t>
      </w:r>
      <w:r w:rsidR="007D156F" w:rsidRPr="00AE7B34">
        <w:rPr>
          <w:rFonts w:ascii="Times New Roman" w:hAnsi="Times New Roman" w:cs="Times New Roman"/>
          <w:color w:val="000000" w:themeColor="text1"/>
          <w:sz w:val="22"/>
          <w:szCs w:val="22"/>
          <w:lang w:val="en-US"/>
        </w:rPr>
        <w:t xml:space="preserve"> such as </w:t>
      </w:r>
      <w:r w:rsidRPr="00AE7B34">
        <w:rPr>
          <w:rFonts w:ascii="Times New Roman" w:hAnsi="Times New Roman" w:cs="Times New Roman"/>
          <w:color w:val="000000" w:themeColor="text1"/>
          <w:sz w:val="22"/>
          <w:szCs w:val="22"/>
          <w:lang w:val="en-US"/>
        </w:rPr>
        <w:t xml:space="preserve"> </w:t>
      </w:r>
      <w:r w:rsidR="007D156F" w:rsidRPr="00AE7B34">
        <w:rPr>
          <w:rFonts w:ascii="Times New Roman" w:hAnsi="Times New Roman" w:cs="Times New Roman"/>
          <w:color w:val="000000" w:themeColor="text1"/>
          <w:sz w:val="22"/>
          <w:szCs w:val="22"/>
          <w:lang w:val="en-US"/>
        </w:rPr>
        <w:t xml:space="preserve">the future of licenses , the lack of funding, the lack of digital skills and digital accessibility, the infancy of studies in cultural heritage and the need on EU funding in digital heritage as key barrier of the digital transformation during and after the pandemic </w:t>
      </w:r>
      <w:r w:rsidR="007D156F" w:rsidRPr="00AE7B34">
        <w:rPr>
          <w:rFonts w:ascii="Times New Roman" w:hAnsi="Times New Roman" w:cs="Times New Roman"/>
          <w:color w:val="000000" w:themeColor="text1"/>
          <w:sz w:val="22"/>
          <w:szCs w:val="22"/>
          <w:lang w:val="en-US"/>
        </w:rPr>
        <w:fldChar w:fldCharType="begin" w:fldLock="1"/>
      </w:r>
      <w:r w:rsidR="007D156F" w:rsidRPr="00AE7B34">
        <w:rPr>
          <w:rFonts w:ascii="Times New Roman" w:hAnsi="Times New Roman" w:cs="Times New Roman"/>
          <w:color w:val="000000" w:themeColor="text1"/>
          <w:sz w:val="22"/>
          <w:szCs w:val="22"/>
          <w:lang w:val="en-US"/>
        </w:rPr>
        <w:instrText>ADDIN CSL_CITATION {"citationItems":[{"id":"ITEM-1","itemData":{"author":[{"dropping-particle":"","family":"NEMO","given":"","non-dropping-particle":"","parse-names":false,"suffix":""}],"id":"ITEM-1","issued":{"date-parts":[["2020"]]},"note":"a.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Europe","type":"article-journal"},"uris":["http://www.mendeley.com/documents/?uuid=afa71f7b-f749-40c9-bddc-38817493a4fa"]},{"id":"ITEM-2","itemData":{"abstract":"Culture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Organisations","given":"","non-dropping-particle":"","parse-names":false,"suffix":""}],"id":"ITEM-2","issue":"May","issued":{"date-parts":[["2020"]]},"note":"This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Recommendations","type":"article-journal"},"uris":["http://www.mendeley.com/documents/?uuid=87c3677f-bc32-4c2f-971f-bbf5d494c8df"]},{"id":"ITEM-3","itemData":{"abstract":"Culture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Organisations","given":"","non-dropping-particle":"","parse-names":false,"suffix":""}],"id":"ITEM-3","issue":"May","issued":{"date-parts":[["2020"]]},"note":"1.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Recommendations","type":"report"},"uris":["http://www.mendeley.com/documents/?uuid=4829ec80-1b8d-4aec-bd98-6f9aa420f9da"]}],"mendeley":{"formattedCitation":"(NEMO, 2020; Network of European Museum Organisations, 2020b, 2020a)","plainTextFormattedCitation":"(NEMO, 2020; Network of European Museum Organisations, 2020b, 2020a)","previouslyFormattedCitation":"(NEMO, 2020; Network of European Museum Organisations, 2020b, 2020a)"},"properties":{"noteIndex":0},"schema":"https://github.com/citation-style-language/schema/raw/master/csl-citation.json"}</w:instrText>
      </w:r>
      <w:r w:rsidR="007D156F" w:rsidRPr="00AE7B34">
        <w:rPr>
          <w:rFonts w:ascii="Times New Roman" w:hAnsi="Times New Roman" w:cs="Times New Roman"/>
          <w:color w:val="000000" w:themeColor="text1"/>
          <w:sz w:val="22"/>
          <w:szCs w:val="22"/>
          <w:lang w:val="en-US"/>
        </w:rPr>
        <w:fldChar w:fldCharType="separate"/>
      </w:r>
      <w:r w:rsidR="007D156F" w:rsidRPr="00AE7B34">
        <w:rPr>
          <w:rFonts w:ascii="Times New Roman" w:hAnsi="Times New Roman" w:cs="Times New Roman"/>
          <w:noProof/>
          <w:color w:val="000000" w:themeColor="text1"/>
          <w:sz w:val="22"/>
          <w:szCs w:val="22"/>
          <w:lang w:val="en-US"/>
        </w:rPr>
        <w:t>(NEMO, 2020; Network of European Museum Organisations, 2020b, 2020a)</w:t>
      </w:r>
      <w:r w:rsidR="007D156F" w:rsidRPr="00AE7B34">
        <w:rPr>
          <w:rFonts w:ascii="Times New Roman" w:hAnsi="Times New Roman" w:cs="Times New Roman"/>
          <w:color w:val="000000" w:themeColor="text1"/>
          <w:sz w:val="22"/>
          <w:szCs w:val="22"/>
          <w:lang w:val="en-US"/>
        </w:rPr>
        <w:fldChar w:fldCharType="end"/>
      </w:r>
      <w:r w:rsidR="007D156F" w:rsidRPr="00AE7B34">
        <w:rPr>
          <w:rFonts w:ascii="Times New Roman" w:hAnsi="Times New Roman" w:cs="Times New Roman"/>
          <w:color w:val="000000" w:themeColor="text1"/>
          <w:sz w:val="22"/>
          <w:szCs w:val="22"/>
          <w:lang w:val="en-US"/>
        </w:rPr>
        <w:t xml:space="preserve"> and the integration of  social media as curation and marketing tool at strategic level </w:t>
      </w:r>
      <w:r w:rsidRPr="00AE7B34">
        <w:rPr>
          <w:rFonts w:ascii="Times New Roman" w:hAnsi="Times New Roman" w:cs="Times New Roman"/>
          <w:color w:val="000000" w:themeColor="text1"/>
          <w:sz w:val="22"/>
          <w:szCs w:val="22"/>
          <w:lang w:val="en-US"/>
        </w:rPr>
        <w:t>(Course and Systems, 2020</w:t>
      </w:r>
      <w:r w:rsidR="00B5562F" w:rsidRPr="00AE7B34">
        <w:rPr>
          <w:rFonts w:ascii="Times New Roman" w:hAnsi="Times New Roman" w:cs="Times New Roman"/>
          <w:color w:val="000000" w:themeColor="text1"/>
          <w:sz w:val="22"/>
          <w:szCs w:val="22"/>
          <w:lang w:val="en-US"/>
        </w:rPr>
        <w:t>).</w:t>
      </w:r>
    </w:p>
    <w:p w14:paraId="3026BE0F" w14:textId="6259EFB8" w:rsidR="00B803E8" w:rsidRPr="00AE7B34" w:rsidRDefault="00B803E8" w:rsidP="00B803E8">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Finally, several researchers highlighted </w:t>
      </w:r>
      <w:r w:rsidR="007D156F" w:rsidRPr="00AE7B34">
        <w:rPr>
          <w:rFonts w:ascii="Times New Roman" w:hAnsi="Times New Roman" w:cs="Times New Roman"/>
          <w:color w:val="000000" w:themeColor="text1"/>
          <w:sz w:val="22"/>
          <w:szCs w:val="22"/>
          <w:lang w:val="en-US"/>
        </w:rPr>
        <w:t xml:space="preserve">that </w:t>
      </w:r>
      <w:r w:rsidRPr="00AE7B34">
        <w:rPr>
          <w:rFonts w:ascii="Times New Roman" w:hAnsi="Times New Roman" w:cs="Times New Roman"/>
          <w:color w:val="000000" w:themeColor="text1"/>
          <w:sz w:val="22"/>
          <w:szCs w:val="22"/>
          <w:lang w:val="en-US"/>
        </w:rPr>
        <w:t>museum should harness digital transformation tools such as social media, AV,</w:t>
      </w:r>
      <w:r w:rsidR="007D156F"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VR and most importantly big data at a tactical level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{"citationItems":[{"id":"ITEM-1","itemData":{"author":[{"dropping-particle":"","family":"Kahn","given":"Rebecca","non-dropping-particle":"","parse-names":false,"suffix":""}],"container-title":"Elephant in the Lab","id":"ITEM-1","issued":{"date-parts":[["2020"]]},"note":"Key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pandemic","type":"article-journal"},"uris":["http://www.mendeley.com/documents/?uuid=1e2d9064-603e-446f-b332-1e739081b59b"]},{"id":"ITEM-2","itemData":{"DOI":"10.29311/mas.v18i3.3539","ISSN":"1479-8360","abstract":"In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Society","id":"ITEM-2","issue":"3","issued":{"date-parts":[["2020"]]},"note":"metrio\n\nanagki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COVID-19","type":"article-journal","volume":"18"},"uris":["http://www.mendeley.com/documents/?uuid=60646f35-8be4-4fa3-bd0f-65a067fa5e04"]},{"id":"ITEM-3","itemData":{"DOI":"10.1080/09647775.2020.1790029","ISSN":"09647775","abstract":"This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Curatorship","id":"ITEM-3","issue":"0","issued":{"date-parts":[["2020"]]},"note":"Poly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openness","type":"article-journal","volume":"0"},"uris":["http://www.mendeley.com/documents/?uuid=0f6150cb-afda-4c53-be4f-552b0f2a63b7"]}],"mendeley":{"formattedCitation":"(Agostino, Arnaboldi and Lampis, 2020; Kahn, 2020; Kist, 2020)","plainTextFormattedCitation":"(Agostino, Arnaboldi and Lampis, 2020; Kahn, 2020; Kist, 2020)","previouslyFormattedCitation":"(Agostino, Arnaboldi and Lampis, 2020; Kahn, 2020; Kist,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(Agostino, Arnaboldi and Lampis, 2020; Kahn, 2020; Kist,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008A36FC" w:rsidRPr="00AE7B34">
        <w:rPr>
          <w:rFonts w:ascii="Times New Roman" w:hAnsi="Times New Roman" w:cs="Times New Roman"/>
          <w:color w:val="000000" w:themeColor="text1"/>
          <w:sz w:val="22"/>
          <w:szCs w:val="22"/>
          <w:lang w:val="en-US"/>
        </w:rPr>
        <w:t>conforming to</w:t>
      </w:r>
      <w:r w:rsidRPr="00AE7B34">
        <w:rPr>
          <w:rFonts w:ascii="Times New Roman" w:hAnsi="Times New Roman" w:cs="Times New Roman"/>
          <w:color w:val="000000" w:themeColor="text1"/>
          <w:sz w:val="22"/>
          <w:szCs w:val="22"/>
          <w:lang w:val="en-US"/>
        </w:rPr>
        <w:t xml:space="preserve"> museums mission, in accordance </w:t>
      </w:r>
      <w:r w:rsidR="008A36FC" w:rsidRPr="00AE7B34">
        <w:rPr>
          <w:rFonts w:ascii="Times New Roman" w:hAnsi="Times New Roman" w:cs="Times New Roman"/>
          <w:color w:val="000000" w:themeColor="text1"/>
          <w:sz w:val="22"/>
          <w:szCs w:val="22"/>
          <w:lang w:val="en-US"/>
        </w:rPr>
        <w:t xml:space="preserve">with </w:t>
      </w:r>
      <w:r w:rsidRPr="00AE7B34">
        <w:rPr>
          <w:rFonts w:ascii="Times New Roman" w:hAnsi="Times New Roman" w:cs="Times New Roman"/>
          <w:color w:val="000000" w:themeColor="text1"/>
          <w:sz w:val="22"/>
          <w:szCs w:val="22"/>
          <w:lang w:val="en-US"/>
        </w:rPr>
        <w:t xml:space="preserve">prior studies on social media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{"citationItems":[{"id":"ITEM-1","itemData":{"abstract":"Museums are increasingly using social media to include newer active experiences and entertainment. Not only does this digital shift provide a cost-effective, targeted and direct communication with the audience, but it also expands the museum experience beyond the borders of time and place. Although social media has triggered the attention of scholars, no previous study has classified the main ways in which social media affect museums. Drawing on a review of 54 papers this paper both categorizes and presents four major effects. The first effect relates to the opportunities of social media to museum experience and communication. The second effect is the social media enhancement to museums’ learning process. The third effect analyses patterns of social media use in museums. The fourth effect involves both the problems and the barriers attendant to social media integration in museums. This study contributes by presenting new theoretical insights, research topics and managerial implications","author":[{"dropping-particle":"","family":"Vassiliadis","given":"Chris","non-dropping-particle":"","parse-names":false,"suffix":""},{"dropping-particle":"","family":"Belenioti","given":"Zoe Charis","non-dropping-particle":"","parse-names":false,"suffix":""}],"container-title":"Tourismos: An international multidisciplinary Journal for Tourism, Special Issue 2017","id":"ITEM-1","issue":"3","issued":{"date-parts":[["2017"]]},"page":"97-132","title":"MUSEUMS &amp; CULTURAL HERITAGE VIA SOCIAL MEDIA: AN INTEGRATED LITERATURE REVIEW","type":"article-journal","volume":"12"},"uris":["http://www.mendeley.com/documents/?uuid=e36e2c9d-671a-442e-85e1-7fda206619b7"]}],"mendeley":{"formattedCitation":"(Vassiliadis and Belenioti, 2017)","manualFormatting":"(Vassiliadis and Belenioti, 2017;","plainTextFormattedCitation":"(Vassiliadis and Belenioti, 2017)","previouslyFormattedCitation":"(Vassiliadis and Belenioti, 2017)"},"properties":{"noteIndex":0},"schema":"https://github.com/citation-style-language/schema/raw/master/csl-citation.json"}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(Vassiliadis and Belenioti, 2017;</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{"citationItems":[{"id":"ITEM-1","itemData":{"DOI":"10.1016/j.bushor.2009.03.002","ISBN":"0007-6813","ISSN":"00076813","PMID":"41242974","abstract":"The emergence of Internet-based social media has made it possible for one person to communicate with hundreds or even thousands of other people about products and the companies that provide them. Thus, the impact of consumer-to-consumer communications has been greatly magnified in the marketplace. This article argues that social media is a hybrid element of the promotion mix because in a traditional sense it enables companies to talk to their customers, while in a nontraditional sense it enables customers to talk directly to one another. The content, timing, and frequency of the social media-based conversations occurring between consumers are outside managers' direct control. This stands in contrast to the traditional integrated marketing communications paradigm whereby a high degree of control is present. Therefore, managers must learn to shape consumer discussions in a manner that is consistent with the organization's mission and performance goals. Methods by which this can be accomplished are delineated herein. They include providing consumers with networking platforms, and using blogs, social media tools, and promotional tools to engage customers. ?? 2009 Kelley School of Business, Indiana University.","author":[{"dropping-particle":"","family":"Mangold","given":"W. Glynn","non-dropping-particle":"","parse-names":false,"suffix":""},{"dropping-particle":"","family":"Faulds","given":"David J.","non-dropping-particle":"","parse-names":false,"suffix":""}],"container-title":"Business Horizons","id":"ITEM-1","issued":{"date-parts":[["2009"]]},"note":"In this article, we argue that marketing managers\nshould include social media in the promotion mix when developing and executing their IMC strategies. des kai diplomatiki\n\n2 purposes of paper: \n- social media to be perveices as an intgeral part of proomtional mix\n- comparison between traditonal communcation tools and social media paradigm\n\ngia sxolia 1-10= blepe sximata kai bullets pou exo se xeirografes simeioseis\nsxolia 11:","page":"357-365","title":"Social media: The new hybrid element of the promotion mix","type":"article-journal","volume":"52"},"uris":["http://www.mendeley.com/documents/?uuid=bc89e5be-f56c-4aba-beba-f7b1f026ef31"]}],"mendeley":{"formattedCitation":"(Mangold and Faulds, 2009)","manualFormatting":"Mangold and Faulds, 2009;","plainTextFormattedCitation":"(Mangold and Faulds, 2009)","previouslyFormattedCitation":"(Mangold and Faulds, 2009)"},"properties":{"noteIndex":0},"schema":"https://github.com/citation-style-language/schema/raw/master/csl-citation.json"}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Mangold and Faulds, 2009;</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{"citationItems":[{"id":"ITEM-1","itemData":{"DOI":"10.1016/j.bushor.2012.01.007","ISSN":"00076813","author":[{"dropping-particle":"","family":"Berthon","given":"Pierre R.","non-dropping-particle":"","parse-names":false,"suffix":""},{"dropping-particle":"","family":"Pitt","given":"Leyland F.","non-dropping-particle":"","parse-names":false,"suffix":""},{"dropping-particle":"","family":"Plangger","given":"Kirk","non-dropping-particle":"","parse-names":false,"suffix":""},{"dropping-particle":"","family":"Shapiro","given":"Daniel","non-dropping-particle":"","parse-names":false,"suffix":""}],"container-title":"Business Horizons","id":"ITEM-1","issue":"3","issued":{"date-parts":[["2012","5"]]},"page":"261-271","publisher":"\"Kelley School of Business, Indiana University\"","title":"Marketing meets Web 2.0, social media, and creative consumers: Implications for international marketing strategy","type":"article-journal","volume":"55"},"uris":["http://www.mendeley.com/documents/?uuid=c40fc591-2ff9-4e1a-ad01-634069d30032"]},{"id":"ITEM-2","itemData":{"author":[{"dropping-particle":"","family":"Hausmann","given":"Andrea","non-dropping-particle":"","parse-names":false,"suffix":""}],"container-title":"INTERNATIONAL JOURNAL OF ARTS MANAGEMENT","id":"ITEM-2","issue":"3","issued":{"date-parts":[["2012"]]},"note":"- sos edo na vasisto gia erevna\n\n- Aim: to intorudce a conceptual framework suitable for museums to stimulate WOM, especially via social media.\n\n- Methodology : case study - survey \n- The purpose of this exploration was to investigate how one of Germany’s leading museums in terms of social media has used the 17 items included in the conceptual framework developed for this study. The following can be determined from the findings outlined in Table 3\n\n- Reuslts Summary: \n\n- museums should actively encourage WOM among their visitors\nand users via social media. museums should maintain a profile on one or more social media applica-tions.\n- With regard to viral effects and the scarcity of organizational resources, the focus should be on applications with high user numbers (such as Facebook, Twitter and YouTube). - - - - With respect to the conceptual framework, museums should ensure that their profile is updated several times a day and that the content posted is interesting enough to generate traffic and create buzz.\n- Additionally, museums should regularly stimulate interaction (e.g., through competitions, polls, questions) on their profile to motivate and involve\nfans and followers and to make the site more interesting in general.\n\n- Furthre Reseach 3 directions: \n1.research with other museums \n2.to investigate what actually drives museum visitors and fans to make referrals. In the general marketing literature on WOM, cus- tomer satisfaction and involvement are regarded as the key factors influencing referral behaviour (Oliver, 1997; Anderson, 1998; Bitner, 1997; Helm, 2000a), but there is no comprehensive and empirically founded research on the topic in the museum marketing literature\n3.when and why recipients read and follow (online) referrals. \n\n\n- blepe simeioseis se tertadio monaxou mple - ta exei scannarei orestis","title":"The Importance of Word of Mouth for Museums : An Analytical Framework The Importance of Word of Mouth for Museums : An Analytical Framework","type":"article-journal","volume":"14"},"uris":["http://www.mendeley.com/documents/?uuid=24ee6f5c-757d-4bf6-8425-5b1afdbf92ab"]},{"id":"ITEM-3","itemData":{"DOI":"10.1002/nvsm","author":[{"dropping-particle":"","family":"Hausmann","given":"Andrea","non-dropping-particle":"","parse-names":false,"suffix":""}],"container-title":"International Journal of Nonprofit and Voluntary Sector Marketing Int. J. Nonprofit Volunt. Sect. Mark. 17: 173–182 (2012)","id":"ITEM-3","issue":"April","issued":{"date-parts":[["2012"]]},"note":"found the gap - sos\n\ndes teradiostuendt mple monaxou - ta exei scannarei orestis","page":"173-182","title":"Creating ‘ buzz ’ : opportunities and limitations of social media for arts institutions and their viral marketing","type":"article-journal","volume":"182"},"uris":["http://www.mendeley.com/documents/?uuid=5095f05e-b2d2-4bb9-8316-386d0ff6567d"]},{"id":"ITEM-4","itemData":{"DOI":"10.1016/j.pubrev.2009.01.006","ISBN":"0363-8111","ISSN":"03638111","PMID":"37347030","abstract":"Since social networking sites, such as MySpace and Facebook, began allowing organizations to create profiles and become active members, organizations have started incorporating these strategies into their public relations programming. For-profit organizations have used these sites to help launch products and strengthen their existing brands; however, little is known about how nonprofit organizations are taking advantage of the social networking popularity. Through a content analysis of 275 nonprofit organization profiles on Facebook, this study examines how these new social networking sites are being used by the organizations to advance their organization's mission and programs. Solely having a profile will not in itself increase awareness or trigger an influx of participation. Instead careful planning and research will greatly benefit nonprofits as they attempt to develop social networking relationships with their stakeholders.","author":[{"dropping-particle":"","family":"Waters","given":"Richard D.","non-dropping-particle":"","parse-names":false,"suffix":""},{"dropping-particle":"","family":"Burnett","given":"Emily","non-dropping-particle":"","parse-names":false,"suffix":""},{"dropping-particle":"","family":"Lamm","given":"Anna","non-dropping-particle":"","parse-names":false,"suffix":""},{"dropping-particle":"","family":"Lucas","given":"Jessica","non-dropping-particle":"","parse-names":false,"suffix":""}],"container-title":"Public Relations Review","id":"ITEM-4","issue":"2","issued":{"date-parts":[["2009"]]},"page":"102-106","title":"Engaging stakeholders through social networking: How nonprofit organizations are using Facebook","type":"article-journal","volume":"35"},"uris":["http://www.mendeley.com/documents/?uuid=93da60eb-0fea-49a3-9c8c-8d01e6fe0323"]},{"id":"ITEM-5","itemData":{"DOI":"10.1080/09523980902933532","ISBN":"09523987","ISSN":"0952-3987","PMID":"40738647","abstract":"This paper posits that social networking can take a central role in learning in informal environments such as museums, libraries and galleries. It argues that social media offers young people agency previously unavailable in informal learning environments in order to explore complex responses to and participation with cultural content. The paper will consider transformations in digital literacy and the processes by which young learners can connect with knowledge in informal learning environments to become active cultural participants.","author":[{"dropping-particle":"","family":"Russo","given":"Angelina","non-dropping-particle":"","parse-names":false,"suffix":""},{"dropping-particle":"","family":"Watkins","given":"Jerry","non-dropping-particle":"","parse-names":false,"suffix":""},{"dropping-particle":"","family":"Groundwater‐Smith","given":"Susan","non-dropping-particle":"","parse-names":false,"suffix":""}],"container-title":"Educational Media International","id":"ITEM-5","issued":{"date-parts":[["2009"]]},"note":"SOS\n\nConclusion\n\n1.This paper has explored the notion that social networking is at the heart of new learn-ing. It has explored how informal learning environments such as museums, libraries\nand galleries may be utilised to enable young people to connect with cultural content\nand each other through by creating authentic learning experiences.\n\nThe examples cited\nindicate that there is an innovative and effective role for social media to play in creat-ing authentic learning experiences based on social networking and informal knowl-edge sharing.\n\nAt the heart of the success of future social media learning initiatives is a shift in\nforms of formal production. Collaborations between cultural and educational\ninstitutions could focus on storytelling, culture and education, and be centred around\nparticular topics or questions which evolve organically, enabling new knowledge to \nemerge from the engagement of young people. In this way, new methods may\nemerge and museums could be better prepared for the exigency of demand, thus\nensuring a sustained connection with young people through their social learning\nenvironments.","page":"153-166","title":"The impact of social media on informal learning in museums","type":"article","volume":"46"},"uris":["http://www.mendeley.com/documents/?uuid=239e10ad-c619-4016-8195-9b225c3e6fa9"]},{"id":"ITEM-6","itemData":{"DOI":"10.1016/j.pubrev.2011.03.002","ISBN":"0363-8111","ISSN":"03638111","abstract":"Many of the relationship cultivation strategies and the dialogic principles assume symmetrical communication is taking place. However, significant amounts of information are shared in a one-way manner. Although they have fallen out of favor with many academics, the four models of public relations can provide significant insights into how organizations communicate. Using the models as the guiding framework, this brief study examines how nonprofit organizations from the Philanthropy 200 communicate on Twitter. The findings reveal that the organizations are more likely to use one-way models despite the potential for dialogue and community building on the social networking site. © 2011 Elsevier Inc.","author":[{"dropping-particle":"","family":"Waters","given":"Richard D.","non-dropping-particle":"","parse-names":false,"suffix":""},{"dropping-particle":"","family":"Jamal","given":"Jia Y.","non-dropping-particle":"","parse-names":false,"suffix":""}],"container-title":"Public Relations Review","id":"ITEM-6","issue":"3","issued":{"date-parts":[["2011"]]},"note":"http://www.instituteforpr.org/tweet-tweet-tweet-a-content-analysis-of-nonprofit-organizations-twitter-updates/","page":"321-324","title":"Tweet, tweet, tweet: A content analysis of nonprofit organizations' Twitter updates","type":"article-journal","volume":"37"},"uris":["http://www.mendeley.com/documents/?uuid=e1a68b05-7854-4abe-ac6f-faaa0d44d39f"]},{"id":"ITEM-7","itemData":{"DOI":"10.1080/10495142.2011.594779","ISSN":"1049-5142","author":[{"dropping-particle":"","family":"Waters","given":"Richard D.","non-dropping-particle":"","parse-names":false,"suffix":""},{"dropping-particle":"","family":"Jones","given":"Paul M.","non-dropping-particle":"","parse-names":false,"suffix":""}],"container-title":"Journal of Nonprofit &amp; Public Sector Marketing","id":"ITEM-7","issue":"3","issued":{"date-parts":[["2011","7"]]},"note":"Through a content analysis of\nthe most viewed videos on the top 100 official nonprofit YouTube channels, this study found that nonprofit organizations primar-ily use their YouTube videos to inform and educate viewers about\ntheir missions, programs, and services. \nservices. While the videos also occa-sionally discuss the organizations’ advocacy, volunteering, and\nfundraising efforts, nonprofit organizations were not living up to their potential in terms of engagement through direct appeals\nfor involvement.","page":"248-268","title":"Using Video to Build an Organization's Identity and Brand: A Content Analysis of Nonprofit Organizations' YouTube Videos","type":"article-journal","volume":"23"},"uris":["http://www.mendeley.com/documents/?uuid=a95bcc0e-c6fd-4ce5-abd0-a01c53170c6d"]},{"id":"ITEM-8","itemData":{"DOI":"10.4018/978-1-60566-368-5.ch042","ISBN":"9781605663685","abstract":"Nonprofit organizations are an essential part of the social, political, and economic landscape of contemporary society. Social media provide ample opportunities for these organizations to increase their community presence, impact, effectiveness, and efficiency. A qualitative study of 39 nonprofit leaders explored how nonprofits are utilizing the potential of the social media technologies to carry out their programs and services. Thematic analysis revealed that nonprofits are slowly embracing the possibilities offered by the new social interaction technologies. Most nonprofit organizations lag behind and wait to see how other nonprofits incorporate these new communication outlets into their budgets and daily operations. Paralleling Rogers’ diffusion of innovations theory, innovators and early adopters are using social media to revitalize their fundraising and volunteering efforts while the majority lags behind.","author":[{"dropping-particle":"","family":"Waters","given":"RD","non-dropping-particle":"","parse-names":false,"suffix":""}],"container-title":"Handbook of research on social interaction technologies and collaboration software: Concepts and trends.","id":"ITEM-8","issued":{"date-parts":[["2010"]]},"page":"1420-1422","title":"The use of social media by nonprofit organizations: An examination from the diffusion of innovations perspective","type":"chapter"},"uris":["http://www.mendeley.com/documents/?uuid=89763b65-e149-42c6-8ede-99fbd012cdd5"]},{"id":"ITEM-9","itemData":{"DOI":"10.1080/09647775.2012.738136","ISSN":"0964-7775","author":[{"dropping-particle":"","family":"Fletcher","given":"Adrienne","non-dropping-particle":"","parse-names":false,"suffix":""},{"dropping-particle":"","family":"Lee","given":"Moon J.","non-dropping-particle":"","parse-names":false,"suffix":""}],"container-title":"Museum Management and Curatorship","id":"ITEM-9","issue":"5","issued":{"date-parts":[["2012","12"]]},"note":"The purpose of this study was to investigate how American museums are\ncurrently using social media.We assessed which social media sites are being used,\nto what purpose, and how this use is being evaluated.\n\nSample/ Method: 315 online surveys among American museums, and conducted nine in-depth interviews with professionals currently working with social media. Results indicate that American museum professionals believe becoming involved with social media is important. \n\nFinding:\n\nDisucssions\n\n1. managers belive in the effecvitvenes of sm \n2.low level of dailogic commnation and engagement- they use it for brand recongition and branding at the moment\n3. few museums useit for public engagemnet such as fundraising \n4. Factors motivating partciapation : quality content and type of social media that is used\n5. Measurment:number of fans the most popular, even though it is not so acutrate \naccordingly. The top three measurement tools are Facebook Stats, Google Analytics, and Google Alerts. \nNo consinsteny among theory and results rgeadridng the setting goals, implemntation of measurement tool to asses social media and how and how successful they perceive their social media efforts.\n\n\nMuseums are still mostly involved with one-way communication strategies using Facebook and Twitter to focus on event listing, reminders, and reaching larger or newer audiences by increasing the number of fans and promotional messaging. There is some evidence to suggest museums are trying to increase their use of social media for multi-way communication strategies.","page":"505-521","title":"Current social media uses and evaluations in American museums","type":"article-journal","volume":"27"},"uris":["http://www.mendeley.com/documents/?uuid=95c3ba89-5510-4db2-a97d-93b01f64cdff"]},{"id":"ITEM-10","itemData":{"DOI":"10.1080/09647775.2011.585806","ISSN":"0964-7775","abstract":"Abstract Issues such as whether museum websites are used for marketing purposes, and what role they play in a museum's broader marketing strategy, have relevance for theory and practice. Yet, little is written on museums and other cultural institutions within the electronic marketing literature. This paper explores the strategic role of electronic marketing in the Australian museum sector, taking a qualitative approach and using in-depth interviews with strategic and operational level staff from all the Australian state museums as a data source. Findings indicate that Australian state museums increasingly use their websites to communicate with their audiences in a marketing sense, with an emphasis, however, on a tactical rather than a strategic use. The success of an electronic marketing strategy appears to rest with the support and acceptance the technology has within the museum.; Abstract Issues such as whether museum websites are used for marketing purposes, and what role they play in a museum's broader marketing strategy, have relevance for theory and practice. Yet, little is written on museums and other cultural institutions within the electronic marketing literature. This paper explores the strategic role of electronic marketing in the Australian museum sector, taking a qualitative approach and using in-depth interviews with strategic and operational level staff from all the Australian state museums as a data source. Findings indicate that Australian state museums increasingly use their websites to communicate with their audiences in a marketing sense, with an emphasis, however, on a tactical rather than a strategic use. The success of an electronic marketing strategy appears to rest with the support and acceptance the technology has within the museum.","author":[{"dropping-particle":"","family":"Lehman","given":"Kim","non-dropping-particle":"","parse-names":false,"suffix":""},{"dropping-particle":"","family":"Roach","given":"Gemma","non-dropping-particle":"","parse-names":false,"suffix":""}],"container-title":"Museum Management and Curatorship","id":"ITEM-10","issue":"3","issued":{"date-parts":[["2011","8"]]},"note":"sos arthro, focus on page 4- 7\n\nThis paper explores the\nstrategic role of electronic marketing in the Australian museum sector, taking a\nqualitative approach and using in-depth interviews with strategic and operational\nlevel staff from all the Australian state museums as a data source. \n\n6 museusm as case studies\n\nFindings:Australian state museums increasingly use their websites to communicate with their audiences in a marketing- tactiacla not strategic use","page":"291-306","title":"The strategic role of electronic marketing in the Australian museum sector","type":"article-journal","volume":"26"},"uris":["http://www.mendeley.com/documents/?uuid=a846b7f2-f34d-4acd-b931-2b7530f1c560"]},{"id":"ITEM-11","itemData":{"DOI":"10.1080/09647770902857901","ISBN":"0964777090285","ISSN":"0964-7775","PMID":"40933418","abstract":"Abstract This paper advocates that tribal museums adopt a critical and reflexive approach towards using new media technologies to provide digital access to their collections, in support of their agendas of cultural revitalization and self-representation. We present a model which is intended to reveal the important social and cultural factors which should influence the design and implementation of technological systems of access to tribal museum collections, and we show how our model is working in the context of a particular tribal museum ? the A:shiwi A:wan Museum and Heritage Center of Zuni, New Mexico, USA.","author":[{"dropping-particle":"","family":"Srinivasan","given":"Ramesh","non-dropping-particle":"","parse-names":false,"suffix":""},{"dropping-particle":"","family":"Enote","given":"Jim","non-dropping-particle":"","parse-names":false,"suffix":""},{"dropping-particle":"","family":"Becvar","given":"Katherine M.","non-dropping-particle":"","parse-names":false,"suffix":""},{"dropping-particle":"","family":"Boast","given":"Robin","non-dropping-particle":"","parse-names":false,"suffix":""}],"container-title":"Museum Management and Curatorship","id":"ITEM-11","issued":{"date-parts":[["2009"]]},"note":"aimf: This paper advocates that tribal museums adopt a critical and reflexive approach towards using new media technologies to provide digital access to theircollections, in support of their agendas of cultural revitalization and self-representation.\n\nfindings\n- musuems dont undestrand their new responibiltiy for a for a more engaged, local and contemporary reciprocity.\n\n\n- while ICT is abut disemmination of exhibitions, publications and documentation,msueus have largely ignored the new possibilities of these digital objects online.&amp;quot;\n\nkalo gia theortika new mdai and museums mia seilda","page":"161-181","title":"Critical and reflective uses of new media technologies in tribal museums","type":"article","volume":"24"},"uris":["http://www.mendeley.com/documents/?uuid=c94a5ed1-5621-4a76-8945-616f450c730f"]}],"mendeley":{"formattedCitation":"(Waters &lt;i&gt;et al.&lt;/i&gt;, 2009; Russo, Watkins and Groundwater‐Smith, 2009; Srinivasan &lt;i&gt;et al.&lt;/i&gt;, 2009; Waters, 2010; Lehman and Roach, 2011; Waters and Jamal, 2011; Waters and Jones, 2011; Berthon &lt;i&gt;et al.&lt;/i&gt;, 2012; Fletcher and Lee, 2012; Hausmann, 2012a, 2012b)","manualFormatting":"Waters et al., 2009; Russo, Watkins and Groundwater‐Smith, 2009; Srinivasan et al., 2009; Waters, 2010; Lehman and Roach, 2011; Waters and Jamal, 2011; Waters and Jones, 2011; Berthon et al., 2012; Fletcher and Lee, 2012; Hausmann, 2012a, 2012b","plainTextFormattedCitation":"(Waters et al., 2009; Russo, Watkins and Groundwater‐Smith, 2009; Srinivasan et al., 2009; Waters, 2010; Lehman and Roach, 2011; Waters and Jamal, 2011; Waters and Jones, 2011; Berthon et al., 2012; Fletcher and Lee, 2012; Hausmann, 2012a, 2012b)","previouslyFormattedCitation":"(Waters &lt;i&gt;et al.&lt;/i&gt;, 2009; Russo, Watkins and Groundwater‐Smith, 2009; Srinivasan &lt;i&gt;et al.&lt;/i&gt;, 2009; Waters, 2010; Lehman and Roach, 2011; Waters and Jamal, 2011; Waters and Jones, 2011; Berthon &lt;i&gt;et al.&lt;/i&gt;, 2012; Fletcher and Lee, 2012; Hausmann, 2012a, 2012b)"},"properties":{"noteIndex":0},"schema":"https://github.com/citation-style-language/schema/raw/master/csl-citation.json"}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Waters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2009; Russo, Watkins and Groundwater‐Smith, 2009; Srinivasan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2009; Waters, 2010; Lehman and Roach, 2011; Waters and Jamal, 2011; Waters and Jones, 2011; Berthon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2012; Fletcher and Lee, 2012; Hausmann, 2012a, 2012b</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{"citationItems":[{"id":"ITEM-1","itemData":{"DOI":"10.1002/jcaf","author":[{"dropping-particle":"","family":"Nair","given":"Mohan","non-dropping-particle":"","parse-names":false,"suffix":""}],"id":"ITEM-1","issued":{"date-parts":[["2011"]]},"note":"apo diplomatiki mou, geniko gai social media\n\nReview \n\nit points out the usual problems orgs should tackle with such as cost issus and measuerement of sm profitability and efficiency.\n\n\n\nword list : \nforay (into something) an attempt to become involved in a different activity or profession\nmere: used when you want to emphasize how small, unimportant, etc","page":"45-51","title":"Understanding and Measuring the Value of Social Media","type":"article-journal"},"uris":["http://www.mendeley.com/documents/?uuid=2d09568c-ec3b-426d-950f-ac9307d1dd9f"]}],"mendeley":{"formattedCitation":"(Nair, 2011)","manualFormatting":";Nair, 2011;","plainTextFormattedCitation":"(Nair, 2011)","previouslyFormattedCitation":"(Nair, 2011)"},"properties":{"noteIndex":0},"schema":"https://github.com/citation-style-language/schema/raw/master/csl-citation.json"}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;Nair, 2011;</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{"citationItems":[{"id":"ITEM-1","itemData":{"DOI":"10.1177/1461444812452411","ISSN":"1461-4448","author":[{"dropping-particle":"","family":"Nah","given":"S.","non-dropping-particle":"","parse-names":false,"suffix":""},{"dropping-particle":"","family":"Saxton","given":"G. D.","non-dropping-particle":"","parse-names":false,"suffix":""}],"container-title":"New Media &amp; Society","id":"ITEM-1","issue":"2","issued":{"date-parts":[["2012","7","31"]]},"note":"polu kalo - sos \nThis study examines what drives organizational adoption and use of social media\nthrough a model built around four key factors – strategy, capacity, governance and\nenvironment. Using Twitter, Facebook, and other data on 100 large US nonprofit\norganizations,\nthe model is employed to examine the determinants of three key facets of social media utilization: \n(1) adoption, (2) frequency of use and (3) dialogue.","page":"294-313","title":"Modeling the adoption and use of social media by nonprofit organizations","type":"article-journal","volume":"15"},"uris":["http://www.mendeley.com/documents/?uuid=16ee4ff3-82bc-4e5e-abf3-69563383fa63"]}],"mendeley":{"formattedCitation":"(Nah and Saxton, 2012)","manualFormatting":"Nah and Saxton, 2012)","plainTextFormattedCitation":"(Nah and Saxton, 2012)","previouslyFormattedCitation":"(Nah and Saxton, 2012)"},"properties":{"noteIndex":0},"schema":"https://github.com/citation-style-language/schema/raw/master/csl-citation.json"}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Nah and Saxton, 2012)</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The following table presents this typology. </w:t>
      </w:r>
    </w:p>
    <w:p w14:paraId="595610D3" w14:textId="77777777" w:rsidR="00B803E8" w:rsidRPr="00AE7B34" w:rsidRDefault="00B803E8" w:rsidP="00B803E8">
      <w:pPr>
        <w:jc w:val="both"/>
        <w:rPr>
          <w:rFonts w:ascii="Times New Roman" w:hAnsi="Times New Roman" w:cs="Times New Roman"/>
          <w:color w:val="000000" w:themeColor="text1"/>
          <w:sz w:val="22"/>
          <w:szCs w:val="22"/>
          <w:lang w:val="en-US"/>
        </w:rPr>
      </w:pPr>
    </w:p>
    <w:p w14:paraId="55D06483" w14:textId="3EC85987" w:rsidR="00B803E8" w:rsidRPr="00AE7B34" w:rsidRDefault="00B803E8" w:rsidP="00B803E8">
      <w:pPr>
        <w:jc w:val="both"/>
        <w:rPr>
          <w:rFonts w:ascii="Times New Roman" w:hAnsi="Times New Roman" w:cs="Times New Roman"/>
          <w:i/>
          <w:iCs/>
          <w:color w:val="000000" w:themeColor="text1"/>
          <w:sz w:val="22"/>
          <w:szCs w:val="22"/>
          <w:lang w:val="en-US"/>
        </w:rPr>
      </w:pPr>
      <w:bookmarkStart w:id="0" w:name="_Toc36124824"/>
      <w:r w:rsidRPr="00AE7B34">
        <w:rPr>
          <w:rFonts w:ascii="Times New Roman" w:hAnsi="Times New Roman" w:cs="Times New Roman"/>
          <w:i/>
          <w:iCs/>
          <w:color w:val="000000" w:themeColor="text1"/>
          <w:sz w:val="22"/>
          <w:szCs w:val="22"/>
          <w:lang w:val="en-GB"/>
        </w:rPr>
        <w:t xml:space="preserve">Table </w:t>
      </w:r>
      <w:r w:rsidR="008A36FC" w:rsidRPr="00AE7B34">
        <w:rPr>
          <w:rFonts w:ascii="Times New Roman" w:hAnsi="Times New Roman" w:cs="Times New Roman"/>
          <w:i/>
          <w:iCs/>
          <w:color w:val="000000" w:themeColor="text1"/>
          <w:sz w:val="22"/>
          <w:szCs w:val="22"/>
          <w:lang w:val="en-GB"/>
        </w:rPr>
        <w:t>2</w:t>
      </w:r>
      <w:r w:rsidRPr="00AE7B34">
        <w:rPr>
          <w:rFonts w:ascii="Times New Roman" w:hAnsi="Times New Roman" w:cs="Times New Roman"/>
          <w:i/>
          <w:iCs/>
          <w:color w:val="000000" w:themeColor="text1"/>
          <w:sz w:val="22"/>
          <w:szCs w:val="22"/>
          <w:lang w:val="en-GB"/>
        </w:rPr>
        <w:t>:</w:t>
      </w:r>
      <w:r w:rsidRPr="00AE7B34">
        <w:rPr>
          <w:rFonts w:ascii="Times New Roman" w:hAnsi="Times New Roman" w:cs="Times New Roman"/>
          <w:i/>
          <w:iCs/>
          <w:color w:val="000000" w:themeColor="text1"/>
          <w:sz w:val="22"/>
          <w:szCs w:val="22"/>
          <w:lang w:val="en-US"/>
        </w:rPr>
        <w:t xml:space="preserve"> Summary Table of </w:t>
      </w:r>
      <w:r w:rsidRPr="00AE7B34">
        <w:rPr>
          <w:rFonts w:ascii="Times New Roman" w:hAnsi="Times New Roman" w:cs="Times New Roman"/>
          <w:i/>
          <w:iCs/>
          <w:color w:val="000000" w:themeColor="text1"/>
          <w:sz w:val="22"/>
          <w:szCs w:val="22"/>
          <w:lang w:val="en-GB"/>
        </w:rPr>
        <w:t xml:space="preserve">studies on COVID-19, </w:t>
      </w:r>
      <w:proofErr w:type="gramStart"/>
      <w:r w:rsidR="008A36FC" w:rsidRPr="00AE7B34">
        <w:rPr>
          <w:rFonts w:ascii="Times New Roman" w:hAnsi="Times New Roman" w:cs="Times New Roman"/>
          <w:i/>
          <w:iCs/>
          <w:color w:val="000000" w:themeColor="text1"/>
          <w:sz w:val="22"/>
          <w:szCs w:val="22"/>
          <w:lang w:val="en-GB"/>
        </w:rPr>
        <w:t>Social Media</w:t>
      </w:r>
      <w:proofErr w:type="gramEnd"/>
      <w:r w:rsidRPr="00AE7B34">
        <w:rPr>
          <w:rFonts w:ascii="Times New Roman" w:hAnsi="Times New Roman" w:cs="Times New Roman"/>
          <w:i/>
          <w:iCs/>
          <w:color w:val="000000" w:themeColor="text1"/>
          <w:sz w:val="22"/>
          <w:szCs w:val="22"/>
          <w:lang w:val="en-GB"/>
        </w:rPr>
        <w:t xml:space="preserve"> – Digital Transformation Tools within Museums </w:t>
      </w:r>
      <w:bookmarkEnd w:id="0"/>
    </w:p>
    <w:tbl>
      <w:tblPr>
        <w:tblStyle w:val="TableGrid"/>
        <w:tblW w:w="8926" w:type="dxa"/>
        <w:tblLook w:val="04A0" w:firstRow="1" w:lastRow="0" w:firstColumn="1" w:lastColumn="0" w:noHBand="0" w:noVBand="1"/>
      </w:tblPr>
      <w:tblGrid>
        <w:gridCol w:w="2949"/>
        <w:gridCol w:w="1299"/>
        <w:gridCol w:w="4678"/>
      </w:tblGrid>
      <w:tr w:rsidR="00AE7B34" w:rsidRPr="00AE7B34" w14:paraId="4A44D392" w14:textId="77777777" w:rsidTr="00AF33A5">
        <w:tc>
          <w:tcPr>
            <w:tcW w:w="2949" w:type="dxa"/>
          </w:tcPr>
          <w:p w14:paraId="36ACEB14"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Research Strands in social media&amp; FPOs’ branding </w:t>
            </w:r>
          </w:p>
        </w:tc>
        <w:tc>
          <w:tcPr>
            <w:tcW w:w="1299" w:type="dxa"/>
          </w:tcPr>
          <w:p w14:paraId="22C330EA"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Number of studies </w:t>
            </w:r>
          </w:p>
        </w:tc>
        <w:tc>
          <w:tcPr>
            <w:tcW w:w="4678" w:type="dxa"/>
          </w:tcPr>
          <w:p w14:paraId="353841E6"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Authors </w:t>
            </w:r>
          </w:p>
        </w:tc>
      </w:tr>
      <w:tr w:rsidR="00AE7B34" w:rsidRPr="00AE7B34" w14:paraId="30B8640E" w14:textId="77777777" w:rsidTr="00AF33A5">
        <w:tc>
          <w:tcPr>
            <w:tcW w:w="2949" w:type="dxa"/>
          </w:tcPr>
          <w:p w14:paraId="4D7558A9" w14:textId="6AC80D65"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1. </w:t>
            </w:r>
            <w:proofErr w:type="gramStart"/>
            <w:r w:rsidR="008A36FC" w:rsidRPr="00AE7B34">
              <w:rPr>
                <w:rFonts w:ascii="Times New Roman" w:hAnsi="Times New Roman" w:cs="Times New Roman"/>
                <w:color w:val="000000" w:themeColor="text1"/>
                <w:sz w:val="22"/>
                <w:szCs w:val="22"/>
                <w:lang w:val="en-US"/>
              </w:rPr>
              <w:t>Social media</w:t>
            </w:r>
            <w:proofErr w:type="gramEnd"/>
            <w:r w:rsidRPr="00AE7B34">
              <w:rPr>
                <w:rFonts w:ascii="Times New Roman" w:hAnsi="Times New Roman" w:cs="Times New Roman"/>
                <w:color w:val="000000" w:themeColor="text1"/>
                <w:sz w:val="22"/>
                <w:szCs w:val="22"/>
                <w:lang w:val="en-US"/>
              </w:rPr>
              <w:t xml:space="preserve"> &amp; </w:t>
            </w:r>
            <w:r w:rsidR="00D53AF3" w:rsidRPr="00AE7B34">
              <w:rPr>
                <w:rFonts w:ascii="Times New Roman" w:hAnsi="Times New Roman" w:cs="Times New Roman"/>
                <w:color w:val="000000" w:themeColor="text1"/>
                <w:sz w:val="22"/>
                <w:szCs w:val="22"/>
                <w:lang w:val="en-US"/>
              </w:rPr>
              <w:t>Digital</w:t>
            </w:r>
            <w:r w:rsidRPr="00AE7B34">
              <w:rPr>
                <w:rFonts w:ascii="Times New Roman" w:hAnsi="Times New Roman" w:cs="Times New Roman"/>
                <w:color w:val="000000" w:themeColor="text1"/>
                <w:sz w:val="22"/>
                <w:szCs w:val="22"/>
                <w:lang w:val="en-US"/>
              </w:rPr>
              <w:t xml:space="preserve"> </w:t>
            </w:r>
            <w:r w:rsidR="00A115B4" w:rsidRPr="00AE7B34">
              <w:rPr>
                <w:rFonts w:ascii="Times New Roman" w:hAnsi="Times New Roman" w:cs="Times New Roman"/>
                <w:color w:val="000000" w:themeColor="text1"/>
                <w:sz w:val="22"/>
                <w:szCs w:val="22"/>
                <w:lang w:val="en-US"/>
              </w:rPr>
              <w:t>tools as</w:t>
            </w:r>
            <w:r w:rsidRPr="00AE7B34">
              <w:rPr>
                <w:rFonts w:ascii="Times New Roman" w:hAnsi="Times New Roman" w:cs="Times New Roman"/>
                <w:color w:val="000000" w:themeColor="text1"/>
                <w:sz w:val="22"/>
                <w:szCs w:val="22"/>
                <w:lang w:val="en-US"/>
              </w:rPr>
              <w:t xml:space="preserve"> </w:t>
            </w:r>
            <w:r w:rsidR="00C0482A" w:rsidRPr="00AE7B34">
              <w:rPr>
                <w:rFonts w:ascii="Times New Roman" w:hAnsi="Times New Roman" w:cs="Times New Roman"/>
                <w:color w:val="000000" w:themeColor="text1"/>
                <w:sz w:val="22"/>
                <w:szCs w:val="22"/>
                <w:lang w:val="en-US"/>
              </w:rPr>
              <w:t>first aid</w:t>
            </w:r>
            <w:r w:rsidRPr="00AE7B34">
              <w:rPr>
                <w:rFonts w:ascii="Times New Roman" w:hAnsi="Times New Roman" w:cs="Times New Roman"/>
                <w:color w:val="000000" w:themeColor="text1"/>
                <w:sz w:val="22"/>
                <w:szCs w:val="22"/>
                <w:lang w:val="en-US"/>
              </w:rPr>
              <w:t xml:space="preserve"> kit </w:t>
            </w:r>
            <w:r w:rsidR="00A5135F" w:rsidRPr="00AE7B34">
              <w:rPr>
                <w:rFonts w:ascii="Times New Roman" w:hAnsi="Times New Roman" w:cs="Times New Roman"/>
                <w:color w:val="000000" w:themeColor="text1"/>
                <w:sz w:val="22"/>
                <w:szCs w:val="22"/>
                <w:lang w:val="en-US"/>
              </w:rPr>
              <w:t xml:space="preserve">amidst </w:t>
            </w:r>
            <w:r w:rsidRPr="00AE7B34">
              <w:rPr>
                <w:rFonts w:ascii="Times New Roman" w:hAnsi="Times New Roman" w:cs="Times New Roman"/>
                <w:color w:val="000000" w:themeColor="text1"/>
                <w:sz w:val="22"/>
                <w:szCs w:val="22"/>
                <w:lang w:val="en-US"/>
              </w:rPr>
              <w:t xml:space="preserve">COVID-19 </w:t>
            </w:r>
          </w:p>
        </w:tc>
        <w:tc>
          <w:tcPr>
            <w:tcW w:w="1299" w:type="dxa"/>
          </w:tcPr>
          <w:p w14:paraId="29D73652"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19</w:t>
            </w:r>
          </w:p>
        </w:tc>
        <w:tc>
          <w:tcPr>
            <w:tcW w:w="4678" w:type="dxa"/>
          </w:tcPr>
          <w:p w14:paraId="404BA2FC" w14:textId="7BD3C69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fldChar w:fldCharType="begin" w:fldLock="1"/>
            </w:r>
            <w:r w:rsidR="002A527F" w:rsidRPr="00AE7B34">
              <w:rPr>
                <w:rFonts w:ascii="Times New Roman" w:hAnsi="Times New Roman" w:cs="Times New Roman"/>
                <w:color w:val="000000" w:themeColor="text1"/>
                <w:sz w:val="22"/>
                <w:szCs w:val="22"/>
                <w:lang w:val="en-US"/>
              </w:rPr>
              <w:instrText>ADDIN CSL_CITATION {"citationItems":[{"id":"ITEM-1","itemData":{"DOI":"10.1080/09647775.2020.1790029","ISSN":"09647775","abstract":"This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Curatorship","id":"ITEM-1","issue":"0","issued":{"date-parts":[["2020"]]},"note":"Poly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id":"ITEM-2","itemData":{"URL":"https://westmuse.org/articles/wma’s-social-media-best-practices-help-your-brand-during-covid-19","author":[{"dropping-particle":"","family":"Association","given":"Western Museums","non-dropping-particle":"","parse-names":false,"suffix":""}],"id":"ITEM-2","issued":{"date-parts":[["2021"]]},"page":"1-4","title":"WMA ’ s Social Media Best Practices : Help Your Brand During","type":"webpage"},"uris":["http://www.mendeley.com/documents/?uuid=c137a726-ea38-4bc5-a125-1f163dbea5e2"]},{"id":"ITEM-3","itemData":{"DOI":"10.1017/CBO9781107415324.004","ISBN":"9788578110796","ISSN":"1098-6596","PMID":"25246403","abstract":"Predicting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-3","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id":"ITEM-4","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museumstidsskrift","id":"ITEM-4","issue":"02","issued":{"date-parts":[["2020"]]},"note":"Aim: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COVID-19","type":"article-journal","volume":"6"},"uris":["http://www.mendeley.com/documents/?uuid=20dc630b-634d-4065-9539-6ea2541ce1e4"]},{"id":"ITEM-5","itemData":{"author":[{"dropping-particle":"","family":"Calvert","given":"Contributors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-5","issue":"May","issued":{"date-parts":[["2020"]]},"title":"Social Media during COVID-19 A Quick Guide for Canadian Museums","type":"article-journal"},"uris":["http://www.mendeley.com/documents/?uuid=d80d7ef1-656d-410a-8aad-68ab71788373"]},{"id":"ITEM-6","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Recovery","id":"ITEM-6","issued":{"date-parts":[["2020"]]},"note":"SOS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Academia.edu","type":"book"},"uris":["http://www.mendeley.com/documents/?uuid=38ef854f-ed7c-40eb-9ee5-9934347b68e0"]},{"id":"ITEM-7","itemData":{"DOI":"10.1007/s40558-020-00181-3","ISBN":"4055802000181","ISSN":"19434294","abstract":"This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Tourism","id":"ITEM-7","issue":"2","issued":{"date-parts":[["2020"]]},"note":"kalo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-8","itemData":{"author":[{"dropping-particle":"","family":"Kahn","given":"Rebecca","non-dropping-particle":"","parse-names":false,"suffix":""}],"container-title":"Elephant in the Lab","id":"ITEM-8","issued":{"date-parts":[["2020"]]},"note":"Key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pandemic","type":"article-journal"},"uris":["http://www.mendeley.com/documents/?uuid=1e2d9064-603e-446f-b332-1e739081b59b"]},{"id":"ITEM-9","itemData":{"DOI":"10.29311/mas.v18i3.3539","ISSN":"1479-8360","abstract":"In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Society","id":"ITEM-9","issue":"3","issued":{"date-parts":[["2020"]]},"note":"metrio\n\nanagki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id":"ITEM-10","itemData":{"author":[{"dropping-particle":"","family":"NEMO","given":"","non-dropping-particle":"","parse-names":false,"suffix":""}],"id":"ITEM-10","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Europe","type":"article-journal"},"uris":["http://www.mendeley.com/documents/?uuid=afa71f7b-f749-40c9-bddc-38817493a4fa"]},{"id":"ITEM-11","itemData":{"abstract":"Culture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Organisations","given":"","non-dropping-particle":"","parse-names":false,"suffix":""}],"id":"ITEM-11","issue":"May","issued":{"date-parts":[["2020"]]},"note":"This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Recommendations","type":"article-journal"},"uris":["http://www.mendeley.com/documents/?uuid=87c3677f-bc32-4c2f-971f-bbf5d494c8df"]},{"id":"ITEM-12","itemData":{"abstract":"Culture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Organisations","given":"","non-dropping-particle":"","parse-names":false,"suffix":""}],"id":"ITEM-12","issue":"May","issued":{"date-parts":[["2020"]]},"note":"1.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Recommendations","type":"report"},"uris":["http://www.mendeley.com/documents/?uuid=4829ec80-1b8d-4aec-bd98-6f9aa420f9da"]},{"id":"ITEM-13","itemData":{"DOI":"10.1080/09647775.2020.1762361","ISSN":"0964-7775","abstract":"No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Curatorship","id":"ITEM-13","issue":"3","issued":{"date-parts":[["2020"]]},"note":"polu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-14","itemData":{"author":[{"dropping-particle":"","family":"Practice","given":"Creative","non-dropping-particle":"","parse-names":false,"suffix":""}],"id":"ITEM-14","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id":"ITEM-15","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Research","id":"ITEM-15","issue":"ahead-of-print","issued":{"date-parts":[["2021"]]},"note":"SOS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museums","type":"article-journal","volume":"ahead-of-p"},"uris":["http://www.mendeley.com/documents/?uuid=bdc7389f-f1f2-4ac6-8536-524dd6cc6e43"]},{"id":"ITEM-16","itemData":{"DOI":"10.1016/j.jbusres.2020.06.015","ISSN":"01482963","PMID":"32546875","abstract":"The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Research","id":"ITEM-16","issue":"June","issued":{"date-parts":[["2020"]]},"note":"Polu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research","type":"article-journal","volume":"117"},"uris":["http://www.mendeley.com/documents/?uuid=f7d3cdac-c386-47a5-98b2-0d71b15c1cc6"]},{"id":"ITEM-17","itemData":{"abstract":"This second report COVID-19 Related Travel Restrictions – A Global Review for Tourism was developed by the World Tourism Organization’s (UNWTO) Sustainable Development of Tourism Department. The report was prepared under the supervision of Dr. Dirk Glaesser with lead contributions from Lorna Hartantyo, Marianna Stori and Cordula Wohlmuther. Virginia Fernández-Trapa reviewed and provided feedback to the report. Comments on the previous version of this report were provided by Sandra Carvao, Orianne Derrier, Hernán Epstein, Harry Hwang, Beka Jakeli and Merjen Meretgulyyeva. Layout of the cover was provided by Alberto G. Uceda and layout of the report by Javier P. Spuch. We wish to thank Mrs Fiona Barron and Mr Rodolfo Losada from the World Food Programme for the clarifications and support provided.","author":[{"dropping-particle":"","family":"World Tourism Organization (UNWTO)","given":"","non-dropping-particle":"","parse-names":false,"suffix":""}],"container-title":"World Tourism Organization","id":"ITEM-17","issue":"April","issued":{"date-parts":[["2020"]]},"note":"kalo os vasi \n\n\nIntroduction - SOS\n\n\n7. Conclusions\n\n- Destinations continue to ease travel\nrestrictions. The analysis shows that there\nare various factors influencing thi trend\nDestinations with a higher score of the\nhealth and hygiene indicator as well as\nlow infection rates are among those which\neased restrictions faster than destinations of\ndifferent characteristics. Also, the importance\nof tourism is, although not in all countries,\ninfluencing that borders are getting reopened.\n\n\n\n0- However, many countries still keep their borders closed with impacts not only for international tourism but significant side effects for their economies and societies.\n\n\n- \nGovernments in destinations that have eased\nrestrictions continue to indicate that travel\nrestrictions will be reintroduced in case of\nincreasing infection rates at any time. These\ntravel\noften\nrestrictions\nrapid changes in\nremain a major challenge. Consequently,\nimmigration procedures and requirements will\ndiffer from destination to destination, which is\nespecially challenging for the consistency of\ninformation on procedures and requirements\nacross the different national authorities,\nnamely health, foreign affairs, immigration\nand tourism authorities of a country.\n\n\n- It is now, especially in view of the upcoming\nfast changing procedures and requirements,\neven more important that national authorities\nensure that immigration procedures and\nrequirements are provided in a timely, reliable \nand consistent manner across all information\nsystems and platforms, to maintain confidence\nand trust.\n\nProportionate and responsible opening\nof borders for international tourism\n\n\n\nWith seven months of the pandemic in place,\nlessons learned from attempts of limiting the\nspread of COVID-19 have become available.\nOne of the lessons might be that through\nsocial distancing and\ntesting and tracing,\nrelevant\nas hand\nhygiene measure such\nwashing and the wearing of mask the spread of\ninfection can be limited. Based on this and on\nthe introduction of protocols and procedures\nin general and in tourism in particular, reasons\nand justification for lifting and easing travel\nrestrictions might be provided.","page":"1-11","title":"Covid - 19 related travel restrictions a global review for tourism","type":"article-journal"},"uris":["http://www.mendeley.com/documents/?uuid=37b18eff-d4df-4966-8daf-6112820eb729"]}],"mendeley":{"formattedCitation":"(Agostino, Arnaboldi and Lampis, 2020; Network of European Museum Organisations, 2020b, 2020a; Ou, 2020; Practice, 2020; Sigala, 2020; World Tourism Organization (UNWTO), 2020; Bonin-Rodriguez and Vakharia, 2020; Burke, Jørgensen and Jørgensen, 2020; Calvert &lt;i&gt;et al.&lt;/i&gt;, 2020; Course and Systems, 2020; Gretzel &lt;i&gt;et al.&lt;/i&gt;, 2020; Kahn, 2020; Kist, 2020; NEMO, 2020; Association, 2021; Raimo &lt;i&gt;et al.&lt;/i&gt;, 2021)","manualFormatting":"Agostino, Arnaboldi and Lampis, 2020; Network of European Museum Organisations, 2020b, 2020a; Ou, 2020; Practice, 2020; Sigala, 2020; World Tourism Organization (UNWTO), 2020; Bonin-Rodriguez and Vakharia, 2020; Burke, Jørgensen and Jørgensen, 2020; Calvert et al., 2020; Course and Systems, 2020; Gretzel et al., 2020; Kahn, 2020; Kist, 2020; NEMO, 2020a;2020b Association, 2021; Raimo et al., 2021","plainTextFormattedCitation":"(Agostino, Arnaboldi and Lampis, 2020; Network of European Museum Organisations, 2020b, 2020a; Ou, 2020; Practice, 2020; Sigala, 2020; World Tourism Organization (UNWTO), 2020; Bonin-Rodriguez and Vakharia, 2020; Burke, Jørgensen and Jørgensen, 2020; Calvert et al., 2020; Course and Systems, 2020; Gretzel et al., 2020; Kahn, 2020; Kist, 2020; NEMO, 2020; Association, 2021; Raimo et al., 2021)","previouslyFormattedCitation":"(Agostino, Arnaboldi and Lampis, 2020; Network of European Museum Organisations, 2020b, 2020a; Ou, 2020; Practice, 2020; Sigala, 2020; World Tourism Organization (UNWTO), 2020; Bonin-Rodriguez and Vakharia, 2020; Burke, Jørgensen and Jørgensen, 2020; Calvert &lt;i&gt;et al.&lt;/i&gt;, 2020; Course and Systems, 2020; Gretzel &lt;i&gt;et al.&lt;/i&gt;, 2020; Kahn, 2020; Kist, 2020; NEMO, 2020; Association, 2021; 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Agostino, Arnaboldi and Lampis, 2020; Network of European Museum Organisations, 2020b, 2020a; Ou, 2020; Practice, 2020; Sigala, 2020; World Tourism Organization (UNWTO), 2020; Bonin-Rodriguez and Vakharia, 2020; Burke, Jørgensen and Jørgensen, 2020; Calvert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2020; Course and Systems, 2020; Gretzel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2020; Kahn, 2020; Kist, 2020; NEMO, 2020</w:t>
            </w:r>
            <w:r w:rsidR="002A527F" w:rsidRPr="00AE7B34">
              <w:rPr>
                <w:rFonts w:ascii="Times New Roman" w:hAnsi="Times New Roman" w:cs="Times New Roman"/>
                <w:noProof/>
                <w:color w:val="000000" w:themeColor="text1"/>
                <w:sz w:val="22"/>
                <w:szCs w:val="22"/>
                <w:lang w:val="en-US"/>
              </w:rPr>
              <w:t>a</w:t>
            </w:r>
            <w:r w:rsidRPr="00AE7B34">
              <w:rPr>
                <w:rFonts w:ascii="Times New Roman" w:hAnsi="Times New Roman" w:cs="Times New Roman"/>
                <w:noProof/>
                <w:color w:val="000000" w:themeColor="text1"/>
                <w:sz w:val="22"/>
                <w:szCs w:val="22"/>
                <w:lang w:val="en-US"/>
              </w:rPr>
              <w:t>;</w:t>
            </w:r>
            <w:r w:rsidR="002A527F" w:rsidRPr="00AE7B34">
              <w:rPr>
                <w:rFonts w:ascii="Times New Roman" w:hAnsi="Times New Roman" w:cs="Times New Roman"/>
                <w:noProof/>
                <w:color w:val="000000" w:themeColor="text1"/>
                <w:sz w:val="22"/>
                <w:szCs w:val="22"/>
                <w:lang w:val="en-US"/>
              </w:rPr>
              <w:t>2020b</w:t>
            </w:r>
            <w:r w:rsidRPr="00AE7B34">
              <w:rPr>
                <w:rFonts w:ascii="Times New Roman" w:hAnsi="Times New Roman" w:cs="Times New Roman"/>
                <w:noProof/>
                <w:color w:val="000000" w:themeColor="text1"/>
                <w:sz w:val="22"/>
                <w:szCs w:val="22"/>
                <w:lang w:val="en-US"/>
              </w:rPr>
              <w:t xml:space="preserve"> Association, 2021; 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2021</w:t>
            </w:r>
            <w:r w:rsidRPr="00AE7B34">
              <w:rPr>
                <w:rFonts w:ascii="Times New Roman" w:hAnsi="Times New Roman" w:cs="Times New Roman"/>
                <w:color w:val="000000" w:themeColor="text1"/>
                <w:sz w:val="22"/>
                <w:szCs w:val="22"/>
                <w:lang w:val="en-US"/>
              </w:rPr>
              <w:fldChar w:fldCharType="end"/>
            </w:r>
          </w:p>
        </w:tc>
      </w:tr>
      <w:tr w:rsidR="00AE7B34" w:rsidRPr="00AE7B34" w14:paraId="56BD8E52" w14:textId="77777777" w:rsidTr="00AF33A5">
        <w:tc>
          <w:tcPr>
            <w:tcW w:w="2949" w:type="dxa"/>
          </w:tcPr>
          <w:p w14:paraId="2CE34401" w14:textId="3EA27998"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2. Digital </w:t>
            </w:r>
            <w:r w:rsidR="00A115B4" w:rsidRPr="00AE7B34">
              <w:rPr>
                <w:rFonts w:ascii="Times New Roman" w:hAnsi="Times New Roman" w:cs="Times New Roman"/>
                <w:color w:val="000000" w:themeColor="text1"/>
                <w:sz w:val="22"/>
                <w:szCs w:val="22"/>
                <w:lang w:val="en-US"/>
              </w:rPr>
              <w:t>transformation tools</w:t>
            </w:r>
            <w:r w:rsidRPr="00AE7B34">
              <w:rPr>
                <w:rFonts w:ascii="Times New Roman" w:hAnsi="Times New Roman" w:cs="Times New Roman"/>
                <w:color w:val="000000" w:themeColor="text1"/>
                <w:sz w:val="22"/>
                <w:szCs w:val="22"/>
                <w:lang w:val="en-US"/>
              </w:rPr>
              <w:t xml:space="preserve"> as key engagement tool; patterns and best practices</w:t>
            </w:r>
          </w:p>
        </w:tc>
        <w:tc>
          <w:tcPr>
            <w:tcW w:w="1299" w:type="dxa"/>
          </w:tcPr>
          <w:p w14:paraId="25B4A8D1"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13</w:t>
            </w:r>
          </w:p>
        </w:tc>
        <w:tc>
          <w:tcPr>
            <w:tcW w:w="4678" w:type="dxa"/>
          </w:tcPr>
          <w:p w14:paraId="1EBD1439" w14:textId="48C43384"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{"citationItems":[{"id":"ITEM-1","itemData":{"DOI":"10.1080/09540962.2020.1764206","ISSN":"14679302","abstract":"In an unexpected circumstance, such as the COVID-19 pandemic, public service delivery cannot be suspended, but must be delivered online, relying on the available digital technology. Social media, specifically, have been widely used to reach a broader portion of the population. This article discusses the digital acceleration that governments and organizations are now facing. The focus is on Italian state museums, which have been pushed for years to adopt digital tools to increase participation. This article highlights three main dilemmas in service delivery: user engagement; planning and control; and costs. The three dilemmas show the social and organizational challenges connected to digital transformation, underlining the issues that organizations will have to face in the future and not just in an emergency such as COVID-19.IMPACT: How should public sector institutions use digital technologies for service delivery in unexpected circumstances, such as the COVID-19 pandemic? Starting from the empirical setting of 100 Italian state museums, this article shows how digital technologies, and social media particularly, can be a powerful tool for public service delivery when an onsite service cannot be provided. The authors explain the benefits of online service delivery, for example broader audiences and new ways of interacting with users. They also highlight areas that need discussion and further research, for example whether online services should be provided with a fee or free and the trade-off between carefully planning a digital transformation and reacting promptly to catastrophic events.","author":[{"dropping-particle":"","family":"Agostino","given":"Deborah","non-dropping-particle":"","parse-names":false,"suffix":""},{"dropping-particle":"","family":"Arnaboldi","given":"Michela","non-dropping-particle":"","parse-names":false,"suffix":""},{"dropping-particle":"","family":"Lema","given":"Melisa Diaz","non-dropping-particle":"","parse-names":false,"suffix":""}],"container-title":"Public Money and Management","id":"ITEM-1","issue":"0","issued":{"date-parts":[["2020"]]},"note":"abtsract :\nThis article highlights three main dilemmas in service delivery:\nuser engagement; planning and control; and costs. The three dilemmas show the social and\norganizational challenges connected to digital transformation, underlining the issues that\norganizations will have to face in the future and not just in an emergency such as COVID-19.\n\nStarting from the empirical setting of 100\nItalian state museums, this article shows how digital technologies, and social media\nparticularly, can be a powerful tool for public service delivery when an onsite service cannot\nbe provided.\n\n\nConlusions \n\nConcluding remarks\nCOVID-19 has acted as an accelerator for digital\ntransformation in public service delivery. The\nempirical evidence from 100 Italian state museums, currently closed to the public and with digital service delivery as their only option, is an extreme case.\n\n\n- \nOur three dilemmas highlight issues that we will\nhave to face in the future, not only in an emergency\nsuch as COVID-19, but also more routinely in the\nchallenge of digital transformation. \n\n- These issues are\nonly partially linked to technology, which is\nobviously an enabler but, more specifically, they\nbring up the social and organizational challenges\nconnected to digital transformations. \n\n- Users are more\nthan service recipients who want, and can easily\nhave (through social media and other digital\ntechnologies), a voice. \n\n- Information can be collected and services personalized but, paradoxically, the\nsearch for the best ‘tailor-made’ technology can\ncause delays and rigidity, as can be seen in several service delivery aspects, from pricing to planning and preparing an offer. \n- Novel transformational skills\nwill be key to dealing with this new setting; these may be new professional roles and competences, flexible assets or other resources. However, there is clearly an urgent need for further research to find the best way forward.","page":"1-4","publisher":"Taylor &amp; Francis","title":"New development: COVID-19 as an accelerator of digital transformation in public service delivery","type":"article-journal","volume":"0"},"uris":["http://www.mendeley.com/documents/?uuid=0dc499cd-9dc9-4263-a596-ac5b022eef2a"]},{"id":"ITEM-2","itemData":{"URL":"https://westmuse.org/articles/wma’s-social-media-best-practices-help-your-brand-during-covid-19","author":[{"dropping-particle":"","family":"Association","given":"Western Museums","non-dropping-particle":"","parse-names":false,"suffix":""}],"id":"ITEM-2","issued":{"date-parts":[["2021"]]},"page":"1-4","title":"WMA ’ s Social Media Best Practices : Help Your Brand During","type":"webpage"},"uris":["http://www.mendeley.com/documents/?uuid=c137a726-ea38-4bc5-a125-1f163dbea5e2"]},{"id":"ITEM-3","itemData":{"DOI":"10.18261/issn.2464-2525-2020-02-05","ISBN":"2464252520200","author":[{"dropping-particle":"","family":"Burke","given":"Verity","non-dropping-particle":"","parse-names":false,"suffix":""},{"dropping-particle":"","family":"Jørgensen","given":"Dolly","non-dropping-particle":"","parse-names":false,"suffix":""},{"dropping-particle":"","family":"Jørgensen","given":"Finn Arne","non-dropping-particle":"","parse-names":false,"suffix":""}],"container-title":"Norsk museumstidsskrift","id":"ITEM-3","issue":"02","issued":{"date-parts":[["2020"]]},"note":"Aim: to survey 3 types of responses to the COVID19 pandemic rom\n1, attempts to replicate the museum visit experience, \n2. alternative replacements making use\nof online platforms, \n3.initiatives that envision radically different relationships to their audiences. \n\nMethod:selection is not intended to be representative, but instead draws into dia-logue the experiences the authors had during lockdown, reflecting a small sample of inter-national and Norwegian museum locations, exhibitions and engagements that were\nincreasingly available throughout the pandemic, while commenting on wider trends. \n\nFindinds: \n1. 2 cases : : 2 cases Both the Stavanger Art Museum and the Royal Society\n2.\nCOVID-19 and the crowdsourced museum\nWhereas virtual online tours and digital exhibit replacements provided museums with a\ndelivery mechanism for museum-curated content, other initiatives mobilized visitors sitting\nat home as creative contributors to the museum.\n3. The virtual museum, in all its forms, has opened doors to visitors who can visit irrespective\nof time or location, while social media has given institutions a new voice and (at least in\npart) democratized the use of collections.\n4. These virtual interactions are vital not only in allowing visitors through the doors while\nthe buildings themselves are shuttered, but also in validating the existence of such cultural\ninstitutions when in-person visits are not possible, promoting our heritage as worthy of\nattention when the doors reopen. \n\nIssus for future agenda \n1. Pre-lockdown digital engagement has been proven to drive audiences to seek out the “real deal”,12 but such initiatives require the investment not\njust of staff time, \n2. but also of appropriate funding. \n3.Museums which prior to COVID-19 had\ninvested in their digital and social media presence have had the value of their efforts con-firmed. Once doors are reopened and audiences invited back inside, we should remember that our online audiences should not be neglected.","page":"117-123","title":"Museums at Home: Digital Initiatives in Response to COVID-19","type":"article-journal","volume":"6"},"uris":["http://www.mendeley.com/documents/?uuid=20dc630b-634d-4065-9539-6ea2541ce1e4"]},{"id":"ITEM-4","itemData":{"author":[{"dropping-particle":"","family":"Calvert","given":"Contributors Lorenda","non-dropping-particle":"","parse-names":false,"suffix":""},{"dropping-particle":"","family":"Durham","given":"Sarah","non-dropping-particle":"","parse-names":false,"suffix":""},{"dropping-particle":"","family":"Holbrow","given":"Dan","non-dropping-particle":"","parse-names":false,"suffix":""},{"dropping-particle":"","family":"Ironstar","given":"Em","non-dropping-particle":"","parse-names":false,"suffix":""},{"dropping-particle":"","family":"Kierstead","given":"Karin","non-dropping-particle":"","parse-names":false,"suffix":""},{"dropping-particle":"","family":"Maitland","given":"Lianne","non-dropping-particle":"","parse-names":false,"suffix":""},{"dropping-particle":"","family":"Stewart","given":"Sandi","non-dropping-particle":"","parse-names":false,"suffix":""}],"id":"ITEM-4","issue":"May","issued":{"date-parts":[["2020"]]},"title":"Social Media during COVID-19 A Quick Guide for Canadian Museums","type":"article-journal"},"uris":["http://www.mendeley.com/documents/?uuid=d80d7ef1-656d-410a-8aad-68ab71788373"]},{"id":"ITEM-5","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Recovery","id":"ITEM-5","issued":{"date-parts":[["2020"]]},"note":"SOS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Academia.edu","type":"book"},"uris":["http://www.mendeley.com/documents/?uuid=38ef854f-ed7c-40eb-9ee5-9934347b68e0"]},{"id":"ITEM-6","itemData":{"DOI":"10.1007/s40558-020-00181-3","ISBN":"4055802000181","ISSN":"19434294","abstract":"This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Tourism","id":"ITEM-6","issue":"2","issued":{"date-parts":[["2020"]]},"note":"kalo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id":"ITEM-7","itemData":{"author":[{"dropping-particle":"","family":"Kahn","given":"Rebecca","non-dropping-particle":"","parse-names":false,"suffix":""}],"container-title":"Elephant in the Lab","id":"ITEM-7","issued":{"date-parts":[["2020"]]},"note":"Key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pandemic","type":"article-journal"},"uris":["http://www.mendeley.com/documents/?uuid=1e2d9064-603e-446f-b332-1e739081b59b"]},{"id":"ITEM-8","itemData":{"DOI":"10.29311/mas.v18i3.3539","ISSN":"1479-8360","abstract":"In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Society","id":"ITEM-8","issue":"3","issued":{"date-parts":[["2020"]]},"note":"metrio\n\nanagki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id":"ITEM-9","itemData":{"author":[{"dropping-particle":"","family":"NEMO","given":"","non-dropping-particle":"","parse-names":false,"suffix":""}],"id":"ITEM-9","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Europe","type":"article-journal"},"uris":["http://www.mendeley.com/documents/?uuid=afa71f7b-f749-40c9-bddc-38817493a4fa"]},{"id":"ITEM-10","itemData":{"DOI":"10.1080/09647775.2020.1762361","ISSN":"0964-7775","abstract":"No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Curatorship","id":"ITEM-10","issue":"3","issued":{"date-parts":[["2020"]]},"note":"polu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-11","itemData":{"author":[{"dropping-particle":"","family":"Practice","given":"Creative","non-dropping-particle":"","parse-names":false,"suffix":""}],"id":"ITEM-11","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id":"ITEM-12","itemData":{"DOI":"10.1108/ijebr-01-2021-0082","ISSN":"1355-2554","author":[{"dropping-particle":"","family":"Raimo","given":"Nicola","non-dropping-particle":"","parse-names":false,"suffix":""},{"dropping-particle":"","family":"Turi","given":"Ivano","non-dropping-particle":"De","parse-names":false,"suffix":""},{"dropping-particle":"","family":"Ricciardelli","given":"Alessandra","non-dropping-particle":"","parse-names":false,"suffix":""},{"dropping-particle":"","family":"Vitolla","given":"Filippo","non-dropping-particle":"","parse-names":false,"suffix":""}],"container-title":"International Journal of Entrepreneurial Behavior &amp; Research","id":"ITEM-12","issue":"ahead-of-print","issued":{"date-parts":[["2021"]]},"note":"SOS \naim: \n- firstly, the determinants and effects of digitalization and, \n- secondly, the impact of\nCOVID-19 on the digitalization choices of museums.\n\nMethod: multiple case analysis.\nTriangualtioon cbased on primary and secondary data were collected. \n\nFinidnigs: \n-The findings showed, first of all, that the adoption of digital technologies derives from the desire to attract more visitors, reduce costs, improve the visitor\nexperience and adapt to competitors. On the contrary, the lack of funding represented a drag on the adoption of digital tools.\n- The possible reduction of environmental impacts and thenational and international regulations in force, on the other hand, have not influenced the\nimplementation of digital technologies. \n-In relation to the effects, the findings showed several\nfinancial advantages connected to an increase in revenues and a reduction in costs.\nFurthermore, the results showed benefits related to an improvement in the corporate image,\nreputation and external relations with customers and other stakeholders. The adoption of digital technologies, on the other hand, did not have significant effects in terms of\nsustainability. \n- Finally, the results showed that the COVID-19 pandemic has accelerated the\nadoption of digital technologies, thus representing an important driver.\n\nIn order to answer these research questions, this work presents the following structure.\nSection 2 discusses the relevant literature, while Section 3 introduces the research\nmethodology. Section 4 presents and discusses the findings of the work. Finally, Section 5\ndraws the conclusions.","title":"Digitalization in the cultural industry: evidence from Italian museums","type":"article-journal","volume":"ahead-of-p"},"uris":["http://www.mendeley.com/documents/?uuid=bdc7389f-f1f2-4ac6-8536-524dd6cc6e43"]},{"id":"ITEM-13","itemData":{"DOI":"10.1016/j.jbusres.2020.06.015","ISSN":"01482963","PMID":"32546875","abstract":"The paper aims to critically review past and emerging literature to help professionals and researchers alike to better understand, manage and valorize both the tourism impacts and transformational affordance of COVID-19. To achieve this, first, the paper discusses why and how the COVID-19 can be a transformational opportunity by discussing the circumstances and the questions raised by the pandemic. By doing this, the paper identifies the fundamental values, institutions and pre-assumptions that the tourism industry and academia should challenge and break through to advance and reset the research and practice frontiers. The paper continues by discussing the major impacts, behaviours and experiences that three major tourism stakeholders (namely tourism demand, supply and destination management organisations and policy makers) are experiencing during three COVID-19 stages (response, recovery and reset). This provides an overview of the type and scale of the COVID-19 tourism impacts and implications for tourism research.","author":[{"dropping-particle":"","family":"Sigala","given":"Marianna","non-dropping-particle":"","parse-names":false,"suffix":""}],"container-title":"Journal of Business Research","id":"ITEM-13","issue":"June","issued":{"date-parts":[["2020"]]},"note":"Polu kalo \n\nQuote gia museia and culutral experiences: &amp;quot;the circumstances of COVID-19(e.g. stay at home lockdowns, social distancing) have necessitated and\naccelerated the use of technologies by both tourists (e.g. information about travel restrictions, online crisis communication, online COVID-19 alerts and hygiene measures) and businesses (e.g. online food delivery,\nvirtual dining, virtual wine experiences, festivals/events, virtual visits of museums, destinations).&amp;quot; p 315\n\naim: \nbetter understand, manage and valorize both the tourism impacts and transformational affordance of COVID-19.\n\n- first, the paper discusses why and how the COVID-19 can be a transformational opportunity by\ndiscussing the circumstances and the questions raised by the pandemic. \n- By doing this, the paper identifies the\nfundamental values, institutions and pre-assumptions that the tourism industry and academia should challenge and break through to advance and reset the research and practice frontiers. \n\n- The paper continues by discussing\nthe major impacts, behaviours and experiences that three major tourism stakeholders (namely tourism demand,supply and destination management organisations and policy makers) are experiencing during three COVID-19 stages (response, recovery and reset). This provides an overview of the type and scale of the COVID-19 tourism\nimpacts and implications for tourism research.","page":"312-321","publisher":"Elsevier","title":"Tourism and COVID-19: Impacts and implications for advancing and resetting industry and research","type":"article-journal","volume":"117"},"uris":["http://www.mendeley.com/documents/?uuid=f7d3cdac-c386-47a5-98b2-0d71b15c1cc6"]}],"mendeley":{"formattedCitation":"(Agostino, Arnaboldi and Lema, 2020; Practice, 2020; Sigala, 2020; Burke, Jørgensen and Jørgensen, 2020; Calvert &lt;i&gt;et al.&lt;/i&gt;, 2020; Course and Systems, 2020; Gretzel &lt;i&gt;et al.&lt;/i&gt;, 2020; Kahn, 2020; Kist, 2020; NEMO, 2020; Ou, 2020; Association, 2021; Raimo &lt;i&gt;et al.&lt;/i&gt;, 2021)","manualFormatting":"Agostino, Arnaboldi and Lema, 2020; Practice, 2020; Sigala, 2020; Burke, Jørgensen and Jørgensen, 2020; Calvert et al., 2020; Course and Systems, 2020; Gretzel et al., 2020; Kahn, 2020; Kist, 2020; NEMO, 2020; Ou, 2020; Association, 2021; Raimo et al., 2021","plainTextFormattedCitation":"(Agostino, Arnaboldi and Lema, 2020; Practice, 2020; Sigala, 2020; Burke, Jørgensen and Jørgensen, 2020; Calvert et al., 2020; Course and Systems, 2020; Gretzel et al., 2020; Kahn, 2020; Kist, 2020; NEMO, 2020; Ou, 2020; Association, 2021; Raimo et al., 2021)","previouslyFormattedCitation":"(Agostino, Arnaboldi and Lema, 2020; Practice, 2020; Sigala, 2020; Burke, Jørgensen and Jørgensen, 2020; Calvert &lt;i&gt;et al.&lt;/i&gt;, 2020; Course and Systems, 2020; Gretzel &lt;i&gt;et al.&lt;/i&gt;, 2020; Kahn, 2020; Kist, 2020; NEMO, 2020; Ou, 2020; Association, 2021; Raimo &lt;i&gt;et al.&lt;/i&gt;, 2021)"},"properties":{"noteIndex":0},"schema":"https://github.com/citation-style-language/schema/raw/master/csl-citation.json"}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Agostino, Arnaboldi and Lema, 2020; Practice, 2020; Sigala, 2020; Burke, Jørgensen and Jørgensen, 2020; Calvert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2020; Course and Systems, 2020; Gretzel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2020; Kahn, 2020; Kist, 2020; NEMO, 2020</w:t>
            </w:r>
            <w:r w:rsidR="002A527F" w:rsidRPr="00AE7B34">
              <w:rPr>
                <w:rFonts w:ascii="Times New Roman" w:hAnsi="Times New Roman" w:cs="Times New Roman"/>
                <w:noProof/>
                <w:color w:val="000000" w:themeColor="text1"/>
                <w:sz w:val="22"/>
                <w:szCs w:val="22"/>
                <w:lang w:val="en-US"/>
              </w:rPr>
              <w:t>a</w:t>
            </w:r>
            <w:r w:rsidRPr="00AE7B34">
              <w:rPr>
                <w:rFonts w:ascii="Times New Roman" w:hAnsi="Times New Roman" w:cs="Times New Roman"/>
                <w:noProof/>
                <w:color w:val="000000" w:themeColor="text1"/>
                <w:sz w:val="22"/>
                <w:szCs w:val="22"/>
                <w:lang w:val="en-US"/>
              </w:rPr>
              <w:t>;</w:t>
            </w:r>
            <w:r w:rsidR="002A527F" w:rsidRPr="00AE7B34">
              <w:rPr>
                <w:rFonts w:ascii="Times New Roman" w:hAnsi="Times New Roman" w:cs="Times New Roman"/>
                <w:noProof/>
                <w:color w:val="000000" w:themeColor="text1"/>
                <w:sz w:val="22"/>
                <w:szCs w:val="22"/>
                <w:lang w:val="en-US"/>
              </w:rPr>
              <w:t>2020b</w:t>
            </w:r>
            <w:r w:rsidRPr="00AE7B34">
              <w:rPr>
                <w:rFonts w:ascii="Times New Roman" w:hAnsi="Times New Roman" w:cs="Times New Roman"/>
                <w:noProof/>
                <w:color w:val="000000" w:themeColor="text1"/>
                <w:sz w:val="22"/>
                <w:szCs w:val="22"/>
                <w:lang w:val="en-US"/>
              </w:rPr>
              <w:t xml:space="preserve"> Ou, 2020; Association, 2021; Raimo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2021</w:t>
            </w:r>
            <w:r w:rsidRPr="00AE7B34">
              <w:rPr>
                <w:rFonts w:ascii="Times New Roman" w:hAnsi="Times New Roman" w:cs="Times New Roman"/>
                <w:color w:val="000000" w:themeColor="text1"/>
                <w:sz w:val="22"/>
                <w:szCs w:val="22"/>
                <w:lang w:val="en-US"/>
              </w:rPr>
              <w:fldChar w:fldCharType="end"/>
            </w:r>
          </w:p>
        </w:tc>
      </w:tr>
      <w:tr w:rsidR="00AE7B34" w:rsidRPr="00AE7B34" w14:paraId="2794C9D9" w14:textId="77777777" w:rsidTr="00AF33A5">
        <w:trPr>
          <w:trHeight w:val="1125"/>
        </w:trPr>
        <w:tc>
          <w:tcPr>
            <w:tcW w:w="2949" w:type="dxa"/>
          </w:tcPr>
          <w:p w14:paraId="4109C1CC" w14:textId="2BE82078"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3. Challenges &amp; </w:t>
            </w:r>
            <w:r w:rsidR="00A115B4" w:rsidRPr="00AE7B34">
              <w:rPr>
                <w:rFonts w:ascii="Times New Roman" w:hAnsi="Times New Roman" w:cs="Times New Roman"/>
                <w:color w:val="000000" w:themeColor="text1"/>
                <w:sz w:val="22"/>
                <w:szCs w:val="22"/>
                <w:lang w:val="en-US"/>
              </w:rPr>
              <w:t>impediments towards</w:t>
            </w:r>
            <w:r w:rsidRPr="00AE7B34">
              <w:rPr>
                <w:rFonts w:ascii="Times New Roman" w:hAnsi="Times New Roman" w:cs="Times New Roman"/>
                <w:color w:val="000000" w:themeColor="text1"/>
                <w:sz w:val="22"/>
                <w:szCs w:val="22"/>
                <w:lang w:val="en-US"/>
              </w:rPr>
              <w:t xml:space="preserve"> the new digital facet of museum in the pandemic &amp; post pandemic era</w:t>
            </w:r>
          </w:p>
        </w:tc>
        <w:tc>
          <w:tcPr>
            <w:tcW w:w="1299" w:type="dxa"/>
          </w:tcPr>
          <w:p w14:paraId="2E5C7911"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9 </w:t>
            </w:r>
          </w:p>
        </w:tc>
        <w:tc>
          <w:tcPr>
            <w:tcW w:w="4678" w:type="dxa"/>
          </w:tcPr>
          <w:p w14:paraId="2C9D3F5E"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Recommendations","type":"report"},"uris":["http://www.mendeley.com/documents/?uuid=4829ec80-1b8d-4aec-bd98-6f9aa420f9da"]},{"id":"ITEM-2","itemData":{"abstract":"Culture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Organisations","given":"","non-dropping-particle":"","parse-names":false,"suffix":""}],"id":"ITEM-2","issue":"May","issued":{"date-parts":[["2020"]]},"note":"This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id":"ITEM-3","itemData":{"author":[{"dropping-particle":"","family":"NEMO","given":"","non-dropping-particle":"","parse-names":false,"suffix":""}],"id":"ITEM-3","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Europe","type":"article-journal"},"uris":["http://www.mendeley.com/documents/?uuid=afa71f7b-f749-40c9-bddc-38817493a4fa"]},{"id":"ITEM-4","itemData":{"DOI":"10.1080/09647775.2020.1790029","ISSN":"09647775","abstract":"This study investigates the reaction of Italian state museums to the closure of their physical sites caused by the COVID-19 pandemic, taking the perspective of their online activity on social media. The study explores the type and amount of content published by museums on their social media webpages, as well as the level of online engagement that is generated by their activity. Empirically,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 This online evidence has stimulated further reflections on the future direction of digitally enabled approaches to culture and its enjoyment.","author":[{"dropping-particle":"","family":"Agostino","given":"Deborah","non-dropping-particle":"","parse-names":false,"suffix":""},{"dropping-particle":"","family":"Arnaboldi","given":"Michela","non-dropping-particle":"","parse-names":false,"suffix":""},{"dropping-particle":"","family":"Lampis","given":"Antonio","non-dropping-particle":"","parse-names":false,"suffix":""}],"container-title":"Museum Management and Curatorship","id":"ITEM-4","issue":"0","issued":{"date-parts":[["2020"]]},"note":"Poly KLAO \n\n1. aim: this study investigated the 100 largest Italian state museums, showing that, during the weeks of lockdown, their cultural initiatives did not come to a stop but, on the contrary, there has been a sharp rise in online cultural material and initiatives taking place through social media, with museums doubling their online activity.\n\n.RQs \n- RQ1: What are museums doing to spread knowledge and culture through social media at a\ntime when physical sites of culture are closed?\n- RQ2: Does cultural material spread through social media engage the public and, if so, in what\nway? What will the future arrangements be for the public to approach and appreciate\nculture?\n\n2. method:: Online survey on onlinwactivity \nThe analysis is based upon a reference group of the one hundred most visited Italian state\nmuseums, whose online reputation was specifically monitored by the Ministry for Cultural\nHeritage and Tourism. The museums being surveyed are located across Italy, mostly in the\nCentre (44% of the sample), with 26% in the South and the remaining 30% in the North. A\nkey element is that 63 of the 100 museums are situated in a provincial capital and 21% of\nthese are in Rome.\n\nStudy is based on Italian state museums, where the digital realm has acted as a major element of change to museum management in recent years.\n\n\n4. Concluding remarks- results \n1. a sharp rise in online cultural material and initiatives taking place through social media, with museums doubling their online\nactivity.\n2.museums had and have an intense desire to remain active online despite their physical sites being closed. \n3.museums have more than doubled their use of social media, they are proposing a different type of material: \n1.online events taking much less time, \n2. and their cultural offer is attracting greater interest, shown by the upward trend in followers\n4. The increase in interaction is less evident and could in part be explained by the fact that material may not be interactive (such as the description of a piece of art). \n\nFuture Directions \n\n5. The museum’s soaring use of online means and material has led the authors to put forward\nsome thoughts on potential digitally enabled models of cultural appreciation that may arise in the future.\n6. We can think of more leisurely visits, more targeted visits, more person-alised visits and viewing, and an overlap of digital and physical experiences. \n7. We are fully aware that nothing can replace visiting a ‘real’ museum, but we also know that the forth-coming model of cultural appreciation will necessarily be different and will be strongly\nrooted in the use of digital technology.","page":"1-11","publisher":"Taylor &amp; Francis","title":"Italian state museums during the COVID-19 crisis: from onsite closure to online openness","type":"article-journal","volume":"0"},"uris":["http://www.mendeley.com/documents/?uuid=0f6150cb-afda-4c53-be4f-552b0f2a63b7"]},{"id":"ITEM-5","itemData":{"DOI":"10.1080/09540962.2020.1764206","ISSN":"14679302","abstract":"In an unexpected circumstance, such as the COVID-19 pandemic, public service delivery cannot be suspended, but must be delivered online, relying on the available digital technology. Social media, specifically, have been widely used to reach a broader portion of the population. This article discusses the digital acceleration that governments and organizations are now facing. The focus is on Italian state museums, which have been pushed for years to adopt digital tools to increase participation. This article highlights three main dilemmas in service delivery: user engagement; planning and control; and costs. The three dilemmas show the social and organizational challenges connected to digital transformation, underlining the issues that organizations will have to face in the future and not just in an emergency such as COVID-19.IMPACT: How should public sector institutions use digital technologies for service delivery in unexpected circumstances, such as the COVID-19 pandemic? Starting from the empirical setting of 100 Italian state museums, this article shows how digital technologies, and social media particularly, can be a powerful tool for public service delivery when an onsite service cannot be provided. The authors explain the benefits of online service delivery, for example broader audiences and new ways of interacting with users. They also highlight areas that need discussion and further research, for example whether online services should be provided with a fee or free and the trade-off between carefully planning a digital transformation and reacting promptly to catastrophic events.","author":[{"dropping-particle":"","family":"Agostino","given":"Deborah","non-dropping-particle":"","parse-names":false,"suffix":""},{"dropping-particle":"","family":"Arnaboldi","given":"Michela","non-dropping-particle":"","parse-names":false,"suffix":""},{"dropping-particle":"","family":"Lema","given":"Melisa Diaz","non-dropping-particle":"","parse-names":false,"suffix":""}],"container-title":"Public Money and Management","id":"ITEM-5","issue":"0","issued":{"date-parts":[["2020"]]},"note":"abtsract :\nThis article highlights three main dilemmas in service delivery:\nuser engagement; planning and control; and costs. The three dilemmas show the social and\norganizational challenges connected to digital transformation, underlining the issues that\norganizations will have to face in the future and not just in an emergency such as COVID-19.\n\nStarting from the empirical setting of 100\nItalian state museums, this article shows how digital technologies, and social media\nparticularly, can be a powerful tool for public service delivery when an onsite service cannot\nbe provided.\n\n\nConlusions \n\nConcluding remarks\nCOVID-19 has acted as an accelerator for digital\ntransformation in public service delivery. The\nempirical evidence from 100 Italian state museums, currently closed to the public and with digital service delivery as their only option, is an extreme case.\n\n\n- \nOur three dilemmas highlight issues that we will\nhave to face in the future, not only in an emergency\nsuch as COVID-19, but also more routinely in the\nchallenge of digital transformation. \n\n- These issues are\nonly partially linked to technology, which is\nobviously an enabler but, more specifically, they\nbring up the social and organizational challenges\nconnected to digital transformations. \n\n- Users are more\nthan service recipients who want, and can easily\nhave (through social media and other digital\ntechnologies), a voice. \n\n- Information can be collected and services personalized but, paradoxically, the\nsearch for the best ‘tailor-made’ technology can\ncause delays and rigidity, as can be seen in several service delivery aspects, from pricing to planning and preparing an offer. \n- Novel transformational skills\nwill be key to dealing with this new setting; these may be new professional roles and competences, flexible assets or other resources. However, there is clearly an urgent need for further research to find the best way forward.","page":"1-4","publisher":"Taylor &amp; Francis","title":"New development: COVID-19 as an accelerator of digital transformation in public service delivery","type":"article-journal","volume":"0"},"uris":["http://www.mendeley.com/documents/?uuid=0dc499cd-9dc9-4263-a596-ac5b022eef2a"]}],"mendeley":{"formattedCitation":"(Agostino, Arnaboldi and Lampis, 2020; Agostino, Arnaboldi and Lema, 2020; NEMO, 2020; Network of European Museum Organisations, 2020a, 2020b)","manualFormatting":"Agostino, Arnaboldi and Lampis, 2020; Agostino, Arnaboldi and Lema, 2020; NEMO, 2020; Network of European Museum Organisations, 2020a, 2020b","plainTextFormattedCitation":"(Agostino, Arnaboldi and Lampis, 2020; Agostino, Arnaboldi and Lema, 2020; NEMO, 2020; Network of European Museum Organisations, 2020a, 2020b)","previouslyFormattedCitation":"(Agostino, Arnaboldi and Lampis, 2020; Agostino, Arnaboldi and Lema, 2020; NEMO, 2020; Network of European Museum Organisations, 2020a, 2020b)"},"properties":{"noteIndex":0},"schema":"https://github.com/citation-style-language/schema/raw/master/csl-citation.json"}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Agostino, Arnaboldi and Lampis, 2020; Agostino, Arnaboldi and Lema, 2020; NEMO, 2020; Network of European Museum Organisations, 2020a, 2020b</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Recovery","id":"ITEM-1","issued":{"date-parts":[["2020"]]},"note":"SOS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Academia.edu","type":"book"},"uris":["http://www.mendeley.com/documents/?uuid=38ef854f-ed7c-40eb-9ee5-9934347b68e0"]}],"mendeley":{"formattedCitation":"(Course and Systems, 2020)","manualFormatting":"Course and Systems, 2020;","plainTextFormattedCitation":"(Course and Systems, 2020)","previouslyFormattedCitation":"(Course and Systems,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Course and Systems,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Organisations","given":"","non-dropping-particle":"","parse-names":false,"suffix":""}],"id":"ITEM-1","issue":"May","issued":{"date-parts":[["2020"]]},"note":"1. Economic support for museum operations; \n2. Investment in digital cultural heritage; and \n3. Making museums fit for crises","number-of-pages":"1-21","title":"Survey on the impact of the COVID-19 situation on museums in Europe Findings and Recommendations","type":"report"},"uris":["http://www.mendeley.com/documents/?uuid=4829ec80-1b8d-4aec-bd98-6f9aa420f9da"]},{"id":"ITEM-2","itemData":{"DOI":"10.29311/mas.v18i3.3539","ISSN":"1479-8360","abstract":"In this opinion piece I reflect upon museum social media trends during COVID-19 and consider what it could mean in terms of future online engagement and the (mis)alignment of practices with institutional social missions. In opposition to the recent focus on uplifting museum content and activities online, I investigate an overlooked question regarding the role of challenging heritage on social media during the pandemic. I end with a call for the sector to consider the complexities of including or excluding challenging heritage from current museum online activities and in turn, the opening or foreclosure of critical reflections at a pivotal time in history.","author":[{"dropping-particle":"","family":"Kist","given":"Cassandra","non-dropping-particle":"","parse-names":false,"suffix":""}],"container-title":"Museum and Society","id":"ITEM-2","issue":"3","issued":{"date-parts":[["2020"]]},"note":"metrio\n\nanagki na vroume to legacies gia tin arxieotheisis\n\n\n\nAs public historians and cultural heritage practitioners initiate or expandefforts in digital public history on Twitter, Instagram, Facebook, institutional web\nsites and elsewhere, we cannot ignore what is present around and alongside this\nwork in social media feeds, browser tabs, app notifications.\n\nWe must embrace the networked dimensions of these virtual spaces, be clear about where and how our work already aligns with the values of our desired audiences, and acknowledge\nwhere reform is needed and what we are doing to address our complicity and\nshortcomings\n\n\n\nIfwe are serious about public engagement in public history and cultural heritage\nmore broadly, we must find effective ways to act on important feedback we receive\non social media: concerns about the colonial legacies of archival knowledge pro-duction, reminders of the lack of diversity in museum and library professions,\nquestions about the ethical dimensions of crowdsourced labor, and requests to\nmake collections and exhibitions more widely accessible.","page":"345-348","title":"Museums, Challenging Heritage and Social Media During COVID-19","type":"article-journal","volume":"18"},"uris":["http://www.mendeley.com/documents/?uuid=60646f35-8be4-4fa3-bd0f-65a067fa5e04"]},{"id":"ITEM-3","itemData":{"DOI":"10.6092/978-88-97235-04-4","ISBN":"978-88-97253-04-4","author":[{"dropping-particle":"","family":"Course","given":"Master","non-dropping-particle":"","parse-names":false,"suffix":""},{"dropping-particle":"","family":"Systems","given":"Tourism","non-dropping-particle":"","parse-names":false,"suffix":""}],"container-title":"Tourism Facing a Pandemic: From Crisis To Recovery","id":"ITEM-3","issued":{"date-parts":[["2020"]]},"note":"SOS - paper selid 174 + 167 \n\np35\n\np 167 Survival strategies for cultural institutions: making space and open licenses\nIolanda Pensa, SUPSI University of Applied Sciences and Arts of Southern\nSwitzerland\n\np p. 171 \nAre we living the future? Museums in the time of COVID-19 Gemma Tully, University of Cambridge","number-of-pages":"217","title":"Tourism Facing a Pandemic: from crisis to recovery (edited by Federica Burini) | greg richards - Academia.edu","type":"book"},"uris":["http://www.mendeley.com/documents/?uuid=38ef854f-ed7c-40eb-9ee5-9934347b68e0"]},{"id":"ITEM-4","itemData":{"author":[{"dropping-particle":"","family":"Kahn","given":"Rebecca","non-dropping-particle":"","parse-names":false,"suffix":""}],"container-title":"Elephant in the Lab","id":"ITEM-4","issued":{"date-parts":[["2020"]]},"note":"Key point: What has become clear is that museums will have to evolve, if they are to survive and that they will have to find new ways to execute their key roles as communicators of, and infrastructures for, scientific knowledge.\n\n\nNew directions: museums will have to evolve, if they are to survive and that they will have to find new ways to execute their key roles as communicators of, and infrastructures for, scientific knowledge.\n\n1. The key is to make use of the affordances of the medium, which includes autonomy, multi-layered multimedia, and linked content allowing musuems to act as knowledge repositories, and science\ncommunicators to the entirely new audiences that have been, and will continue to turn to them\nas the crisis keeps people at home, and looking at their screens.\n\n2. Pandemic as opp to ather consider telling their stories using materials that are already freely available online, such as in their archives, in online repositories, and even in other institutions. This approach will allow museums to become a different kind of science communicator, using open science materials already availabl\n\n3. Very, very big data has the potential for building robust knowledge transfer and communication tools, which would enable museums to continue communicating with their audiences and each other, despite the risks of future crises such as COVID-19\n\n3. Creating online context: nderstood from this perspective, the potential offered by digital to provide rich, layered museum content, which fulfills the science communication role of a museum, and exploits their position as knowledge repositories is extremely exciting. The reality, however, is that creating, managing and hosting this content is not easy, fast or cheap.\n\n--/_ \nThe last few years have not been easy for museums. The identity crisis in many of the world’s largest museums is already well-entrenched. Funding cuts, a “post-truth” world, where objective facts count for less than they used to, and an increase in difficult, but crucial questions about the ethics of many museum artefacts have all combined tomake many museum curators and directors feel extremely uneasy. \n\nMuseums have been questioning who their publics are, and what these publics expect of the institutions, as well as trying to identify which communities they serve. \n\nThese questions have taken on another dimension over the last months, when the institutions themselves have become inaccessible to their visitors and staff. \n\nWhat has become clear is that museums will have to evolve, if they are to survive and that they will have to find new ways to execute their key roles as communicators of, and infrastructures for, scientific knowledge.","title":"Corona as Curator : How museums are responding to the pandemic","type":"article-journal"},"uris":["http://www.mendeley.com/documents/?uuid=1e2d9064-603e-446f-b332-1e739081b59b"]},{"id":"ITEM-5","itemData":{"author":[{"dropping-particle":"","family":"NEMO","given":"","non-dropping-particle":"","parse-names":false,"suffix":""}],"id":"ITEM-5","issued":{"date-parts":[["2020"]]},"note":"a. Resilient Museums that keep the society alive \n\n- Museums have been quick and pro-active in their response to the pandemic. They have shifted their focus to addressing needs within their communities in this situation. \n- In these times, digital cultural heritage is contributing to people’s enjoyment and creativity more than ever.\n- From donating masks and gloves to hospitals, to\ncollecting objects and stories of people to preserve and learn from this moment, increasing digital services, sharing collections, offering digital tools, and increasing digital services to engage and comfort people staying at home.\n\n2. Challenges \nhallenges \n\nNEMO urges governments to invest in\nEurope’s cultural heritage in the future, to support what binds us together, while so many other things drive us apart.\n\n\nNEMO asks stakeholders to increase their digital efforts in the future, following this period of extreme\nmeasures with unprecedented digital activity. Budgets and strategies should respond to these findings, take\nadvantage of current efforts and allow for investments in digital offers, services and infrastructures in the\nfuture. Allowing digital services and activities of museums and the engagement of digital audiences as factors\nof success in assessment frameworks is proving more important every day.","page":"21","title":"Survey on the impact of the COVID-19 situation on museums in Europe","type":"article-journal"},"uris":["http://www.mendeley.com/documents/?uuid=afa71f7b-f749-40c9-bddc-38817493a4fa"]},{"id":"ITEM-6","itemData":{"DOI":"10.1080/09647775.2020.1762361","ISSN":"0964-7775","abstract":"No potential conflict of interest was reported by the author(s).\n&lt;i&gt;&lt;b&gt;Jiancheng Ou&lt;/b&gt;&lt;/i&gt; is Deputy Director-General of China Science and Technology Museum (CSTM) and also Vice President cum Secretary-General of the Chinese Association of Natural Science Museums (CANSM).","author":[{"dropping-particle":"","family":"Ou","given":"Jiancheng","non-dropping-particle":"","parse-names":false,"suffix":""}],"container-title":"Museum Management and Curatorship","id":"ITEM-6","issue":"3","issued":{"date-parts":[["2020"]]},"note":"polu kalo na to balo os paradeigma mazi me italia\n\n\nHow did Chinca Science Museum react ? \n- Science communication via online museum isntead of the brick and mortar museum. The temporary closure of the physical museum has made it impossible to organize any face-to-face lectures.\n- the museum, by using\nthe advantages ofthe internet, has digitalized exhibits for virtual tours, organized online classes for school children,\n- opened up ‘CSTM Cloud Lecture Hall’ for audiences semi-stuck at home, conducted cyber education programs, broadcasted science experiments on\nlivestreaming platforms, produced videos of science communicators doing live science\nshows on social media, offered prizes for quizzes and guessing games… In short, CSTM’s science communication now moves\nonline, and instead of communicating science in front of big crowds of visitors as usual,\nits science communicators are now interacting real-time with netizens ‘on the cloud’.\n- It even staged an online exhibition entitled ‘The New PK—Virtual Themed Exhibition on the Fight\nagainst Novel Coronavirus’, which has welcomed nearly 5 million virtual visits over the past month since its ‘presentation’. \n- as God clodes the museum door, 5G opened museums window asnd thus China Museum goes online \n\n- CSR actions coordinating donation of much-needed face masks, gloves, sanitizers and other medical\n\n\n4 new directions \n- To consider the promotion of the public’s scientific literacy as a dynamic process\n- To effectively address the disparities of scientific literacy between the urban and rural areas, as well as between the well-developed and less-developed regions of the country;\n- To implement differentiated strategies for different groups of society in carrying out\nscience popularization work in order to make our service more precise and targeted\n(using the ‘drip irrigation’ method rather than the ‘flood irrigation’ method in science\ncommunication);\n- And above all, to reposition the role of science popularization so that it can serve the\nlofty goals of supporting social governance, preventing and defusing major risks or\ncrises, promoting the all-round development of citizens and building a community\nwith a shared future for mankind.","page":"227-232","publisher":"Taylor &amp; Francis","title":"China Science and Technology Museum boosting fight against COVID-19","type":"article-journal","volume":"35"},"uris":["http://www.mendeley.com/documents/?uuid=f40f9c99-dbe0-42fd-bec2-0dfeec139d75"]},{"id":"ITEM-7","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onin-Rodriguez","given":"Paul","non-dropping-particle":"","parse-names":false,"suffix":""},{"dropping-particle":"","family":"Vakharia","given":"Neville","non-dropping-particle":"","parse-names":false,"suffix":""}],"container-title":"Artivate","id":"ITEM-7","issue":"1","issued":{"date-parts":[["2020"]]},"note":"metrio\n\n2 opinion \n\n1. We have to notice \n• What is collapsing, what has structural integrity, and what invisible beauty or harm is being revealed?\n• Who or what are we stewarding and protecting? Who or what are we leaving behind?\n• Which newly emerging practices and structures are keeping us alive for now but are not sustainable? And which hold the potential to make us far more resilient and relevant in the future?\n\n2. Reslilicen to build a new futute","page":"1689-1699","title":"Arts Entrepreneurship Internationally and in the Age of COVID-19","type":"article-journal","volume":"9"},"uris":["http://www.mendeley.com/documents/?uuid=32c71aaa-4e10-4fe5-aa0a-99cb18a1c41d"]},{"id":"ITEM-8","itemData":{"abstract":"Culture gains importance in uncertain times of crises, it brings us together. We are seeing an unprecedented creative digital use and engagement with and through culture in the world. The majority of museums in Europe and around the globe are closed. Closing doors to the public results in a drastic loss of income for many museums. While some museums have found their budget minimally impacted as of yet, some museums, especially the larger museums and the museums in touristic areas, have reported a loss of income of 75-80%, with weekly losses adding up to hundreds of thousands of Euros. 1 There is no fast track back to normal-rather than making a return to normal our goal, we must learn from this crisis in order to effectively respond, mitigate, adapt and integrate. We urge governments to invest in Europe's cultural heritage in the future, to support what binds us together, while so many other things drive us apart. Museums might not change the world, but museums at their best can show what humanity can do at its best. NEMO asks for adequate support provided by European, national, regional and local bodies to mitigate losses of museums all over Europe, to guarantee salaries of staff members, and to continue the investment in large-scale projects in museums across Europe. Museums have been quick and pro-active in their response to the pandemic. They have shifted their focus to addressing needs within their communities in this situation. From donating masks and gloves to hospitals, to collecting objects and stories of people to preserve and learn from this moment, increasing digital services, sharing collections, offering digital tools, and increasing digital services to engage and comfort people staying at home. In these times, digital cultural heritage is contributing to people's enjoyment and creativity more than ever. NEMO wants museums and stakeholders to acknowledge that the digital museum is not a distant promise or a source of untapped potential, rather that digital cultural heritage and digital engagement has demonstrated its value in the past weeks by bringing people together, encouraging creativity, sharing experiences, and offering a virtual space to build ideas together. NEMO asks stakeholders to increase their digital efforts in the future, following this period of extreme measures with unprecedented digital activity. Budgets and strategies should respond to these findings, take advantage of current efforts and allow for investments in digital…","author":[{"dropping-particle":"","family":"Network of European Museum Organisations","given":"","non-dropping-particle":"","parse-names":false,"suffix":""}],"id":"ITEM-8","issue":"May","issued":{"date-parts":[["2020"]]},"note":"This survey has evidenced that museums online are important extensions and complements\nof physical museums, but that a sound metric to benchmark online visits is missing.\n\n\nIssues and future Directions \n\n\nThe survey findings result in\nrecommendations for immediate action, for mid-term considerations and for long-term strategy\nurging:\n1. Economic support for museum operations;\n2. Investment in digital cultural heritage; and\n3. Making museums fit for crises","page":"1-21","title":"Survey on the impact of the COVID-19 situation on museums in Europe Findings and Recommendations","type":"article-journal"},"uris":["http://www.mendeley.com/documents/?uuid=87c3677f-bc32-4c2f-971f-bbf5d494c8df"]}],"mendeley":{"formattedCitation":"(Bonin-Rodriguez and Vakharia, 2020; Course and Systems, 2020; Kahn, 2020; Kist, 2020; NEMO, 2020; Network of European Museum Organisations, 2020a, 2020b; Ou, 2020)","manualFormatting":"Bonin-Rodriguez and Vakharia, 2020; Course and Systems, 2020; Kahn, 2020; Kist, 2020; NEMO, 2020; Network of European Museum Organisations, 2020a, 2020b; Ou, 2020","plainTextFormattedCitation":"(Bonin-Rodriguez and Vakharia, 2020; Course and Systems, 2020; Kahn, 2020; Kist, 2020; NEMO, 2020; Network of European Museum Organisations, 2020a, 2020b; Ou, 2020)","previouslyFormattedCitation":"(Bonin-Rodriguez and Vakharia, 2020; Course and Systems, 2020; Kahn, 2020; Kist, 2020; NEMO, 2020; Network of European Museum Organisations, 2020a, 2020b; Ou,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Bonin-Rodriguez and Vakharia, 2020; Course and Systems, 2020; Kahn, 2020; Kist, 2020; NEMO, 2020; Network of European Museum Organisations, 2020a, 2020b; Ou, 2020</w:t>
            </w:r>
            <w:r w:rsidRPr="00AE7B34">
              <w:rPr>
                <w:rFonts w:ascii="Times New Roman" w:hAnsi="Times New Roman" w:cs="Times New Roman"/>
                <w:color w:val="000000" w:themeColor="text1"/>
                <w:sz w:val="22"/>
                <w:szCs w:val="22"/>
                <w:lang w:val="en-US"/>
              </w:rPr>
              <w:fldChar w:fldCharType="end"/>
            </w:r>
          </w:p>
        </w:tc>
      </w:tr>
    </w:tbl>
    <w:p w14:paraId="17A787DC" w14:textId="77777777" w:rsidR="00B803E8" w:rsidRPr="00AE7B34" w:rsidRDefault="00B803E8" w:rsidP="00B803E8">
      <w:pPr>
        <w:jc w:val="both"/>
        <w:rPr>
          <w:rFonts w:ascii="Times New Roman" w:hAnsi="Times New Roman" w:cs="Times New Roman"/>
          <w:color w:val="000000" w:themeColor="text1"/>
          <w:sz w:val="22"/>
          <w:szCs w:val="22"/>
          <w:lang w:val="en-US"/>
        </w:rPr>
      </w:pPr>
    </w:p>
    <w:p w14:paraId="52FFE10F" w14:textId="7777777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br w:type="page"/>
      </w:r>
    </w:p>
    <w:p w14:paraId="4E1E437C" w14:textId="77777777" w:rsidR="006A7598" w:rsidRPr="00AE7B34" w:rsidRDefault="006A7598" w:rsidP="00BF2F46">
      <w:pPr>
        <w:jc w:val="both"/>
        <w:rPr>
          <w:rFonts w:ascii="Times New Roman" w:hAnsi="Times New Roman" w:cs="Times New Roman"/>
          <w:color w:val="000000" w:themeColor="text1"/>
          <w:sz w:val="22"/>
          <w:szCs w:val="22"/>
          <w:lang w:val="en-US"/>
        </w:rPr>
      </w:pPr>
    </w:p>
    <w:p w14:paraId="1B7EB6BF" w14:textId="77777777" w:rsidR="00B4617F" w:rsidRPr="00AE7B34" w:rsidRDefault="00B4617F"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DISCUSSION</w:t>
      </w:r>
    </w:p>
    <w:p w14:paraId="67358551" w14:textId="77777777" w:rsidR="00B4617F" w:rsidRPr="00AE7B34" w:rsidRDefault="00B4617F" w:rsidP="00BF2F46">
      <w:pPr>
        <w:jc w:val="both"/>
        <w:rPr>
          <w:rFonts w:ascii="Times New Roman" w:hAnsi="Times New Roman" w:cs="Times New Roman"/>
          <w:color w:val="000000" w:themeColor="text1"/>
          <w:sz w:val="22"/>
          <w:szCs w:val="22"/>
          <w:lang w:val="en-US"/>
        </w:rPr>
      </w:pPr>
    </w:p>
    <w:p w14:paraId="0EA347D6" w14:textId="1015DDC7" w:rsidR="00B803E8" w:rsidRPr="00AE7B34" w:rsidRDefault="00B803E8" w:rsidP="00B803E8">
      <w:pPr>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This study set out to </w:t>
      </w:r>
      <w:r w:rsidRPr="00AE7B34">
        <w:rPr>
          <w:rFonts w:ascii="Times New Roman" w:hAnsi="Times New Roman" w:cs="Times New Roman"/>
          <w:color w:val="000000" w:themeColor="text1"/>
          <w:sz w:val="22"/>
          <w:szCs w:val="22"/>
          <w:lang w:val="en-GB"/>
        </w:rPr>
        <w:t xml:space="preserve">provide an integrative literature review regarding the resilience in digital cultural heritages sectors, such as festivals and museums towards the </w:t>
      </w:r>
      <w:proofErr w:type="spellStart"/>
      <w:r w:rsidRPr="00AE7B34">
        <w:rPr>
          <w:rFonts w:ascii="Times New Roman" w:hAnsi="Times New Roman" w:cs="Times New Roman"/>
          <w:color w:val="000000" w:themeColor="text1"/>
          <w:sz w:val="22"/>
          <w:szCs w:val="22"/>
          <w:lang w:val="en-GB"/>
        </w:rPr>
        <w:t>anthropause</w:t>
      </w:r>
      <w:proofErr w:type="spellEnd"/>
      <w:r w:rsidRPr="00AE7B34">
        <w:rPr>
          <w:rFonts w:ascii="Times New Roman" w:hAnsi="Times New Roman" w:cs="Times New Roman"/>
          <w:color w:val="000000" w:themeColor="text1"/>
          <w:sz w:val="22"/>
          <w:szCs w:val="22"/>
          <w:lang w:val="en-GB"/>
        </w:rPr>
        <w:t xml:space="preserve"> followed by the </w:t>
      </w:r>
      <w:r w:rsidR="007B33DC" w:rsidRPr="00AE7B34">
        <w:rPr>
          <w:rFonts w:ascii="Times New Roman" w:hAnsi="Times New Roman" w:cs="Times New Roman"/>
          <w:color w:val="000000" w:themeColor="text1"/>
          <w:sz w:val="22"/>
          <w:szCs w:val="22"/>
          <w:lang w:val="en-GB"/>
        </w:rPr>
        <w:t>COVID-19</w:t>
      </w:r>
      <w:r w:rsidRPr="00AE7B34">
        <w:rPr>
          <w:rFonts w:ascii="Times New Roman" w:hAnsi="Times New Roman" w:cs="Times New Roman"/>
          <w:color w:val="000000" w:themeColor="text1"/>
          <w:sz w:val="22"/>
          <w:szCs w:val="22"/>
          <w:lang w:val="en-GB"/>
        </w:rPr>
        <w:t xml:space="preserve"> pandemic lockdown.</w:t>
      </w:r>
      <w:r w:rsidR="00D22458" w:rsidRPr="00AE7B34">
        <w:rPr>
          <w:rFonts w:ascii="Times New Roman" w:hAnsi="Times New Roman" w:cs="Times New Roman"/>
          <w:color w:val="000000" w:themeColor="text1"/>
          <w:sz w:val="22"/>
          <w:szCs w:val="22"/>
          <w:lang w:val="en-GB"/>
        </w:rPr>
        <w:t xml:space="preserve"> </w:t>
      </w:r>
      <w:r w:rsidRPr="00AE7B34">
        <w:rPr>
          <w:rFonts w:ascii="Times New Roman" w:hAnsi="Times New Roman" w:cs="Times New Roman"/>
          <w:color w:val="000000" w:themeColor="text1"/>
          <w:sz w:val="22"/>
          <w:szCs w:val="22"/>
          <w:lang w:val="en-US"/>
        </w:rPr>
        <w:t xml:space="preserve">In line to </w:t>
      </w:r>
      <w:r w:rsidRPr="00AE7B34">
        <w:rPr>
          <w:rFonts w:ascii="Times New Roman" w:hAnsi="Times New Roman" w:cs="Times New Roman"/>
          <w:color w:val="000000" w:themeColor="text1"/>
          <w:sz w:val="22"/>
          <w:szCs w:val="22"/>
          <w:lang w:val="en-US"/>
        </w:rPr>
        <w:fldChar w:fldCharType="begin" w:fldLock="1"/>
      </w:r>
      <w:r w:rsidR="00B5562F" w:rsidRPr="00AE7B34">
        <w:rPr>
          <w:rFonts w:ascii="Times New Roman" w:hAnsi="Times New Roman" w:cs="Times New Roman"/>
          <w:color w:val="000000" w:themeColor="text1"/>
          <w:sz w:val="22"/>
          <w:szCs w:val="22"/>
          <w:lang w:val="en-US"/>
        </w:rPr>
        <w:instrText>ADDIN CSL_CITATION {"citationItems":[{"id":"ITEM-1","itemData":{"DOI":"10.1007/s40558-020-00181-3","ISBN":"4055802000181","ISSN":"19434294","abstract":"This viewpoint article argues that the impacts of the novel coronavirus COVID-19 call for transformative e-Tourism research. We are at a crossroads where one road takes us to e-Tourism as it was before the crisis, whereas the other holds the potential to transform e-Tourism. To realize this potential, e-Tourism research needs to challenge existing paradigms and critically evaluate its ontological and epistemological foundations. In light of the paramount importance to rethink contemporary science, growth, and technology paradigms, we present six pillars to guide scholars in their efforts to transform e-Tourism through their research, including historicity, reflexivity, equity, transparency, plurality, and creativity. We conclude the paper with a call to the e-Tourism research community to embrace transformative research.","author":[{"dropping-particle":"","family":"Gretzel","given":"Ulrike","non-dropping-particle":"","parse-names":false,"suffix":""},{"dropping-particle":"","family":"Fuchs","given":"Matthias","non-dropping-particle":"","parse-names":false,"suffix":""},{"dropping-particle":"","family":"Baggio","given":"Rodolfo","non-dropping-particle":"","parse-names":false,"suffix":""},{"dropping-particle":"","family":"Hoepken","given":"Wolfram","non-dropping-particle":"","parse-names":false,"suffix":""},{"dropping-particle":"","family":"Law","given":"Rob","non-dropping-particle":"","parse-names":false,"suffix":""},{"dropping-particle":"","family":"Neidhardt","given":"Julia","non-dropping-particle":"","parse-names":false,"suffix":""},{"dropping-particle":"","family":"Pesonen","given":"Juho","non-dropping-particle":"","parse-names":false,"suffix":""},{"dropping-particle":"","family":"Zanker","given":"Markus","non-dropping-particle":"","parse-names":false,"suffix":""},{"dropping-particle":"","family":"Xiang","given":"Zheng","non-dropping-particle":"","parse-names":false,"suffix":""}],"container-title":"Information Technology and Tourism","id":"ITEM-1","issue":"2","issued":{"date-parts":[["2020"]]},"note":"kalo gia kefalaio se allagi covid19 and its relation qith technlolgy \n\n- taim:; he impacts of the novel coronavirus COVID-19\ncall for transformative e-Tourism research.\n- To realize this potential, e-Tourism research needs to chal-lenge existing paradigms and critically evaluate its ontological and epistemological foundations.\n- six pillars to guide scholars in their efforts to transform e-Tourism through their research: historicity, reflexivity, equity, transparency, plurality, and creativity.","page":"187-203","publisher":"Springer Berlin Heidelberg","title":"e-Tourism beyond COVID-19: a call for transformative research","type":"article-journal","volume":"22"},"uris":["http://www.mendeley.com/documents/?uuid=f25b0921-137b-481b-b002-ec3cc08454d7"]}],"mendeley":{"formattedCitation":"(Gretzel &lt;i&gt;et al.&lt;/i&gt;, 2020)","manualFormatting":"Gretzel et al. (2020)","plainTextFormattedCitation":"(Gretzel et al., 2020)","previouslyFormattedCitation":"(Gretzel &lt;i&gt;et al.&lt;/i&gt;,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 xml:space="preserve">Gretzel </w:t>
      </w:r>
      <w:r w:rsidRPr="00AE7B34">
        <w:rPr>
          <w:rFonts w:ascii="Times New Roman" w:hAnsi="Times New Roman" w:cs="Times New Roman"/>
          <w:i/>
          <w:noProof/>
          <w:color w:val="000000" w:themeColor="text1"/>
          <w:sz w:val="22"/>
          <w:szCs w:val="22"/>
          <w:lang w:val="en-US"/>
        </w:rPr>
        <w:t>et al.</w:t>
      </w:r>
      <w:r w:rsidRPr="00AE7B34">
        <w:rPr>
          <w:rFonts w:ascii="Times New Roman" w:hAnsi="Times New Roman" w:cs="Times New Roman"/>
          <w:noProof/>
          <w:color w:val="000000" w:themeColor="text1"/>
          <w:sz w:val="22"/>
          <w:szCs w:val="22"/>
          <w:lang w:val="en-US"/>
        </w:rPr>
        <w:t xml:space="preserve"> </w:t>
      </w:r>
      <w:r w:rsidR="008144D7" w:rsidRPr="00AE7B34">
        <w:rPr>
          <w:rFonts w:ascii="Times New Roman" w:hAnsi="Times New Roman" w:cs="Times New Roman"/>
          <w:noProof/>
          <w:color w:val="000000" w:themeColor="text1"/>
          <w:sz w:val="22"/>
          <w:szCs w:val="22"/>
          <w:lang w:val="en-US"/>
        </w:rPr>
        <w:t>(</w:t>
      </w:r>
      <w:r w:rsidRPr="00AE7B34">
        <w:rPr>
          <w:rFonts w:ascii="Times New Roman" w:hAnsi="Times New Roman" w:cs="Times New Roman"/>
          <w:noProof/>
          <w:color w:val="000000" w:themeColor="text1"/>
          <w:sz w:val="22"/>
          <w:szCs w:val="22"/>
          <w:lang w:val="en-US"/>
        </w:rPr>
        <w:t>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bCs/>
          <w:color w:val="000000" w:themeColor="text1"/>
          <w:sz w:val="22"/>
          <w:szCs w:val="22"/>
          <w:lang w:val="en-US"/>
        </w:rPr>
        <w:t xml:space="preserve">this </w:t>
      </w:r>
      <w:r w:rsidRPr="00AE7B34">
        <w:rPr>
          <w:rFonts w:ascii="Times New Roman" w:hAnsi="Times New Roman" w:cs="Times New Roman"/>
          <w:bCs/>
          <w:color w:val="000000" w:themeColor="text1"/>
          <w:sz w:val="22"/>
          <w:szCs w:val="22"/>
          <w:lang w:val="en-GB"/>
        </w:rPr>
        <w:t xml:space="preserve"> study views  </w:t>
      </w:r>
      <w:r w:rsidR="007B33DC" w:rsidRPr="00AE7B34">
        <w:rPr>
          <w:rFonts w:ascii="Times New Roman" w:hAnsi="Times New Roman" w:cs="Times New Roman"/>
          <w:bCs/>
          <w:color w:val="000000" w:themeColor="text1"/>
          <w:sz w:val="22"/>
          <w:szCs w:val="22"/>
          <w:lang w:val="en-GB"/>
        </w:rPr>
        <w:t>COVID-19</w:t>
      </w:r>
      <w:r w:rsidRPr="00AE7B34">
        <w:rPr>
          <w:rFonts w:ascii="Times New Roman" w:hAnsi="Times New Roman" w:cs="Times New Roman"/>
          <w:bCs/>
          <w:color w:val="000000" w:themeColor="text1"/>
          <w:sz w:val="22"/>
          <w:szCs w:val="22"/>
          <w:lang w:val="en-GB"/>
        </w:rPr>
        <w:t xml:space="preserve"> as disruptive event </w:t>
      </w:r>
      <w:r w:rsidR="00870FFB" w:rsidRPr="00AE7B34">
        <w:rPr>
          <w:rFonts w:ascii="Times New Roman" w:hAnsi="Times New Roman" w:cs="Times New Roman"/>
          <w:bCs/>
          <w:color w:val="000000" w:themeColor="text1"/>
          <w:sz w:val="22"/>
          <w:szCs w:val="22"/>
          <w:lang w:val="en-GB"/>
        </w:rPr>
        <w:t xml:space="preserve">an </w:t>
      </w:r>
      <w:r w:rsidRPr="00AE7B34">
        <w:rPr>
          <w:rFonts w:ascii="Times New Roman" w:hAnsi="Times New Roman" w:cs="Times New Roman"/>
          <w:bCs/>
          <w:color w:val="000000" w:themeColor="text1"/>
          <w:sz w:val="22"/>
          <w:szCs w:val="22"/>
          <w:lang w:val="en-GB"/>
        </w:rPr>
        <w:t xml:space="preserve">augurating a brand-new digital museum era that requires the theoretical and empirical attention of researchers. </w:t>
      </w:r>
    </w:p>
    <w:p w14:paraId="2907A055" w14:textId="17B6D082" w:rsidR="00B803E8" w:rsidRPr="00AE7B34" w:rsidRDefault="00B803E8" w:rsidP="007934C0">
      <w:pPr>
        <w:tabs>
          <w:tab w:val="left" w:pos="851"/>
        </w:tabs>
        <w:ind w:firstLine="720"/>
        <w:jc w:val="both"/>
        <w:rPr>
          <w:rFonts w:ascii="Times New Roman" w:hAnsi="Times New Roman" w:cs="Times New Roman"/>
          <w:color w:val="000000" w:themeColor="text1"/>
          <w:sz w:val="22"/>
          <w:szCs w:val="22"/>
          <w:lang w:val="en-GB"/>
        </w:rPr>
      </w:pPr>
      <w:r w:rsidRPr="00AE7B34">
        <w:rPr>
          <w:rFonts w:ascii="Times New Roman" w:hAnsi="Times New Roman" w:cs="Times New Roman"/>
          <w:color w:val="000000" w:themeColor="text1"/>
          <w:sz w:val="22"/>
          <w:szCs w:val="22"/>
          <w:lang w:val="en-GB"/>
        </w:rPr>
        <w:t xml:space="preserve">Drawing on a review of </w:t>
      </w:r>
      <w:r w:rsidR="00353D50" w:rsidRPr="00AE7B34">
        <w:rPr>
          <w:rFonts w:ascii="Times New Roman" w:hAnsi="Times New Roman" w:cs="Times New Roman"/>
          <w:color w:val="000000" w:themeColor="text1"/>
          <w:sz w:val="22"/>
          <w:szCs w:val="22"/>
          <w:lang w:val="en-GB"/>
        </w:rPr>
        <w:t>76</w:t>
      </w:r>
      <w:r w:rsidR="00C0482A" w:rsidRPr="00AE7B34">
        <w:rPr>
          <w:rFonts w:ascii="Times New Roman" w:hAnsi="Times New Roman" w:cs="Times New Roman"/>
          <w:color w:val="000000" w:themeColor="text1"/>
          <w:sz w:val="22"/>
          <w:szCs w:val="22"/>
          <w:lang w:val="en-GB"/>
        </w:rPr>
        <w:t xml:space="preserve"> </w:t>
      </w:r>
      <w:r w:rsidRPr="00AE7B34">
        <w:rPr>
          <w:rFonts w:ascii="Times New Roman" w:hAnsi="Times New Roman" w:cs="Times New Roman"/>
          <w:color w:val="000000" w:themeColor="text1"/>
          <w:sz w:val="22"/>
          <w:szCs w:val="22"/>
          <w:lang w:val="en-GB"/>
        </w:rPr>
        <w:t xml:space="preserve">papers, the review has identified three major strands. The first strand presents the opportunities of social media as first aid kit fighting </w:t>
      </w:r>
      <w:r w:rsidR="007B33DC" w:rsidRPr="00AE7B34">
        <w:rPr>
          <w:rFonts w:ascii="Times New Roman" w:hAnsi="Times New Roman" w:cs="Times New Roman"/>
          <w:color w:val="000000" w:themeColor="text1"/>
          <w:sz w:val="22"/>
          <w:szCs w:val="22"/>
          <w:lang w:val="en-GB"/>
        </w:rPr>
        <w:t>COVID-19</w:t>
      </w:r>
      <w:r w:rsidRPr="00AE7B34">
        <w:rPr>
          <w:rFonts w:ascii="Times New Roman" w:hAnsi="Times New Roman" w:cs="Times New Roman"/>
          <w:color w:val="000000" w:themeColor="text1"/>
          <w:sz w:val="22"/>
          <w:szCs w:val="22"/>
          <w:lang w:val="en-GB"/>
        </w:rPr>
        <w:t xml:space="preserve"> and how digital tools become the “modus operandi” of cultural heritage during and after the pandemic. The second strand analyses patterns and best practices of museum and festival’s reaction during the lockdown and pandemic across the world including Greek cases such as the Greek Case of Thessaloniki International Film Festival and </w:t>
      </w:r>
      <w:proofErr w:type="spellStart"/>
      <w:r w:rsidR="001429CE" w:rsidRPr="00AE7B34">
        <w:rPr>
          <w:rFonts w:ascii="Times New Roman" w:hAnsi="Times New Roman" w:cs="Times New Roman"/>
          <w:color w:val="000000" w:themeColor="text1"/>
          <w:sz w:val="22"/>
          <w:szCs w:val="22"/>
          <w:lang w:val="en-GB"/>
        </w:rPr>
        <w:t>MOMus</w:t>
      </w:r>
      <w:proofErr w:type="spellEnd"/>
      <w:r w:rsidR="001429CE" w:rsidRPr="00AE7B34">
        <w:rPr>
          <w:rFonts w:ascii="Times New Roman" w:hAnsi="Times New Roman" w:cs="Times New Roman"/>
          <w:color w:val="000000" w:themeColor="text1"/>
          <w:sz w:val="22"/>
          <w:szCs w:val="22"/>
          <w:lang w:val="en-GB"/>
        </w:rPr>
        <w:t xml:space="preserve"> Thessaloniki Museum of Photography</w:t>
      </w:r>
      <w:r w:rsidRPr="00AE7B34">
        <w:rPr>
          <w:rFonts w:ascii="Times New Roman" w:hAnsi="Times New Roman" w:cs="Times New Roman"/>
          <w:color w:val="000000" w:themeColor="text1"/>
          <w:sz w:val="22"/>
          <w:szCs w:val="22"/>
          <w:lang w:val="en-GB"/>
        </w:rPr>
        <w:t xml:space="preserve">. The third stream involves both the problems and the challenges on accessibility and financial resources attendant to new museum role as knowledge repositories, communicators and community connectors. </w:t>
      </w:r>
    </w:p>
    <w:p w14:paraId="4E248548" w14:textId="5B69C598" w:rsidR="004F46BF" w:rsidRPr="00AE7B34" w:rsidRDefault="004F46BF" w:rsidP="00D22458">
      <w:pPr>
        <w:ind w:firstLine="720"/>
        <w:jc w:val="both"/>
        <w:rPr>
          <w:rFonts w:ascii="Times New Roman" w:hAnsi="Times New Roman" w:cs="Times New Roman"/>
          <w:bCs/>
          <w:color w:val="000000" w:themeColor="text1"/>
          <w:sz w:val="22"/>
          <w:szCs w:val="22"/>
          <w:lang w:val="en-US"/>
        </w:rPr>
      </w:pPr>
      <w:r w:rsidRPr="00AE7B34">
        <w:rPr>
          <w:rFonts w:ascii="Times New Roman" w:hAnsi="Times New Roman" w:cs="Times New Roman"/>
          <w:color w:val="000000" w:themeColor="text1"/>
          <w:sz w:val="22"/>
          <w:szCs w:val="22"/>
          <w:lang w:val="en-GB"/>
        </w:rPr>
        <w:t xml:space="preserve">The study showed that social media and digital tools served as a resilience tool in order that museums keep the society alive by moving online the museum/ festival experience. </w:t>
      </w:r>
      <w:r w:rsidR="00B803E8" w:rsidRPr="00AE7B34">
        <w:rPr>
          <w:rFonts w:ascii="Times New Roman" w:hAnsi="Times New Roman" w:cs="Times New Roman"/>
          <w:color w:val="000000" w:themeColor="text1"/>
          <w:sz w:val="22"/>
          <w:szCs w:val="22"/>
          <w:lang w:val="en-GB"/>
        </w:rPr>
        <w:t xml:space="preserve">Moreover, the study </w:t>
      </w:r>
      <w:r w:rsidR="00B803E8" w:rsidRPr="00AE7B34">
        <w:rPr>
          <w:rFonts w:ascii="Times New Roman" w:hAnsi="Times New Roman" w:cs="Times New Roman"/>
          <w:bCs/>
          <w:color w:val="000000" w:themeColor="text1"/>
          <w:sz w:val="22"/>
          <w:szCs w:val="22"/>
          <w:lang w:val="en-GB"/>
        </w:rPr>
        <w:t xml:space="preserve">confirmed social media multidimensional benefits and its brand- cocreation role, </w:t>
      </w:r>
      <w:r w:rsidR="00B803E8" w:rsidRPr="00AE7B34">
        <w:rPr>
          <w:rFonts w:ascii="Times New Roman" w:hAnsi="Times New Roman" w:cs="Times New Roman"/>
          <w:color w:val="000000" w:themeColor="text1"/>
          <w:sz w:val="22"/>
          <w:szCs w:val="22"/>
          <w:lang w:val="en-US"/>
        </w:rPr>
        <w:t xml:space="preserve">aligned to prior studies on the  social media contribution to the  new enhanced flow of museum experience, co- creation and the museum out the museum model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{"citationItems":[{"id":"ITEM-1","itemData":{"abstract":"Museums are increasingly using social media to include newer active experiences and entertainment. Not only does this digital shift provide a cost-effective, targeted and direct communication with the audience, but it also expands the museum experience beyond the borders of time and place. Although social media has triggered the attention of scholars, no previous study has classified the main ways in which social media affect museums. Drawing on a review of 54 papers this paper both categorizes and presents four major effects. The first effect relates to the opportunities of social media to museum experience and communication. The second effect is the social media enhancement to museums’ learning process. The third effect analyses patterns of social media use in museums. The fourth effect involves both the problems and the barriers attendant to social media integration in museums. This study contributes by presenting new theoretical insights, research topics and managerial implications","author":[{"dropping-particle":"","family":"Vassiliadis","given":"Chris","non-dropping-particle":"","parse-names":false,"suffix":""},{"dropping-particle":"","family":"Belenioti","given":"Zoe Charis","non-dropping-particle":"","parse-names":false,"suffix":""}],"container-title":"Tourismos: An international multidisciplinary Journal for Tourism, Special Issue 2017","id":"ITEM-1","issue":"3","issued":{"date-parts":[["2017"]]},"page":"97-132","title":"MUSEUMS &amp; CULTURAL HERITAGE VIA SOCIAL MEDIA: AN INTEGRATED LITERATURE REVIEW","type":"article-journal","volume":"12"},"uris":["http://www.mendeley.com/documents/?uuid=e36e2c9d-671a-442e-85e1-7fda206619b7"]}],"mendeley":{"formattedCitation":"(Vassiliadis and Belenioti, 2017)","manualFormatting":"(Vassiliadis and Belenioti, 2017;","plainTextFormattedCitation":"(Vassiliadis and Belenioti, 2017)","previouslyFormattedCitation":"(Vassiliadis and Belenioti, 2017)"},"properties":{"noteIndex":0},"schema":"https://github.com/citation-style-language/schema/raw/master/csl-citation.json"}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(Vassiliadis and Belenioti, 2017;</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 xml:space="preserve"> </w:t>
      </w:r>
      <w:r w:rsidR="00B803E8" w:rsidRPr="00AE7B34">
        <w:rPr>
          <w:rFonts w:ascii="Times New Roman" w:hAnsi="Times New Roman" w:cs="Times New Roman"/>
          <w:color w:val="000000" w:themeColor="text1"/>
          <w:sz w:val="22"/>
          <w:szCs w:val="22"/>
          <w:lang w:val="en-US"/>
        </w:rPr>
        <w:fldChar w:fldCharType="begin" w:fldLock="1"/>
      </w:r>
      <w:r w:rsidR="00B803E8" w:rsidRPr="00AE7B34">
        <w:rPr>
          <w:rFonts w:ascii="Times New Roman" w:hAnsi="Times New Roman" w:cs="Times New Roman"/>
          <w:color w:val="000000" w:themeColor="text1"/>
          <w:sz w:val="22"/>
          <w:szCs w:val="22"/>
          <w:lang w:val="en-US"/>
        </w:rPr>
        <w:instrText>ADDIN CSL_CITATION {"citationItems":[{"id":"ITEM-1","itemData":{"author":[{"dropping-particle":"","family":"Belenioti","given":"Zoe- Charis","non-dropping-particle":"","parse-names":false,"suffix":""}],"id":"ITEM-1","issued":{"date-parts":[["2020"]]},"publisher":"Aristotle University of Thessaloniki","title":"THE CONTRIBUTION OF E-MARKETING TO THE BRANDING OF NONPROFIT ORGANIZATIONS ( NPOs ): THE CASE OF GREEK MUSEUMS ZOI ( ZOE ) - CHARIS BELENIOTI","type":"thesis"},"uris":["http://www.mendeley.com/documents/?uuid=c6c5f623-b320-4c41-9b08-d70ff82fb824"]}],"mendeley":{"formattedCitation":"(Belenioti, 2020)","manualFormatting":"Belenioti, 2020; Hausmann, 2012a, 2012b; Fletcher and Lee, 2012)","plainTextFormattedCitation":"(Belenioti, 2020)","previouslyFormattedCitation":"(Belenioti, 2020)"},"properties":{"noteIndex":0},"schema":"https://github.com/citation-style-language/schema/raw/master/csl-citation.json"}</w:instrText>
      </w:r>
      <w:r w:rsidR="00B803E8" w:rsidRPr="00AE7B34">
        <w:rPr>
          <w:rFonts w:ascii="Times New Roman" w:hAnsi="Times New Roman" w:cs="Times New Roman"/>
          <w:color w:val="000000" w:themeColor="text1"/>
          <w:sz w:val="22"/>
          <w:szCs w:val="22"/>
          <w:lang w:val="en-US"/>
        </w:rPr>
        <w:fldChar w:fldCharType="separate"/>
      </w:r>
      <w:r w:rsidR="00B803E8" w:rsidRPr="00AE7B34">
        <w:rPr>
          <w:rFonts w:ascii="Times New Roman" w:hAnsi="Times New Roman" w:cs="Times New Roman"/>
          <w:noProof/>
          <w:color w:val="000000" w:themeColor="text1"/>
          <w:sz w:val="22"/>
          <w:szCs w:val="22"/>
          <w:lang w:val="en-US"/>
        </w:rPr>
        <w:t>Belenioti, 2020; Hausmann, 2012a, 2012b; Fletcher and Lee, 2012)</w:t>
      </w:r>
      <w:r w:rsidR="00B803E8" w:rsidRPr="00AE7B34">
        <w:rPr>
          <w:rFonts w:ascii="Times New Roman" w:hAnsi="Times New Roman" w:cs="Times New Roman"/>
          <w:color w:val="000000" w:themeColor="text1"/>
          <w:sz w:val="22"/>
          <w:szCs w:val="22"/>
          <w:lang w:val="en-US"/>
        </w:rPr>
        <w:fldChar w:fldCharType="end"/>
      </w:r>
      <w:r w:rsidR="00B803E8" w:rsidRPr="00AE7B34">
        <w:rPr>
          <w:rFonts w:ascii="Times New Roman" w:hAnsi="Times New Roman" w:cs="Times New Roman"/>
          <w:color w:val="000000" w:themeColor="text1"/>
          <w:sz w:val="22"/>
          <w:szCs w:val="22"/>
          <w:lang w:val="en-US"/>
        </w:rPr>
        <w:t>.</w:t>
      </w:r>
      <w:r w:rsidR="00B803E8" w:rsidRPr="00AE7B34">
        <w:rPr>
          <w:rFonts w:ascii="Times New Roman" w:hAnsi="Times New Roman" w:cs="Times New Roman"/>
          <w:bCs/>
          <w:color w:val="000000" w:themeColor="text1"/>
          <w:sz w:val="22"/>
          <w:szCs w:val="22"/>
          <w:lang w:val="en-GB"/>
        </w:rPr>
        <w:t xml:space="preserve"> </w:t>
      </w:r>
      <w:r w:rsidRPr="00AE7B34">
        <w:rPr>
          <w:rFonts w:ascii="Times New Roman" w:hAnsi="Times New Roman" w:cs="Times New Roman"/>
          <w:bCs/>
          <w:color w:val="000000" w:themeColor="text1"/>
          <w:sz w:val="22"/>
          <w:szCs w:val="22"/>
          <w:lang w:val="en-GB"/>
        </w:rPr>
        <w:t xml:space="preserve">In line to </w:t>
      </w:r>
      <w:proofErr w:type="spellStart"/>
      <w:r w:rsidRPr="00AE7B34">
        <w:rPr>
          <w:rFonts w:ascii="Times New Roman" w:hAnsi="Times New Roman" w:cs="Times New Roman"/>
          <w:bCs/>
          <w:color w:val="000000" w:themeColor="text1"/>
          <w:sz w:val="22"/>
          <w:szCs w:val="22"/>
          <w:lang w:val="en-GB"/>
        </w:rPr>
        <w:t>Buchalis</w:t>
      </w:r>
      <w:proofErr w:type="spellEnd"/>
      <w:r w:rsidRPr="00AE7B34">
        <w:rPr>
          <w:rFonts w:ascii="Times New Roman" w:hAnsi="Times New Roman" w:cs="Times New Roman"/>
          <w:bCs/>
          <w:color w:val="000000" w:themeColor="text1"/>
          <w:sz w:val="22"/>
          <w:szCs w:val="22"/>
          <w:lang w:val="en-GB"/>
        </w:rPr>
        <w:t xml:space="preserve"> (2020), </w:t>
      </w:r>
      <w:r w:rsidR="00A115B4" w:rsidRPr="00AE7B34">
        <w:rPr>
          <w:rFonts w:ascii="Times New Roman" w:hAnsi="Times New Roman" w:cs="Times New Roman"/>
          <w:bCs/>
          <w:color w:val="000000" w:themeColor="text1"/>
          <w:sz w:val="22"/>
          <w:szCs w:val="22"/>
          <w:lang w:val="en-GB"/>
        </w:rPr>
        <w:fldChar w:fldCharType="begin" w:fldLock="1"/>
      </w:r>
      <w:r w:rsidR="00F72A2B" w:rsidRPr="00AE7B34">
        <w:rPr>
          <w:rFonts w:ascii="Times New Roman" w:hAnsi="Times New Roman" w:cs="Times New Roman"/>
          <w:bCs/>
          <w:color w:val="000000" w:themeColor="text1"/>
          <w:sz w:val="22"/>
          <w:szCs w:val="22"/>
          <w:lang w:val="en-GB"/>
        </w:rPr>
        <w:instrText>ADDIN CSL_CITATION {"citationItems":[{"id":"ITEM-1","itemData":{"DOI":"10.1108/IJCHM-07-2020-0644","ISBN":"0720200644","ISSN":"09596119","abstract":"Purpose: Dynamic, volatile, and time-sensitive industries, such as tourism, travel and hospitality require agility and market intelligence to create value and achieve competitive advantage. The aim of the current study is to examine the influence of big data (BD) on the performance of service organizations and to probe for a deeper understanding of implementing BD, based on available technologies. Design/methodology/approach: An ethnographic study was conducted following an abductive approach. A primary qualitative research scheme was used with 35 information technology and database professionals participating in five online focus groups of seven participants each. Analytical themes were developed simultaneously with the literature being revisited throughout the study to ultimately create sets of common themes and dimensions. Findings: BD can help organizations build agility, especially within dynamic industries, to better predict customer behavioral patterns and make tailor-made propositions from the BD. An integrated BD-specific framework is proposed to address value according to the dimensions of need, value, time and utility. Research limitations/implications: Little research exists on the key drivers of BD use for dynamic, real-time and agile businesses. This research adds to the developing literature on BD applications to support organizational decision-making and business performance in the tourism industry. Originality/value: This study responds to scholars’ recent calls for more empirical research with contextual understanding of the use of BD to add value in marketing intelligence within business ecosystems. It delineates factors contributing to BD value creation and explores the impacts on the respective service encounters.","author":[{"dropping-particle":"","family":"Stylos","given":"Nikolaos","non-dropping-particle":"","parse-names":false,"suffix":""},{"dropping-particle":"","family":"Zwiegelaar","given":"Jeremy","non-dropping-particle":"","parse-names":false,"suffix":""},{"dropping-particle":"","family":"Buhalis","given":"Dimitrios","non-dropping-particle":"","parse-names":false,"suffix":""}],"container-title":"International Journal of Contemporary Hospitality Management","id":"ITEM-1","issue":"3","issued":{"date-parts":[["2021"]]},"note":"na kano allagi se onoma sto paper - done","page":"1015-1036","title":"Big data empowered agility for dynamic, volatile, and time-sensitive service industries: the case of tourism sector","type":"article-journal","volume":"33"},"uris":["http://www.mendeley.com/documents/?uuid=565f83e2-117d-4f8a-95ea-07556ac2e904"]}],"mendeley":{"formattedCitation":"(Stylos, Zwiegelaar and Buhalis, 2021)","manualFormatting":"Stylos, Zwiegelaar and Buhalis (2021)","plainTextFormattedCitation":"(Stylos, Zwiegelaar and Buhalis, 2021)","previouslyFormattedCitation":"(Stylos, Zwiegelaar and Buhalis, 2021)"},"properties":{"noteIndex":0},"schema":"https://github.com/citation-style-language/schema/raw/master/csl-citation.json"}</w:instrText>
      </w:r>
      <w:r w:rsidR="00A115B4" w:rsidRPr="00AE7B34">
        <w:rPr>
          <w:rFonts w:ascii="Times New Roman" w:hAnsi="Times New Roman" w:cs="Times New Roman"/>
          <w:bCs/>
          <w:color w:val="000000" w:themeColor="text1"/>
          <w:sz w:val="22"/>
          <w:szCs w:val="22"/>
          <w:lang w:val="en-GB"/>
        </w:rPr>
        <w:fldChar w:fldCharType="separate"/>
      </w:r>
      <w:r w:rsidR="00A115B4" w:rsidRPr="00AE7B34">
        <w:rPr>
          <w:rFonts w:ascii="Times New Roman" w:hAnsi="Times New Roman" w:cs="Times New Roman"/>
          <w:bCs/>
          <w:noProof/>
          <w:color w:val="000000" w:themeColor="text1"/>
          <w:sz w:val="22"/>
          <w:szCs w:val="22"/>
          <w:lang w:val="en-GB"/>
        </w:rPr>
        <w:t>Stylos, Zwiegelaar and Buhalis (2021)</w:t>
      </w:r>
      <w:r w:rsidR="00A115B4" w:rsidRPr="00AE7B34">
        <w:rPr>
          <w:rFonts w:ascii="Times New Roman" w:hAnsi="Times New Roman" w:cs="Times New Roman"/>
          <w:bCs/>
          <w:color w:val="000000" w:themeColor="text1"/>
          <w:sz w:val="22"/>
          <w:szCs w:val="22"/>
          <w:lang w:val="en-GB"/>
        </w:rPr>
        <w:fldChar w:fldCharType="end"/>
      </w:r>
      <w:r w:rsidR="00877A7E" w:rsidRPr="00AE7B34">
        <w:rPr>
          <w:rFonts w:ascii="Times New Roman" w:hAnsi="Times New Roman" w:cs="Times New Roman"/>
          <w:bCs/>
          <w:color w:val="000000" w:themeColor="text1"/>
          <w:sz w:val="22"/>
          <w:szCs w:val="22"/>
          <w:lang w:val="en-GB"/>
        </w:rPr>
        <w:t>,</w:t>
      </w:r>
      <w:r w:rsidR="00B5562F" w:rsidRPr="00AE7B34">
        <w:rPr>
          <w:rFonts w:ascii="Times New Roman" w:hAnsi="Times New Roman" w:cs="Times New Roman"/>
          <w:bCs/>
          <w:color w:val="000000" w:themeColor="text1"/>
          <w:sz w:val="22"/>
          <w:szCs w:val="22"/>
          <w:lang w:val="en-GB"/>
        </w:rPr>
        <w:t xml:space="preserve"> </w:t>
      </w:r>
      <w:r w:rsidR="00877A7E" w:rsidRPr="00AE7B34">
        <w:rPr>
          <w:rFonts w:ascii="Times New Roman" w:hAnsi="Times New Roman" w:cs="Times New Roman"/>
          <w:bCs/>
          <w:color w:val="000000" w:themeColor="text1"/>
          <w:sz w:val="22"/>
          <w:szCs w:val="22"/>
          <w:lang w:val="en-GB"/>
        </w:rPr>
        <w:t>and</w:t>
      </w:r>
      <w:r w:rsidRPr="00AE7B34">
        <w:rPr>
          <w:rFonts w:ascii="Times New Roman" w:hAnsi="Times New Roman" w:cs="Times New Roman"/>
          <w:bCs/>
          <w:color w:val="000000" w:themeColor="text1"/>
          <w:sz w:val="22"/>
          <w:szCs w:val="22"/>
          <w:lang w:val="en-GB"/>
        </w:rPr>
        <w:t xml:space="preserve"> Belenioti (2020), not only did digital transformation via Web 2.0, </w:t>
      </w:r>
      <w:r w:rsidR="00DB7EF4" w:rsidRPr="00AE7B34">
        <w:rPr>
          <w:rFonts w:ascii="Times New Roman" w:hAnsi="Times New Roman" w:cs="Times New Roman"/>
          <w:bCs/>
          <w:color w:val="000000" w:themeColor="text1"/>
          <w:sz w:val="22"/>
          <w:szCs w:val="22"/>
          <w:lang w:val="en-GB"/>
        </w:rPr>
        <w:t>s</w:t>
      </w:r>
      <w:r w:rsidRPr="00AE7B34">
        <w:rPr>
          <w:rFonts w:ascii="Times New Roman" w:hAnsi="Times New Roman" w:cs="Times New Roman"/>
          <w:bCs/>
          <w:color w:val="000000" w:themeColor="text1"/>
          <w:sz w:val="22"/>
          <w:szCs w:val="22"/>
          <w:lang w:val="en-GB"/>
        </w:rPr>
        <w:t>ocial media, Big Data reshape the relationship between museums and visitors enabling co- creation&amp; H2H communication, but it also boost</w:t>
      </w:r>
      <w:r w:rsidR="00DB7EF4" w:rsidRPr="00AE7B34">
        <w:rPr>
          <w:rFonts w:ascii="Times New Roman" w:hAnsi="Times New Roman" w:cs="Times New Roman"/>
          <w:bCs/>
          <w:color w:val="000000" w:themeColor="text1"/>
          <w:sz w:val="22"/>
          <w:szCs w:val="22"/>
          <w:lang w:val="en-GB"/>
        </w:rPr>
        <w:t>ed</w:t>
      </w:r>
      <w:r w:rsidRPr="00AE7B34">
        <w:rPr>
          <w:rFonts w:ascii="Times New Roman" w:hAnsi="Times New Roman" w:cs="Times New Roman"/>
          <w:bCs/>
          <w:color w:val="000000" w:themeColor="text1"/>
          <w:sz w:val="22"/>
          <w:szCs w:val="22"/>
          <w:lang w:val="en-GB"/>
        </w:rPr>
        <w:t xml:space="preserve"> engagement, awareness and expand resilience amid COVID-19.</w:t>
      </w:r>
    </w:p>
    <w:p w14:paraId="249EA137" w14:textId="0A9DEB9D" w:rsidR="00B803E8" w:rsidRPr="00AE7B34" w:rsidRDefault="00B803E8" w:rsidP="00D22458">
      <w:pPr>
        <w:ind w:firstLine="720"/>
        <w:jc w:val="both"/>
        <w:rPr>
          <w:rFonts w:ascii="Times New Roman" w:hAnsi="Times New Roman" w:cs="Times New Roman"/>
          <w:color w:val="000000" w:themeColor="text1"/>
          <w:sz w:val="22"/>
          <w:szCs w:val="22"/>
          <w:lang w:val="en-US"/>
        </w:rPr>
      </w:pPr>
      <w:r w:rsidRPr="00AE7B34">
        <w:rPr>
          <w:rFonts w:ascii="Times New Roman" w:hAnsi="Times New Roman" w:cs="Times New Roman"/>
          <w:color w:val="000000" w:themeColor="text1"/>
          <w:sz w:val="22"/>
          <w:szCs w:val="22"/>
          <w:lang w:val="en-US"/>
        </w:rPr>
        <w:t xml:space="preserve">Finally, another interesting finding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{"citationItems":[{"id":"ITEM-1","itemData":{"DOI":"10.1016/j.jbusres.2020.05.059","ISSN":"01482963","abstract":"The COVID-19 pandemic and the lockdown and social distancing mandates have disrupted the consumer habits of buying as well as shopping. Consumers are learning to improvise and learn new habits. For example, consumers cannot go to the store, so the store comes to home. While consumers go back to old habits, it is likely that they will be modified by new regulations and procedures in the way consumers shop and buy products and services. New habits will also emerge by technology advances, changing demographics and innovative ways consumers have learned to cope with blurring the work, leisure, and education boundaries.","author":[{"dropping-particle":"","family":"Sheth","given":"Jagdish","non-dropping-particle":"","parse-names":false,"suffix":""}],"container-title":"Journal of Business Research","id":"ITEM-1","issued":{"date-parts":[["2020"]]},"note":"polu kalo gia eisagigi gia museia nad convid and con behh and digital transfromation \n\naim: \nThe purpose of this research paper is to examine the impact of Covid-19 pandemic on consumer behavior.\n\nConlusion: \n1. The lockdown and social distancing to combat the covid-19 virus has generated significant disruptions on consumer behavior. \n2. All con-sumption is time bound and location bound. With time flexibility but location rigidity, consumers have learned to improvise in creative and innovative ways. \n3. The work-life boundaries are now blurred as peoplevwork at home, study at home, and relax at home. \n4. Since the consumer is unable to go to the store, the store has to come to the consumer.As consumers adapt to the house arrest for a prolonged period of time, they are likely to adopt newer technologies which facilitate work,study and consumption in a more convenient manner.\n5. Embracing di-gital technology is likely to modify existing habits. \n\n6. Finally, public policy will also impose new consumption habits especially in public places such as airports, concerts, and public parks.","page":"280-283","publisher":"Elsevier","title":"Impact of Covid-19 on consumer behavior: Will the old habits return or die?","type":"article-journal","volume":"117"},"uris":["http://www.mendeley.com/documents/?uuid=a5280948-1d40-4d4c-ab33-089821bfe292"]}],"mendeley":{"formattedCitation":"(Sheth, 2020)","manualFormatting":"Sheth (2020)","plainTextFormattedCitation":"(Sheth, 2020)","previouslyFormattedCitation":"(Sheth,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Sheth (2020)</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 xml:space="preserve"> theory regarding the emergence on COVID-19 behavioral patterns such as “Embracing Digital Technology “, “Store Comes to Home”, “Discovery of Talent” are also applied in museum context. Thus, </w:t>
      </w:r>
      <w:r w:rsidR="006A072A" w:rsidRPr="00AE7B34">
        <w:rPr>
          <w:rFonts w:ascii="Times New Roman" w:hAnsi="Times New Roman" w:cs="Times New Roman"/>
          <w:color w:val="000000" w:themeColor="text1"/>
          <w:sz w:val="22"/>
          <w:szCs w:val="22"/>
          <w:lang w:val="en-US"/>
        </w:rPr>
        <w:t xml:space="preserve">within lockdown like </w:t>
      </w:r>
      <w:r w:rsidRPr="00AE7B34">
        <w:rPr>
          <w:rFonts w:ascii="Times New Roman" w:hAnsi="Times New Roman" w:cs="Times New Roman"/>
          <w:color w:val="000000" w:themeColor="text1"/>
          <w:sz w:val="22"/>
          <w:szCs w:val="22"/>
          <w:lang w:val="en-US"/>
        </w:rPr>
        <w:t xml:space="preserve">as education, store and work </w:t>
      </w:r>
      <w:r w:rsidR="00B5562F" w:rsidRPr="00AE7B34">
        <w:rPr>
          <w:rFonts w:ascii="Times New Roman" w:hAnsi="Times New Roman" w:cs="Times New Roman"/>
          <w:color w:val="000000" w:themeColor="text1"/>
          <w:sz w:val="22"/>
          <w:szCs w:val="22"/>
          <w:lang w:val="en-US"/>
        </w:rPr>
        <w:t>come</w:t>
      </w:r>
      <w:r w:rsidRPr="00AE7B34">
        <w:rPr>
          <w:rFonts w:ascii="Times New Roman" w:hAnsi="Times New Roman" w:cs="Times New Roman"/>
          <w:color w:val="000000" w:themeColor="text1"/>
          <w:sz w:val="22"/>
          <w:szCs w:val="22"/>
          <w:lang w:val="en-US"/>
        </w:rPr>
        <w:t xml:space="preserve"> home, so </w:t>
      </w:r>
      <w:r w:rsidR="00A115B4" w:rsidRPr="00AE7B34">
        <w:rPr>
          <w:rFonts w:ascii="Times New Roman" w:hAnsi="Times New Roman" w:cs="Times New Roman"/>
          <w:color w:val="000000" w:themeColor="text1"/>
          <w:sz w:val="22"/>
          <w:szCs w:val="22"/>
          <w:lang w:val="en-US"/>
        </w:rPr>
        <w:t>do museums</w:t>
      </w:r>
      <w:r w:rsidRPr="00AE7B34">
        <w:rPr>
          <w:rFonts w:ascii="Times New Roman" w:hAnsi="Times New Roman" w:cs="Times New Roman"/>
          <w:color w:val="000000" w:themeColor="text1"/>
          <w:sz w:val="22"/>
          <w:szCs w:val="22"/>
          <w:lang w:val="en-US"/>
        </w:rPr>
        <w:t xml:space="preserve">. </w:t>
      </w:r>
      <w:r w:rsidR="005C003E" w:rsidRPr="00AE7B34">
        <w:rPr>
          <w:rFonts w:ascii="Times New Roman" w:hAnsi="Times New Roman" w:cs="Times New Roman"/>
          <w:color w:val="000000" w:themeColor="text1"/>
          <w:sz w:val="22"/>
          <w:szCs w:val="22"/>
          <w:lang w:val="en-US"/>
        </w:rPr>
        <w:t>The st</w:t>
      </w:r>
      <w:r w:rsidRPr="00AE7B34">
        <w:rPr>
          <w:rFonts w:ascii="Times New Roman" w:hAnsi="Times New Roman" w:cs="Times New Roman"/>
          <w:color w:val="000000" w:themeColor="text1"/>
          <w:sz w:val="22"/>
          <w:szCs w:val="22"/>
          <w:lang w:val="en-US"/>
        </w:rPr>
        <w:t xml:space="preserve">udy has </w:t>
      </w:r>
      <w:r w:rsidR="00A115B4" w:rsidRPr="00AE7B34">
        <w:rPr>
          <w:rFonts w:ascii="Times New Roman" w:hAnsi="Times New Roman" w:cs="Times New Roman"/>
          <w:color w:val="000000" w:themeColor="text1"/>
          <w:sz w:val="22"/>
          <w:szCs w:val="22"/>
          <w:lang w:val="en-US"/>
        </w:rPr>
        <w:t>shown that</w:t>
      </w:r>
      <w:r w:rsidRPr="00AE7B34">
        <w:rPr>
          <w:rFonts w:ascii="Times New Roman" w:hAnsi="Times New Roman" w:cs="Times New Roman"/>
          <w:color w:val="000000" w:themeColor="text1"/>
          <w:sz w:val="22"/>
          <w:szCs w:val="22"/>
          <w:lang w:val="en-US"/>
        </w:rPr>
        <w:t xml:space="preserve"> no matter </w:t>
      </w:r>
      <w:r w:rsidR="005C003E" w:rsidRPr="00AE7B34">
        <w:rPr>
          <w:rFonts w:ascii="Times New Roman" w:hAnsi="Times New Roman" w:cs="Times New Roman"/>
          <w:color w:val="000000" w:themeColor="text1"/>
          <w:sz w:val="22"/>
          <w:szCs w:val="22"/>
          <w:lang w:val="en-US"/>
        </w:rPr>
        <w:t xml:space="preserve">where </w:t>
      </w:r>
      <w:r w:rsidRPr="00AE7B34">
        <w:rPr>
          <w:rFonts w:ascii="Times New Roman" w:hAnsi="Times New Roman" w:cs="Times New Roman"/>
          <w:color w:val="000000" w:themeColor="text1"/>
          <w:sz w:val="22"/>
          <w:szCs w:val="22"/>
          <w:lang w:val="en-US"/>
        </w:rPr>
        <w:t xml:space="preserve">visitors are, they visit any museum of the Earth </w:t>
      </w:r>
      <w:r w:rsidR="00A115B4" w:rsidRPr="00AE7B34">
        <w:rPr>
          <w:rFonts w:ascii="Times New Roman" w:hAnsi="Times New Roman" w:cs="Times New Roman"/>
          <w:color w:val="000000" w:themeColor="text1"/>
          <w:sz w:val="22"/>
          <w:szCs w:val="22"/>
          <w:lang w:val="en-US"/>
        </w:rPr>
        <w:t>via one</w:t>
      </w:r>
      <w:r w:rsidRPr="00AE7B34">
        <w:rPr>
          <w:rFonts w:ascii="Times New Roman" w:hAnsi="Times New Roman" w:cs="Times New Roman"/>
          <w:color w:val="000000" w:themeColor="text1"/>
          <w:sz w:val="22"/>
          <w:szCs w:val="22"/>
          <w:lang w:val="en-US"/>
        </w:rPr>
        <w:t xml:space="preserve"> </w:t>
      </w:r>
      <w:r w:rsidR="00174227" w:rsidRPr="00AE7B34">
        <w:rPr>
          <w:rFonts w:ascii="Times New Roman" w:hAnsi="Times New Roman" w:cs="Times New Roman"/>
          <w:color w:val="000000" w:themeColor="text1"/>
          <w:sz w:val="22"/>
          <w:szCs w:val="22"/>
          <w:lang w:val="en-US"/>
        </w:rPr>
        <w:t>click, in</w:t>
      </w:r>
      <w:r w:rsidRPr="00AE7B34">
        <w:rPr>
          <w:rFonts w:ascii="Times New Roman" w:hAnsi="Times New Roman" w:cs="Times New Roman"/>
          <w:color w:val="000000" w:themeColor="text1"/>
          <w:sz w:val="22"/>
          <w:szCs w:val="22"/>
          <w:lang w:val="en-US"/>
        </w:rPr>
        <w:t xml:space="preserve"> their “stay at home” life. The only way to visit museums and escape from their quarantine routine was by </w:t>
      </w:r>
      <w:r w:rsidR="00A115B4" w:rsidRPr="00AE7B34">
        <w:rPr>
          <w:rFonts w:ascii="Times New Roman" w:hAnsi="Times New Roman" w:cs="Times New Roman"/>
          <w:color w:val="000000" w:themeColor="text1"/>
          <w:sz w:val="22"/>
          <w:szCs w:val="22"/>
          <w:lang w:val="en-US"/>
        </w:rPr>
        <w:t>“Embracing</w:t>
      </w:r>
      <w:r w:rsidRPr="00AE7B34">
        <w:rPr>
          <w:rFonts w:ascii="Times New Roman" w:hAnsi="Times New Roman" w:cs="Times New Roman"/>
          <w:color w:val="000000" w:themeColor="text1"/>
          <w:sz w:val="22"/>
          <w:szCs w:val="22"/>
          <w:lang w:val="en-US"/>
        </w:rPr>
        <w:t xml:space="preserve"> Digital Technology” </w:t>
      </w:r>
      <w:r w:rsidR="005C003E" w:rsidRPr="00AE7B34">
        <w:rPr>
          <w:rFonts w:ascii="Times New Roman" w:hAnsi="Times New Roman" w:cs="Times New Roman"/>
          <w:color w:val="000000" w:themeColor="text1"/>
          <w:sz w:val="22"/>
          <w:szCs w:val="22"/>
          <w:lang w:val="en-US"/>
        </w:rPr>
        <w:t xml:space="preserve">in </w:t>
      </w:r>
      <w:r w:rsidRPr="00AE7B34">
        <w:rPr>
          <w:rFonts w:ascii="Times New Roman" w:hAnsi="Times New Roman" w:cs="Times New Roman"/>
          <w:color w:val="000000" w:themeColor="text1"/>
          <w:sz w:val="22"/>
          <w:szCs w:val="22"/>
          <w:lang w:val="en-US"/>
        </w:rPr>
        <w:t>the museum context</w:t>
      </w:r>
      <w:r w:rsidR="005C003E" w:rsidRPr="00AE7B34">
        <w:rPr>
          <w:rFonts w:ascii="Times New Roman" w:hAnsi="Times New Roman" w:cs="Times New Roman"/>
          <w:color w:val="000000" w:themeColor="text1"/>
          <w:sz w:val="22"/>
          <w:szCs w:val="22"/>
          <w:lang w:val="en-US"/>
        </w:rPr>
        <w:t>, as well</w:t>
      </w:r>
      <w:r w:rsidRPr="00AE7B34">
        <w:rPr>
          <w:rFonts w:ascii="Times New Roman" w:hAnsi="Times New Roman" w:cs="Times New Roman"/>
          <w:color w:val="000000" w:themeColor="text1"/>
          <w:sz w:val="22"/>
          <w:szCs w:val="22"/>
          <w:lang w:val="en-US"/>
        </w:rPr>
        <w:t xml:space="preserve">. Indeed, museums flourishing the “discover of talent” via  online events that “bolster health and wellbeing, community identity, reducing isolation, and social cohesion” </w:t>
      </w: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ADDIN CSL_CITATION {"citationItems":[{"id":"ITEM-1","itemData":{"author":[{"dropping-particle":"","family":"Practice","given":"Creative","non-dropping-particle":"","parse-names":false,"suffix":""}],"id":"ITEM-1","issue":"June","issued":{"date-parts":[["2020"]]},"note":"polu kalo\n\n- Museums across Australia and the world have responded to the COVID-19 crisis with new strategies of digital engagement. \n- With physical venues have closed, many institutions have found ways to create, curate and translate modes of engagement for digital contexts. No longer a mere platform for institutional marketing and promotion, social media like Facebook, Instagram, Twitter, Tik Tok and YouTube have all become sites for creative intervention\n\n- 3 major categories of Digital engagement strategies based on the museum and target demographic\n1.Virtual exhibitions, curatorial talks, viewing rooms, and tours of current\ncollections, art fairs, and touring exhibits;\n2. Education and engagement through remote learning, including drawing and\nphotography classes;\n3. Programming and events, often interactive and based on speciality or demographic (for example museums asking people to recreate paintings from\ntheir collection at home or visual diaries from artists who are working in isolation).\n\nSxolio SOS : SOS co creation in museum via future internet, and sm \n\n-Future Directions &amp;amp; Issues to handle \no creation in museum via future internet,smart tools, and sm \n\n- Going forward post-pandemic, museums can become shared civic spaces where\naudiences (members, visitors) can participate in making digital content that inspires\nlearning, interaction, and broadens worldviews, grounded in local connections, responds\nto diversity in all its forms, and contributes to the overall aims of the cultural institution.\nThere are key learnings we could take forward about the opportunities and challenges for\nengaging audiences during the COVID-19 period.\n\n- Embedding innovations around mobile media as part of the engagement\ncuration:\n(aR, VR to create audience engagement buliding museumeu out of the physical museum \n\n- Co-creating content for social inclusion with digitally diverse audiences. COVID19.\n\n- Understanding digital engagement as communication science and knowledge\nrepositories : \n\n-Deploying social media as part of museum curatorial practice around new\nvisualities:\n- huge questions about equality, access, how we socialise\nwith each other, and who and what we value and, for our purposes here, and what role of\nthe museum can play as we move forward.\n- Need for rethinking of museum vistiort experience till world vaccination \n- The intention to continue participating online post-pandemic is higher people with a disability (70%),\nthose who are caregivers to older adults (70%) (AS 10). So, for older audiences, more\ndigital strategies are needed.\n- Pivot to online engagement -&amp;gt; fatigue for personnell\n- Online museum bolster health and wellbeing, community identity, reducing isolation, and social cohesion.","title":"Digital Engagement Strategies in Cultural Sector During COVID-19 June 2020 Design &amp; Creative Practice","type":"report"},"uris":["http://www.mendeley.com/documents/?uuid=204b0046-f189-4fee-a2eb-5e3187725b6c"]}],"mendeley":{"formattedCitation":"(Practice, 2020)","manualFormatting":"(Practice, 2020 :3)","plainTextFormattedCitation":"(Practice, 2020)","previouslyFormattedCitation":"(Practice, 2020)"},"properties":{"noteIndex":0},"schema":"https://github.com/citation-style-language/schema/raw/master/csl-citation.json"}</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US"/>
        </w:rPr>
        <w:t>(Practice, 2020 :3)</w:t>
      </w:r>
      <w:r w:rsidRPr="00AE7B34">
        <w:rPr>
          <w:rFonts w:ascii="Times New Roman" w:hAnsi="Times New Roman" w:cs="Times New Roman"/>
          <w:color w:val="000000" w:themeColor="text1"/>
          <w:sz w:val="22"/>
          <w:szCs w:val="22"/>
          <w:lang w:val="en-US"/>
        </w:rPr>
        <w:fldChar w:fldCharType="end"/>
      </w:r>
      <w:r w:rsidRPr="00AE7B34">
        <w:rPr>
          <w:rFonts w:ascii="Times New Roman" w:hAnsi="Times New Roman" w:cs="Times New Roman"/>
          <w:color w:val="000000" w:themeColor="text1"/>
          <w:sz w:val="22"/>
          <w:szCs w:val="22"/>
          <w:lang w:val="en-US"/>
        </w:rPr>
        <w:t>.</w:t>
      </w:r>
    </w:p>
    <w:p w14:paraId="4B9196D7" w14:textId="77777777" w:rsidR="006A7598" w:rsidRPr="00AE7B34" w:rsidRDefault="006A7598" w:rsidP="00BF2F46">
      <w:pPr>
        <w:jc w:val="both"/>
        <w:rPr>
          <w:rFonts w:ascii="Times New Roman" w:hAnsi="Times New Roman" w:cs="Times New Roman"/>
          <w:color w:val="000000" w:themeColor="text1"/>
          <w:sz w:val="22"/>
          <w:szCs w:val="22"/>
          <w:lang w:val="en-US"/>
        </w:rPr>
      </w:pPr>
    </w:p>
    <w:p w14:paraId="30FDF6EF" w14:textId="77777777" w:rsidR="00B4617F" w:rsidRPr="00AE7B34" w:rsidRDefault="00B4617F"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 xml:space="preserve">CONCLUSIONS </w:t>
      </w:r>
    </w:p>
    <w:p w14:paraId="19F6FD5A" w14:textId="77777777" w:rsidR="00B4617F" w:rsidRPr="00AE7B34" w:rsidRDefault="00B4617F" w:rsidP="00BF2F46">
      <w:pPr>
        <w:jc w:val="both"/>
        <w:rPr>
          <w:rFonts w:ascii="Times New Roman" w:hAnsi="Times New Roman" w:cs="Times New Roman"/>
          <w:color w:val="000000" w:themeColor="text1"/>
          <w:sz w:val="22"/>
          <w:szCs w:val="22"/>
          <w:lang w:val="en-US"/>
        </w:rPr>
      </w:pPr>
    </w:p>
    <w:p w14:paraId="1279A319" w14:textId="6C51F67E" w:rsidR="00B803E8" w:rsidRPr="00AE7B34" w:rsidRDefault="00B803E8" w:rsidP="00B803E8">
      <w:pPr>
        <w:jc w:val="both"/>
        <w:rPr>
          <w:rFonts w:ascii="Times New Roman" w:hAnsi="Times New Roman" w:cs="Times New Roman"/>
          <w:bCs/>
          <w:color w:val="000000" w:themeColor="text1"/>
          <w:sz w:val="22"/>
          <w:szCs w:val="22"/>
          <w:lang w:val="en-GB"/>
        </w:rPr>
      </w:pPr>
      <w:r w:rsidRPr="00AE7B34">
        <w:rPr>
          <w:rFonts w:ascii="Times New Roman" w:hAnsi="Times New Roman" w:cs="Times New Roman"/>
          <w:bCs/>
          <w:color w:val="000000" w:themeColor="text1"/>
          <w:sz w:val="22"/>
          <w:szCs w:val="22"/>
          <w:lang w:val="en-GB"/>
        </w:rPr>
        <w:t xml:space="preserve">This study contributes by serving a classification of the recent literature and by acting as a roadmap regarding the new facet of cultural tourism products in the post </w:t>
      </w:r>
      <w:r w:rsidR="005C003E" w:rsidRPr="00AE7B34">
        <w:rPr>
          <w:rFonts w:ascii="Times New Roman" w:hAnsi="Times New Roman" w:cs="Times New Roman"/>
          <w:bCs/>
          <w:color w:val="000000" w:themeColor="text1"/>
          <w:sz w:val="22"/>
          <w:szCs w:val="22"/>
          <w:lang w:val="en-GB"/>
        </w:rPr>
        <w:t xml:space="preserve">– pandemic </w:t>
      </w:r>
      <w:r w:rsidRPr="00AE7B34">
        <w:rPr>
          <w:rFonts w:ascii="Times New Roman" w:hAnsi="Times New Roman" w:cs="Times New Roman"/>
          <w:bCs/>
          <w:color w:val="000000" w:themeColor="text1"/>
          <w:sz w:val="22"/>
          <w:szCs w:val="22"/>
          <w:lang w:val="en-GB"/>
        </w:rPr>
        <w:t xml:space="preserve">era. </w:t>
      </w:r>
      <w:r w:rsidR="00DE2E78" w:rsidRPr="00AE7B34">
        <w:rPr>
          <w:rFonts w:ascii="Times New Roman" w:hAnsi="Times New Roman" w:cs="Times New Roman"/>
          <w:bCs/>
          <w:color w:val="000000" w:themeColor="text1"/>
          <w:sz w:val="22"/>
          <w:szCs w:val="22"/>
          <w:lang w:val="en-GB"/>
        </w:rPr>
        <w:t>Addressing</w:t>
      </w:r>
      <w:r w:rsidRPr="00AE7B34">
        <w:rPr>
          <w:rFonts w:ascii="Times New Roman" w:hAnsi="Times New Roman" w:cs="Times New Roman"/>
          <w:bCs/>
          <w:color w:val="000000" w:themeColor="text1"/>
          <w:sz w:val="22"/>
          <w:szCs w:val="22"/>
          <w:lang w:val="en-GB"/>
        </w:rPr>
        <w:t xml:space="preserve"> the research gap upon the infancy of the field and the </w:t>
      </w:r>
      <w:r w:rsidR="007934C0" w:rsidRPr="00AE7B34">
        <w:rPr>
          <w:rFonts w:ascii="Times New Roman" w:hAnsi="Times New Roman" w:cs="Times New Roman"/>
          <w:bCs/>
          <w:color w:val="000000" w:themeColor="text1"/>
          <w:sz w:val="22"/>
          <w:szCs w:val="22"/>
          <w:lang w:val="en-GB"/>
        </w:rPr>
        <w:t xml:space="preserve">public health </w:t>
      </w:r>
      <w:r w:rsidRPr="00AE7B34">
        <w:rPr>
          <w:rFonts w:ascii="Times New Roman" w:hAnsi="Times New Roman" w:cs="Times New Roman"/>
          <w:bCs/>
          <w:color w:val="000000" w:themeColor="text1"/>
          <w:sz w:val="22"/>
          <w:szCs w:val="22"/>
          <w:lang w:val="en-GB"/>
        </w:rPr>
        <w:t xml:space="preserve">emergency of </w:t>
      </w:r>
      <w:r w:rsidR="007934C0" w:rsidRPr="00AE7B34">
        <w:rPr>
          <w:rFonts w:ascii="Times New Roman" w:hAnsi="Times New Roman" w:cs="Times New Roman"/>
          <w:bCs/>
          <w:color w:val="000000" w:themeColor="text1"/>
          <w:sz w:val="22"/>
          <w:szCs w:val="22"/>
          <w:lang w:val="en-GB"/>
        </w:rPr>
        <w:t>COVID-19</w:t>
      </w:r>
      <w:r w:rsidRPr="00AE7B34">
        <w:rPr>
          <w:rFonts w:ascii="Times New Roman" w:hAnsi="Times New Roman" w:cs="Times New Roman"/>
          <w:bCs/>
          <w:color w:val="000000" w:themeColor="text1"/>
          <w:sz w:val="22"/>
          <w:szCs w:val="22"/>
          <w:lang w:val="en-GB"/>
        </w:rPr>
        <w:t>, the contribution of the study is twofold.  Firstly, the paper serves as solid starting point providing an overview of the state of the art in a merely interdisciplinary area. Secondly, the paper extends the knowledge by proposing a related future agenda and emerges where more research is needed to facilitate future theoretical frameworks and conceptual models.</w:t>
      </w:r>
    </w:p>
    <w:p w14:paraId="5F72A4E9" w14:textId="3555CA17" w:rsidR="00B803E8" w:rsidRPr="00AE7B34" w:rsidRDefault="00B803E8" w:rsidP="007934C0">
      <w:pPr>
        <w:tabs>
          <w:tab w:val="left" w:pos="709"/>
        </w:tabs>
        <w:ind w:firstLine="720"/>
        <w:jc w:val="both"/>
        <w:rPr>
          <w:rFonts w:ascii="Times New Roman" w:hAnsi="Times New Roman" w:cs="Times New Roman"/>
          <w:bCs/>
          <w:color w:val="000000" w:themeColor="text1"/>
          <w:sz w:val="22"/>
          <w:szCs w:val="22"/>
          <w:lang w:val="en-US"/>
        </w:rPr>
      </w:pPr>
      <w:r w:rsidRPr="00AE7B34">
        <w:rPr>
          <w:rFonts w:ascii="Times New Roman" w:hAnsi="Times New Roman" w:cs="Times New Roman"/>
          <w:bCs/>
          <w:color w:val="000000" w:themeColor="text1"/>
          <w:sz w:val="22"/>
          <w:szCs w:val="22"/>
          <w:lang w:val="en-GB"/>
        </w:rPr>
        <w:t xml:space="preserve">Turning to the </w:t>
      </w:r>
      <w:r w:rsidR="001429CE" w:rsidRPr="00AE7B34">
        <w:rPr>
          <w:rFonts w:ascii="Times New Roman" w:hAnsi="Times New Roman" w:cs="Times New Roman"/>
          <w:bCs/>
          <w:color w:val="000000" w:themeColor="text1"/>
          <w:sz w:val="22"/>
          <w:szCs w:val="22"/>
          <w:lang w:val="en-GB"/>
        </w:rPr>
        <w:t xml:space="preserve">question </w:t>
      </w:r>
      <w:r w:rsidRPr="00AE7B34">
        <w:rPr>
          <w:rFonts w:ascii="Times New Roman" w:hAnsi="Times New Roman" w:cs="Times New Roman"/>
          <w:bCs/>
          <w:color w:val="000000" w:themeColor="text1"/>
          <w:sz w:val="22"/>
          <w:szCs w:val="22"/>
          <w:lang w:val="en-GB"/>
        </w:rPr>
        <w:t>“Quo Vadis Museum?”</w:t>
      </w:r>
      <w:r w:rsidR="001429CE" w:rsidRPr="00AE7B34">
        <w:rPr>
          <w:rFonts w:ascii="Times New Roman" w:hAnsi="Times New Roman" w:cs="Times New Roman"/>
          <w:bCs/>
          <w:color w:val="000000" w:themeColor="text1"/>
          <w:sz w:val="22"/>
          <w:szCs w:val="22"/>
          <w:lang w:val="en-GB"/>
        </w:rPr>
        <w:t>,</w:t>
      </w:r>
      <w:r w:rsidRPr="00AE7B34">
        <w:rPr>
          <w:rFonts w:ascii="Times New Roman" w:hAnsi="Times New Roman" w:cs="Times New Roman"/>
          <w:bCs/>
          <w:color w:val="000000" w:themeColor="text1"/>
          <w:sz w:val="22"/>
          <w:szCs w:val="22"/>
          <w:lang w:val="en-GB"/>
        </w:rPr>
        <w:t xml:space="preserve"> the study indicated that in the post-</w:t>
      </w:r>
      <w:r w:rsidR="005C003E" w:rsidRPr="00AE7B34">
        <w:rPr>
          <w:rFonts w:ascii="Times New Roman" w:hAnsi="Times New Roman" w:cs="Times New Roman"/>
          <w:bCs/>
          <w:color w:val="000000" w:themeColor="text1"/>
          <w:sz w:val="22"/>
          <w:szCs w:val="22"/>
          <w:lang w:val="en-GB"/>
        </w:rPr>
        <w:t>COVID-19</w:t>
      </w:r>
      <w:r w:rsidR="00D53AF3" w:rsidRPr="00AE7B34">
        <w:rPr>
          <w:rFonts w:ascii="Times New Roman" w:hAnsi="Times New Roman" w:cs="Times New Roman"/>
          <w:bCs/>
          <w:color w:val="000000" w:themeColor="text1"/>
          <w:sz w:val="22"/>
          <w:szCs w:val="22"/>
          <w:lang w:val="en-GB"/>
        </w:rPr>
        <w:t xml:space="preserve"> </w:t>
      </w:r>
      <w:r w:rsidRPr="00AE7B34">
        <w:rPr>
          <w:rFonts w:ascii="Times New Roman" w:hAnsi="Times New Roman" w:cs="Times New Roman"/>
          <w:bCs/>
          <w:color w:val="000000" w:themeColor="text1"/>
          <w:sz w:val="22"/>
          <w:szCs w:val="22"/>
          <w:lang w:val="en-GB"/>
        </w:rPr>
        <w:t xml:space="preserve">museum era digital experience is deemed to be the backbone of “modus operandi”, aligned to the bibliography on harnessing digital transformation tools </w:t>
      </w:r>
      <w:r w:rsidR="0064689A" w:rsidRPr="00AE7B34">
        <w:rPr>
          <w:rFonts w:ascii="Times New Roman" w:hAnsi="Times New Roman" w:cs="Times New Roman"/>
          <w:bCs/>
          <w:color w:val="000000" w:themeColor="text1"/>
          <w:sz w:val="22"/>
          <w:szCs w:val="22"/>
          <w:lang w:val="en-GB"/>
        </w:rPr>
        <w:t>such</w:t>
      </w:r>
      <w:r w:rsidRPr="00AE7B34">
        <w:rPr>
          <w:rFonts w:ascii="Times New Roman" w:hAnsi="Times New Roman" w:cs="Times New Roman"/>
          <w:bCs/>
          <w:color w:val="000000" w:themeColor="text1"/>
          <w:sz w:val="22"/>
          <w:szCs w:val="22"/>
          <w:lang w:val="en-GB"/>
        </w:rPr>
        <w:t xml:space="preserve"> as social </w:t>
      </w:r>
      <w:r w:rsidR="00D22458" w:rsidRPr="00AE7B34">
        <w:rPr>
          <w:rFonts w:ascii="Times New Roman" w:hAnsi="Times New Roman" w:cs="Times New Roman"/>
          <w:bCs/>
          <w:color w:val="000000" w:themeColor="text1"/>
          <w:sz w:val="22"/>
          <w:szCs w:val="22"/>
          <w:lang w:val="en-GB"/>
        </w:rPr>
        <w:t>media,</w:t>
      </w:r>
      <w:r w:rsidRPr="00AE7B34">
        <w:rPr>
          <w:rFonts w:ascii="Times New Roman" w:hAnsi="Times New Roman" w:cs="Times New Roman"/>
          <w:bCs/>
          <w:color w:val="000000" w:themeColor="text1"/>
          <w:sz w:val="22"/>
          <w:szCs w:val="22"/>
          <w:lang w:val="en-GB"/>
        </w:rPr>
        <w:t xml:space="preserve"> Smart </w:t>
      </w:r>
      <w:r w:rsidR="0064689A" w:rsidRPr="00AE7B34">
        <w:rPr>
          <w:rFonts w:ascii="Times New Roman" w:hAnsi="Times New Roman" w:cs="Times New Roman"/>
          <w:bCs/>
          <w:color w:val="000000" w:themeColor="text1"/>
          <w:sz w:val="22"/>
          <w:szCs w:val="22"/>
          <w:lang w:val="en-GB"/>
        </w:rPr>
        <w:t>Tourism</w:t>
      </w:r>
      <w:r w:rsidRPr="00AE7B34">
        <w:rPr>
          <w:rFonts w:ascii="Times New Roman" w:hAnsi="Times New Roman" w:cs="Times New Roman"/>
          <w:bCs/>
          <w:color w:val="000000" w:themeColor="text1"/>
          <w:sz w:val="22"/>
          <w:szCs w:val="22"/>
          <w:lang w:val="en-GB"/>
        </w:rPr>
        <w:t xml:space="preserve"> Tools, AI, VR and Big Data in tourism, museums, festival and </w:t>
      </w:r>
      <w:r w:rsidR="00B5562F" w:rsidRPr="00AE7B34">
        <w:rPr>
          <w:rFonts w:ascii="Times New Roman" w:hAnsi="Times New Roman" w:cs="Times New Roman"/>
          <w:bCs/>
          <w:color w:val="000000" w:themeColor="text1"/>
          <w:sz w:val="22"/>
          <w:szCs w:val="22"/>
          <w:lang w:val="en-GB"/>
        </w:rPr>
        <w:t>NPOs.</w:t>
      </w:r>
      <w:r w:rsidRPr="00AE7B34">
        <w:rPr>
          <w:rFonts w:ascii="Times New Roman" w:hAnsi="Times New Roman" w:cs="Times New Roman"/>
          <w:bCs/>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However, despite social media benefits, online museum experience cannot replace the magic of onsite museum and festival experience. Ultimately, in the new post-</w:t>
      </w:r>
      <w:r w:rsidR="005C003E" w:rsidRPr="00AE7B34">
        <w:rPr>
          <w:rFonts w:ascii="Times New Roman" w:hAnsi="Times New Roman" w:cs="Times New Roman"/>
          <w:color w:val="000000" w:themeColor="text1"/>
          <w:sz w:val="22"/>
          <w:szCs w:val="22"/>
          <w:lang w:val="en-US"/>
        </w:rPr>
        <w:t>pandemic</w:t>
      </w:r>
      <w:r w:rsidRPr="00AE7B34">
        <w:rPr>
          <w:rFonts w:ascii="Times New Roman" w:hAnsi="Times New Roman" w:cs="Times New Roman"/>
          <w:color w:val="000000" w:themeColor="text1"/>
          <w:sz w:val="22"/>
          <w:szCs w:val="22"/>
          <w:lang w:val="en-US"/>
        </w:rPr>
        <w:t xml:space="preserve"> museum era the digital experience is deemed to be the backbone of “modus operandi” until vaccination completion. </w:t>
      </w:r>
    </w:p>
    <w:p w14:paraId="62A0A02A" w14:textId="77777777" w:rsidR="00DE2E78" w:rsidRPr="00AE7B34" w:rsidRDefault="00B803E8" w:rsidP="00530828">
      <w:pPr>
        <w:ind w:firstLine="720"/>
        <w:jc w:val="both"/>
        <w:rPr>
          <w:rFonts w:ascii="Times New Roman" w:hAnsi="Times New Roman" w:cs="Times New Roman"/>
          <w:bCs/>
          <w:color w:val="000000" w:themeColor="text1"/>
          <w:sz w:val="22"/>
          <w:szCs w:val="22"/>
          <w:lang w:val="en-GB"/>
        </w:rPr>
      </w:pPr>
      <w:r w:rsidRPr="00AE7B34">
        <w:rPr>
          <w:rFonts w:ascii="Times New Roman" w:hAnsi="Times New Roman" w:cs="Times New Roman"/>
          <w:color w:val="000000" w:themeColor="text1"/>
          <w:sz w:val="22"/>
          <w:szCs w:val="22"/>
          <w:lang w:val="en-US"/>
        </w:rPr>
        <w:t xml:space="preserve">Hence, till the </w:t>
      </w:r>
      <w:r w:rsidR="00F026F3" w:rsidRPr="00AE7B34">
        <w:rPr>
          <w:rFonts w:ascii="Times New Roman" w:hAnsi="Times New Roman" w:cs="Times New Roman"/>
          <w:color w:val="000000" w:themeColor="text1"/>
          <w:sz w:val="22"/>
          <w:szCs w:val="22"/>
          <w:lang w:val="en-US"/>
        </w:rPr>
        <w:t xml:space="preserve">complete </w:t>
      </w:r>
      <w:r w:rsidRPr="00AE7B34">
        <w:rPr>
          <w:rFonts w:ascii="Times New Roman" w:hAnsi="Times New Roman" w:cs="Times New Roman"/>
          <w:color w:val="000000" w:themeColor="text1"/>
          <w:sz w:val="22"/>
          <w:szCs w:val="22"/>
          <w:lang w:val="en-US"/>
        </w:rPr>
        <w:t>vaccination</w:t>
      </w:r>
      <w:r w:rsidR="00F026F3" w:rsidRPr="00AE7B34">
        <w:rPr>
          <w:rFonts w:ascii="Times New Roman" w:hAnsi="Times New Roman" w:cs="Times New Roman"/>
          <w:color w:val="000000" w:themeColor="text1"/>
          <w:sz w:val="22"/>
          <w:szCs w:val="22"/>
          <w:lang w:val="en-US"/>
        </w:rPr>
        <w:t xml:space="preserve">, </w:t>
      </w:r>
      <w:r w:rsidRPr="00AE7B34">
        <w:rPr>
          <w:rFonts w:ascii="Times New Roman" w:hAnsi="Times New Roman" w:cs="Times New Roman"/>
          <w:color w:val="000000" w:themeColor="text1"/>
          <w:sz w:val="22"/>
          <w:szCs w:val="22"/>
          <w:lang w:val="en-US"/>
        </w:rPr>
        <w:t xml:space="preserve">two major issues need to be elucidated. First, the holistic integration of social media including and the problems and the barriers attendant to </w:t>
      </w:r>
      <w:r w:rsidRPr="00AE7B34">
        <w:rPr>
          <w:rFonts w:ascii="Times New Roman" w:hAnsi="Times New Roman" w:cs="Times New Roman"/>
          <w:color w:val="000000" w:themeColor="text1"/>
          <w:sz w:val="22"/>
          <w:szCs w:val="22"/>
          <w:lang w:val="en-US"/>
        </w:rPr>
        <w:lastRenderedPageBreak/>
        <w:t xml:space="preserve">social media integration as a viable strategic tool for curation and marketing orientation could be usefully explored in further research. Second, another equally important challenge is improving digital literacy skills and harnessing on a larger scale Smart Tourism Application (AR, VR, Mobile Media apps) to boost accessibility by elder and disabled audience and to provide more personalized experience. </w:t>
      </w:r>
      <w:r w:rsidRPr="00AE7B34">
        <w:rPr>
          <w:rFonts w:ascii="Times New Roman" w:hAnsi="Times New Roman" w:cs="Times New Roman"/>
          <w:bCs/>
          <w:color w:val="000000" w:themeColor="text1"/>
          <w:sz w:val="22"/>
          <w:szCs w:val="22"/>
          <w:lang w:val="en-GB"/>
        </w:rPr>
        <w:t xml:space="preserve">Future research agenda </w:t>
      </w:r>
      <w:r w:rsidR="00870FFB" w:rsidRPr="00AE7B34">
        <w:rPr>
          <w:rFonts w:ascii="Times New Roman" w:hAnsi="Times New Roman" w:cs="Times New Roman"/>
          <w:bCs/>
          <w:color w:val="000000" w:themeColor="text1"/>
          <w:sz w:val="22"/>
          <w:szCs w:val="22"/>
          <w:lang w:val="en-GB"/>
        </w:rPr>
        <w:t xml:space="preserve">include </w:t>
      </w:r>
      <w:r w:rsidRPr="00AE7B34">
        <w:rPr>
          <w:rFonts w:ascii="Times New Roman" w:hAnsi="Times New Roman" w:cs="Times New Roman"/>
          <w:bCs/>
          <w:color w:val="000000" w:themeColor="text1"/>
          <w:sz w:val="22"/>
          <w:szCs w:val="22"/>
          <w:lang w:val="en-GB"/>
        </w:rPr>
        <w:t>directions such as (a) mapping the new digital museum experience, (b) harnessing AR, VR, big data in a holistic, integrated framework to reach higher engagement and personalization</w:t>
      </w:r>
      <w:r w:rsidR="007934C0" w:rsidRPr="00AE7B34">
        <w:rPr>
          <w:rFonts w:ascii="Times New Roman" w:hAnsi="Times New Roman" w:cs="Times New Roman"/>
          <w:bCs/>
          <w:color w:val="000000" w:themeColor="text1"/>
          <w:sz w:val="22"/>
          <w:szCs w:val="22"/>
          <w:lang w:val="en-GB"/>
        </w:rPr>
        <w:t xml:space="preserve">, </w:t>
      </w:r>
      <w:r w:rsidRPr="00AE7B34">
        <w:rPr>
          <w:rFonts w:ascii="Times New Roman" w:hAnsi="Times New Roman" w:cs="Times New Roman"/>
          <w:bCs/>
          <w:color w:val="000000" w:themeColor="text1"/>
          <w:sz w:val="22"/>
          <w:szCs w:val="22"/>
          <w:lang w:val="en-GB"/>
        </w:rPr>
        <w:t>and (c) call for starting the dialogue o</w:t>
      </w:r>
      <w:r w:rsidR="00870FFB" w:rsidRPr="00AE7B34">
        <w:rPr>
          <w:rFonts w:ascii="Times New Roman" w:hAnsi="Times New Roman" w:cs="Times New Roman"/>
          <w:bCs/>
          <w:color w:val="000000" w:themeColor="text1"/>
          <w:sz w:val="22"/>
          <w:szCs w:val="22"/>
          <w:lang w:val="en-GB"/>
        </w:rPr>
        <w:t>n</w:t>
      </w:r>
      <w:r w:rsidRPr="00AE7B34">
        <w:rPr>
          <w:rFonts w:ascii="Times New Roman" w:hAnsi="Times New Roman" w:cs="Times New Roman"/>
          <w:bCs/>
          <w:color w:val="000000" w:themeColor="text1"/>
          <w:sz w:val="22"/>
          <w:szCs w:val="22"/>
          <w:lang w:val="en-GB"/>
        </w:rPr>
        <w:t xml:space="preserve"> the new </w:t>
      </w:r>
      <w:r w:rsidR="007934C0" w:rsidRPr="00AE7B34">
        <w:rPr>
          <w:rFonts w:ascii="Times New Roman" w:hAnsi="Times New Roman" w:cs="Times New Roman"/>
          <w:bCs/>
          <w:color w:val="000000" w:themeColor="text1"/>
          <w:sz w:val="22"/>
          <w:szCs w:val="22"/>
          <w:lang w:val="en-GB"/>
        </w:rPr>
        <w:t>“</w:t>
      </w:r>
      <w:r w:rsidRPr="00AE7B34">
        <w:rPr>
          <w:rFonts w:ascii="Times New Roman" w:hAnsi="Times New Roman" w:cs="Times New Roman"/>
          <w:bCs/>
          <w:color w:val="000000" w:themeColor="text1"/>
          <w:sz w:val="22"/>
          <w:szCs w:val="22"/>
          <w:lang w:val="en-GB"/>
        </w:rPr>
        <w:t xml:space="preserve">museum era </w:t>
      </w:r>
      <w:r w:rsidR="00870FFB" w:rsidRPr="00AE7B34">
        <w:rPr>
          <w:rFonts w:ascii="Times New Roman" w:hAnsi="Times New Roman" w:cs="Times New Roman"/>
          <w:bCs/>
          <w:color w:val="000000" w:themeColor="text1"/>
          <w:sz w:val="22"/>
          <w:szCs w:val="22"/>
          <w:lang w:val="en-GB"/>
        </w:rPr>
        <w:t xml:space="preserve">out </w:t>
      </w:r>
      <w:r w:rsidRPr="00AE7B34">
        <w:rPr>
          <w:rFonts w:ascii="Times New Roman" w:hAnsi="Times New Roman" w:cs="Times New Roman"/>
          <w:bCs/>
          <w:color w:val="000000" w:themeColor="text1"/>
          <w:sz w:val="22"/>
          <w:szCs w:val="22"/>
          <w:lang w:val="en-GB"/>
        </w:rPr>
        <w:t>of museum</w:t>
      </w:r>
      <w:r w:rsidR="007934C0" w:rsidRPr="00AE7B34">
        <w:rPr>
          <w:rFonts w:ascii="Times New Roman" w:hAnsi="Times New Roman" w:cs="Times New Roman"/>
          <w:bCs/>
          <w:color w:val="000000" w:themeColor="text1"/>
          <w:sz w:val="22"/>
          <w:szCs w:val="22"/>
          <w:lang w:val="en-GB"/>
        </w:rPr>
        <w:t>”</w:t>
      </w:r>
      <w:r w:rsidR="00870FFB" w:rsidRPr="00AE7B34">
        <w:rPr>
          <w:rFonts w:ascii="Times New Roman" w:hAnsi="Times New Roman" w:cs="Times New Roman"/>
          <w:bCs/>
          <w:color w:val="000000" w:themeColor="text1"/>
          <w:sz w:val="22"/>
          <w:szCs w:val="22"/>
          <w:lang w:val="en-GB"/>
        </w:rPr>
        <w:t xml:space="preserve"> era.</w:t>
      </w:r>
      <w:r w:rsidR="00530828" w:rsidRPr="00AE7B34">
        <w:rPr>
          <w:rFonts w:ascii="Times New Roman" w:hAnsi="Times New Roman" w:cs="Times New Roman"/>
          <w:bCs/>
          <w:color w:val="000000" w:themeColor="text1"/>
          <w:sz w:val="22"/>
          <w:szCs w:val="22"/>
          <w:lang w:val="en-GB"/>
        </w:rPr>
        <w:t xml:space="preserve">  </w:t>
      </w:r>
    </w:p>
    <w:p w14:paraId="1394A58E" w14:textId="3FB0D199" w:rsidR="004C089B" w:rsidRPr="00AE7B34" w:rsidRDefault="00530828" w:rsidP="00530828">
      <w:pPr>
        <w:ind w:firstLine="720"/>
        <w:jc w:val="both"/>
        <w:rPr>
          <w:rFonts w:ascii="Times New Roman" w:hAnsi="Times New Roman" w:cs="Times New Roman"/>
          <w:color w:val="000000" w:themeColor="text1"/>
          <w:sz w:val="22"/>
          <w:szCs w:val="22"/>
          <w:lang w:val="en-GB"/>
        </w:rPr>
      </w:pPr>
      <w:r w:rsidRPr="00AE7B34">
        <w:rPr>
          <w:rFonts w:ascii="Times New Roman" w:hAnsi="Times New Roman" w:cs="Times New Roman"/>
          <w:bCs/>
          <w:color w:val="000000" w:themeColor="text1"/>
          <w:sz w:val="22"/>
          <w:szCs w:val="22"/>
          <w:lang w:val="en-GB"/>
        </w:rPr>
        <w:t>A key policy and research priority should be therefore t</w:t>
      </w:r>
      <w:r w:rsidR="0010051E" w:rsidRPr="00AE7B34">
        <w:rPr>
          <w:rFonts w:ascii="Times New Roman" w:hAnsi="Times New Roman" w:cs="Times New Roman"/>
          <w:bCs/>
          <w:color w:val="000000" w:themeColor="text1"/>
          <w:sz w:val="22"/>
          <w:szCs w:val="22"/>
          <w:lang w:val="en-GB"/>
        </w:rPr>
        <w:t xml:space="preserve">he astonishing symbiosis of </w:t>
      </w:r>
      <w:r w:rsidRPr="00AE7B34">
        <w:rPr>
          <w:rFonts w:ascii="Times New Roman" w:hAnsi="Times New Roman" w:cs="Times New Roman"/>
          <w:bCs/>
          <w:color w:val="000000" w:themeColor="text1"/>
          <w:sz w:val="22"/>
          <w:szCs w:val="22"/>
          <w:lang w:val="en-GB"/>
        </w:rPr>
        <w:t xml:space="preserve">processes, </w:t>
      </w:r>
      <w:r w:rsidR="0010051E" w:rsidRPr="00AE7B34">
        <w:rPr>
          <w:rFonts w:ascii="Times New Roman" w:hAnsi="Times New Roman" w:cs="Times New Roman"/>
          <w:bCs/>
          <w:color w:val="000000" w:themeColor="text1"/>
          <w:sz w:val="22"/>
          <w:szCs w:val="22"/>
          <w:lang w:val="en-GB"/>
        </w:rPr>
        <w:t xml:space="preserve">personnel and </w:t>
      </w:r>
      <w:r w:rsidRPr="00AE7B34">
        <w:rPr>
          <w:rFonts w:ascii="Times New Roman" w:hAnsi="Times New Roman" w:cs="Times New Roman"/>
          <w:bCs/>
          <w:color w:val="000000" w:themeColor="text1"/>
          <w:sz w:val="22"/>
          <w:szCs w:val="22"/>
          <w:lang w:val="en-GB"/>
        </w:rPr>
        <w:t xml:space="preserve">physical amenities </w:t>
      </w:r>
      <w:r w:rsidR="0010051E" w:rsidRPr="00AE7B34">
        <w:rPr>
          <w:rFonts w:ascii="Times New Roman" w:hAnsi="Times New Roman" w:cs="Times New Roman"/>
          <w:bCs/>
          <w:color w:val="000000" w:themeColor="text1"/>
          <w:sz w:val="22"/>
          <w:szCs w:val="22"/>
          <w:lang w:val="en-GB"/>
        </w:rPr>
        <w:t xml:space="preserve">with </w:t>
      </w:r>
      <w:r w:rsidRPr="00AE7B34">
        <w:rPr>
          <w:rFonts w:ascii="Times New Roman" w:hAnsi="Times New Roman" w:cs="Times New Roman"/>
          <w:bCs/>
          <w:color w:val="000000" w:themeColor="text1"/>
          <w:sz w:val="22"/>
          <w:szCs w:val="22"/>
          <w:lang w:val="en-GB"/>
        </w:rPr>
        <w:t>digital transformation toolbox</w:t>
      </w:r>
      <w:r w:rsidR="0010051E" w:rsidRPr="00AE7B34">
        <w:rPr>
          <w:rFonts w:ascii="Times New Roman" w:hAnsi="Times New Roman" w:cs="Times New Roman"/>
          <w:bCs/>
          <w:color w:val="000000" w:themeColor="text1"/>
          <w:sz w:val="22"/>
          <w:szCs w:val="22"/>
          <w:lang w:val="en-GB"/>
        </w:rPr>
        <w:t xml:space="preserve"> on </w:t>
      </w:r>
      <w:r w:rsidRPr="00AE7B34">
        <w:rPr>
          <w:rFonts w:ascii="Times New Roman" w:hAnsi="Times New Roman" w:cs="Times New Roman"/>
          <w:bCs/>
          <w:color w:val="000000" w:themeColor="text1"/>
          <w:sz w:val="22"/>
          <w:szCs w:val="22"/>
          <w:lang w:val="en-GB"/>
        </w:rPr>
        <w:t xml:space="preserve">boosting satisfaction, relax, wellbeing, </w:t>
      </w:r>
      <w:r w:rsidR="0010051E" w:rsidRPr="00AE7B34">
        <w:rPr>
          <w:rFonts w:ascii="Times New Roman" w:hAnsi="Times New Roman" w:cs="Times New Roman"/>
          <w:bCs/>
          <w:color w:val="000000" w:themeColor="text1"/>
          <w:sz w:val="22"/>
          <w:szCs w:val="22"/>
          <w:lang w:val="en-GB"/>
        </w:rPr>
        <w:t>implicit</w:t>
      </w:r>
      <w:r w:rsidRPr="00AE7B34">
        <w:rPr>
          <w:rFonts w:ascii="Times New Roman" w:hAnsi="Times New Roman" w:cs="Times New Roman"/>
          <w:bCs/>
          <w:color w:val="000000" w:themeColor="text1"/>
          <w:sz w:val="22"/>
          <w:szCs w:val="22"/>
          <w:lang w:val="en-GB"/>
        </w:rPr>
        <w:t xml:space="preserve"> learning during the visi</w:t>
      </w:r>
      <w:r w:rsidR="0010051E" w:rsidRPr="00AE7B34">
        <w:rPr>
          <w:rFonts w:ascii="Times New Roman" w:hAnsi="Times New Roman" w:cs="Times New Roman"/>
          <w:bCs/>
          <w:color w:val="000000" w:themeColor="text1"/>
          <w:sz w:val="22"/>
          <w:szCs w:val="22"/>
          <w:lang w:val="en-GB"/>
        </w:rPr>
        <w:t xml:space="preserve">t and on emerging museums as ideal escapade, in line with </w:t>
      </w:r>
      <w:r w:rsidR="0010051E" w:rsidRPr="00AE7B34">
        <w:rPr>
          <w:rFonts w:ascii="Times New Roman" w:hAnsi="Times New Roman" w:cs="Times New Roman"/>
          <w:bCs/>
          <w:color w:val="000000" w:themeColor="text1"/>
          <w:sz w:val="22"/>
          <w:szCs w:val="22"/>
          <w:lang w:val="en-GB"/>
        </w:rPr>
        <w:fldChar w:fldCharType="begin" w:fldLock="1"/>
      </w:r>
      <w:r w:rsidR="001603F8" w:rsidRPr="00AE7B34">
        <w:rPr>
          <w:rFonts w:ascii="Times New Roman" w:hAnsi="Times New Roman" w:cs="Times New Roman"/>
          <w:bCs/>
          <w:color w:val="000000" w:themeColor="text1"/>
          <w:sz w:val="22"/>
          <w:szCs w:val="22"/>
          <w:lang w:val="en-GB"/>
        </w:rPr>
        <w:instrText>ADDIN CSL_CITATION {"citationItems":[{"id":"ITEM-1","itemData":{"DOI":"10.1080/13032917.2012.762317","ISSN":"13032917","abstract":"This paper investigates visitors' satisfaction at a museum. To this aim, an empirical analysis on a representative sample of 359 visitors to the Archaeological Museum G.A. Sanna in Sassari (Italy) is presented. A theoretical model is proposed to investigate the determinants that influence visitors' satisfaction, including sociodemographic characteristics, motivations, and visit experience. Empirically, an ordered logit is employed to test prior hypotheses. Findings highlight that respondents are satisfied by the actual experience and length of the time spent at the museum. Factors such as nationality, gender, and education also play a role in their overall level of satisfaction. Based upon the empirical findings, implications for museum managers are drawn. © 2013 Copyright Taylor and Francis Group, LLC.","author":[{"dropping-particle":"","family":"Chiappa","given":"Giacomo","non-dropping-particle":"Del","parse-names":false,"suffix":""},{"dropping-particle":"","family":"Ladu","given":"Maria Gabriela","non-dropping-particle":"","parse-names":false,"suffix":""},{"dropping-particle":"","family":"Meleddu","given":"Marta","non-dropping-particle":"","parse-names":false,"suffix":""},{"dropping-particle":"","family":"Pulina","given":"Manuela","non-dropping-particle":"","parse-names":false,"suffix":""}],"container-title":"Anatolia","id":"ITEM-1","issue":"1","issued":{"date-parts":[["2013"]]},"note":"TOURMAN tha mpei se telos me vas gia need to sucessfully cobile processes, employees,\nand physical amenities and digtial tranf toolboxtouch screen, multilingual audio\nguides, visual media, etc.) emerge msueusm a ideal escapade, boosting satisfaction, relax, wellbeing, impicit learning during the visitation. \n\nPush motivations are defined as intrinsic needs that drive tourists to decide to travel/to go on holidays, whereas pull motivations are the extrinsic drivers of tourists’ decision\n\n--/- \nte combination of processes, employees,\nand physical amenities that allow visitors to relax during the visitation, to avoid any\nsensation of being tired or bored, to learn something new, and to feel guided during their\nvisit. Furthermore, the use of appropriate technology (touch screen, multilingual audio\nguides, visual media, etc.) can contribute to satisfying the needs and wishes of visitors, \n--/// \n\nThe empirical findings have revealed that, on the one hand, respondents visiting the\nSanna Museum are mainly satisfied by pull factors rather than push factors, the actual\nexperience at the museum, length of the visit, and the group they were with. Factors such\nas gender, nationality, and education also play a role in visitors’ overall level of\nsatisfaction.\n\nConclusions \n\n\nThe empirical findings have revealed that, on the one hand, respondents visiting the\nSanna Museum are mainly satisfied by pull factors rather than push factors, the actual\nexperience at the museum, length of the visit, and the group they were with. Factors such\nas gender, nationality, and education also play a role in visitors’ overall level of\nsatisfaction.\n\n\n\nit is evident that managers should invest to build a full service\nexperience for their visitors, enhancing both technical aspects and convenience. In line\nwith other empirical studies such as Martı´n-Ruiz et al. (2010), the findings reveal the\nimportance of creating/maintaining an appropriate combination of processes, employees,\nand physical amenities that allow visitors to relax during the visitation, to avoid any\nsensation of being tired or bored, to learn something new, and to feel guided during their\nvisit. Furthermore, the use of appropriate technology (touch screen, multilingual audio\nguides, visual media, etc.) can contribute to satisfying the needs and wishes of visitors,\n\n\nsuggest that the experience/services should be adapted to the wishes and\ndesires of different consumer segments thus enhancing the satisfaction of those segments\nexpressing the lowest score, that is male and individuals visiting the museum with an\norganized group and those people visiting the museum other than for a professional/aca-demic reason. Results show satisfaction increasing as the length of visitation increases\nthus underlying the opportunity to create and develop ancillary services, experiences,\nopportunities for further leisure, and cultural activities (e.g. exhibitions, concerts, thematic\nexperiences) that motivate consumers to spend more time at the museum and/or allow\nmuseum’s managers to seek new ways to reach a broader public and compete effectively\nwith other leisure activities within the destination.","page":"52-62","title":"Investigating the degree of visitors' satisfaction at a museum","type":"article-journal","volume":"24"},"uris":["http://www.mendeley.com/documents/?uuid=3bd9c05b-a882-4ffa-aba4-201b1a0aa6c5"]}],"mendeley":{"formattedCitation":"(Del Chiappa &lt;i&gt;et al.&lt;/i&gt;, 2013)","manualFormatting":"Del Chiappa et al., (2013)","plainTextFormattedCitation":"(Del Chiappa et al., 2013)","previouslyFormattedCitation":"(Del Chiappa &lt;i&gt;et al.&lt;/i&gt;, 2013)"},"properties":{"noteIndex":0},"schema":"https://github.com/citation-style-language/schema/raw/master/csl-citation.json"}</w:instrText>
      </w:r>
      <w:r w:rsidR="0010051E" w:rsidRPr="00AE7B34">
        <w:rPr>
          <w:rFonts w:ascii="Times New Roman" w:hAnsi="Times New Roman" w:cs="Times New Roman"/>
          <w:bCs/>
          <w:color w:val="000000" w:themeColor="text1"/>
          <w:sz w:val="22"/>
          <w:szCs w:val="22"/>
          <w:lang w:val="en-GB"/>
        </w:rPr>
        <w:fldChar w:fldCharType="separate"/>
      </w:r>
      <w:r w:rsidR="0010051E" w:rsidRPr="00AE7B34">
        <w:rPr>
          <w:rFonts w:ascii="Times New Roman" w:hAnsi="Times New Roman" w:cs="Times New Roman"/>
          <w:bCs/>
          <w:noProof/>
          <w:color w:val="000000" w:themeColor="text1"/>
          <w:sz w:val="22"/>
          <w:szCs w:val="22"/>
          <w:lang w:val="en-GB"/>
        </w:rPr>
        <w:t xml:space="preserve">Del Chiappa </w:t>
      </w:r>
      <w:r w:rsidR="0010051E" w:rsidRPr="00AE7B34">
        <w:rPr>
          <w:rFonts w:ascii="Times New Roman" w:hAnsi="Times New Roman" w:cs="Times New Roman"/>
          <w:bCs/>
          <w:i/>
          <w:noProof/>
          <w:color w:val="000000" w:themeColor="text1"/>
          <w:sz w:val="22"/>
          <w:szCs w:val="22"/>
          <w:lang w:val="en-GB"/>
        </w:rPr>
        <w:t>et al.</w:t>
      </w:r>
      <w:r w:rsidR="0010051E" w:rsidRPr="00AE7B34">
        <w:rPr>
          <w:rFonts w:ascii="Times New Roman" w:hAnsi="Times New Roman" w:cs="Times New Roman"/>
          <w:bCs/>
          <w:noProof/>
          <w:color w:val="000000" w:themeColor="text1"/>
          <w:sz w:val="22"/>
          <w:szCs w:val="22"/>
          <w:lang w:val="en-GB"/>
        </w:rPr>
        <w:t>, (2013)</w:t>
      </w:r>
      <w:r w:rsidR="0010051E" w:rsidRPr="00AE7B34">
        <w:rPr>
          <w:rFonts w:ascii="Times New Roman" w:hAnsi="Times New Roman" w:cs="Times New Roman"/>
          <w:bCs/>
          <w:color w:val="000000" w:themeColor="text1"/>
          <w:sz w:val="22"/>
          <w:szCs w:val="22"/>
          <w:lang w:val="en-GB"/>
        </w:rPr>
        <w:fldChar w:fldCharType="end"/>
      </w:r>
      <w:r w:rsidR="0010051E" w:rsidRPr="00AE7B34">
        <w:rPr>
          <w:rFonts w:ascii="Times New Roman" w:hAnsi="Times New Roman" w:cs="Times New Roman"/>
          <w:bCs/>
          <w:color w:val="000000" w:themeColor="text1"/>
          <w:sz w:val="22"/>
          <w:szCs w:val="22"/>
          <w:lang w:val="en-GB"/>
        </w:rPr>
        <w:t xml:space="preserve">.  </w:t>
      </w:r>
      <w:r w:rsidR="001603F8" w:rsidRPr="00AE7B34">
        <w:rPr>
          <w:rFonts w:ascii="Times New Roman" w:hAnsi="Times New Roman" w:cs="Times New Roman"/>
          <w:bCs/>
          <w:color w:val="000000" w:themeColor="text1"/>
          <w:sz w:val="22"/>
          <w:szCs w:val="22"/>
          <w:lang w:val="en-GB"/>
        </w:rPr>
        <w:t>Thus, based on prior evidence on the contribution of deploying Repertory Grid Analysis into segmentation</w:t>
      </w:r>
      <w:r w:rsidR="00DE2E78" w:rsidRPr="00AE7B34">
        <w:rPr>
          <w:rFonts w:ascii="Times New Roman" w:hAnsi="Times New Roman" w:cs="Times New Roman"/>
          <w:bCs/>
          <w:color w:val="000000" w:themeColor="text1"/>
          <w:sz w:val="22"/>
          <w:szCs w:val="22"/>
          <w:lang w:val="en-GB"/>
        </w:rPr>
        <w:t xml:space="preserve"> </w:t>
      </w:r>
      <w:r w:rsidR="00DE2E78" w:rsidRPr="00AE7B34">
        <w:rPr>
          <w:rFonts w:ascii="Times New Roman" w:hAnsi="Times New Roman" w:cs="Times New Roman"/>
          <w:bCs/>
          <w:color w:val="000000" w:themeColor="text1"/>
          <w:sz w:val="22"/>
          <w:szCs w:val="22"/>
          <w:lang w:val="en-GB"/>
        </w:rPr>
        <w:fldChar w:fldCharType="begin" w:fldLock="1"/>
      </w:r>
      <w:r w:rsidR="00CC695B" w:rsidRPr="00AE7B34">
        <w:rPr>
          <w:rFonts w:ascii="Times New Roman" w:hAnsi="Times New Roman" w:cs="Times New Roman"/>
          <w:bCs/>
          <w:color w:val="000000" w:themeColor="text1"/>
          <w:sz w:val="22"/>
          <w:szCs w:val="22"/>
          <w:lang w:val="en-GB"/>
        </w:rPr>
        <w:instrText>ADDIN CSL_CITATION {"citationItems":[{"id":"ITEM-1","itemData":{"abstract":"This paper aims to present and highlight the importance of factors resulting from Repertory Grid Analysis (R.G.A.). Strategic planning management issues concerning the management of museum audience are studied. A short description of the R.G.A. and the corresponding literature is cited, and an empirical application of the aforementioned method in a sample of 128 university students, takes place. The application of RGA produced 1345 interpretation models (constructs) which were coded and analyzed with three multivariable statistical techniques. The paper clearly demonstrates the importance of the analysis of constructs in relation to the management (local authorities or private institutions) suggestions that concern the museums of a specific area. Also, it contributes to the evolution of a new research area for the Destination Marketing Management with emphasis on Place design practices and development. Cultural offers and special managerial suggestions about particular groups of museums (strategic museum groups), are also discussed.","author":[{"dropping-particle":"","family":"Vassiliadis","given":"","non-dropping-particle":"","parse-names":false,"suffix":""},{"dropping-particle":"","family":"Christos and Fotiadis","given":"Thomas","non-dropping-particle":"","parse-names":false,"suffix":""}],"container-title":"Journal of Tourism ,","id":"ITEM-1","issue":"25373","issued":{"date-parts":[["2008"]]},"note":"tha mpei se telos hia cont segmentation se experience os guidelines","page":"pp. 12-35.","title":"Multiple Museum Construct Motivators: a Multivariable Analysis with Repertory Grid Analysis (RGA) Approach","type":"article-journal","volume":"Vol. 3, No"},"uris":["http://www.mendeley.com/documents/?uuid=4907dad8-56e4-42eb-88ac-2778fe87f72c"]}],"mendeley":{"formattedCitation":"(Vassiliadis and Christos and Fotiadis, 2008)","manualFormatting":"(Vassiliadis and  Fotiadis, 2008)","plainTextFormattedCitation":"(Vassiliadis and Christos and Fotiadis, 2008)","previouslyFormattedCitation":"(Vassiliadis and Christos and Fotiadis, 2008)"},"properties":{"noteIndex":0},"schema":"https://github.com/citation-style-language/schema/raw/master/csl-citation.json"}</w:instrText>
      </w:r>
      <w:r w:rsidR="00DE2E78" w:rsidRPr="00AE7B34">
        <w:rPr>
          <w:rFonts w:ascii="Times New Roman" w:hAnsi="Times New Roman" w:cs="Times New Roman"/>
          <w:bCs/>
          <w:color w:val="000000" w:themeColor="text1"/>
          <w:sz w:val="22"/>
          <w:szCs w:val="22"/>
          <w:lang w:val="en-GB"/>
        </w:rPr>
        <w:fldChar w:fldCharType="separate"/>
      </w:r>
      <w:r w:rsidR="00DE2E78" w:rsidRPr="00AE7B34">
        <w:rPr>
          <w:rFonts w:ascii="Times New Roman" w:hAnsi="Times New Roman" w:cs="Times New Roman"/>
          <w:bCs/>
          <w:noProof/>
          <w:color w:val="000000" w:themeColor="text1"/>
          <w:sz w:val="22"/>
          <w:szCs w:val="22"/>
          <w:lang w:val="en-GB"/>
        </w:rPr>
        <w:t>(Vassiliadis and  Fotiadis, 2008)</w:t>
      </w:r>
      <w:r w:rsidR="00DE2E78" w:rsidRPr="00AE7B34">
        <w:rPr>
          <w:rFonts w:ascii="Times New Roman" w:hAnsi="Times New Roman" w:cs="Times New Roman"/>
          <w:bCs/>
          <w:color w:val="000000" w:themeColor="text1"/>
          <w:sz w:val="22"/>
          <w:szCs w:val="22"/>
          <w:lang w:val="en-GB"/>
        </w:rPr>
        <w:fldChar w:fldCharType="end"/>
      </w:r>
      <w:r w:rsidR="001603F8" w:rsidRPr="00AE7B34">
        <w:rPr>
          <w:rFonts w:ascii="Times New Roman" w:hAnsi="Times New Roman" w:cs="Times New Roman"/>
          <w:bCs/>
          <w:color w:val="000000" w:themeColor="text1"/>
          <w:sz w:val="22"/>
          <w:szCs w:val="22"/>
          <w:lang w:val="en-GB"/>
        </w:rPr>
        <w:t xml:space="preserve">, of blueprinting process in Tourism experience </w:t>
      </w:r>
      <w:r w:rsidR="00DE2E78" w:rsidRPr="00AE7B34">
        <w:rPr>
          <w:rFonts w:ascii="Times New Roman" w:hAnsi="Times New Roman" w:cs="Times New Roman"/>
          <w:bCs/>
          <w:color w:val="000000" w:themeColor="text1"/>
          <w:sz w:val="22"/>
          <w:szCs w:val="22"/>
          <w:lang w:val="en-GB"/>
        </w:rPr>
        <w:t xml:space="preserve"> </w:t>
      </w:r>
      <w:r w:rsidR="00DE2E78" w:rsidRPr="00AE7B34">
        <w:rPr>
          <w:rFonts w:ascii="Times New Roman" w:hAnsi="Times New Roman" w:cs="Times New Roman"/>
          <w:bCs/>
          <w:color w:val="000000" w:themeColor="text1"/>
          <w:sz w:val="22"/>
          <w:szCs w:val="22"/>
          <w:lang w:val="en-GB"/>
        </w:rPr>
        <w:fldChar w:fldCharType="begin" w:fldLock="1"/>
      </w:r>
      <w:r w:rsidR="00307A1A" w:rsidRPr="00AE7B34">
        <w:rPr>
          <w:rFonts w:ascii="Times New Roman" w:hAnsi="Times New Roman" w:cs="Times New Roman"/>
          <w:bCs/>
          <w:color w:val="000000" w:themeColor="text1"/>
          <w:sz w:val="22"/>
          <w:szCs w:val="22"/>
          <w:lang w:val="en-GB"/>
        </w:rPr>
        <w:instrText>ADDIN CSL_CITATION {"citationItems":[{"id":"ITEM-1","itemData":{"author":[{"dropping-particle":"","family":"Vassiliadis","given":"Chris A.","non-dropping-particle":"","parse-names":false,"suffix":""},{"dropping-particle":"","family":"Fotiadis","given":"Anestis","non-dropping-particle":"","parse-names":false,"suffix":""}],"id":"ITEM-1","issued":{"date-parts":[["2016"]]},"note":"gia conlsuions na to xirsioompoiisio gia to potentilaity tobu bliuepriting \n\nde sxolio ocnlusion : Tourism sport event managers, can be encouraged, through the use of blueprints, to check all of the internal support systems and technological aspects of an event, as well as the employee- customer interactions that are required to create a distinctive cus- tomer experience. T","page":"195-215","title":"Managing Sport Tourism Experiences: Blueprinting Service Encounters","type":"article-journal"},"uris":["http://www.mendeley.com/documents/?uuid=e82a0def-47a7-48db-be70-11856a23a25d"]}],"mendeley":{"formattedCitation":"(Vassiliadis and Fotiadis, 2016)","plainTextFormattedCitation":"(Vassiliadis and Fotiadis, 2016)","previouslyFormattedCitation":"(Vassiliadis and Fotiadis, 2016)"},"properties":{"noteIndex":0},"schema":"https://github.com/citation-style-language/schema/raw/master/csl-citation.json"}</w:instrText>
      </w:r>
      <w:r w:rsidR="00DE2E78" w:rsidRPr="00AE7B34">
        <w:rPr>
          <w:rFonts w:ascii="Times New Roman" w:hAnsi="Times New Roman" w:cs="Times New Roman"/>
          <w:bCs/>
          <w:color w:val="000000" w:themeColor="text1"/>
          <w:sz w:val="22"/>
          <w:szCs w:val="22"/>
          <w:lang w:val="en-GB"/>
        </w:rPr>
        <w:fldChar w:fldCharType="separate"/>
      </w:r>
      <w:r w:rsidR="00DE2E78" w:rsidRPr="00AE7B34">
        <w:rPr>
          <w:rFonts w:ascii="Times New Roman" w:hAnsi="Times New Roman" w:cs="Times New Roman"/>
          <w:bCs/>
          <w:noProof/>
          <w:color w:val="000000" w:themeColor="text1"/>
          <w:sz w:val="22"/>
          <w:szCs w:val="22"/>
          <w:lang w:val="en-GB"/>
        </w:rPr>
        <w:t>(Vassiliadis and Fotiadis, 2016)</w:t>
      </w:r>
      <w:r w:rsidR="00DE2E78" w:rsidRPr="00AE7B34">
        <w:rPr>
          <w:rFonts w:ascii="Times New Roman" w:hAnsi="Times New Roman" w:cs="Times New Roman"/>
          <w:bCs/>
          <w:color w:val="000000" w:themeColor="text1"/>
          <w:sz w:val="22"/>
          <w:szCs w:val="22"/>
          <w:lang w:val="en-GB"/>
        </w:rPr>
        <w:fldChar w:fldCharType="end"/>
      </w:r>
      <w:r w:rsidR="00DE2E78" w:rsidRPr="00AE7B34">
        <w:rPr>
          <w:rFonts w:ascii="Times New Roman" w:hAnsi="Times New Roman" w:cs="Times New Roman"/>
          <w:bCs/>
          <w:color w:val="000000" w:themeColor="text1"/>
          <w:sz w:val="22"/>
          <w:szCs w:val="22"/>
          <w:lang w:val="en-GB"/>
        </w:rPr>
        <w:t>,</w:t>
      </w:r>
      <w:r w:rsidR="001603F8" w:rsidRPr="00AE7B34">
        <w:rPr>
          <w:rFonts w:ascii="Times New Roman" w:hAnsi="Times New Roman" w:cs="Times New Roman"/>
          <w:bCs/>
          <w:color w:val="000000" w:themeColor="text1"/>
          <w:sz w:val="22"/>
          <w:szCs w:val="22"/>
          <w:lang w:val="en-GB"/>
        </w:rPr>
        <w:t>and of exploring moderator features triggering visitor satisfaction and re</w:t>
      </w:r>
      <w:r w:rsidR="00DE2E78" w:rsidRPr="00AE7B34">
        <w:rPr>
          <w:rFonts w:ascii="Times New Roman" w:hAnsi="Times New Roman" w:cs="Times New Roman"/>
          <w:bCs/>
          <w:color w:val="000000" w:themeColor="text1"/>
          <w:sz w:val="22"/>
          <w:szCs w:val="22"/>
          <w:lang w:val="en-GB"/>
        </w:rPr>
        <w:t xml:space="preserve">visit intention </w:t>
      </w:r>
      <w:r w:rsidR="00DE2E78" w:rsidRPr="00AE7B34">
        <w:rPr>
          <w:rFonts w:ascii="Times New Roman" w:hAnsi="Times New Roman" w:cs="Times New Roman"/>
          <w:bCs/>
          <w:color w:val="000000" w:themeColor="text1"/>
          <w:sz w:val="22"/>
          <w:szCs w:val="22"/>
          <w:lang w:val="en-GB"/>
        </w:rPr>
        <w:fldChar w:fldCharType="begin" w:fldLock="1"/>
      </w:r>
      <w:r w:rsidR="00DE2E78" w:rsidRPr="00AE7B34">
        <w:rPr>
          <w:rFonts w:ascii="Times New Roman" w:hAnsi="Times New Roman" w:cs="Times New Roman"/>
          <w:bCs/>
          <w:color w:val="000000" w:themeColor="text1"/>
          <w:sz w:val="22"/>
          <w:szCs w:val="22"/>
          <w:lang w:val="en-GB"/>
        </w:rPr>
        <w:instrText>ADDIN CSL_CITATION {"citationItems":[{"id":"ITEM-1","itemData":{"DOI":"10.1016/j.jdmm.2021.100558","ISSN":"2212571X","abstract":"To date, it remains very challenging for managers to combine different features of sports events into compelling product/service offerings that meet visitors' expectations. Yet, there is a scarcity of research that demonstrates how sport event managers can overcome this challenge, thereby leaving a gap in the sporting event literature. To fill part of this gap, this study used an in-depth bibliographic review to identify features commonly associated with product/service offerings at sports events and then used those features to create a new measuring instrument to examine different service offering scenarios. In this respect, seven key features were combined into 19 service offering scenarios. A total of 2229 responses were collected through structured questionnaires at six sports events in Taiwan. Then, this study used the collected responses to explore the associations amongst the 19 service offering scenarios, visitor satisfaction, and revisit intention using multiple regression equations. After examining the suitability of the models, the best fit models were then depicted with path analysis graphs for comparisons and contrasts. The findings of this study provide important insights on how sporting event marketers or destination managers can combine different product/service characteristics to build a set of product/service offering scenarios and then test the product/service offering scenarios that best meet visitors' expectations and also increase visitors’ satisfaction level and their intention to come back.","author":[{"dropping-particle":"","family":"Vassiliadis","given":"Chris A.","non-dropping-particle":"","parse-names":false,"suffix":""},{"dropping-particle":"","family":"Mombeuil","given":"Claudel","non-dropping-particle":"","parse-names":false,"suffix":""},{"dropping-particle":"","family":"Fotiadis","given":"Anestis K.","non-dropping-particle":"","parse-names":false,"suffix":""}],"container-title":"Journal of Destination Marketing and Management","id":"ITEM-1","issue":"January","issued":{"date-parts":[["2021"]]},"note":"malon gia optimizing experience to encance saitisfation and revisitis in \n\nden xero pos tha klooisie se paper \n\nTo sum up, the results show that visitor satisfaction plays a signifi-cant mediating role in the relationship between service offering scenario\n\nThis paper reinforces the theoretical proposi-tions suggesting that: 1) specific and separate product/service offerings with positive and attractive features have a positive impact on visitor satisfaction and intention to revisit sports events; 2) sports events con-sumers can provide a substantial contribution to the design of innovative\nproduct/service offerings or new product development, which can in","page":"100558","publisher":"Elsevier Ltd","title":"Identifying service product features associated with visitor satisfaction and revisit intention: A focus on sports events","type":"article-journal","volume":"19"},"uris":["http://www.mendeley.com/documents/?uuid=0c9fc16d-08cd-4482-88a1-848ae453bb6e"]},{"id":"ITEM-2","itemData":{"author":[{"dropping-particle":"","family":"Fotiadis","given":"Anestis","non-dropping-particle":"","parse-names":false,"suffix":""}],"id":"ITEM-2","issue":"88249","issued":{"date-parts":[["2018"]]},"note":"Our findings, based on fsQCA\nmodelling approach technique, reveal that the presence of importance,\npush factors and decision making determines the level of consumer perception performance. However, impressions do not show significant\nimpact on consumer perceptions.\n\n--- \nA new model is\ndeveloped related to related to wedding costumer perception,\nimpressions, importance, push and pull factors and decision\n\n\nthe proposed model was evaluated with a\ncontemporary method such as fuzzy set/Qualitative\n\nComparative Analysis (fsQCA) which wasn’t used in the past\nto explore the factor of a wedding related model\nthe proposed model was evaluated with a\ncontemporary method such as fuzzy set/Qualitative\n\nconlusons: \nThe analysis of necessary condition shows that\nimportance, impression, push and pull factors and decision\nmaking is not necessary to generate positive consumer\nperception. As the study reveals three different solutions are\nsuggested as possible to create positive customer perception\nfrom marketing strategies developed by wedding companies.\nAs marketing strategies for wedding companies is not well\ndeveloped so far, more research is needed related to this\ntopic.","title":"Munich Personal RePEc Archive Modelling wedding marketing strategies : An fsQCA Analysis Modelling wedding marketing strategies : An fsQCA Analysis","type":"article-journal"},"uris":["http://www.mendeley.com/documents/?uuid=50d53dfd-4f67-4794-81e5-bf633dca83ac"]}],"mendeley":{"formattedCitation":"(Fotiadis, 2018; Vassiliadis, Mombeuil and Fotiadis, 2021)","plainTextFormattedCitation":"(Fotiadis, 2018; Vassiliadis, Mombeuil and Fotiadis, 2021)","previouslyFormattedCitation":"(Fotiadis, 2018; Vassiliadis, Mombeuil and Fotiadis, 2021)"},"properties":{"noteIndex":0},"schema":"https://github.com/citation-style-language/schema/raw/master/csl-citation.json"}</w:instrText>
      </w:r>
      <w:r w:rsidR="00DE2E78" w:rsidRPr="00AE7B34">
        <w:rPr>
          <w:rFonts w:ascii="Times New Roman" w:hAnsi="Times New Roman" w:cs="Times New Roman"/>
          <w:bCs/>
          <w:color w:val="000000" w:themeColor="text1"/>
          <w:sz w:val="22"/>
          <w:szCs w:val="22"/>
          <w:lang w:val="en-GB"/>
        </w:rPr>
        <w:fldChar w:fldCharType="separate"/>
      </w:r>
      <w:r w:rsidR="00DE2E78" w:rsidRPr="00AE7B34">
        <w:rPr>
          <w:rFonts w:ascii="Times New Roman" w:hAnsi="Times New Roman" w:cs="Times New Roman"/>
          <w:bCs/>
          <w:noProof/>
          <w:color w:val="000000" w:themeColor="text1"/>
          <w:sz w:val="22"/>
          <w:szCs w:val="22"/>
          <w:lang w:val="en-GB"/>
        </w:rPr>
        <w:t>(Fotiadis, 2018; Vassiliadis, Mombeuil and Fotiadis, 2021)</w:t>
      </w:r>
      <w:r w:rsidR="00DE2E78" w:rsidRPr="00AE7B34">
        <w:rPr>
          <w:rFonts w:ascii="Times New Roman" w:hAnsi="Times New Roman" w:cs="Times New Roman"/>
          <w:bCs/>
          <w:color w:val="000000" w:themeColor="text1"/>
          <w:sz w:val="22"/>
          <w:szCs w:val="22"/>
          <w:lang w:val="en-GB"/>
        </w:rPr>
        <w:fldChar w:fldCharType="end"/>
      </w:r>
      <w:r w:rsidR="00DE2E78" w:rsidRPr="00AE7B34">
        <w:rPr>
          <w:rFonts w:ascii="Times New Roman" w:hAnsi="Times New Roman" w:cs="Times New Roman"/>
          <w:bCs/>
          <w:color w:val="000000" w:themeColor="text1"/>
          <w:sz w:val="22"/>
          <w:szCs w:val="22"/>
          <w:lang w:val="en-GB"/>
        </w:rPr>
        <w:t xml:space="preserve">,  </w:t>
      </w:r>
      <w:r w:rsidR="001603F8" w:rsidRPr="00AE7B34">
        <w:rPr>
          <w:rFonts w:ascii="Times New Roman" w:hAnsi="Times New Roman" w:cs="Times New Roman"/>
          <w:bCs/>
          <w:color w:val="000000" w:themeColor="text1"/>
          <w:sz w:val="22"/>
          <w:szCs w:val="22"/>
          <w:lang w:val="en-GB"/>
        </w:rPr>
        <w:t xml:space="preserve">future studies should </w:t>
      </w:r>
      <w:r w:rsidR="00DE2E78" w:rsidRPr="00AE7B34">
        <w:rPr>
          <w:rFonts w:ascii="Times New Roman" w:hAnsi="Times New Roman" w:cs="Times New Roman"/>
          <w:bCs/>
          <w:color w:val="000000" w:themeColor="text1"/>
          <w:sz w:val="22"/>
          <w:szCs w:val="22"/>
          <w:lang w:val="en-GB"/>
        </w:rPr>
        <w:t xml:space="preserve">further </w:t>
      </w:r>
      <w:r w:rsidR="001603F8" w:rsidRPr="00AE7B34">
        <w:rPr>
          <w:rFonts w:ascii="Times New Roman" w:hAnsi="Times New Roman" w:cs="Times New Roman"/>
          <w:bCs/>
          <w:color w:val="000000" w:themeColor="text1"/>
          <w:sz w:val="22"/>
          <w:szCs w:val="22"/>
          <w:lang w:val="en-GB"/>
        </w:rPr>
        <w:t>delve into behaviour</w:t>
      </w:r>
      <w:r w:rsidR="00DE2E78" w:rsidRPr="00AE7B34">
        <w:rPr>
          <w:rFonts w:ascii="Times New Roman" w:hAnsi="Times New Roman" w:cs="Times New Roman"/>
          <w:bCs/>
          <w:color w:val="000000" w:themeColor="text1"/>
          <w:sz w:val="22"/>
          <w:szCs w:val="22"/>
          <w:lang w:val="en-GB"/>
        </w:rPr>
        <w:t xml:space="preserve"> patterns of visitors. </w:t>
      </w:r>
      <w:r w:rsidR="00544DFA" w:rsidRPr="00AE7B34">
        <w:rPr>
          <w:rFonts w:ascii="Times New Roman" w:hAnsi="Times New Roman" w:cs="Times New Roman"/>
          <w:bCs/>
          <w:color w:val="000000" w:themeColor="text1"/>
          <w:sz w:val="22"/>
          <w:szCs w:val="22"/>
          <w:lang w:val="en-GB"/>
        </w:rPr>
        <w:t>Last</w:t>
      </w:r>
      <w:r w:rsidR="003F0297" w:rsidRPr="00AE7B34">
        <w:rPr>
          <w:rFonts w:ascii="Times New Roman" w:hAnsi="Times New Roman" w:cs="Times New Roman"/>
          <w:bCs/>
          <w:color w:val="000000" w:themeColor="text1"/>
          <w:sz w:val="22"/>
          <w:szCs w:val="22"/>
          <w:lang w:val="en-GB"/>
        </w:rPr>
        <w:t xml:space="preserve">, </w:t>
      </w:r>
      <w:r w:rsidR="00544DFA" w:rsidRPr="00AE7B34">
        <w:rPr>
          <w:rFonts w:ascii="Times New Roman" w:hAnsi="Times New Roman" w:cs="Times New Roman"/>
          <w:bCs/>
          <w:color w:val="000000" w:themeColor="text1"/>
          <w:sz w:val="22"/>
          <w:szCs w:val="22"/>
          <w:lang w:val="en-GB"/>
        </w:rPr>
        <w:t xml:space="preserve">given the latest </w:t>
      </w:r>
      <w:r w:rsidR="00F32047" w:rsidRPr="00AE7B34">
        <w:rPr>
          <w:rFonts w:ascii="Times New Roman" w:hAnsi="Times New Roman" w:cs="Times New Roman"/>
          <w:bCs/>
          <w:color w:val="000000" w:themeColor="text1"/>
          <w:sz w:val="22"/>
          <w:szCs w:val="22"/>
          <w:lang w:val="en-GB"/>
        </w:rPr>
        <w:t>work by</w:t>
      </w:r>
      <w:r w:rsidR="00544DFA" w:rsidRPr="00AE7B34">
        <w:rPr>
          <w:rFonts w:ascii="Times New Roman" w:hAnsi="Times New Roman" w:cs="Times New Roman"/>
          <w:bCs/>
          <w:color w:val="000000" w:themeColor="text1"/>
          <w:sz w:val="22"/>
          <w:szCs w:val="22"/>
          <w:lang w:val="en-GB"/>
        </w:rPr>
        <w:t xml:space="preserve"> </w:t>
      </w:r>
      <w:r w:rsidR="00CC695B" w:rsidRPr="00AE7B34">
        <w:rPr>
          <w:rFonts w:ascii="Times New Roman" w:hAnsi="Times New Roman" w:cs="Times New Roman"/>
          <w:bCs/>
          <w:color w:val="000000" w:themeColor="text1"/>
          <w:sz w:val="22"/>
          <w:szCs w:val="22"/>
          <w:lang w:val="en-GB"/>
        </w:rPr>
        <w:fldChar w:fldCharType="begin" w:fldLock="1"/>
      </w:r>
      <w:r w:rsidR="00CC695B" w:rsidRPr="00AE7B34">
        <w:rPr>
          <w:rFonts w:ascii="Times New Roman" w:hAnsi="Times New Roman" w:cs="Times New Roman"/>
          <w:bCs/>
          <w:color w:val="000000" w:themeColor="text1"/>
          <w:sz w:val="22"/>
          <w:szCs w:val="22"/>
          <w:lang w:val="en-GB"/>
        </w:rPr>
        <w:instrText>ADDIN CSL_CITATION {"citationItems":[{"id":"ITEM-1","itemData":{"DOI":"10.1080/02508281.2020.1808934","ISSN":"02508281","abstract":"This study is to develop a conceptual model linking motivation, involvement, and changes in travel style to the selection of destinations and choice of events among amateur participants involved in small-scale sports events. Partial least squares and fuzzy-set qualitative comparative analysis were implemented to test this model, based on the responses collected during a local athletic event in Greece. A longitudinal study was conducted to better establish the effectiveness of the proposed model utilising two data sets of the same 99 non-professional athletes, representing the vast majority of participants in the Sfendami small-scale running events held in 2014 and 2016, respectively. The results showed that the influences of destination and event choice factors on involvement were not significant while the effect from changes in travel style were significant for both 2014 and 2016 cases. Two of the four hypotheses were verified and useful managerial insights for small-scale event managers are suggested for supporting the viability of small-scale local sport events.","author":[{"dropping-particle":"","family":"Fotiadis","given":"Anestis","non-dropping-particle":"","parse-names":false,"suffix":""},{"dropping-particle":"","family":"Stylos","given":"Nikolaos","non-dropping-particle":"","parse-names":false,"suffix":""},{"dropping-particle":"","family":"Vassiliadis","given":"Chris A.","non-dropping-particle":"","parse-names":false,"suffix":""}],"container-title":"Tourism Recreation Research","id":"ITEM-1","issue":"0","issued":{"date-parts":[["2020"]]},"page":"1-17","publisher":"Taylor &amp; Francis","title":"Travelling to compete: antecedents of individuals’ involvement in small-scale sports events","type":"article-journal","volume":"0"},"uris":["http://www.mendeley.com/documents/?uuid=22b1ca17-0e61-4a6b-926c-9533fd276820"]}],"mendeley":{"formattedCitation":"(Fotiadis, Stylos and Vassiliadis, 2020)","manualFormatting":"Fotiadis, Stylos and Vassiliadis, (2020)","plainTextFormattedCitation":"(Fotiadis, Stylos and Vassiliadis, 2020)"},"properties":{"noteIndex":0},"schema":"https://github.com/citation-style-language/schema/raw/master/csl-citation.json"}</w:instrText>
      </w:r>
      <w:r w:rsidR="00CC695B" w:rsidRPr="00AE7B34">
        <w:rPr>
          <w:rFonts w:ascii="Times New Roman" w:hAnsi="Times New Roman" w:cs="Times New Roman"/>
          <w:bCs/>
          <w:color w:val="000000" w:themeColor="text1"/>
          <w:sz w:val="22"/>
          <w:szCs w:val="22"/>
          <w:lang w:val="en-GB"/>
        </w:rPr>
        <w:fldChar w:fldCharType="separate"/>
      </w:r>
      <w:r w:rsidR="00CC695B" w:rsidRPr="00AE7B34">
        <w:rPr>
          <w:rFonts w:ascii="Times New Roman" w:hAnsi="Times New Roman" w:cs="Times New Roman"/>
          <w:bCs/>
          <w:noProof/>
          <w:color w:val="000000" w:themeColor="text1"/>
          <w:sz w:val="22"/>
          <w:szCs w:val="22"/>
          <w:lang w:val="en-GB"/>
        </w:rPr>
        <w:t>Fotiadis, Stylos and Vassiliadis, (2020)</w:t>
      </w:r>
      <w:r w:rsidR="00CC695B" w:rsidRPr="00AE7B34">
        <w:rPr>
          <w:rFonts w:ascii="Times New Roman" w:hAnsi="Times New Roman" w:cs="Times New Roman"/>
          <w:bCs/>
          <w:color w:val="000000" w:themeColor="text1"/>
          <w:sz w:val="22"/>
          <w:szCs w:val="22"/>
          <w:lang w:val="en-GB"/>
        </w:rPr>
        <w:fldChar w:fldCharType="end"/>
      </w:r>
      <w:r w:rsidR="00544DFA" w:rsidRPr="00AE7B34">
        <w:rPr>
          <w:rFonts w:ascii="Times New Roman" w:hAnsi="Times New Roman" w:cs="Times New Roman"/>
          <w:bCs/>
          <w:color w:val="000000" w:themeColor="text1"/>
          <w:sz w:val="22"/>
          <w:szCs w:val="22"/>
          <w:lang w:val="en-GB"/>
        </w:rPr>
        <w:t xml:space="preserve">, </w:t>
      </w:r>
      <w:r w:rsidR="003F0297" w:rsidRPr="00AE7B34">
        <w:rPr>
          <w:rFonts w:ascii="Times New Roman" w:hAnsi="Times New Roman" w:cs="Times New Roman"/>
          <w:bCs/>
          <w:color w:val="000000" w:themeColor="text1"/>
          <w:sz w:val="22"/>
          <w:szCs w:val="22"/>
          <w:lang w:val="en-GB"/>
        </w:rPr>
        <w:t xml:space="preserve">a further study could assess </w:t>
      </w:r>
      <w:r w:rsidR="00544DFA" w:rsidRPr="00AE7B34">
        <w:rPr>
          <w:rFonts w:ascii="Times New Roman" w:hAnsi="Times New Roman" w:cs="Times New Roman"/>
          <w:bCs/>
          <w:color w:val="000000" w:themeColor="text1"/>
          <w:sz w:val="22"/>
          <w:szCs w:val="22"/>
          <w:lang w:val="en-GB"/>
        </w:rPr>
        <w:t xml:space="preserve">destination and event choices as moderator factors </w:t>
      </w:r>
      <w:r w:rsidR="00CC695B" w:rsidRPr="00AE7B34">
        <w:rPr>
          <w:rFonts w:ascii="Times New Roman" w:hAnsi="Times New Roman" w:cs="Times New Roman"/>
          <w:bCs/>
          <w:color w:val="000000" w:themeColor="text1"/>
          <w:sz w:val="22"/>
          <w:szCs w:val="22"/>
          <w:lang w:val="en-GB"/>
        </w:rPr>
        <w:t>of tourism</w:t>
      </w:r>
      <w:r w:rsidR="00544DFA" w:rsidRPr="00AE7B34">
        <w:rPr>
          <w:rFonts w:ascii="Times New Roman" w:hAnsi="Times New Roman" w:cs="Times New Roman"/>
          <w:bCs/>
          <w:color w:val="000000" w:themeColor="text1"/>
          <w:sz w:val="22"/>
          <w:szCs w:val="22"/>
          <w:lang w:val="en-GB"/>
        </w:rPr>
        <w:t xml:space="preserve"> involvement in the post- pandemic era  in cultural tourism context. </w:t>
      </w:r>
    </w:p>
    <w:p w14:paraId="4791DAB6" w14:textId="77777777" w:rsidR="006A7598" w:rsidRPr="00AE7B34" w:rsidRDefault="006A7598" w:rsidP="00BF2F46">
      <w:pPr>
        <w:jc w:val="both"/>
        <w:rPr>
          <w:rFonts w:ascii="Times New Roman" w:hAnsi="Times New Roman" w:cs="Times New Roman"/>
          <w:color w:val="000000" w:themeColor="text1"/>
          <w:sz w:val="22"/>
          <w:szCs w:val="22"/>
          <w:lang w:val="en-GB"/>
        </w:rPr>
      </w:pPr>
    </w:p>
    <w:p w14:paraId="2AA65B85" w14:textId="77777777" w:rsidR="00B4617F" w:rsidRPr="00AE7B34" w:rsidRDefault="00B4617F" w:rsidP="00BF2F46">
      <w:pPr>
        <w:jc w:val="both"/>
        <w:rPr>
          <w:rFonts w:ascii="Times New Roman" w:hAnsi="Times New Roman" w:cs="Times New Roman"/>
          <w:b/>
          <w:bCs/>
          <w:color w:val="000000" w:themeColor="text1"/>
          <w:lang w:val="en-US"/>
        </w:rPr>
      </w:pPr>
      <w:r w:rsidRPr="00AE7B34">
        <w:rPr>
          <w:rFonts w:ascii="Times New Roman" w:hAnsi="Times New Roman" w:cs="Times New Roman"/>
          <w:b/>
          <w:bCs/>
          <w:color w:val="000000" w:themeColor="text1"/>
          <w:lang w:val="en-US"/>
        </w:rPr>
        <w:t>REFERENCES</w:t>
      </w:r>
    </w:p>
    <w:p w14:paraId="64461E63" w14:textId="6CB3997E" w:rsidR="00B803E8" w:rsidRPr="00AE7B34" w:rsidRDefault="00B803E8" w:rsidP="00766E57">
      <w:pPr>
        <w:widowControl w:val="0"/>
        <w:autoSpaceDE w:val="0"/>
        <w:autoSpaceDN w:val="0"/>
        <w:adjustRightInd w:val="0"/>
        <w:jc w:val="both"/>
        <w:rPr>
          <w:rFonts w:ascii="Times New Roman" w:eastAsia="Times New Roman" w:hAnsi="Times New Roman" w:cs="Times New Roman"/>
          <w:color w:val="000000" w:themeColor="text1"/>
          <w:sz w:val="22"/>
          <w:szCs w:val="22"/>
          <w:lang w:val="en-US" w:eastAsia="el-GR"/>
        </w:rPr>
      </w:pPr>
    </w:p>
    <w:p w14:paraId="796DEB6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color w:val="000000" w:themeColor="text1"/>
          <w:sz w:val="22"/>
          <w:szCs w:val="22"/>
          <w:lang w:val="en-US"/>
        </w:rPr>
        <w:fldChar w:fldCharType="begin" w:fldLock="1"/>
      </w:r>
      <w:r w:rsidRPr="00AE7B34">
        <w:rPr>
          <w:rFonts w:ascii="Times New Roman" w:hAnsi="Times New Roman" w:cs="Times New Roman"/>
          <w:color w:val="000000" w:themeColor="text1"/>
          <w:sz w:val="22"/>
          <w:szCs w:val="22"/>
          <w:lang w:val="en-US"/>
        </w:rPr>
        <w:instrText xml:space="preserve">ADDIN Mendeley Bibliography CSL_BIBLIOGRAPHY </w:instrText>
      </w:r>
      <w:r w:rsidRPr="00AE7B34">
        <w:rPr>
          <w:rFonts w:ascii="Times New Roman" w:hAnsi="Times New Roman" w:cs="Times New Roman"/>
          <w:color w:val="000000" w:themeColor="text1"/>
          <w:sz w:val="22"/>
          <w:szCs w:val="22"/>
          <w:lang w:val="en-US"/>
        </w:rPr>
        <w:fldChar w:fldCharType="separate"/>
      </w:r>
      <w:r w:rsidRPr="00AE7B34">
        <w:rPr>
          <w:rFonts w:ascii="Times New Roman" w:hAnsi="Times New Roman" w:cs="Times New Roman"/>
          <w:noProof/>
          <w:color w:val="000000" w:themeColor="text1"/>
          <w:sz w:val="22"/>
          <w:szCs w:val="22"/>
          <w:lang w:val="en-GB"/>
        </w:rPr>
        <w:t xml:space="preserve">Agostino, D., Arnaboldi, M. and Lampis, A. (2020) ‘Italian state museums during the COVID-19 crisis: from onsite closure to online openness’, </w:t>
      </w:r>
      <w:r w:rsidRPr="00AE7B34">
        <w:rPr>
          <w:rFonts w:ascii="Times New Roman" w:hAnsi="Times New Roman" w:cs="Times New Roman"/>
          <w:i/>
          <w:iCs/>
          <w:noProof/>
          <w:color w:val="000000" w:themeColor="text1"/>
          <w:sz w:val="22"/>
          <w:szCs w:val="22"/>
          <w:lang w:val="en-GB"/>
        </w:rPr>
        <w:t>Museum Management and Curatorship</w:t>
      </w:r>
      <w:r w:rsidRPr="00AE7B34">
        <w:rPr>
          <w:rFonts w:ascii="Times New Roman" w:hAnsi="Times New Roman" w:cs="Times New Roman"/>
          <w:noProof/>
          <w:color w:val="000000" w:themeColor="text1"/>
          <w:sz w:val="22"/>
          <w:szCs w:val="22"/>
          <w:lang w:val="en-GB"/>
        </w:rPr>
        <w:t>. Taylor &amp; Francis, 0(0), pp. 1–11. doi: 10.1080/09647775.2020.1790029.</w:t>
      </w:r>
    </w:p>
    <w:p w14:paraId="08EBC022" w14:textId="00B102B2"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Agostino, D., Arnaboldi, M. and Lema, M. D. (2020) ‘New development: COVID-19 as an accelerator of digital transformation in public service delivery’, </w:t>
      </w:r>
      <w:r w:rsidRPr="00AE7B34">
        <w:rPr>
          <w:rFonts w:ascii="Times New Roman" w:hAnsi="Times New Roman" w:cs="Times New Roman"/>
          <w:i/>
          <w:iCs/>
          <w:noProof/>
          <w:color w:val="000000" w:themeColor="text1"/>
          <w:sz w:val="22"/>
          <w:szCs w:val="22"/>
          <w:lang w:val="en-GB"/>
        </w:rPr>
        <w:t>Public Money and Management</w:t>
      </w:r>
      <w:r w:rsidRPr="00AE7B34">
        <w:rPr>
          <w:rFonts w:ascii="Times New Roman" w:hAnsi="Times New Roman" w:cs="Times New Roman"/>
          <w:noProof/>
          <w:color w:val="000000" w:themeColor="text1"/>
          <w:sz w:val="22"/>
          <w:szCs w:val="22"/>
          <w:lang w:val="en-GB"/>
        </w:rPr>
        <w:t>. Taylor &amp; Francis, 0(0), pp. 1–4. doi: 10.1080/09540962.2020.1764206.</w:t>
      </w:r>
    </w:p>
    <w:p w14:paraId="57368E6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Amanatidis, D.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(2019) ‘Cultural communication through social media : Exploring Instagram Practices among Greek museums’, </w:t>
      </w:r>
      <w:r w:rsidRPr="00AE7B34">
        <w:rPr>
          <w:rFonts w:ascii="Times New Roman" w:hAnsi="Times New Roman" w:cs="Times New Roman"/>
          <w:i/>
          <w:iCs/>
          <w:noProof/>
          <w:color w:val="000000" w:themeColor="text1"/>
          <w:sz w:val="22"/>
          <w:szCs w:val="22"/>
          <w:lang w:val="en-GB"/>
        </w:rPr>
        <w:t>TOURMAN 2019, 3rd International Scientific Conference “Tourism, travel and hospitality at crossroads: The way ahead” 24-27</w:t>
      </w:r>
      <w:r w:rsidRPr="00AE7B34">
        <w:rPr>
          <w:rFonts w:ascii="Times New Roman" w:hAnsi="Times New Roman" w:cs="Times New Roman"/>
          <w:noProof/>
          <w:color w:val="000000" w:themeColor="text1"/>
          <w:sz w:val="22"/>
          <w:szCs w:val="22"/>
          <w:lang w:val="en-GB"/>
        </w:rPr>
        <w:t>, (October).</w:t>
      </w:r>
    </w:p>
    <w:p w14:paraId="6300D14A"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Arzhanova, K. A., Beregovskaya, T. A. and Silina, S. A. (2020) ‘The Impact of the COVID-19 Pandemic on Consumer Behavior and Companies’ Internet Communication Strategies’, 486(Rtcov), pp. 50–57. doi: 10.2991/assehr.k.201105.010.</w:t>
      </w:r>
    </w:p>
    <w:p w14:paraId="3169EA9C"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Association, W. M. (2021) </w:t>
      </w:r>
      <w:r w:rsidRPr="00AE7B34">
        <w:rPr>
          <w:rFonts w:ascii="Times New Roman" w:hAnsi="Times New Roman" w:cs="Times New Roman"/>
          <w:i/>
          <w:iCs/>
          <w:noProof/>
          <w:color w:val="000000" w:themeColor="text1"/>
          <w:sz w:val="22"/>
          <w:szCs w:val="22"/>
          <w:lang w:val="en-GB"/>
        </w:rPr>
        <w:t>WMA ’ s Social Media Best Practices : Help Your Brand During</w:t>
      </w:r>
      <w:r w:rsidRPr="00AE7B34">
        <w:rPr>
          <w:rFonts w:ascii="Times New Roman" w:hAnsi="Times New Roman" w:cs="Times New Roman"/>
          <w:noProof/>
          <w:color w:val="000000" w:themeColor="text1"/>
          <w:sz w:val="22"/>
          <w:szCs w:val="22"/>
          <w:lang w:val="en-GB"/>
        </w:rPr>
        <w:t>. Available at: https://westmuse.org/articles/wma’s-social-media-best-practices-help-your-brand-during-covid-19.</w:t>
      </w:r>
    </w:p>
    <w:p w14:paraId="475A3DA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Bartik, A. W.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‘The impact of COVID-19 on small business outcomes and expectations’, </w:t>
      </w:r>
      <w:r w:rsidRPr="00AE7B34">
        <w:rPr>
          <w:rFonts w:ascii="Times New Roman" w:hAnsi="Times New Roman" w:cs="Times New Roman"/>
          <w:i/>
          <w:iCs/>
          <w:noProof/>
          <w:color w:val="000000" w:themeColor="text1"/>
          <w:sz w:val="22"/>
          <w:szCs w:val="22"/>
          <w:lang w:val="en-GB"/>
        </w:rPr>
        <w:t>Proceedings of the National Academy of Sciences of the United States of America</w:t>
      </w:r>
      <w:r w:rsidRPr="00AE7B34">
        <w:rPr>
          <w:rFonts w:ascii="Times New Roman" w:hAnsi="Times New Roman" w:cs="Times New Roman"/>
          <w:noProof/>
          <w:color w:val="000000" w:themeColor="text1"/>
          <w:sz w:val="22"/>
          <w:szCs w:val="22"/>
          <w:lang w:val="en-GB"/>
        </w:rPr>
        <w:t>, 117(30), pp. 17656–17666. doi: 10.1073/pnas.2006991117.</w:t>
      </w:r>
    </w:p>
    <w:p w14:paraId="6BFB5D5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Belenioti, Z.-C. (2020) </w:t>
      </w:r>
      <w:r w:rsidRPr="00AE7B34">
        <w:rPr>
          <w:rFonts w:ascii="Times New Roman" w:hAnsi="Times New Roman" w:cs="Times New Roman"/>
          <w:i/>
          <w:iCs/>
          <w:noProof/>
          <w:color w:val="000000" w:themeColor="text1"/>
          <w:sz w:val="22"/>
          <w:szCs w:val="22"/>
          <w:lang w:val="en-GB"/>
        </w:rPr>
        <w:t>The Contribution of E-Marketing To The Branding Of Nonprofit Organizations ( Npos ): The Case Of Greek Museums Zoi ( Zoe ) - Charis Belenioti</w:t>
      </w:r>
      <w:r w:rsidRPr="00AE7B34">
        <w:rPr>
          <w:rFonts w:ascii="Times New Roman" w:hAnsi="Times New Roman" w:cs="Times New Roman"/>
          <w:noProof/>
          <w:color w:val="000000" w:themeColor="text1"/>
          <w:sz w:val="22"/>
          <w:szCs w:val="22"/>
          <w:lang w:val="en-GB"/>
        </w:rPr>
        <w:t>. Aristotle University of Thessaloniki. Available at: http://ikee.lib.auth.gr/record/319725.</w:t>
      </w:r>
    </w:p>
    <w:p w14:paraId="2537FB1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rPr>
      </w:pPr>
      <w:r w:rsidRPr="00AE7B34">
        <w:rPr>
          <w:rFonts w:ascii="Times New Roman" w:hAnsi="Times New Roman" w:cs="Times New Roman"/>
          <w:noProof/>
          <w:color w:val="000000" w:themeColor="text1"/>
          <w:sz w:val="22"/>
          <w:szCs w:val="22"/>
        </w:rPr>
        <w:fldChar w:fldCharType="begin" w:fldLock="1"/>
      </w:r>
      <w:r w:rsidRPr="00AE7B34">
        <w:rPr>
          <w:rFonts w:ascii="Times New Roman" w:hAnsi="Times New Roman" w:cs="Times New Roman"/>
          <w:noProof/>
          <w:color w:val="000000" w:themeColor="text1"/>
          <w:sz w:val="22"/>
          <w:szCs w:val="22"/>
        </w:rPr>
        <w:instrText xml:space="preserve">ADDIN Mendeley Bibliography CSL_BIBLIOGRAPHY </w:instrText>
      </w:r>
      <w:r w:rsidRPr="00AE7B34">
        <w:rPr>
          <w:rFonts w:ascii="Times New Roman" w:hAnsi="Times New Roman" w:cs="Times New Roman"/>
          <w:noProof/>
          <w:color w:val="000000" w:themeColor="text1"/>
          <w:sz w:val="22"/>
          <w:szCs w:val="22"/>
        </w:rPr>
        <w:fldChar w:fldCharType="separate"/>
      </w:r>
      <w:r w:rsidRPr="00AE7B34">
        <w:rPr>
          <w:rFonts w:ascii="Times New Roman" w:hAnsi="Times New Roman" w:cs="Times New Roman"/>
          <w:noProof/>
          <w:color w:val="000000" w:themeColor="text1"/>
          <w:sz w:val="22"/>
          <w:szCs w:val="22"/>
          <w:lang w:val="en-GB"/>
        </w:rPr>
        <w:t xml:space="preserve">Belenioti, Z.-C., Tsourvakas, G. and Vassiliadis, C. A. (2019) ‘Do Social Media Affect Museums’ Brand Equity? An Exploratory Qualitative Study’, in </w:t>
      </w:r>
      <w:r w:rsidRPr="00AE7B34">
        <w:rPr>
          <w:rFonts w:ascii="Times New Roman" w:hAnsi="Times New Roman" w:cs="Times New Roman"/>
          <w:i/>
          <w:iCs/>
          <w:noProof/>
          <w:color w:val="000000" w:themeColor="text1"/>
          <w:sz w:val="22"/>
          <w:szCs w:val="22"/>
          <w:lang w:val="en-GB"/>
        </w:rPr>
        <w:t>Strategic Innovative Marketing and Tourism</w:t>
      </w:r>
      <w:r w:rsidRPr="00AE7B34">
        <w:rPr>
          <w:rFonts w:ascii="Times New Roman" w:hAnsi="Times New Roman" w:cs="Times New Roman"/>
          <w:noProof/>
          <w:color w:val="000000" w:themeColor="text1"/>
          <w:sz w:val="22"/>
          <w:szCs w:val="22"/>
          <w:lang w:val="en-GB"/>
        </w:rPr>
        <w:t>, pp. 533–540. doi: 10.1007/978-3-030-12453-3_61.</w:t>
      </w:r>
    </w:p>
    <w:p w14:paraId="6FA87533" w14:textId="77777777" w:rsidR="00353D50" w:rsidRPr="00AE7B34" w:rsidRDefault="00353D50" w:rsidP="0090554E">
      <w:pPr>
        <w:ind w:left="142" w:firstLine="218"/>
        <w:rPr>
          <w:rFonts w:ascii="Times New Roman" w:hAnsi="Times New Roman" w:cs="Times New Roman"/>
          <w:noProof/>
          <w:color w:val="000000" w:themeColor="text1"/>
          <w:lang w:val="en-GB"/>
        </w:rPr>
      </w:pPr>
      <w:r w:rsidRPr="00AE7B34">
        <w:rPr>
          <w:rFonts w:ascii="Times New Roman" w:hAnsi="Times New Roman" w:cs="Times New Roman"/>
          <w:noProof/>
          <w:color w:val="000000" w:themeColor="text1"/>
        </w:rPr>
        <w:fldChar w:fldCharType="end"/>
      </w:r>
      <w:r w:rsidRPr="00AE7B34">
        <w:rPr>
          <w:rFonts w:ascii="Times New Roman" w:hAnsi="Times New Roman" w:cs="Times New Roman"/>
          <w:noProof/>
          <w:color w:val="000000" w:themeColor="text1"/>
          <w:lang w:val="en-GB"/>
        </w:rPr>
        <w:t xml:space="preserve">Belenioti, Z.-C., Tsourvakas, G. and Vassiliadis, Chris A (2019) ‘Museums Brand Equity and Social Media’, </w:t>
      </w:r>
      <w:r w:rsidRPr="00AE7B34">
        <w:rPr>
          <w:rFonts w:ascii="Times New Roman" w:hAnsi="Times New Roman" w:cs="Times New Roman"/>
          <w:i/>
          <w:iCs/>
          <w:noProof/>
          <w:color w:val="000000" w:themeColor="text1"/>
          <w:lang w:val="en-GB"/>
        </w:rPr>
        <w:t>Strategic Innovative Marketing and Tourism</w:t>
      </w:r>
      <w:r w:rsidRPr="00AE7B34">
        <w:rPr>
          <w:rFonts w:ascii="Times New Roman" w:hAnsi="Times New Roman" w:cs="Times New Roman"/>
          <w:noProof/>
          <w:color w:val="000000" w:themeColor="text1"/>
          <w:lang w:val="en-GB"/>
        </w:rPr>
        <w:t>, pp. 1215–1222. doi: 10.1007/978-3-030-12453-3_139.</w:t>
      </w:r>
    </w:p>
    <w:p w14:paraId="2CA5092F"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Belenioti, Z.-C. and Vassiliadis, C. A. (2017) ‘Social Media Impact on NPO Brand Equity : Conceptualizing the Trends and Prospects EuroMed Academy of Business Edited by ’:, in Demetris Vrontis, Yaakov Weber, E. T. (ed.) </w:t>
      </w:r>
      <w:r w:rsidRPr="00AE7B34">
        <w:rPr>
          <w:rFonts w:ascii="Times New Roman" w:hAnsi="Times New Roman" w:cs="Times New Roman"/>
          <w:i/>
          <w:iCs/>
          <w:noProof/>
          <w:color w:val="000000" w:themeColor="text1"/>
          <w:sz w:val="22"/>
          <w:szCs w:val="22"/>
          <w:lang w:val="en-GB"/>
        </w:rPr>
        <w:t>10th Annual Euromed Academy of Business (ΕMAB) Conference</w:t>
      </w:r>
      <w:r w:rsidRPr="00AE7B34">
        <w:rPr>
          <w:rFonts w:ascii="Times New Roman" w:hAnsi="Times New Roman" w:cs="Times New Roman"/>
          <w:noProof/>
          <w:color w:val="000000" w:themeColor="text1"/>
          <w:sz w:val="22"/>
          <w:szCs w:val="22"/>
          <w:lang w:val="en-GB"/>
        </w:rPr>
        <w:t xml:space="preserve">. Rome, Italy: EuroMed Press, pp. 150–160. Available at: </w:t>
      </w:r>
      <w:r w:rsidRPr="00AE7B34">
        <w:rPr>
          <w:rFonts w:ascii="Times New Roman" w:hAnsi="Times New Roman" w:cs="Times New Roman"/>
          <w:noProof/>
          <w:color w:val="000000" w:themeColor="text1"/>
          <w:sz w:val="22"/>
          <w:szCs w:val="22"/>
          <w:lang w:val="en-GB"/>
        </w:rPr>
        <w:lastRenderedPageBreak/>
        <w:t>http://www.emrbi.org/bop2017.pdf.</w:t>
      </w:r>
    </w:p>
    <w:p w14:paraId="525E1A0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Belenioti, Z. C. (2017) </w:t>
      </w:r>
      <w:r w:rsidRPr="00AE7B34">
        <w:rPr>
          <w:rFonts w:ascii="Times New Roman" w:hAnsi="Times New Roman" w:cs="Times New Roman"/>
          <w:i/>
          <w:iCs/>
          <w:noProof/>
          <w:color w:val="000000" w:themeColor="text1"/>
          <w:sz w:val="22"/>
          <w:szCs w:val="22"/>
          <w:lang w:val="en-GB"/>
        </w:rPr>
        <w:t>Online around the world_ Greece_Belenioti.pdf</w:t>
      </w:r>
      <w:r w:rsidRPr="00AE7B34">
        <w:rPr>
          <w:rFonts w:ascii="Times New Roman" w:hAnsi="Times New Roman" w:cs="Times New Roman"/>
          <w:noProof/>
          <w:color w:val="000000" w:themeColor="text1"/>
          <w:sz w:val="22"/>
          <w:szCs w:val="22"/>
          <w:lang w:val="en-GB"/>
        </w:rPr>
        <w:t>. Edited by L. Steckman and M. Andrews. San Francisco: ABC- CLIO. Available at: http://www.abc-clio.com/ABC-CLIOGreenwood/product.aspx?pc=A4435C.</w:t>
      </w:r>
    </w:p>
    <w:p w14:paraId="7F196318"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Belenioti, Z. C., Gkarane, S. and Vassiliadis, C. (2017) ‘The contribution of social media to small scale events: Boosting the city branding&amp; tourism demand through Thessaloniki Food Festival’, in </w:t>
      </w:r>
      <w:r w:rsidRPr="00AE7B34">
        <w:rPr>
          <w:rFonts w:ascii="Times New Roman" w:hAnsi="Times New Roman" w:cs="Times New Roman"/>
          <w:i/>
          <w:iCs/>
          <w:noProof/>
          <w:color w:val="000000" w:themeColor="text1"/>
          <w:sz w:val="22"/>
          <w:szCs w:val="22"/>
          <w:lang w:val="en-GB"/>
        </w:rPr>
        <w:t>5th International Conference on Contemporary Marketing Issues ICCMI,June 21-23, 2017 Thessaloniki, Greece</w:t>
      </w:r>
      <w:r w:rsidRPr="00AE7B34">
        <w:rPr>
          <w:rFonts w:ascii="Times New Roman" w:hAnsi="Times New Roman" w:cs="Times New Roman"/>
          <w:noProof/>
          <w:color w:val="000000" w:themeColor="text1"/>
          <w:sz w:val="22"/>
          <w:szCs w:val="22"/>
          <w:lang w:val="en-GB"/>
        </w:rPr>
        <w:t>. Thessaloniki, Greee, p. 7877.</w:t>
      </w:r>
    </w:p>
    <w:p w14:paraId="0BFB86C9"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Belenioti, Z. C., Tsourvakas, G. and Vassiliadis, C. A. (2017) ‘A Report on Museum Branding Literature’, in Kavoura A., Sakas D., T. P. (ed.) </w:t>
      </w:r>
      <w:r w:rsidRPr="00AE7B34">
        <w:rPr>
          <w:rFonts w:ascii="Times New Roman" w:hAnsi="Times New Roman" w:cs="Times New Roman"/>
          <w:i/>
          <w:iCs/>
          <w:noProof/>
          <w:color w:val="000000" w:themeColor="text1"/>
          <w:sz w:val="22"/>
          <w:szCs w:val="22"/>
          <w:lang w:val="en-GB"/>
        </w:rPr>
        <w:t>Strategic Innovative Marketing</w:t>
      </w:r>
      <w:r w:rsidRPr="00AE7B34">
        <w:rPr>
          <w:rFonts w:ascii="Times New Roman" w:hAnsi="Times New Roman" w:cs="Times New Roman"/>
          <w:noProof/>
          <w:color w:val="000000" w:themeColor="text1"/>
          <w:sz w:val="22"/>
          <w:szCs w:val="22"/>
          <w:lang w:val="en-GB"/>
        </w:rPr>
        <w:t>. Springer, pp. 229–234. doi: https://doi.org/10.1007/978-3-319-56288-9_31.</w:t>
      </w:r>
    </w:p>
    <w:p w14:paraId="4B6E724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Belenioti, Z. and Vassiliadis, C. (2016) ‘Branding in the New Museum Era .’, in </w:t>
      </w:r>
      <w:r w:rsidRPr="00AE7B34">
        <w:rPr>
          <w:rFonts w:ascii="Times New Roman" w:hAnsi="Times New Roman" w:cs="Times New Roman"/>
          <w:i/>
          <w:iCs/>
          <w:noProof/>
          <w:color w:val="000000" w:themeColor="text1"/>
          <w:sz w:val="22"/>
          <w:szCs w:val="22"/>
          <w:lang w:val="en-GB"/>
        </w:rPr>
        <w:t>‘Strategic Innovative Marketing: 4th IC-SIM, Mykonos, Greece 2015’,2016, Springer</w:t>
      </w:r>
      <w:r w:rsidRPr="00AE7B34">
        <w:rPr>
          <w:rFonts w:ascii="Times New Roman" w:hAnsi="Times New Roman" w:cs="Times New Roman"/>
          <w:noProof/>
          <w:color w:val="000000" w:themeColor="text1"/>
          <w:sz w:val="22"/>
          <w:szCs w:val="22"/>
          <w:lang w:val="en-GB"/>
        </w:rPr>
        <w:t>, pp. 115–121.</w:t>
      </w:r>
    </w:p>
    <w:p w14:paraId="67223261"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Berthon, P. R.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(2012) ‘Marketing meets Web 2.0, social media, and creative consumers: Implications for international marketing strategy’, </w:t>
      </w:r>
      <w:r w:rsidRPr="00AE7B34">
        <w:rPr>
          <w:rFonts w:ascii="Times New Roman" w:hAnsi="Times New Roman" w:cs="Times New Roman"/>
          <w:i/>
          <w:iCs/>
          <w:noProof/>
          <w:color w:val="000000" w:themeColor="text1"/>
          <w:sz w:val="22"/>
          <w:szCs w:val="22"/>
          <w:lang w:val="en-GB"/>
        </w:rPr>
        <w:t>Business Horizons</w:t>
      </w:r>
      <w:r w:rsidRPr="00AE7B34">
        <w:rPr>
          <w:rFonts w:ascii="Times New Roman" w:hAnsi="Times New Roman" w:cs="Times New Roman"/>
          <w:noProof/>
          <w:color w:val="000000" w:themeColor="text1"/>
          <w:sz w:val="22"/>
          <w:szCs w:val="22"/>
          <w:lang w:val="en-GB"/>
        </w:rPr>
        <w:t>. ‘Kelley School of Business, Indiana University’, 55(3), pp. 261–271. doi: 10.1016/j.bushor.2012.01.007.</w:t>
      </w:r>
    </w:p>
    <w:p w14:paraId="25F39C5D"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Bonin-Rodriguez, P. and Vakharia, N. (2020) ‘Arts Entrepreneurship Internationally and in the Age of COVID-19’, </w:t>
      </w:r>
      <w:r w:rsidRPr="00AE7B34">
        <w:rPr>
          <w:rFonts w:ascii="Times New Roman" w:hAnsi="Times New Roman" w:cs="Times New Roman"/>
          <w:i/>
          <w:iCs/>
          <w:noProof/>
          <w:color w:val="000000" w:themeColor="text1"/>
          <w:sz w:val="22"/>
          <w:szCs w:val="22"/>
          <w:lang w:val="en-GB"/>
        </w:rPr>
        <w:t>Artivate</w:t>
      </w:r>
      <w:r w:rsidRPr="00AE7B34">
        <w:rPr>
          <w:rFonts w:ascii="Times New Roman" w:hAnsi="Times New Roman" w:cs="Times New Roman"/>
          <w:noProof/>
          <w:color w:val="000000" w:themeColor="text1"/>
          <w:sz w:val="22"/>
          <w:szCs w:val="22"/>
          <w:lang w:val="en-GB"/>
        </w:rPr>
        <w:t>, 9(1), pp. 1689–1699. doi: 10.1017/CBO9781107415324.004.</w:t>
      </w:r>
    </w:p>
    <w:p w14:paraId="0DC26F8F"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Buhalis, D. (2020) ‘Technology in tourism-from information communication technologies to eTourism and smart tourism towards ambient intelligence tourism: a perspective article’, </w:t>
      </w:r>
      <w:r w:rsidRPr="00AE7B34">
        <w:rPr>
          <w:rFonts w:ascii="Times New Roman" w:hAnsi="Times New Roman" w:cs="Times New Roman"/>
          <w:i/>
          <w:iCs/>
          <w:noProof/>
          <w:color w:val="000000" w:themeColor="text1"/>
          <w:sz w:val="22"/>
          <w:szCs w:val="22"/>
          <w:lang w:val="en-GB"/>
        </w:rPr>
        <w:t>Tourism Review</w:t>
      </w:r>
      <w:r w:rsidRPr="00AE7B34">
        <w:rPr>
          <w:rFonts w:ascii="Times New Roman" w:hAnsi="Times New Roman" w:cs="Times New Roman"/>
          <w:noProof/>
          <w:color w:val="000000" w:themeColor="text1"/>
          <w:sz w:val="22"/>
          <w:szCs w:val="22"/>
          <w:lang w:val="en-GB"/>
        </w:rPr>
        <w:t>, 75(1), pp. 267–272. doi: 10.1108/TR-06-2019-0258.</w:t>
      </w:r>
    </w:p>
    <w:p w14:paraId="773E7745" w14:textId="3FA2BCBE" w:rsidR="00353D50" w:rsidRPr="00AE7B34" w:rsidRDefault="00353D50" w:rsidP="0090554E">
      <w:pPr>
        <w:ind w:left="142" w:firstLine="218"/>
        <w:jc w:val="both"/>
        <w:rPr>
          <w:rFonts w:ascii="Times New Roman" w:hAnsi="Times New Roman" w:cs="Times New Roman"/>
          <w:color w:val="000000" w:themeColor="text1"/>
          <w:sz w:val="22"/>
          <w:szCs w:val="22"/>
          <w:lang w:eastAsia="en-GB"/>
        </w:rPr>
      </w:pPr>
      <w:r w:rsidRPr="00AE7B34">
        <w:rPr>
          <w:rFonts w:ascii="Times New Roman" w:hAnsi="Times New Roman" w:cs="Times New Roman"/>
          <w:color w:val="000000" w:themeColor="text1"/>
          <w:sz w:val="22"/>
          <w:szCs w:val="22"/>
          <w:shd w:val="clear" w:color="auto" w:fill="FEFEFE"/>
          <w:lang w:eastAsia="en-GB"/>
        </w:rPr>
        <w:t>Buhalis, D., 2022. Tourism Management and Marketing in Transformation: Preface.</w:t>
      </w:r>
      <w:r w:rsidRPr="00AE7B34">
        <w:rPr>
          <w:rFonts w:ascii="Times New Roman" w:hAnsi="Times New Roman" w:cs="Times New Roman"/>
          <w:i/>
          <w:iCs/>
          <w:color w:val="000000" w:themeColor="text1"/>
          <w:sz w:val="22"/>
          <w:szCs w:val="22"/>
          <w:shd w:val="clear" w:color="auto" w:fill="FEFEFE"/>
          <w:lang w:eastAsia="en-GB"/>
        </w:rPr>
        <w:t>In</w:t>
      </w:r>
      <w:r w:rsidR="0090554E" w:rsidRPr="00AE7B34">
        <w:rPr>
          <w:rFonts w:ascii="Times New Roman" w:hAnsi="Times New Roman" w:cs="Times New Roman"/>
          <w:color w:val="000000" w:themeColor="text1"/>
          <w:sz w:val="22"/>
          <w:szCs w:val="22"/>
          <w:shd w:val="clear" w:color="auto" w:fill="FEFEFE"/>
          <w:lang w:val="en-US" w:eastAsia="en-GB"/>
        </w:rPr>
        <w:t xml:space="preserve"> </w:t>
      </w:r>
      <w:r w:rsidRPr="00AE7B34">
        <w:rPr>
          <w:rFonts w:ascii="Times New Roman" w:hAnsi="Times New Roman" w:cs="Times New Roman"/>
          <w:color w:val="000000" w:themeColor="text1"/>
          <w:sz w:val="22"/>
          <w:szCs w:val="22"/>
          <w:shd w:val="clear" w:color="auto" w:fill="FEFEFE"/>
          <w:lang w:eastAsia="en-GB"/>
        </w:rPr>
        <w:t>Buhalis, D., ed.</w:t>
      </w:r>
      <w:r w:rsidRPr="00AE7B34">
        <w:rPr>
          <w:rFonts w:ascii="Times New Roman" w:hAnsi="Times New Roman" w:cs="Times New Roman"/>
          <w:i/>
          <w:iCs/>
          <w:color w:val="000000" w:themeColor="text1"/>
          <w:sz w:val="22"/>
          <w:szCs w:val="22"/>
          <w:shd w:val="clear" w:color="auto" w:fill="FEFEFE"/>
          <w:lang w:eastAsia="en-GB"/>
        </w:rPr>
        <w:t>Encyclopedia of Tourism Management and Marketing.</w:t>
      </w:r>
      <w:r w:rsidRPr="00AE7B34">
        <w:rPr>
          <w:rFonts w:ascii="Times New Roman" w:hAnsi="Times New Roman" w:cs="Times New Roman"/>
          <w:color w:val="000000" w:themeColor="text1"/>
          <w:sz w:val="22"/>
          <w:szCs w:val="22"/>
          <w:shd w:val="clear" w:color="auto" w:fill="FEFEFE"/>
          <w:lang w:eastAsia="en-GB"/>
        </w:rPr>
        <w:t> Edward Elgar Publishing. (In Press)</w:t>
      </w:r>
    </w:p>
    <w:p w14:paraId="3272865B"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Burke, V., Jørgensen, D. and Jørgensen, F. A. (2020) ‘Museums at Home: Digital Initiatives in Response to COVID-19’, </w:t>
      </w:r>
      <w:r w:rsidRPr="00AE7B34">
        <w:rPr>
          <w:rFonts w:ascii="Times New Roman" w:hAnsi="Times New Roman" w:cs="Times New Roman"/>
          <w:i/>
          <w:iCs/>
          <w:noProof/>
          <w:color w:val="000000" w:themeColor="text1"/>
          <w:sz w:val="22"/>
          <w:szCs w:val="22"/>
          <w:lang w:val="en-GB"/>
        </w:rPr>
        <w:t>Norsk museumstidsskrift</w:t>
      </w:r>
      <w:r w:rsidRPr="00AE7B34">
        <w:rPr>
          <w:rFonts w:ascii="Times New Roman" w:hAnsi="Times New Roman" w:cs="Times New Roman"/>
          <w:noProof/>
          <w:color w:val="000000" w:themeColor="text1"/>
          <w:sz w:val="22"/>
          <w:szCs w:val="22"/>
          <w:lang w:val="en-GB"/>
        </w:rPr>
        <w:t>, 6(02), pp. 117–123. doi: 10.18261/issn.2464-2525-2020-02-05.</w:t>
      </w:r>
    </w:p>
    <w:p w14:paraId="20E0DFED" w14:textId="77777777" w:rsidR="00A34D55" w:rsidRPr="00AE7B34" w:rsidRDefault="00A34D55" w:rsidP="00A34D55">
      <w:pPr>
        <w:widowControl w:val="0"/>
        <w:autoSpaceDE w:val="0"/>
        <w:autoSpaceDN w:val="0"/>
        <w:adjustRightInd w:val="0"/>
        <w:ind w:left="142" w:firstLine="218"/>
        <w:jc w:val="both"/>
        <w:rPr>
          <w:rFonts w:ascii="Times New Roman" w:hAnsi="Times New Roman" w:cs="Times New Roman"/>
          <w:noProof/>
          <w:color w:val="000000" w:themeColor="text1"/>
          <w:sz w:val="22"/>
          <w:szCs w:val="22"/>
          <w:lang/>
        </w:rPr>
      </w:pPr>
      <w:r w:rsidRPr="00AE7B34">
        <w:rPr>
          <w:rFonts w:ascii="Times New Roman" w:hAnsi="Times New Roman" w:cs="Times New Roman"/>
          <w:noProof/>
          <w:color w:val="000000" w:themeColor="text1"/>
          <w:sz w:val="22"/>
          <w:szCs w:val="22"/>
          <w:lang w:val="en-GB"/>
        </w:rPr>
        <w:t xml:space="preserve">Calvert, C. L.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‘Social Media during COVID-19 A Quick Guide for Canadian Museums’, (May)., Museums Association of Saskatchewan, Canada. https://saskmuseums.org/files/Final_-_Social_Media_during_COVID-19.pdf  </w:t>
      </w:r>
    </w:p>
    <w:p w14:paraId="6DFB5911" w14:textId="77777777" w:rsidR="00A34D55" w:rsidRPr="00AE7B34" w:rsidRDefault="00A34D55" w:rsidP="00A34D55">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Celuch, K. (2021) ‘Hashtag usage and user engagement on Instagram : The case of # foodfestivals’, 21(2), </w:t>
      </w:r>
      <w:r w:rsidRPr="00AE7B34">
        <w:rPr>
          <w:rFonts w:ascii="Times New Roman" w:hAnsi="Times New Roman" w:cs="Times New Roman"/>
          <w:i/>
          <w:iCs/>
          <w:noProof/>
          <w:color w:val="000000" w:themeColor="text1"/>
          <w:sz w:val="22"/>
          <w:szCs w:val="22"/>
          <w:lang w:val="en-GB"/>
        </w:rPr>
        <w:t>Journal of Physical Education and Sport (JPES</w:t>
      </w:r>
      <w:r w:rsidRPr="00AE7B34">
        <w:rPr>
          <w:rFonts w:ascii="Times New Roman" w:hAnsi="Times New Roman" w:cs="Times New Roman"/>
          <w:noProof/>
          <w:color w:val="000000" w:themeColor="text1"/>
          <w:sz w:val="22"/>
          <w:szCs w:val="22"/>
          <w:lang w:val="en-GB"/>
        </w:rPr>
        <w:t>), pp. 966–973. doi: 10.7752/jpes.2021.s2120.</w:t>
      </w:r>
    </w:p>
    <w:p w14:paraId="13292EDC"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Course, M. and Systems, T. (2020) </w:t>
      </w:r>
      <w:r w:rsidRPr="00AE7B34">
        <w:rPr>
          <w:rFonts w:ascii="Times New Roman" w:hAnsi="Times New Roman" w:cs="Times New Roman"/>
          <w:i/>
          <w:iCs/>
          <w:noProof/>
          <w:color w:val="000000" w:themeColor="text1"/>
          <w:sz w:val="22"/>
          <w:szCs w:val="22"/>
          <w:lang w:val="en-GB"/>
        </w:rPr>
        <w:t>Tourism Facing a Pandemic: from crisis to recovery (edited by Federica Burini) | greg richards - Academia.edu</w:t>
      </w:r>
      <w:r w:rsidRPr="00AE7B34">
        <w:rPr>
          <w:rFonts w:ascii="Times New Roman" w:hAnsi="Times New Roman" w:cs="Times New Roman"/>
          <w:noProof/>
          <w:color w:val="000000" w:themeColor="text1"/>
          <w:sz w:val="22"/>
          <w:szCs w:val="22"/>
          <w:lang w:val="en-GB"/>
        </w:rPr>
        <w:t xml:space="preserve">, </w:t>
      </w:r>
      <w:r w:rsidRPr="00AE7B34">
        <w:rPr>
          <w:rFonts w:ascii="Times New Roman" w:hAnsi="Times New Roman" w:cs="Times New Roman"/>
          <w:i/>
          <w:iCs/>
          <w:noProof/>
          <w:color w:val="000000" w:themeColor="text1"/>
          <w:sz w:val="22"/>
          <w:szCs w:val="22"/>
          <w:lang w:val="en-GB"/>
        </w:rPr>
        <w:t>Tourism Facing a Pandemic: From Crisis To Recovery</w:t>
      </w:r>
      <w:r w:rsidRPr="00AE7B34">
        <w:rPr>
          <w:rFonts w:ascii="Times New Roman" w:hAnsi="Times New Roman" w:cs="Times New Roman"/>
          <w:noProof/>
          <w:color w:val="000000" w:themeColor="text1"/>
          <w:sz w:val="22"/>
          <w:szCs w:val="22"/>
          <w:lang w:val="en-GB"/>
        </w:rPr>
        <w:t>. doi: 10.6092/978-88-97235-04-4.</w:t>
      </w:r>
    </w:p>
    <w:p w14:paraId="2DF7781A"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Del Chiappa, G., Bregoli, I., &amp; Fotiadis, A. (2021). The Impact of Covid.19 on Italian Accommodation: A Supply.Perspective. </w:t>
      </w:r>
      <w:r w:rsidRPr="00AE7B34">
        <w:rPr>
          <w:rFonts w:ascii="Times New Roman" w:hAnsi="Times New Roman" w:cs="Times New Roman"/>
          <w:i/>
          <w:iCs/>
          <w:noProof/>
          <w:color w:val="000000" w:themeColor="text1"/>
          <w:sz w:val="22"/>
          <w:szCs w:val="22"/>
          <w:lang w:val="en-GB"/>
        </w:rPr>
        <w:t>Journal of Tourism, Heritage &amp; Services Marketing, 7</w:t>
      </w:r>
      <w:r w:rsidRPr="00AE7B34">
        <w:rPr>
          <w:rFonts w:ascii="Times New Roman" w:hAnsi="Times New Roman" w:cs="Times New Roman"/>
          <w:noProof/>
          <w:color w:val="000000" w:themeColor="text1"/>
          <w:sz w:val="22"/>
          <w:szCs w:val="22"/>
          <w:lang w:val="en-GB"/>
        </w:rPr>
        <w:t>(1), 13.22. doi:10.5281/zenodo.4516187</w:t>
      </w:r>
    </w:p>
    <w:p w14:paraId="09C7508B"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Del Chiappa, G., Ladua, M., Meleddu, M., &amp; Pulina, M. (2013). Investigating the degree of visitors' satisfaction at a museum. </w:t>
      </w:r>
      <w:r w:rsidRPr="00AE7B34">
        <w:rPr>
          <w:rFonts w:ascii="Times New Roman" w:hAnsi="Times New Roman" w:cs="Times New Roman"/>
          <w:i/>
          <w:iCs/>
          <w:noProof/>
          <w:color w:val="000000" w:themeColor="text1"/>
          <w:sz w:val="22"/>
          <w:szCs w:val="22"/>
          <w:lang w:val="en-GB"/>
        </w:rPr>
        <w:t>Anatolia: An International Journal of Tourism and Hospitality Research, 24</w:t>
      </w:r>
      <w:r w:rsidRPr="00AE7B34">
        <w:rPr>
          <w:rFonts w:ascii="Times New Roman" w:hAnsi="Times New Roman" w:cs="Times New Roman"/>
          <w:noProof/>
          <w:color w:val="000000" w:themeColor="text1"/>
          <w:sz w:val="22"/>
          <w:szCs w:val="22"/>
          <w:lang w:val="en-GB"/>
        </w:rPr>
        <w:t>(1), 52.62.</w:t>
      </w:r>
    </w:p>
    <w:p w14:paraId="3E69A8D5"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Dijkmans, C., Kerkhof, P. and Beukeboom, C. J. (2015) ‘A stage to engage: Social media use and corporate reputation’, </w:t>
      </w:r>
      <w:r w:rsidRPr="00AE7B34">
        <w:rPr>
          <w:rFonts w:ascii="Times New Roman" w:hAnsi="Times New Roman" w:cs="Times New Roman"/>
          <w:i/>
          <w:iCs/>
          <w:noProof/>
          <w:color w:val="000000" w:themeColor="text1"/>
          <w:sz w:val="22"/>
          <w:szCs w:val="22"/>
          <w:lang w:val="en-GB"/>
        </w:rPr>
        <w:t>Tourism Management</w:t>
      </w:r>
      <w:r w:rsidRPr="00AE7B34">
        <w:rPr>
          <w:rFonts w:ascii="Times New Roman" w:hAnsi="Times New Roman" w:cs="Times New Roman"/>
          <w:noProof/>
          <w:color w:val="000000" w:themeColor="text1"/>
          <w:sz w:val="22"/>
          <w:szCs w:val="22"/>
          <w:lang w:val="en-GB"/>
        </w:rPr>
        <w:t>, 47, pp. 58–67. doi: 10.1016/j.tourman.2014.09.005.</w:t>
      </w:r>
    </w:p>
    <w:p w14:paraId="767EC00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Donthu, N. and Gustafsson, A. (2020) ‘Effects of COVID-19 on business and research’,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117(June), pp. 284–289. doi: 10.1016/j.jbusres.2020.06.008.</w:t>
      </w:r>
    </w:p>
    <w:p w14:paraId="7799C5C6"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European Parliamentary Research Service (2019) </w:t>
      </w:r>
      <w:r w:rsidRPr="00AE7B34">
        <w:rPr>
          <w:rFonts w:ascii="Times New Roman" w:hAnsi="Times New Roman" w:cs="Times New Roman"/>
          <w:i/>
          <w:iCs/>
          <w:noProof/>
          <w:color w:val="000000" w:themeColor="text1"/>
          <w:sz w:val="22"/>
          <w:szCs w:val="22"/>
          <w:lang w:val="en-GB"/>
        </w:rPr>
        <w:t>EU policies – Delivering for citizens</w:t>
      </w:r>
      <w:r w:rsidRPr="00AE7B34">
        <w:rPr>
          <w:rFonts w:ascii="Times New Roman" w:hAnsi="Times New Roman" w:cs="Times New Roman"/>
          <w:noProof/>
          <w:color w:val="000000" w:themeColor="text1"/>
          <w:sz w:val="22"/>
          <w:szCs w:val="22"/>
          <w:lang w:val="en-GB"/>
        </w:rPr>
        <w:t xml:space="preserve">, </w:t>
      </w:r>
      <w:r w:rsidRPr="00AE7B34">
        <w:rPr>
          <w:rFonts w:ascii="Times New Roman" w:hAnsi="Times New Roman" w:cs="Times New Roman"/>
          <w:i/>
          <w:iCs/>
          <w:noProof/>
          <w:color w:val="000000" w:themeColor="text1"/>
          <w:sz w:val="22"/>
          <w:szCs w:val="22"/>
          <w:lang w:val="en-GB"/>
        </w:rPr>
        <w:t>European Parliamentary Research Service</w:t>
      </w:r>
      <w:r w:rsidRPr="00AE7B34">
        <w:rPr>
          <w:rFonts w:ascii="Times New Roman" w:hAnsi="Times New Roman" w:cs="Times New Roman"/>
          <w:noProof/>
          <w:color w:val="000000" w:themeColor="text1"/>
          <w:sz w:val="22"/>
          <w:szCs w:val="22"/>
          <w:lang w:val="en-GB"/>
        </w:rPr>
        <w:t>. Available at: https://www.europarl.europa.eu/RegData/etudes/BRIE/2019/633171/EPRS_BRI(2019)633171_EN.pdf.</w:t>
      </w:r>
    </w:p>
    <w:p w14:paraId="6145393C"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Fotiadis, A. (2018). Modelling wedding marketing strategies: An fsQCA Analysis. </w:t>
      </w:r>
      <w:r w:rsidRPr="00AE7B34">
        <w:rPr>
          <w:rFonts w:ascii="Times New Roman" w:hAnsi="Times New Roman" w:cs="Times New Roman"/>
          <w:i/>
          <w:iCs/>
          <w:noProof/>
          <w:color w:val="000000" w:themeColor="text1"/>
          <w:sz w:val="22"/>
          <w:szCs w:val="22"/>
          <w:lang w:val="en-GB"/>
        </w:rPr>
        <w:t>Journal of Tourism, Heritage &amp; Services Marketing, 4</w:t>
      </w:r>
      <w:r w:rsidRPr="00AE7B34">
        <w:rPr>
          <w:rFonts w:ascii="Times New Roman" w:hAnsi="Times New Roman" w:cs="Times New Roman"/>
          <w:noProof/>
          <w:color w:val="000000" w:themeColor="text1"/>
          <w:sz w:val="22"/>
          <w:szCs w:val="22"/>
          <w:lang w:val="en-GB"/>
        </w:rPr>
        <w:t>(1), 23.26.</w:t>
      </w:r>
    </w:p>
    <w:p w14:paraId="37B199D3"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lastRenderedPageBreak/>
        <w:t xml:space="preserve">Fotiadis, A., Polyzos, S. and Huan, T. C. T. C. (2021) ‘The good, the bad and the ugly on COVID-19 tourism recovery’, </w:t>
      </w:r>
      <w:r w:rsidRPr="00AE7B34">
        <w:rPr>
          <w:rFonts w:ascii="Times New Roman" w:hAnsi="Times New Roman" w:cs="Times New Roman"/>
          <w:i/>
          <w:iCs/>
          <w:noProof/>
          <w:color w:val="000000" w:themeColor="text1"/>
          <w:sz w:val="22"/>
          <w:szCs w:val="22"/>
          <w:lang w:val="en-GB"/>
        </w:rPr>
        <w:t>Annals of Tourism Research</w:t>
      </w:r>
      <w:r w:rsidRPr="00AE7B34">
        <w:rPr>
          <w:rFonts w:ascii="Times New Roman" w:hAnsi="Times New Roman" w:cs="Times New Roman"/>
          <w:noProof/>
          <w:color w:val="000000" w:themeColor="text1"/>
          <w:sz w:val="22"/>
          <w:szCs w:val="22"/>
          <w:lang w:val="en-GB"/>
        </w:rPr>
        <w:t>. Elsevier Ltd, 87, p. 103117. doi: 10.1016/j.annals.2020.103117.</w:t>
      </w:r>
    </w:p>
    <w:p w14:paraId="3367042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 Fotiadis, A., Stylos, N., &amp; Vassiliadis, C. A. (2020).Travelling to Compete: Antecedents of Individuals’ Involvement in Small-scale Sports Events.</w:t>
      </w:r>
      <w:r w:rsidRPr="00AE7B34">
        <w:rPr>
          <w:rFonts w:ascii="Times New Roman" w:hAnsi="Times New Roman" w:cs="Times New Roman"/>
          <w:i/>
          <w:iCs/>
          <w:noProof/>
          <w:color w:val="000000" w:themeColor="text1"/>
          <w:sz w:val="22"/>
          <w:szCs w:val="22"/>
          <w:lang w:val="en-GB"/>
        </w:rPr>
        <w:t>Tourism Recreation Research</w:t>
      </w:r>
      <w:r w:rsidRPr="00AE7B34">
        <w:rPr>
          <w:rFonts w:ascii="Times New Roman" w:hAnsi="Times New Roman" w:cs="Times New Roman"/>
          <w:noProof/>
          <w:color w:val="000000" w:themeColor="text1"/>
          <w:sz w:val="22"/>
          <w:szCs w:val="22"/>
          <w:lang w:val="en-GB"/>
        </w:rPr>
        <w:t>. https://doi.org/10.1080/02508281.2020.1808934</w:t>
      </w:r>
    </w:p>
    <w:p w14:paraId="12161C9D"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Fletcher, A. and Lee, M. J. (2012) ‘Current social media uses and evaluations in American museums’, </w:t>
      </w:r>
      <w:r w:rsidRPr="00AE7B34">
        <w:rPr>
          <w:rFonts w:ascii="Times New Roman" w:hAnsi="Times New Roman" w:cs="Times New Roman"/>
          <w:i/>
          <w:iCs/>
          <w:noProof/>
          <w:color w:val="000000" w:themeColor="text1"/>
          <w:sz w:val="22"/>
          <w:szCs w:val="22"/>
          <w:lang w:val="en-GB"/>
        </w:rPr>
        <w:t>Museum Management and Curatorship</w:t>
      </w:r>
      <w:r w:rsidRPr="00AE7B34">
        <w:rPr>
          <w:rFonts w:ascii="Times New Roman" w:hAnsi="Times New Roman" w:cs="Times New Roman"/>
          <w:noProof/>
          <w:color w:val="000000" w:themeColor="text1"/>
          <w:sz w:val="22"/>
          <w:szCs w:val="22"/>
          <w:lang w:val="en-GB"/>
        </w:rPr>
        <w:t>, 27(5), pp. 505–521. doi: 10.1080/09647775.2012.738136.</w:t>
      </w:r>
    </w:p>
    <w:p w14:paraId="75547678"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Frutos, R.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‘COVID-19: The Conjunction of Events Leading to the Coronavirus Pandemic and Lessons to Learn for Future Threats’, </w:t>
      </w:r>
      <w:r w:rsidRPr="00AE7B34">
        <w:rPr>
          <w:rFonts w:ascii="Times New Roman" w:hAnsi="Times New Roman" w:cs="Times New Roman"/>
          <w:i/>
          <w:iCs/>
          <w:noProof/>
          <w:color w:val="000000" w:themeColor="text1"/>
          <w:sz w:val="22"/>
          <w:szCs w:val="22"/>
          <w:lang w:val="en-GB"/>
        </w:rPr>
        <w:t>Frontiers in Medicine</w:t>
      </w:r>
      <w:r w:rsidRPr="00AE7B34">
        <w:rPr>
          <w:rFonts w:ascii="Times New Roman" w:hAnsi="Times New Roman" w:cs="Times New Roman"/>
          <w:noProof/>
          <w:color w:val="000000" w:themeColor="text1"/>
          <w:sz w:val="22"/>
          <w:szCs w:val="22"/>
          <w:lang w:val="en-GB"/>
        </w:rPr>
        <w:t>, 7(May), pp. 1–5. doi: 10.3389/fmed.2020.00223.</w:t>
      </w:r>
    </w:p>
    <w:p w14:paraId="4451C5B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Gretzel, U.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‘e-Tourism beyond COVID-19: a call for transformative research’, </w:t>
      </w:r>
      <w:r w:rsidRPr="00AE7B34">
        <w:rPr>
          <w:rFonts w:ascii="Times New Roman" w:hAnsi="Times New Roman" w:cs="Times New Roman"/>
          <w:i/>
          <w:iCs/>
          <w:noProof/>
          <w:color w:val="000000" w:themeColor="text1"/>
          <w:sz w:val="22"/>
          <w:szCs w:val="22"/>
          <w:lang w:val="en-GB"/>
        </w:rPr>
        <w:t>Information Technology and Tourism</w:t>
      </w:r>
      <w:r w:rsidRPr="00AE7B34">
        <w:rPr>
          <w:rFonts w:ascii="Times New Roman" w:hAnsi="Times New Roman" w:cs="Times New Roman"/>
          <w:noProof/>
          <w:color w:val="000000" w:themeColor="text1"/>
          <w:sz w:val="22"/>
          <w:szCs w:val="22"/>
          <w:lang w:val="en-GB"/>
        </w:rPr>
        <w:t>. Springer Berlin Heidelberg, 22(2), pp. 187–203. doi: 10.1007/s40558-020-00181-3.</w:t>
      </w:r>
    </w:p>
    <w:p w14:paraId="101ADB85" w14:textId="09B1B409"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Group, S. R.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(2021) ‘All change : how COVID-19 is transforming consumer behaviour « Customers ’ digital experiences across industries are creating’.</w:t>
      </w:r>
      <w:r w:rsidR="007244D9" w:rsidRPr="00AE7B34">
        <w:rPr>
          <w:rFonts w:ascii="Times New Roman" w:hAnsi="Times New Roman" w:cs="Times New Roman"/>
          <w:noProof/>
          <w:color w:val="000000" w:themeColor="text1"/>
          <w:sz w:val="22"/>
          <w:szCs w:val="22"/>
          <w:lang w:val="en-GB"/>
        </w:rPr>
        <w:t xml:space="preserve"> Accessed 09 May 2020: https://www.swissre.com/institute/research/topics-and-risk-dialogues/health-and-longevity/covid-19-consumer-behaviour.html</w:t>
      </w:r>
    </w:p>
    <w:p w14:paraId="71642F3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Hausmann, A. (2012a) ‘Creating “ buzz ” : opportunities and limitations of social media for arts institutions and their viral marketing’, </w:t>
      </w:r>
      <w:r w:rsidRPr="00AE7B34">
        <w:rPr>
          <w:rFonts w:ascii="Times New Roman" w:hAnsi="Times New Roman" w:cs="Times New Roman"/>
          <w:i/>
          <w:iCs/>
          <w:noProof/>
          <w:color w:val="000000" w:themeColor="text1"/>
          <w:sz w:val="22"/>
          <w:szCs w:val="22"/>
          <w:lang w:val="en-GB"/>
        </w:rPr>
        <w:t>International Journal of Nonprofit and Voluntary Sector Marketing Int. J. Nonprofit Volunt. Sect. Mark. 17: 173–182 (2012)</w:t>
      </w:r>
      <w:r w:rsidRPr="00AE7B34">
        <w:rPr>
          <w:rFonts w:ascii="Times New Roman" w:hAnsi="Times New Roman" w:cs="Times New Roman"/>
          <w:noProof/>
          <w:color w:val="000000" w:themeColor="text1"/>
          <w:sz w:val="22"/>
          <w:szCs w:val="22"/>
          <w:lang w:val="en-GB"/>
        </w:rPr>
        <w:t>, 182(April), pp. 173–182. doi: 10.1002/nvsm.</w:t>
      </w:r>
    </w:p>
    <w:p w14:paraId="2B745023" w14:textId="2BB24D53"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Hausmann, A. (2012b) ‘The Importance of Word of Mouth for Museums : An Analytical Framework The Importance of Word of Mouth for Museums : An Analytical Framework’, </w:t>
      </w:r>
      <w:r w:rsidR="00356C37" w:rsidRPr="00AE7B34">
        <w:rPr>
          <w:rFonts w:ascii="Times New Roman" w:hAnsi="Times New Roman" w:cs="Times New Roman"/>
          <w:i/>
          <w:iCs/>
          <w:noProof/>
          <w:color w:val="000000" w:themeColor="text1"/>
          <w:sz w:val="22"/>
          <w:szCs w:val="22"/>
          <w:lang w:val="en-GB"/>
        </w:rPr>
        <w:t>International Journal of Arts Management</w:t>
      </w:r>
      <w:r w:rsidRPr="00AE7B34">
        <w:rPr>
          <w:rFonts w:ascii="Times New Roman" w:hAnsi="Times New Roman" w:cs="Times New Roman"/>
          <w:noProof/>
          <w:color w:val="000000" w:themeColor="text1"/>
          <w:sz w:val="22"/>
          <w:szCs w:val="22"/>
          <w:lang w:val="en-GB"/>
        </w:rPr>
        <w:t>, 14(3)</w:t>
      </w:r>
      <w:r w:rsidR="00356C37" w:rsidRPr="00AE7B34">
        <w:rPr>
          <w:rFonts w:ascii="Times New Roman" w:hAnsi="Times New Roman" w:cs="Times New Roman"/>
          <w:noProof/>
          <w:color w:val="000000" w:themeColor="text1"/>
          <w:sz w:val="22"/>
          <w:szCs w:val="22"/>
          <w:lang w:val="en-GB"/>
        </w:rPr>
        <w:t>, pp.32-43</w:t>
      </w:r>
    </w:p>
    <w:p w14:paraId="28330BA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He, H. and Harris, L. (2020) ‘The impact of Covid-19 pandemic on corporate social responsibility and marketing philosophy’,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Elsevier, 116(May), pp. 176–182. doi: 10.1016/j.jbusres.2020.05.030.</w:t>
      </w:r>
    </w:p>
    <w:p w14:paraId="4952132D"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Hoksbergen, E. and Insch, A. (2016) ‘Facebook as a platform for co-creating music festival experiences. The case of New Zealand’s Rhythm and Vines New Year’s Eve festival’, </w:t>
      </w:r>
      <w:r w:rsidRPr="00AE7B34">
        <w:rPr>
          <w:rFonts w:ascii="Times New Roman" w:hAnsi="Times New Roman" w:cs="Times New Roman"/>
          <w:i/>
          <w:iCs/>
          <w:noProof/>
          <w:color w:val="000000" w:themeColor="text1"/>
          <w:sz w:val="22"/>
          <w:szCs w:val="22"/>
          <w:lang w:val="en-GB"/>
        </w:rPr>
        <w:t>International Journal of Event and Festival Management</w:t>
      </w:r>
      <w:r w:rsidRPr="00AE7B34">
        <w:rPr>
          <w:rFonts w:ascii="Times New Roman" w:hAnsi="Times New Roman" w:cs="Times New Roman"/>
          <w:noProof/>
          <w:color w:val="000000" w:themeColor="text1"/>
          <w:sz w:val="22"/>
          <w:szCs w:val="22"/>
          <w:lang w:val="en-GB"/>
        </w:rPr>
        <w:t>, 7(2), pp. 84–99. doi: 10.1108/02656710210415703.</w:t>
      </w:r>
    </w:p>
    <w:p w14:paraId="6CB69091"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Hudson, S.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(2015) ‘The effects of social media on emotions, brand relationship quality, and word of mouth: An empirical study of music festival attendees’, </w:t>
      </w:r>
      <w:r w:rsidRPr="00AE7B34">
        <w:rPr>
          <w:rFonts w:ascii="Times New Roman" w:hAnsi="Times New Roman" w:cs="Times New Roman"/>
          <w:i/>
          <w:iCs/>
          <w:noProof/>
          <w:color w:val="000000" w:themeColor="text1"/>
          <w:sz w:val="22"/>
          <w:szCs w:val="22"/>
          <w:lang w:val="en-GB"/>
        </w:rPr>
        <w:t>Tourism Management</w:t>
      </w:r>
      <w:r w:rsidRPr="00AE7B34">
        <w:rPr>
          <w:rFonts w:ascii="Times New Roman" w:hAnsi="Times New Roman" w:cs="Times New Roman"/>
          <w:noProof/>
          <w:color w:val="000000" w:themeColor="text1"/>
          <w:sz w:val="22"/>
          <w:szCs w:val="22"/>
          <w:lang w:val="en-GB"/>
        </w:rPr>
        <w:t>. Elsevier Ltd, 47, pp. 68–76. doi: 10.1016/j.tourman.2014.09.001.</w:t>
      </w:r>
    </w:p>
    <w:p w14:paraId="32D5081B"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Hudson, S. and Hudson, R. (2013) ‘Engaging with consumers using social media: a case study of music festivals’, </w:t>
      </w:r>
      <w:r w:rsidRPr="00AE7B34">
        <w:rPr>
          <w:rFonts w:ascii="Times New Roman" w:hAnsi="Times New Roman" w:cs="Times New Roman"/>
          <w:i/>
          <w:iCs/>
          <w:noProof/>
          <w:color w:val="000000" w:themeColor="text1"/>
          <w:sz w:val="22"/>
          <w:szCs w:val="22"/>
          <w:lang w:val="en-GB"/>
        </w:rPr>
        <w:t>International Journal of Event and Festival Management</w:t>
      </w:r>
      <w:r w:rsidRPr="00AE7B34">
        <w:rPr>
          <w:rFonts w:ascii="Times New Roman" w:hAnsi="Times New Roman" w:cs="Times New Roman"/>
          <w:noProof/>
          <w:color w:val="000000" w:themeColor="text1"/>
          <w:sz w:val="22"/>
          <w:szCs w:val="22"/>
          <w:lang w:val="en-GB"/>
        </w:rPr>
        <w:t>, 4(3), pp. 206–223. doi: 10.1108/IJEFM-06-2013-0012.</w:t>
      </w:r>
    </w:p>
    <w:p w14:paraId="31A4D059" w14:textId="2137CD9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Kahn, R. (2020) ‘Corona as Curator : How museums are responding to the pandemic’, </w:t>
      </w:r>
      <w:r w:rsidRPr="00AE7B34">
        <w:rPr>
          <w:rFonts w:ascii="Times New Roman" w:hAnsi="Times New Roman" w:cs="Times New Roman"/>
          <w:i/>
          <w:iCs/>
          <w:noProof/>
          <w:color w:val="000000" w:themeColor="text1"/>
          <w:sz w:val="22"/>
          <w:szCs w:val="22"/>
          <w:lang w:val="en-GB"/>
        </w:rPr>
        <w:t>Elephant in the Lab</w:t>
      </w:r>
      <w:r w:rsidRPr="00AE7B34">
        <w:rPr>
          <w:rFonts w:ascii="Times New Roman" w:hAnsi="Times New Roman" w:cs="Times New Roman"/>
          <w:noProof/>
          <w:color w:val="000000" w:themeColor="text1"/>
          <w:sz w:val="22"/>
          <w:szCs w:val="22"/>
          <w:lang w:val="en-GB"/>
        </w:rPr>
        <w:t>.</w:t>
      </w:r>
      <w:r w:rsidR="00CC785E" w:rsidRPr="00AE7B34">
        <w:rPr>
          <w:color w:val="000000" w:themeColor="text1"/>
          <w:lang w:val="en-US"/>
        </w:rPr>
        <w:t xml:space="preserve"> </w:t>
      </w:r>
      <w:r w:rsidR="00CC785E" w:rsidRPr="00AE7B34">
        <w:rPr>
          <w:rFonts w:ascii="Times New Roman" w:hAnsi="Times New Roman" w:cs="Times New Roman"/>
          <w:noProof/>
          <w:color w:val="000000" w:themeColor="text1"/>
          <w:sz w:val="22"/>
          <w:szCs w:val="22"/>
          <w:lang w:val="en-GB"/>
        </w:rPr>
        <w:t>https://doi.org/10.5281/zenodo.3751749</w:t>
      </w:r>
    </w:p>
    <w:p w14:paraId="1AD9A653"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Kist, C. (2020) ‘Museums, Challenging Heritage and Social Media During COVID-19’, </w:t>
      </w:r>
      <w:r w:rsidRPr="00AE7B34">
        <w:rPr>
          <w:rFonts w:ascii="Times New Roman" w:hAnsi="Times New Roman" w:cs="Times New Roman"/>
          <w:i/>
          <w:iCs/>
          <w:noProof/>
          <w:color w:val="000000" w:themeColor="text1"/>
          <w:sz w:val="22"/>
          <w:szCs w:val="22"/>
          <w:lang w:val="en-GB"/>
        </w:rPr>
        <w:t>Museum and Society</w:t>
      </w:r>
      <w:r w:rsidRPr="00AE7B34">
        <w:rPr>
          <w:rFonts w:ascii="Times New Roman" w:hAnsi="Times New Roman" w:cs="Times New Roman"/>
          <w:noProof/>
          <w:color w:val="000000" w:themeColor="text1"/>
          <w:sz w:val="22"/>
          <w:szCs w:val="22"/>
          <w:lang w:val="en-GB"/>
        </w:rPr>
        <w:t>, 18(3), pp. 345–348. doi: 10.29311/mas.v18i3.3539.</w:t>
      </w:r>
    </w:p>
    <w:p w14:paraId="2ACE7646"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Krishnamurthy, S. (2020) ‘The future of business education: A commentary in the shadow of the Covid-19 pandemic’,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Elsevier, 117(May), pp. 1–5. doi: 10.1016/j.jbusres.2020.05.034.</w:t>
      </w:r>
    </w:p>
    <w:p w14:paraId="4D9C3724"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Lau, F. and Kuziemsky, C. (2016) </w:t>
      </w:r>
      <w:r w:rsidRPr="00AE7B34">
        <w:rPr>
          <w:rFonts w:ascii="Times New Roman" w:hAnsi="Times New Roman" w:cs="Times New Roman"/>
          <w:i/>
          <w:iCs/>
          <w:noProof/>
          <w:color w:val="000000" w:themeColor="text1"/>
          <w:sz w:val="22"/>
          <w:szCs w:val="22"/>
          <w:lang w:val="en-GB"/>
        </w:rPr>
        <w:t>Handbook of eHealth Evaluation: An Evidence-based Approach</w:t>
      </w:r>
      <w:r w:rsidRPr="00AE7B34">
        <w:rPr>
          <w:rFonts w:ascii="Times New Roman" w:hAnsi="Times New Roman" w:cs="Times New Roman"/>
          <w:noProof/>
          <w:color w:val="000000" w:themeColor="text1"/>
          <w:sz w:val="22"/>
          <w:szCs w:val="22"/>
          <w:lang w:val="en-GB"/>
        </w:rPr>
        <w:t xml:space="preserve">, </w:t>
      </w:r>
      <w:r w:rsidRPr="00AE7B34">
        <w:rPr>
          <w:rFonts w:ascii="Times New Roman" w:hAnsi="Times New Roman" w:cs="Times New Roman"/>
          <w:i/>
          <w:iCs/>
          <w:noProof/>
          <w:color w:val="000000" w:themeColor="text1"/>
          <w:sz w:val="22"/>
          <w:szCs w:val="22"/>
          <w:lang w:val="en-GB"/>
        </w:rPr>
        <w:t>Handbook of eHealth Evaluation: An Evidence-based Approach</w:t>
      </w:r>
      <w:r w:rsidRPr="00AE7B34">
        <w:rPr>
          <w:rFonts w:ascii="Times New Roman" w:hAnsi="Times New Roman" w:cs="Times New Roman"/>
          <w:noProof/>
          <w:color w:val="000000" w:themeColor="text1"/>
          <w:sz w:val="22"/>
          <w:szCs w:val="22"/>
          <w:lang w:val="en-GB"/>
        </w:rPr>
        <w:t>. Available at: https://www.ncbi.nlm.nih.gov/books/NBK481590/pdf/Bookshelf_NBK481590.pdf.</w:t>
      </w:r>
    </w:p>
    <w:p w14:paraId="7CFC468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Lazzerini, M. and Putoto, G. (2020) ‘COVID-19 in Italy: momentous decisions and many uncertainties’, </w:t>
      </w:r>
      <w:r w:rsidRPr="00AE7B34">
        <w:rPr>
          <w:rFonts w:ascii="Times New Roman" w:hAnsi="Times New Roman" w:cs="Times New Roman"/>
          <w:i/>
          <w:iCs/>
          <w:noProof/>
          <w:color w:val="000000" w:themeColor="text1"/>
          <w:sz w:val="22"/>
          <w:szCs w:val="22"/>
          <w:lang w:val="en-GB"/>
        </w:rPr>
        <w:t>The Lancet Global Health</w:t>
      </w:r>
      <w:r w:rsidRPr="00AE7B34">
        <w:rPr>
          <w:rFonts w:ascii="Times New Roman" w:hAnsi="Times New Roman" w:cs="Times New Roman"/>
          <w:noProof/>
          <w:color w:val="000000" w:themeColor="text1"/>
          <w:sz w:val="22"/>
          <w:szCs w:val="22"/>
          <w:lang w:val="en-GB"/>
        </w:rPr>
        <w:t>. The Author(s). Published by Elsevier Ltd. This is an Open Access article under the CC BY 4.0 license, 8(5), pp. e641–e642. doi: 10.1016/S2214-109X(20)30110-8.</w:t>
      </w:r>
    </w:p>
    <w:p w14:paraId="7529A85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Lehman, K. and Roach, G. (2011) ‘The strategic role of electronic marketing in the Australian museum sector’, </w:t>
      </w:r>
      <w:r w:rsidRPr="00AE7B34">
        <w:rPr>
          <w:rFonts w:ascii="Times New Roman" w:hAnsi="Times New Roman" w:cs="Times New Roman"/>
          <w:i/>
          <w:iCs/>
          <w:noProof/>
          <w:color w:val="000000" w:themeColor="text1"/>
          <w:sz w:val="22"/>
          <w:szCs w:val="22"/>
          <w:lang w:val="en-GB"/>
        </w:rPr>
        <w:t>Museum Management and Curatorship</w:t>
      </w:r>
      <w:r w:rsidRPr="00AE7B34">
        <w:rPr>
          <w:rFonts w:ascii="Times New Roman" w:hAnsi="Times New Roman" w:cs="Times New Roman"/>
          <w:noProof/>
          <w:color w:val="000000" w:themeColor="text1"/>
          <w:sz w:val="22"/>
          <w:szCs w:val="22"/>
          <w:lang w:val="en-GB"/>
        </w:rPr>
        <w:t xml:space="preserve">, 26(3), pp. 291–306. doi: </w:t>
      </w:r>
      <w:r w:rsidRPr="00AE7B34">
        <w:rPr>
          <w:rFonts w:ascii="Times New Roman" w:hAnsi="Times New Roman" w:cs="Times New Roman"/>
          <w:noProof/>
          <w:color w:val="000000" w:themeColor="text1"/>
          <w:sz w:val="22"/>
          <w:szCs w:val="22"/>
          <w:lang w:val="en-GB"/>
        </w:rPr>
        <w:lastRenderedPageBreak/>
        <w:t>10.1080/09647775.2011.585806.</w:t>
      </w:r>
    </w:p>
    <w:p w14:paraId="5A2B032A"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Lemon, K. N. and Verhoef, P. C. (2016) ‘Understanding customer experience throughout the customer journey’, </w:t>
      </w:r>
      <w:r w:rsidRPr="00AE7B34">
        <w:rPr>
          <w:rFonts w:ascii="Times New Roman" w:hAnsi="Times New Roman" w:cs="Times New Roman"/>
          <w:i/>
          <w:iCs/>
          <w:noProof/>
          <w:color w:val="000000" w:themeColor="text1"/>
          <w:sz w:val="22"/>
          <w:szCs w:val="22"/>
          <w:lang w:val="en-GB"/>
        </w:rPr>
        <w:t>Journal of Marketing</w:t>
      </w:r>
      <w:r w:rsidRPr="00AE7B34">
        <w:rPr>
          <w:rFonts w:ascii="Times New Roman" w:hAnsi="Times New Roman" w:cs="Times New Roman"/>
          <w:noProof/>
          <w:color w:val="000000" w:themeColor="text1"/>
          <w:sz w:val="22"/>
          <w:szCs w:val="22"/>
          <w:lang w:val="en-GB"/>
        </w:rPr>
        <w:t>, 80(6), pp. 69–96. doi: 10.1509/jm.15.0420.</w:t>
      </w:r>
    </w:p>
    <w:p w14:paraId="3F25571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Lindberg, L.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‘Early Impacts of the COVID-19 Pandemic: Findings from the 2020 Guttmacher Survey of Reproductive Health Experiences’, (June), pp. 1–14. Available at: www.guttmacher.org.</w:t>
      </w:r>
    </w:p>
    <w:p w14:paraId="168A2E33"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Maditinos, Z.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‘Sports events and the COVID-19 pandemic: assessing runners’ intentions for future participation in running events – evidence from Greece’, </w:t>
      </w:r>
      <w:r w:rsidRPr="00AE7B34">
        <w:rPr>
          <w:rFonts w:ascii="Times New Roman" w:hAnsi="Times New Roman" w:cs="Times New Roman"/>
          <w:i/>
          <w:iCs/>
          <w:noProof/>
          <w:color w:val="000000" w:themeColor="text1"/>
          <w:sz w:val="22"/>
          <w:szCs w:val="22"/>
          <w:lang w:val="en-GB"/>
        </w:rPr>
        <w:t>Tourism Recreation Research</w:t>
      </w:r>
      <w:r w:rsidRPr="00AE7B34">
        <w:rPr>
          <w:rFonts w:ascii="Times New Roman" w:hAnsi="Times New Roman" w:cs="Times New Roman"/>
          <w:noProof/>
          <w:color w:val="000000" w:themeColor="text1"/>
          <w:sz w:val="22"/>
          <w:szCs w:val="22"/>
          <w:lang w:val="en-GB"/>
        </w:rPr>
        <w:t>, pp. 1–12. doi: 10.1080/02508281.2020.1847422.</w:t>
      </w:r>
    </w:p>
    <w:p w14:paraId="4E1B1A24"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Mangold, W. G. and Faulds, D. J. (2009) ‘Social media: The new hybrid element of the promotion mix’, </w:t>
      </w:r>
      <w:r w:rsidRPr="00AE7B34">
        <w:rPr>
          <w:rFonts w:ascii="Times New Roman" w:hAnsi="Times New Roman" w:cs="Times New Roman"/>
          <w:i/>
          <w:iCs/>
          <w:noProof/>
          <w:color w:val="000000" w:themeColor="text1"/>
          <w:sz w:val="22"/>
          <w:szCs w:val="22"/>
          <w:lang w:val="en-GB"/>
        </w:rPr>
        <w:t>Business Horizons</w:t>
      </w:r>
      <w:r w:rsidRPr="00AE7B34">
        <w:rPr>
          <w:rFonts w:ascii="Times New Roman" w:hAnsi="Times New Roman" w:cs="Times New Roman"/>
          <w:noProof/>
          <w:color w:val="000000" w:themeColor="text1"/>
          <w:sz w:val="22"/>
          <w:szCs w:val="22"/>
          <w:lang w:val="en-GB"/>
        </w:rPr>
        <w:t>, 52, pp. 357–365. doi: 10.1016/j.bushor.2009.03.002.</w:t>
      </w:r>
    </w:p>
    <w:p w14:paraId="00C6B91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McKinsey &amp; Company Home ,</w:t>
      </w:r>
      <w:r w:rsidRPr="00AE7B34">
        <w:rPr>
          <w:rFonts w:ascii="Times New Roman" w:hAnsi="Times New Roman" w:cs="Times New Roman"/>
          <w:i/>
          <w:iCs/>
          <w:noProof/>
          <w:color w:val="000000" w:themeColor="text1"/>
          <w:sz w:val="22"/>
          <w:szCs w:val="22"/>
          <w:lang w:val="en-GB"/>
        </w:rPr>
        <w:t xml:space="preserve"> COVID-19: Implications for business October 13, 2021 | Executive Briefing</w:t>
      </w:r>
      <w:r w:rsidRPr="00AE7B34">
        <w:rPr>
          <w:rFonts w:ascii="Times New Roman" w:hAnsi="Times New Roman" w:cs="Times New Roman"/>
          <w:noProof/>
          <w:color w:val="000000" w:themeColor="text1"/>
          <w:sz w:val="22"/>
          <w:szCs w:val="22"/>
          <w:lang w:val="en-GB"/>
        </w:rPr>
        <w:t xml:space="preserve">, </w:t>
      </w:r>
      <w:hyperlink r:id="rId15" w:history="1">
        <w:r w:rsidRPr="00AE7B34">
          <w:rPr>
            <w:rStyle w:val="Hyperlink"/>
            <w:rFonts w:ascii="Times New Roman" w:hAnsi="Times New Roman" w:cs="Times New Roman"/>
            <w:noProof/>
            <w:color w:val="000000" w:themeColor="text1"/>
            <w:sz w:val="22"/>
            <w:szCs w:val="22"/>
            <w:lang w:val="en-GB"/>
          </w:rPr>
          <w:t>https://www.mckinsey.com/business-functions/risk-and-resilience/our-insights/covid-19-implications-for-business</w:t>
        </w:r>
      </w:hyperlink>
      <w:r w:rsidRPr="00AE7B34">
        <w:rPr>
          <w:rFonts w:ascii="Times New Roman" w:hAnsi="Times New Roman" w:cs="Times New Roman"/>
          <w:noProof/>
          <w:color w:val="000000" w:themeColor="text1"/>
          <w:sz w:val="22"/>
          <w:szCs w:val="22"/>
          <w:lang w:val="en-GB"/>
        </w:rPr>
        <w:t xml:space="preserve"> , accessed  13/05/2021  </w:t>
      </w:r>
    </w:p>
    <w:p w14:paraId="62B74AF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Mehta, S., Saxena, T. and Purohit, N. (2020) ‘The New Consumer Behaviour Paradigm amid COVID-19: Permanent or Transient?’, </w:t>
      </w:r>
      <w:r w:rsidRPr="00AE7B34">
        <w:rPr>
          <w:rFonts w:ascii="Times New Roman" w:hAnsi="Times New Roman" w:cs="Times New Roman"/>
          <w:i/>
          <w:iCs/>
          <w:noProof/>
          <w:color w:val="000000" w:themeColor="text1"/>
          <w:sz w:val="22"/>
          <w:szCs w:val="22"/>
          <w:lang w:val="en-GB"/>
        </w:rPr>
        <w:t>Journal of Health Management</w:t>
      </w:r>
      <w:r w:rsidRPr="00AE7B34">
        <w:rPr>
          <w:rFonts w:ascii="Times New Roman" w:hAnsi="Times New Roman" w:cs="Times New Roman"/>
          <w:noProof/>
          <w:color w:val="000000" w:themeColor="text1"/>
          <w:sz w:val="22"/>
          <w:szCs w:val="22"/>
          <w:lang w:val="en-GB"/>
        </w:rPr>
        <w:t>, 22(2), pp. 291–301. doi: 10.1177/0972063420940834.</w:t>
      </w:r>
    </w:p>
    <w:p w14:paraId="2CC30A78"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Nah, S. and Saxton, G. D. (2012) ‘Modeling the adoption and use of social media by nonprofit organizations’, </w:t>
      </w:r>
      <w:r w:rsidRPr="00AE7B34">
        <w:rPr>
          <w:rFonts w:ascii="Times New Roman" w:hAnsi="Times New Roman" w:cs="Times New Roman"/>
          <w:i/>
          <w:iCs/>
          <w:noProof/>
          <w:color w:val="000000" w:themeColor="text1"/>
          <w:sz w:val="22"/>
          <w:szCs w:val="22"/>
          <w:lang w:val="en-GB"/>
        </w:rPr>
        <w:t>New Media &amp; Society</w:t>
      </w:r>
      <w:r w:rsidRPr="00AE7B34">
        <w:rPr>
          <w:rFonts w:ascii="Times New Roman" w:hAnsi="Times New Roman" w:cs="Times New Roman"/>
          <w:noProof/>
          <w:color w:val="000000" w:themeColor="text1"/>
          <w:sz w:val="22"/>
          <w:szCs w:val="22"/>
          <w:lang w:val="en-GB"/>
        </w:rPr>
        <w:t>, 15(2), pp. 294–313. doi: 10.1177/1461444812452411.</w:t>
      </w:r>
    </w:p>
    <w:p w14:paraId="2F46E05A" w14:textId="15FEF690" w:rsidR="00C361F2" w:rsidRPr="00AE7B34" w:rsidRDefault="00353D50" w:rsidP="00C361F2">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Nair, M. (2011) ‘Understanding and Measuring the Value of Social Media’,</w:t>
      </w:r>
      <w:r w:rsidR="00C361F2" w:rsidRPr="00AE7B34">
        <w:rPr>
          <w:rFonts w:ascii="Times New Roman" w:hAnsi="Times New Roman" w:cs="Times New Roman"/>
          <w:noProof/>
          <w:color w:val="000000" w:themeColor="text1"/>
          <w:sz w:val="22"/>
          <w:szCs w:val="22"/>
          <w:lang w:val="en-GB"/>
        </w:rPr>
        <w:t xml:space="preserve"> </w:t>
      </w:r>
      <w:r w:rsidR="00C361F2" w:rsidRPr="00AE7B34">
        <w:rPr>
          <w:rFonts w:ascii="Times New Roman" w:hAnsi="Times New Roman" w:cs="Times New Roman"/>
          <w:i/>
          <w:iCs/>
          <w:noProof/>
          <w:color w:val="000000" w:themeColor="text1"/>
          <w:sz w:val="22"/>
          <w:szCs w:val="22"/>
          <w:lang w:val="en-GB"/>
        </w:rPr>
        <w:t>Journal of Corporate Accounting &amp; Finance 22(3):45 - 5</w:t>
      </w:r>
      <w:r w:rsidR="00C361F2" w:rsidRPr="00AE7B34">
        <w:rPr>
          <w:rFonts w:ascii="Times New Roman" w:hAnsi="Times New Roman" w:cs="Times New Roman"/>
          <w:noProof/>
          <w:color w:val="000000" w:themeColor="text1"/>
          <w:sz w:val="22"/>
          <w:szCs w:val="22"/>
          <w:lang w:val="en-GB"/>
        </w:rPr>
        <w:t>1,</w:t>
      </w:r>
      <w:r w:rsidRPr="00AE7B34">
        <w:rPr>
          <w:rFonts w:ascii="Times New Roman" w:hAnsi="Times New Roman" w:cs="Times New Roman"/>
          <w:noProof/>
          <w:color w:val="000000" w:themeColor="text1"/>
          <w:sz w:val="22"/>
          <w:szCs w:val="22"/>
          <w:lang w:val="en-GB"/>
        </w:rPr>
        <w:t xml:space="preserve"> pp. 45–51. doi: 10.1002/jcaf.</w:t>
      </w:r>
      <w:r w:rsidR="00C361F2" w:rsidRPr="00AE7B34">
        <w:rPr>
          <w:rFonts w:ascii="Times New Roman" w:hAnsi="Times New Roman" w:cs="Times New Roman"/>
          <w:noProof/>
          <w:color w:val="000000" w:themeColor="text1"/>
          <w:sz w:val="22"/>
          <w:szCs w:val="22"/>
          <w:lang w:val="en-GB"/>
        </w:rPr>
        <w:t xml:space="preserve"> </w:t>
      </w:r>
    </w:p>
    <w:p w14:paraId="22CCCAFD"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NEMO (2020) ‘Survey on the impact of the COVID-19 situation on museums in Europe’, p. 21. Available at: https://www.ne-mo.org/fileadmin/Dateien/public/NEMO_documents/NEMO_COVID19_Report_12.05.2020.pdf.</w:t>
      </w:r>
    </w:p>
    <w:p w14:paraId="259418A3"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Network of European Museum Organisations (2020a) </w:t>
      </w:r>
      <w:r w:rsidRPr="00AE7B34">
        <w:rPr>
          <w:rFonts w:ascii="Times New Roman" w:hAnsi="Times New Roman" w:cs="Times New Roman"/>
          <w:i/>
          <w:iCs/>
          <w:noProof/>
          <w:color w:val="000000" w:themeColor="text1"/>
          <w:sz w:val="22"/>
          <w:szCs w:val="22"/>
          <w:lang w:val="en-GB"/>
        </w:rPr>
        <w:t>Survey on the impact of the COVID-19 situation on museums in Europe Findings and Recommendations</w:t>
      </w:r>
      <w:r w:rsidRPr="00AE7B34">
        <w:rPr>
          <w:rFonts w:ascii="Times New Roman" w:hAnsi="Times New Roman" w:cs="Times New Roman"/>
          <w:noProof/>
          <w:color w:val="000000" w:themeColor="text1"/>
          <w:sz w:val="22"/>
          <w:szCs w:val="22"/>
          <w:lang w:val="en-GB"/>
        </w:rPr>
        <w:t>. Available at: https://www.ne-mo.org/news/article/nemo/nemo-report-on-the-impact-of-covid-19-on-museums-in-europe.html?fbclid=IwAR0KZANwU6HVAwEXJSNyyGEhP88TxcLIVSCRjpoeELAZXHlotkA11qmeIHw.</w:t>
      </w:r>
    </w:p>
    <w:p w14:paraId="3D81FF0E"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Network of European Museum Organisations (2020b) ‘Survey on the impact of the COVID-19 situation on museums in Europe Findings and Recommendations’, (May), pp. 1–21. Available at: https://www.ne-mo.org/news/article/nemo/nemo-report-on-the-impact-of-covid-19-on-museums-in-europe.html?fbclid=IwAR0KZANwU6HVAwEXJSNyyGEhP88TxcLIVSCRjpoeELAZXHlotkA11qmeIHw.</w:t>
      </w:r>
    </w:p>
    <w:p w14:paraId="3F228DC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Ou, J. (2020) ‘China Science and Technology Museum boosting fight against COVID-19’, </w:t>
      </w:r>
      <w:r w:rsidRPr="00AE7B34">
        <w:rPr>
          <w:rFonts w:ascii="Times New Roman" w:hAnsi="Times New Roman" w:cs="Times New Roman"/>
          <w:i/>
          <w:iCs/>
          <w:noProof/>
          <w:color w:val="000000" w:themeColor="text1"/>
          <w:sz w:val="22"/>
          <w:szCs w:val="22"/>
          <w:lang w:val="en-GB"/>
        </w:rPr>
        <w:t>Museum Management and Curatorship</w:t>
      </w:r>
      <w:r w:rsidRPr="00AE7B34">
        <w:rPr>
          <w:rFonts w:ascii="Times New Roman" w:hAnsi="Times New Roman" w:cs="Times New Roman"/>
          <w:noProof/>
          <w:color w:val="000000" w:themeColor="text1"/>
          <w:sz w:val="22"/>
          <w:szCs w:val="22"/>
          <w:lang w:val="en-GB"/>
        </w:rPr>
        <w:t>. Taylor &amp; Francis, 35(3), pp. 227–232. doi: 10.1080/09647775.2020.1762361.</w:t>
      </w:r>
    </w:p>
    <w:p w14:paraId="2BA524DE"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Practice, C. (2020) </w:t>
      </w:r>
      <w:r w:rsidRPr="00AE7B34">
        <w:rPr>
          <w:rFonts w:ascii="Times New Roman" w:hAnsi="Times New Roman" w:cs="Times New Roman"/>
          <w:i/>
          <w:iCs/>
          <w:noProof/>
          <w:color w:val="000000" w:themeColor="text1"/>
          <w:sz w:val="22"/>
          <w:szCs w:val="22"/>
          <w:lang w:val="en-GB"/>
        </w:rPr>
        <w:t>Digital Engagement Strategies in Cultural Sector During COVID-19 June 2020 Design &amp; Creative Practice</w:t>
      </w:r>
      <w:r w:rsidRPr="00AE7B34">
        <w:rPr>
          <w:rFonts w:ascii="Times New Roman" w:hAnsi="Times New Roman" w:cs="Times New Roman"/>
          <w:noProof/>
          <w:color w:val="000000" w:themeColor="text1"/>
          <w:sz w:val="22"/>
          <w:szCs w:val="22"/>
          <w:lang w:val="en-GB"/>
        </w:rPr>
        <w:t>.</w:t>
      </w:r>
    </w:p>
    <w:p w14:paraId="798426DF"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Raimo, N.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(2021) ‘Digitalization in the cultural industry: evidence from Italian museums’, </w:t>
      </w:r>
      <w:r w:rsidRPr="00AE7B34">
        <w:rPr>
          <w:rFonts w:ascii="Times New Roman" w:hAnsi="Times New Roman" w:cs="Times New Roman"/>
          <w:i/>
          <w:iCs/>
          <w:noProof/>
          <w:color w:val="000000" w:themeColor="text1"/>
          <w:sz w:val="22"/>
          <w:szCs w:val="22"/>
          <w:lang w:val="en-GB"/>
        </w:rPr>
        <w:t>International Journal of Entrepreneurial Behavior &amp; Research</w:t>
      </w:r>
      <w:r w:rsidRPr="00AE7B34">
        <w:rPr>
          <w:rFonts w:ascii="Times New Roman" w:hAnsi="Times New Roman" w:cs="Times New Roman"/>
          <w:noProof/>
          <w:color w:val="000000" w:themeColor="text1"/>
          <w:sz w:val="22"/>
          <w:szCs w:val="22"/>
          <w:lang w:val="en-GB"/>
        </w:rPr>
        <w:t>, ahead-of-p(ahead-of-print). doi: 10.1108/ijebr-01-2021-0082.</w:t>
      </w:r>
    </w:p>
    <w:p w14:paraId="5DD42B2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Russo, A., Watkins, J. and Groundwater‐Smith, S. (2009) ‘The impact of social media on informal learning in museums’, </w:t>
      </w:r>
      <w:r w:rsidRPr="00AE7B34">
        <w:rPr>
          <w:rFonts w:ascii="Times New Roman" w:hAnsi="Times New Roman" w:cs="Times New Roman"/>
          <w:i/>
          <w:iCs/>
          <w:noProof/>
          <w:color w:val="000000" w:themeColor="text1"/>
          <w:sz w:val="22"/>
          <w:szCs w:val="22"/>
          <w:lang w:val="en-GB"/>
        </w:rPr>
        <w:t>Educational Media International</w:t>
      </w:r>
      <w:r w:rsidRPr="00AE7B34">
        <w:rPr>
          <w:rFonts w:ascii="Times New Roman" w:hAnsi="Times New Roman" w:cs="Times New Roman"/>
          <w:noProof/>
          <w:color w:val="000000" w:themeColor="text1"/>
          <w:sz w:val="22"/>
          <w:szCs w:val="22"/>
          <w:lang w:val="en-GB"/>
        </w:rPr>
        <w:t>, pp. 153–166. doi: 10.1080/09523980902933532.</w:t>
      </w:r>
    </w:p>
    <w:p w14:paraId="2F875D0B"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Sheth, J. (2020) ‘Impact of Covid-19 on consumer behavior: Will the old habits return or die?’,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Elsevier, 117, pp. 280–283. doi: 10.1016/j.jbusres.2020.05.059.</w:t>
      </w:r>
    </w:p>
    <w:p w14:paraId="7709307B"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Sigala, M. (2020) ‘Tourism and COVID-19: Impacts and implications for advancing and resetting industry and research’,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Elsevier, 117(June), pp. 312–321. doi: 10.1016/j.jbusres.2020.06.015.</w:t>
      </w:r>
    </w:p>
    <w:p w14:paraId="3695D57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lastRenderedPageBreak/>
        <w:t xml:space="preserve">Snyder, H. (2019) ‘Literature review as a research methodology: An overview and guidelines’,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Elsevier, 104(July), pp. 333–339. doi: 10.1016/j.jbusres.2019.07.039.</w:t>
      </w:r>
    </w:p>
    <w:p w14:paraId="2D2A4C82"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Srinivasan, R.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(2009) ‘Critical and reflective uses of new media technologies in tribal museums’, </w:t>
      </w:r>
      <w:r w:rsidRPr="00AE7B34">
        <w:rPr>
          <w:rFonts w:ascii="Times New Roman" w:hAnsi="Times New Roman" w:cs="Times New Roman"/>
          <w:i/>
          <w:iCs/>
          <w:noProof/>
          <w:color w:val="000000" w:themeColor="text1"/>
          <w:sz w:val="22"/>
          <w:szCs w:val="22"/>
          <w:lang w:val="en-GB"/>
        </w:rPr>
        <w:t>Museum Management and Curatorship</w:t>
      </w:r>
      <w:r w:rsidRPr="00AE7B34">
        <w:rPr>
          <w:rFonts w:ascii="Times New Roman" w:hAnsi="Times New Roman" w:cs="Times New Roman"/>
          <w:noProof/>
          <w:color w:val="000000" w:themeColor="text1"/>
          <w:sz w:val="22"/>
          <w:szCs w:val="22"/>
          <w:lang w:val="en-GB"/>
        </w:rPr>
        <w:t>, pp. 161–181. doi: 10.1080/09647770902857901.</w:t>
      </w:r>
    </w:p>
    <w:p w14:paraId="4AC5E5C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Stylos, N., Zwiegelaar, J. and Buhalis, D. (2021) ‘Big data empowered agility for dynamic, volatile, and time-sensitive service industries: the case of tourism sector’, </w:t>
      </w:r>
      <w:r w:rsidRPr="00AE7B34">
        <w:rPr>
          <w:rFonts w:ascii="Times New Roman" w:hAnsi="Times New Roman" w:cs="Times New Roman"/>
          <w:i/>
          <w:iCs/>
          <w:noProof/>
          <w:color w:val="000000" w:themeColor="text1"/>
          <w:sz w:val="22"/>
          <w:szCs w:val="22"/>
          <w:lang w:val="en-GB"/>
        </w:rPr>
        <w:t>International Journal of Contemporary Hospitality Management</w:t>
      </w:r>
      <w:r w:rsidRPr="00AE7B34">
        <w:rPr>
          <w:rFonts w:ascii="Times New Roman" w:hAnsi="Times New Roman" w:cs="Times New Roman"/>
          <w:noProof/>
          <w:color w:val="000000" w:themeColor="text1"/>
          <w:sz w:val="22"/>
          <w:szCs w:val="22"/>
          <w:lang w:val="en-GB"/>
        </w:rPr>
        <w:t>, 33(3), pp. 1015–1036. doi: 10.1108/IJCHM-07-2020-0644.</w:t>
      </w:r>
    </w:p>
    <w:p w14:paraId="250BDE61"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Vassiliadis, C. and Belenioti, Z. C. (2017) ‘Museums &amp; Cultural Heritage Via Social Media: An Integrated Literature Review’, </w:t>
      </w:r>
      <w:r w:rsidRPr="00AE7B34">
        <w:rPr>
          <w:rFonts w:ascii="Times New Roman" w:hAnsi="Times New Roman" w:cs="Times New Roman"/>
          <w:i/>
          <w:iCs/>
          <w:noProof/>
          <w:color w:val="000000" w:themeColor="text1"/>
          <w:sz w:val="22"/>
          <w:szCs w:val="22"/>
          <w:lang w:val="en-GB"/>
        </w:rPr>
        <w:t>Tourismos: An international multidisciplinary Journal for Tourism, Special Issue 2017</w:t>
      </w:r>
      <w:r w:rsidRPr="00AE7B34">
        <w:rPr>
          <w:rFonts w:ascii="Times New Roman" w:hAnsi="Times New Roman" w:cs="Times New Roman"/>
          <w:noProof/>
          <w:color w:val="000000" w:themeColor="text1"/>
          <w:sz w:val="22"/>
          <w:szCs w:val="22"/>
          <w:lang w:val="en-GB"/>
        </w:rPr>
        <w:t>, 12(3), pp. 97–132. Available at: http://www.chios.aegean.gr/tourism/vol12no3.html.</w:t>
      </w:r>
    </w:p>
    <w:p w14:paraId="535EEABB"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Vassiliadis, C. A., and Fotiadis, A. (2016). Managing Sport Tourism Experiences: Blueprinting Service Encounters. In </w:t>
      </w:r>
      <w:r w:rsidRPr="00AE7B34">
        <w:rPr>
          <w:rFonts w:ascii="Times New Roman" w:hAnsi="Times New Roman" w:cs="Times New Roman"/>
          <w:i/>
          <w:iCs/>
          <w:noProof/>
          <w:color w:val="000000" w:themeColor="text1"/>
          <w:sz w:val="22"/>
          <w:szCs w:val="22"/>
          <w:lang w:val="en-GB"/>
        </w:rPr>
        <w:t>The Handbook of Managing and Marketing Tourism Experiences</w:t>
      </w:r>
      <w:r w:rsidRPr="00AE7B34">
        <w:rPr>
          <w:rFonts w:ascii="Times New Roman" w:hAnsi="Times New Roman" w:cs="Times New Roman"/>
          <w:noProof/>
          <w:color w:val="000000" w:themeColor="text1"/>
          <w:sz w:val="22"/>
          <w:szCs w:val="22"/>
          <w:lang w:val="en-GB"/>
        </w:rPr>
        <w:t> (pp. 195.215): Emerald Group Publishing Limited.</w:t>
      </w:r>
    </w:p>
    <w:p w14:paraId="7B5FEA5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Vassiliadis, C. A., Mombeuil, C., and Fotiadis, A. K. (2021). Identifying service product features associated with visitor satisfaction and revisit intention: A focus on sports events. </w:t>
      </w:r>
      <w:r w:rsidRPr="00AE7B34">
        <w:rPr>
          <w:rFonts w:ascii="Times New Roman" w:hAnsi="Times New Roman" w:cs="Times New Roman"/>
          <w:i/>
          <w:iCs/>
          <w:noProof/>
          <w:color w:val="000000" w:themeColor="text1"/>
          <w:sz w:val="22"/>
          <w:szCs w:val="22"/>
          <w:lang w:val="en-GB"/>
        </w:rPr>
        <w:t>Journal of Destination Marketing &amp; Management, 19</w:t>
      </w:r>
      <w:r w:rsidRPr="00AE7B34">
        <w:rPr>
          <w:rFonts w:ascii="Times New Roman" w:hAnsi="Times New Roman" w:cs="Times New Roman"/>
          <w:noProof/>
          <w:color w:val="000000" w:themeColor="text1"/>
          <w:sz w:val="22"/>
          <w:szCs w:val="22"/>
          <w:lang w:val="en-GB"/>
        </w:rPr>
        <w:t>, 100558. doi:</w:t>
      </w:r>
      <w:hyperlink r:id="rId16" w:history="1">
        <w:r w:rsidRPr="00AE7B34">
          <w:rPr>
            <w:rStyle w:val="Hyperlink"/>
            <w:rFonts w:ascii="Times New Roman" w:hAnsi="Times New Roman" w:cs="Times New Roman"/>
            <w:noProof/>
            <w:color w:val="000000" w:themeColor="text1"/>
            <w:sz w:val="22"/>
            <w:szCs w:val="22"/>
            <w:lang w:val="en-GB"/>
          </w:rPr>
          <w:t>https://doi.org/10.1016/j.jdmm.2021.100558</w:t>
        </w:r>
      </w:hyperlink>
    </w:p>
    <w:p w14:paraId="29ACEBDC"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Vassiliadis, C., &amp; Fotiadis, T. (2008). Multiple Museum Construct Motivators: A multivariable analysis with repertory grid analysis (RGA) approach. </w:t>
      </w:r>
      <w:r w:rsidRPr="00AE7B34">
        <w:rPr>
          <w:rFonts w:ascii="Times New Roman" w:hAnsi="Times New Roman" w:cs="Times New Roman"/>
          <w:i/>
          <w:iCs/>
          <w:noProof/>
          <w:color w:val="000000" w:themeColor="text1"/>
          <w:sz w:val="22"/>
          <w:szCs w:val="22"/>
          <w:lang w:val="en-GB"/>
        </w:rPr>
        <w:t>TOURISMOS: AN INTERNATIONAL MULTIDISCIPLINARY JOURNAL OF TOURISM, 3</w:t>
      </w:r>
      <w:r w:rsidRPr="00AE7B34">
        <w:rPr>
          <w:rFonts w:ascii="Times New Roman" w:hAnsi="Times New Roman" w:cs="Times New Roman"/>
          <w:noProof/>
          <w:color w:val="000000" w:themeColor="text1"/>
          <w:sz w:val="22"/>
          <w:szCs w:val="22"/>
          <w:lang w:val="en-GB"/>
        </w:rPr>
        <w:t>(1), 12.35.</w:t>
      </w:r>
    </w:p>
    <w:p w14:paraId="69E126DE"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Wang, Y.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(2020) ‘Marketing innovations during a global crisis: A study of China firms’ response to COVID-19’, </w:t>
      </w:r>
      <w:r w:rsidRPr="00AE7B34">
        <w:rPr>
          <w:rFonts w:ascii="Times New Roman" w:hAnsi="Times New Roman" w:cs="Times New Roman"/>
          <w:i/>
          <w:iCs/>
          <w:noProof/>
          <w:color w:val="000000" w:themeColor="text1"/>
          <w:sz w:val="22"/>
          <w:szCs w:val="22"/>
          <w:lang w:val="en-GB"/>
        </w:rPr>
        <w:t>Journal of Business Research</w:t>
      </w:r>
      <w:r w:rsidRPr="00AE7B34">
        <w:rPr>
          <w:rFonts w:ascii="Times New Roman" w:hAnsi="Times New Roman" w:cs="Times New Roman"/>
          <w:noProof/>
          <w:color w:val="000000" w:themeColor="text1"/>
          <w:sz w:val="22"/>
          <w:szCs w:val="22"/>
          <w:lang w:val="en-GB"/>
        </w:rPr>
        <w:t>. Elsevier, 116(May), pp. 214–220. doi: 10.1016/j.jbusres.2020.05.029.</w:t>
      </w:r>
    </w:p>
    <w:p w14:paraId="7D9D0B94"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Waters, R. (2010) ‘The use of social media by nonprofit organizations: An examination from the diffusion of innovations perspective’, in </w:t>
      </w:r>
      <w:r w:rsidRPr="00AE7B34">
        <w:rPr>
          <w:rFonts w:ascii="Times New Roman" w:hAnsi="Times New Roman" w:cs="Times New Roman"/>
          <w:i/>
          <w:iCs/>
          <w:noProof/>
          <w:color w:val="000000" w:themeColor="text1"/>
          <w:sz w:val="22"/>
          <w:szCs w:val="22"/>
          <w:lang w:val="en-GB"/>
        </w:rPr>
        <w:t>Handbook of research on social interaction technologies and collaboration software: Concepts and trends.</w:t>
      </w:r>
      <w:r w:rsidRPr="00AE7B34">
        <w:rPr>
          <w:rFonts w:ascii="Times New Roman" w:hAnsi="Times New Roman" w:cs="Times New Roman"/>
          <w:noProof/>
          <w:color w:val="000000" w:themeColor="text1"/>
          <w:sz w:val="22"/>
          <w:szCs w:val="22"/>
          <w:lang w:val="en-GB"/>
        </w:rPr>
        <w:t>, pp. 1420–1422. doi: 10.4018/978-1-60566-368-5.ch042.</w:t>
      </w:r>
    </w:p>
    <w:p w14:paraId="0CD2336A"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Waters, R. D. </w:t>
      </w:r>
      <w:r w:rsidRPr="00AE7B34">
        <w:rPr>
          <w:rFonts w:ascii="Times New Roman" w:hAnsi="Times New Roman" w:cs="Times New Roman"/>
          <w:i/>
          <w:iCs/>
          <w:noProof/>
          <w:color w:val="000000" w:themeColor="text1"/>
          <w:sz w:val="22"/>
          <w:szCs w:val="22"/>
          <w:lang w:val="en-GB"/>
        </w:rPr>
        <w:t>et al.</w:t>
      </w:r>
      <w:r w:rsidRPr="00AE7B34">
        <w:rPr>
          <w:rFonts w:ascii="Times New Roman" w:hAnsi="Times New Roman" w:cs="Times New Roman"/>
          <w:noProof/>
          <w:color w:val="000000" w:themeColor="text1"/>
          <w:sz w:val="22"/>
          <w:szCs w:val="22"/>
          <w:lang w:val="en-GB"/>
        </w:rPr>
        <w:t xml:space="preserve"> (2009) ‘Engaging stakeholders through social networking: How nonprofit organizations are using Facebook’, </w:t>
      </w:r>
      <w:r w:rsidRPr="00AE7B34">
        <w:rPr>
          <w:rFonts w:ascii="Times New Roman" w:hAnsi="Times New Roman" w:cs="Times New Roman"/>
          <w:i/>
          <w:iCs/>
          <w:noProof/>
          <w:color w:val="000000" w:themeColor="text1"/>
          <w:sz w:val="22"/>
          <w:szCs w:val="22"/>
          <w:lang w:val="en-GB"/>
        </w:rPr>
        <w:t>Public Relations Review</w:t>
      </w:r>
      <w:r w:rsidRPr="00AE7B34">
        <w:rPr>
          <w:rFonts w:ascii="Times New Roman" w:hAnsi="Times New Roman" w:cs="Times New Roman"/>
          <w:noProof/>
          <w:color w:val="000000" w:themeColor="text1"/>
          <w:sz w:val="22"/>
          <w:szCs w:val="22"/>
          <w:lang w:val="en-GB"/>
        </w:rPr>
        <w:t>, 35(2), pp. 102–106. doi: 10.1016/j.pubrev.2009.01.006.</w:t>
      </w:r>
    </w:p>
    <w:p w14:paraId="770B2CB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Waters, R. D. and Jamal, J. Y. (2011) ‘Tweet, tweet, tweet: A content analysis of nonprofit organizations’ Twitter updates’, </w:t>
      </w:r>
      <w:r w:rsidRPr="00AE7B34">
        <w:rPr>
          <w:rFonts w:ascii="Times New Roman" w:hAnsi="Times New Roman" w:cs="Times New Roman"/>
          <w:i/>
          <w:iCs/>
          <w:noProof/>
          <w:color w:val="000000" w:themeColor="text1"/>
          <w:sz w:val="22"/>
          <w:szCs w:val="22"/>
          <w:lang w:val="en-GB"/>
        </w:rPr>
        <w:t>Public Relations Review</w:t>
      </w:r>
      <w:r w:rsidRPr="00AE7B34">
        <w:rPr>
          <w:rFonts w:ascii="Times New Roman" w:hAnsi="Times New Roman" w:cs="Times New Roman"/>
          <w:noProof/>
          <w:color w:val="000000" w:themeColor="text1"/>
          <w:sz w:val="22"/>
          <w:szCs w:val="22"/>
          <w:lang w:val="en-GB"/>
        </w:rPr>
        <w:t>, 37(3), pp. 321–324. doi: 10.1016/j.pubrev.2011.03.002.</w:t>
      </w:r>
    </w:p>
    <w:p w14:paraId="02BF6610"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GB"/>
        </w:rPr>
      </w:pPr>
      <w:r w:rsidRPr="00AE7B34">
        <w:rPr>
          <w:rFonts w:ascii="Times New Roman" w:hAnsi="Times New Roman" w:cs="Times New Roman"/>
          <w:noProof/>
          <w:color w:val="000000" w:themeColor="text1"/>
          <w:sz w:val="22"/>
          <w:szCs w:val="22"/>
          <w:lang w:val="en-GB"/>
        </w:rPr>
        <w:t xml:space="preserve">Waters, R. D. and Jones, P. M. (2011) ‘Using Video to Build an Organization’s Identity and Brand: A Content Analysis of Nonprofit Organizations’ YouTube Videos’, </w:t>
      </w:r>
      <w:r w:rsidRPr="00AE7B34">
        <w:rPr>
          <w:rFonts w:ascii="Times New Roman" w:hAnsi="Times New Roman" w:cs="Times New Roman"/>
          <w:i/>
          <w:iCs/>
          <w:noProof/>
          <w:color w:val="000000" w:themeColor="text1"/>
          <w:sz w:val="22"/>
          <w:szCs w:val="22"/>
          <w:lang w:val="en-GB"/>
        </w:rPr>
        <w:t>Journal of Nonprofit &amp; Public Sector Marketing</w:t>
      </w:r>
      <w:r w:rsidRPr="00AE7B34">
        <w:rPr>
          <w:rFonts w:ascii="Times New Roman" w:hAnsi="Times New Roman" w:cs="Times New Roman"/>
          <w:noProof/>
          <w:color w:val="000000" w:themeColor="text1"/>
          <w:sz w:val="22"/>
          <w:szCs w:val="22"/>
          <w:lang w:val="en-GB"/>
        </w:rPr>
        <w:t>, 23(3), pp. 248–268. doi: 10.1080/10495142.2011.594779.</w:t>
      </w:r>
    </w:p>
    <w:p w14:paraId="03BB37C7" w14:textId="77777777" w:rsidR="00353D50" w:rsidRPr="00AE7B34" w:rsidRDefault="00353D50" w:rsidP="0090554E">
      <w:pPr>
        <w:widowControl w:val="0"/>
        <w:autoSpaceDE w:val="0"/>
        <w:autoSpaceDN w:val="0"/>
        <w:adjustRightInd w:val="0"/>
        <w:ind w:left="142" w:firstLine="218"/>
        <w:jc w:val="both"/>
        <w:rPr>
          <w:rFonts w:ascii="Times New Roman" w:hAnsi="Times New Roman" w:cs="Times New Roman"/>
          <w:noProof/>
          <w:color w:val="000000" w:themeColor="text1"/>
          <w:sz w:val="22"/>
          <w:szCs w:val="22"/>
          <w:lang w:val="en-US"/>
        </w:rPr>
      </w:pPr>
      <w:r w:rsidRPr="00AE7B34">
        <w:rPr>
          <w:rFonts w:ascii="Times New Roman" w:hAnsi="Times New Roman" w:cs="Times New Roman"/>
          <w:noProof/>
          <w:color w:val="000000" w:themeColor="text1"/>
          <w:sz w:val="22"/>
          <w:szCs w:val="22"/>
          <w:lang w:val="en-GB"/>
        </w:rPr>
        <w:t xml:space="preserve">World Tourism Organization (UNWTO) (2020) ‘Covid - 19 related travel restrictions a global review for tourism’, </w:t>
      </w:r>
      <w:r w:rsidRPr="00AE7B34">
        <w:rPr>
          <w:rFonts w:ascii="Times New Roman" w:hAnsi="Times New Roman" w:cs="Times New Roman"/>
          <w:i/>
          <w:iCs/>
          <w:noProof/>
          <w:color w:val="000000" w:themeColor="text1"/>
          <w:sz w:val="22"/>
          <w:szCs w:val="22"/>
          <w:lang w:val="en-GB"/>
        </w:rPr>
        <w:t>World Tourism Organization</w:t>
      </w:r>
      <w:r w:rsidRPr="00AE7B34">
        <w:rPr>
          <w:rFonts w:ascii="Times New Roman" w:hAnsi="Times New Roman" w:cs="Times New Roman"/>
          <w:noProof/>
          <w:color w:val="000000" w:themeColor="text1"/>
          <w:sz w:val="22"/>
          <w:szCs w:val="22"/>
          <w:lang w:val="en-GB"/>
        </w:rPr>
        <w:t>, (April), pp. 1–11.</w:t>
      </w:r>
    </w:p>
    <w:p w14:paraId="0BAAC6DA" w14:textId="5785DA09" w:rsidR="004C266B" w:rsidRPr="00AE7B34" w:rsidRDefault="00353D50" w:rsidP="0090554E">
      <w:pPr>
        <w:pStyle w:val="ListParagraph"/>
        <w:widowControl w:val="0"/>
        <w:autoSpaceDE w:val="0"/>
        <w:autoSpaceDN w:val="0"/>
        <w:adjustRightInd w:val="0"/>
        <w:ind w:left="142" w:firstLine="218"/>
        <w:jc w:val="both"/>
        <w:rPr>
          <w:color w:val="000000" w:themeColor="text1"/>
          <w:sz w:val="22"/>
          <w:szCs w:val="22"/>
          <w:lang w:val="en-US"/>
        </w:rPr>
      </w:pPr>
      <w:r w:rsidRPr="00AE7B34">
        <w:rPr>
          <w:color w:val="000000" w:themeColor="text1"/>
          <w:sz w:val="22"/>
          <w:szCs w:val="22"/>
          <w:lang w:val="en-US"/>
        </w:rPr>
        <w:fldChar w:fldCharType="end"/>
      </w:r>
    </w:p>
    <w:sectPr w:rsidR="004C266B" w:rsidRPr="00AE7B34" w:rsidSect="00AB7F44">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A6A9" w14:textId="77777777" w:rsidR="00724999" w:rsidRDefault="00724999" w:rsidP="00B4617F">
      <w:r>
        <w:separator/>
      </w:r>
    </w:p>
  </w:endnote>
  <w:endnote w:type="continuationSeparator" w:id="0">
    <w:p w14:paraId="385488D1" w14:textId="77777777" w:rsidR="00724999" w:rsidRDefault="00724999" w:rsidP="00B4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pleSystemUIFon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A1"/>
    <w:family w:val="auto"/>
    <w:notTrueType/>
    <w:pitch w:val="default"/>
    <w:sig w:usb0="00000081" w:usb1="00000000" w:usb2="00000000" w:usb3="00000000" w:csb0="00000008" w:csb1="00000000"/>
  </w:font>
  <w:font w:name="HiraginoSans-W3">
    <w:altName w:val="Yu Gothic"/>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2478552"/>
      <w:docPartObj>
        <w:docPartGallery w:val="Page Numbers (Bottom of Page)"/>
        <w:docPartUnique/>
      </w:docPartObj>
    </w:sdtPr>
    <w:sdtContent>
      <w:p w14:paraId="4FADFBCB" w14:textId="2FC2B07B" w:rsidR="00057F7F" w:rsidRDefault="00057F7F" w:rsidP="00CB79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F84CFB" w14:textId="77777777" w:rsidR="00057F7F" w:rsidRDefault="00057F7F" w:rsidP="00057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7867306"/>
      <w:docPartObj>
        <w:docPartGallery w:val="Page Numbers (Bottom of Page)"/>
        <w:docPartUnique/>
      </w:docPartObj>
    </w:sdtPr>
    <w:sdtContent>
      <w:p w14:paraId="2F1B30BD" w14:textId="059C03FA" w:rsidR="00057F7F" w:rsidRDefault="00057F7F" w:rsidP="00CB79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24513F4" w14:textId="77777777" w:rsidR="00057F7F" w:rsidRDefault="00057F7F" w:rsidP="00057F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0DA3D" w14:textId="77777777" w:rsidR="00724999" w:rsidRDefault="00724999" w:rsidP="00B4617F">
      <w:r>
        <w:separator/>
      </w:r>
    </w:p>
  </w:footnote>
  <w:footnote w:type="continuationSeparator" w:id="0">
    <w:p w14:paraId="2C39EDA5" w14:textId="77777777" w:rsidR="00724999" w:rsidRDefault="00724999" w:rsidP="00B461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5D0909"/>
    <w:multiLevelType w:val="hybridMultilevel"/>
    <w:tmpl w:val="BDD2B53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BAB1933"/>
    <w:multiLevelType w:val="hybridMultilevel"/>
    <w:tmpl w:val="C674FD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FCC7D4A"/>
    <w:multiLevelType w:val="hybridMultilevel"/>
    <w:tmpl w:val="28FEEF68"/>
    <w:lvl w:ilvl="0" w:tplc="0EE4C6CC">
      <w:start w:val="5"/>
      <w:numFmt w:val="bullet"/>
      <w:lvlText w:val="-"/>
      <w:lvlJc w:val="left"/>
      <w:pPr>
        <w:ind w:left="720" w:hanging="360"/>
      </w:pPr>
      <w:rPr>
        <w:rFonts w:ascii="AppleSystemUIFont" w:eastAsiaTheme="minorHAnsi" w:hAnsi="AppleSystemUIFont" w:cs="AppleSystemUIFo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B57EBC"/>
    <w:multiLevelType w:val="hybridMultilevel"/>
    <w:tmpl w:val="188028E0"/>
    <w:lvl w:ilvl="0" w:tplc="0BA4DF0A">
      <w:start w:val="5510"/>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5706439"/>
    <w:multiLevelType w:val="hybridMultilevel"/>
    <w:tmpl w:val="7668F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BB25AF"/>
    <w:multiLevelType w:val="hybridMultilevel"/>
    <w:tmpl w:val="D188D098"/>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48256EF1"/>
    <w:multiLevelType w:val="hybridMultilevel"/>
    <w:tmpl w:val="86E209DA"/>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B981D8F"/>
    <w:multiLevelType w:val="hybridMultilevel"/>
    <w:tmpl w:val="4E5EEB1C"/>
    <w:lvl w:ilvl="0" w:tplc="45F2B1D4">
      <w:start w:val="1"/>
      <w:numFmt w:val="bullet"/>
      <w:lvlText w:val="ü"/>
      <w:lvlJc w:val="left"/>
      <w:pPr>
        <w:tabs>
          <w:tab w:val="num" w:pos="720"/>
        </w:tabs>
        <w:ind w:left="720" w:hanging="360"/>
      </w:pPr>
      <w:rPr>
        <w:rFonts w:ascii="Wingdings" w:hAnsi="Wingdings" w:hint="default"/>
      </w:rPr>
    </w:lvl>
    <w:lvl w:ilvl="1" w:tplc="9124A62E" w:tentative="1">
      <w:start w:val="1"/>
      <w:numFmt w:val="bullet"/>
      <w:lvlText w:val="ü"/>
      <w:lvlJc w:val="left"/>
      <w:pPr>
        <w:tabs>
          <w:tab w:val="num" w:pos="1440"/>
        </w:tabs>
        <w:ind w:left="1440" w:hanging="360"/>
      </w:pPr>
      <w:rPr>
        <w:rFonts w:ascii="Wingdings" w:hAnsi="Wingdings" w:hint="default"/>
      </w:rPr>
    </w:lvl>
    <w:lvl w:ilvl="2" w:tplc="C8527792" w:tentative="1">
      <w:start w:val="1"/>
      <w:numFmt w:val="bullet"/>
      <w:lvlText w:val="ü"/>
      <w:lvlJc w:val="left"/>
      <w:pPr>
        <w:tabs>
          <w:tab w:val="num" w:pos="2160"/>
        </w:tabs>
        <w:ind w:left="2160" w:hanging="360"/>
      </w:pPr>
      <w:rPr>
        <w:rFonts w:ascii="Wingdings" w:hAnsi="Wingdings" w:hint="default"/>
      </w:rPr>
    </w:lvl>
    <w:lvl w:ilvl="3" w:tplc="97621750" w:tentative="1">
      <w:start w:val="1"/>
      <w:numFmt w:val="bullet"/>
      <w:lvlText w:val="ü"/>
      <w:lvlJc w:val="left"/>
      <w:pPr>
        <w:tabs>
          <w:tab w:val="num" w:pos="2880"/>
        </w:tabs>
        <w:ind w:left="2880" w:hanging="360"/>
      </w:pPr>
      <w:rPr>
        <w:rFonts w:ascii="Wingdings" w:hAnsi="Wingdings" w:hint="default"/>
      </w:rPr>
    </w:lvl>
    <w:lvl w:ilvl="4" w:tplc="A4A4A854" w:tentative="1">
      <w:start w:val="1"/>
      <w:numFmt w:val="bullet"/>
      <w:lvlText w:val="ü"/>
      <w:lvlJc w:val="left"/>
      <w:pPr>
        <w:tabs>
          <w:tab w:val="num" w:pos="3600"/>
        </w:tabs>
        <w:ind w:left="3600" w:hanging="360"/>
      </w:pPr>
      <w:rPr>
        <w:rFonts w:ascii="Wingdings" w:hAnsi="Wingdings" w:hint="default"/>
      </w:rPr>
    </w:lvl>
    <w:lvl w:ilvl="5" w:tplc="2A8A6332" w:tentative="1">
      <w:start w:val="1"/>
      <w:numFmt w:val="bullet"/>
      <w:lvlText w:val="ü"/>
      <w:lvlJc w:val="left"/>
      <w:pPr>
        <w:tabs>
          <w:tab w:val="num" w:pos="4320"/>
        </w:tabs>
        <w:ind w:left="4320" w:hanging="360"/>
      </w:pPr>
      <w:rPr>
        <w:rFonts w:ascii="Wingdings" w:hAnsi="Wingdings" w:hint="default"/>
      </w:rPr>
    </w:lvl>
    <w:lvl w:ilvl="6" w:tplc="145C94A0" w:tentative="1">
      <w:start w:val="1"/>
      <w:numFmt w:val="bullet"/>
      <w:lvlText w:val="ü"/>
      <w:lvlJc w:val="left"/>
      <w:pPr>
        <w:tabs>
          <w:tab w:val="num" w:pos="5040"/>
        </w:tabs>
        <w:ind w:left="5040" w:hanging="360"/>
      </w:pPr>
      <w:rPr>
        <w:rFonts w:ascii="Wingdings" w:hAnsi="Wingdings" w:hint="default"/>
      </w:rPr>
    </w:lvl>
    <w:lvl w:ilvl="7" w:tplc="46A6BA34" w:tentative="1">
      <w:start w:val="1"/>
      <w:numFmt w:val="bullet"/>
      <w:lvlText w:val="ü"/>
      <w:lvlJc w:val="left"/>
      <w:pPr>
        <w:tabs>
          <w:tab w:val="num" w:pos="5760"/>
        </w:tabs>
        <w:ind w:left="5760" w:hanging="360"/>
      </w:pPr>
      <w:rPr>
        <w:rFonts w:ascii="Wingdings" w:hAnsi="Wingdings" w:hint="default"/>
      </w:rPr>
    </w:lvl>
    <w:lvl w:ilvl="8" w:tplc="F4F4DA62" w:tentative="1">
      <w:start w:val="1"/>
      <w:numFmt w:val="bullet"/>
      <w:lvlText w:val="ü"/>
      <w:lvlJc w:val="left"/>
      <w:pPr>
        <w:tabs>
          <w:tab w:val="num" w:pos="6480"/>
        </w:tabs>
        <w:ind w:left="6480" w:hanging="360"/>
      </w:pPr>
      <w:rPr>
        <w:rFonts w:ascii="Wingdings" w:hAnsi="Wingdings" w:hint="default"/>
      </w:rPr>
    </w:lvl>
  </w:abstractNum>
  <w:abstractNum w:abstractNumId="19" w15:restartNumberingAfterBreak="0">
    <w:nsid w:val="5D1066E8"/>
    <w:multiLevelType w:val="hybridMultilevel"/>
    <w:tmpl w:val="2E281778"/>
    <w:lvl w:ilvl="0" w:tplc="04080001">
      <w:start w:val="1"/>
      <w:numFmt w:val="bullet"/>
      <w:lvlText w:val=""/>
      <w:lvlJc w:val="left"/>
      <w:pPr>
        <w:ind w:left="720" w:hanging="360"/>
      </w:pPr>
      <w:rPr>
        <w:rFonts w:ascii="Symbol" w:hAnsi="Symbol" w:hint="default"/>
      </w:rPr>
    </w:lvl>
    <w:lvl w:ilvl="1" w:tplc="9124A62E" w:tentative="1">
      <w:start w:val="1"/>
      <w:numFmt w:val="bullet"/>
      <w:lvlText w:val="ü"/>
      <w:lvlJc w:val="left"/>
      <w:pPr>
        <w:tabs>
          <w:tab w:val="num" w:pos="1440"/>
        </w:tabs>
        <w:ind w:left="1440" w:hanging="360"/>
      </w:pPr>
      <w:rPr>
        <w:rFonts w:ascii="Wingdings" w:hAnsi="Wingdings" w:hint="default"/>
      </w:rPr>
    </w:lvl>
    <w:lvl w:ilvl="2" w:tplc="C8527792" w:tentative="1">
      <w:start w:val="1"/>
      <w:numFmt w:val="bullet"/>
      <w:lvlText w:val="ü"/>
      <w:lvlJc w:val="left"/>
      <w:pPr>
        <w:tabs>
          <w:tab w:val="num" w:pos="2160"/>
        </w:tabs>
        <w:ind w:left="2160" w:hanging="360"/>
      </w:pPr>
      <w:rPr>
        <w:rFonts w:ascii="Wingdings" w:hAnsi="Wingdings" w:hint="default"/>
      </w:rPr>
    </w:lvl>
    <w:lvl w:ilvl="3" w:tplc="97621750" w:tentative="1">
      <w:start w:val="1"/>
      <w:numFmt w:val="bullet"/>
      <w:lvlText w:val="ü"/>
      <w:lvlJc w:val="left"/>
      <w:pPr>
        <w:tabs>
          <w:tab w:val="num" w:pos="2880"/>
        </w:tabs>
        <w:ind w:left="2880" w:hanging="360"/>
      </w:pPr>
      <w:rPr>
        <w:rFonts w:ascii="Wingdings" w:hAnsi="Wingdings" w:hint="default"/>
      </w:rPr>
    </w:lvl>
    <w:lvl w:ilvl="4" w:tplc="A4A4A854" w:tentative="1">
      <w:start w:val="1"/>
      <w:numFmt w:val="bullet"/>
      <w:lvlText w:val="ü"/>
      <w:lvlJc w:val="left"/>
      <w:pPr>
        <w:tabs>
          <w:tab w:val="num" w:pos="3600"/>
        </w:tabs>
        <w:ind w:left="3600" w:hanging="360"/>
      </w:pPr>
      <w:rPr>
        <w:rFonts w:ascii="Wingdings" w:hAnsi="Wingdings" w:hint="default"/>
      </w:rPr>
    </w:lvl>
    <w:lvl w:ilvl="5" w:tplc="2A8A6332" w:tentative="1">
      <w:start w:val="1"/>
      <w:numFmt w:val="bullet"/>
      <w:lvlText w:val="ü"/>
      <w:lvlJc w:val="left"/>
      <w:pPr>
        <w:tabs>
          <w:tab w:val="num" w:pos="4320"/>
        </w:tabs>
        <w:ind w:left="4320" w:hanging="360"/>
      </w:pPr>
      <w:rPr>
        <w:rFonts w:ascii="Wingdings" w:hAnsi="Wingdings" w:hint="default"/>
      </w:rPr>
    </w:lvl>
    <w:lvl w:ilvl="6" w:tplc="145C94A0" w:tentative="1">
      <w:start w:val="1"/>
      <w:numFmt w:val="bullet"/>
      <w:lvlText w:val="ü"/>
      <w:lvlJc w:val="left"/>
      <w:pPr>
        <w:tabs>
          <w:tab w:val="num" w:pos="5040"/>
        </w:tabs>
        <w:ind w:left="5040" w:hanging="360"/>
      </w:pPr>
      <w:rPr>
        <w:rFonts w:ascii="Wingdings" w:hAnsi="Wingdings" w:hint="default"/>
      </w:rPr>
    </w:lvl>
    <w:lvl w:ilvl="7" w:tplc="46A6BA34" w:tentative="1">
      <w:start w:val="1"/>
      <w:numFmt w:val="bullet"/>
      <w:lvlText w:val="ü"/>
      <w:lvlJc w:val="left"/>
      <w:pPr>
        <w:tabs>
          <w:tab w:val="num" w:pos="5760"/>
        </w:tabs>
        <w:ind w:left="5760" w:hanging="360"/>
      </w:pPr>
      <w:rPr>
        <w:rFonts w:ascii="Wingdings" w:hAnsi="Wingdings" w:hint="default"/>
      </w:rPr>
    </w:lvl>
    <w:lvl w:ilvl="8" w:tplc="F4F4DA62" w:tentative="1">
      <w:start w:val="1"/>
      <w:numFmt w:val="bullet"/>
      <w:lvlText w:val="ü"/>
      <w:lvlJc w:val="left"/>
      <w:pPr>
        <w:tabs>
          <w:tab w:val="num" w:pos="6480"/>
        </w:tabs>
        <w:ind w:left="6480" w:hanging="360"/>
      </w:pPr>
      <w:rPr>
        <w:rFonts w:ascii="Wingdings" w:hAnsi="Wingdings" w:hint="default"/>
      </w:rPr>
    </w:lvl>
  </w:abstractNum>
  <w:abstractNum w:abstractNumId="20" w15:restartNumberingAfterBreak="0">
    <w:nsid w:val="6B8C2877"/>
    <w:multiLevelType w:val="hybridMultilevel"/>
    <w:tmpl w:val="2BC231F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73A83A4C"/>
    <w:multiLevelType w:val="hybridMultilevel"/>
    <w:tmpl w:val="D188D098"/>
    <w:lvl w:ilvl="0" w:tplc="0408000F">
      <w:start w:val="1"/>
      <w:numFmt w:val="decimal"/>
      <w:lvlText w:val="%1."/>
      <w:lvlJc w:val="left"/>
      <w:pPr>
        <w:ind w:left="36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44D0582"/>
    <w:multiLevelType w:val="hybridMultilevel"/>
    <w:tmpl w:val="18F27562"/>
    <w:lvl w:ilvl="0" w:tplc="E7E61814">
      <w:start w:val="3"/>
      <w:numFmt w:val="bullet"/>
      <w:lvlText w:val="-"/>
      <w:lvlJc w:val="left"/>
      <w:pPr>
        <w:ind w:left="720" w:hanging="360"/>
      </w:pPr>
      <w:rPr>
        <w:rFonts w:ascii="Calibri" w:eastAsiaTheme="minorHAnsi"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01437246">
    <w:abstractNumId w:val="22"/>
  </w:num>
  <w:num w:numId="2" w16cid:durableId="989485429">
    <w:abstractNumId w:val="20"/>
  </w:num>
  <w:num w:numId="3" w16cid:durableId="1824277434">
    <w:abstractNumId w:val="21"/>
  </w:num>
  <w:num w:numId="4" w16cid:durableId="2127850012">
    <w:abstractNumId w:val="17"/>
  </w:num>
  <w:num w:numId="5" w16cid:durableId="972634858">
    <w:abstractNumId w:val="18"/>
  </w:num>
  <w:num w:numId="6" w16cid:durableId="1983001448">
    <w:abstractNumId w:val="19"/>
  </w:num>
  <w:num w:numId="7" w16cid:durableId="1569270660">
    <w:abstractNumId w:val="16"/>
  </w:num>
  <w:num w:numId="8" w16cid:durableId="1602302632">
    <w:abstractNumId w:val="14"/>
  </w:num>
  <w:num w:numId="9" w16cid:durableId="964627511">
    <w:abstractNumId w:val="0"/>
  </w:num>
  <w:num w:numId="10" w16cid:durableId="99179413">
    <w:abstractNumId w:val="13"/>
  </w:num>
  <w:num w:numId="11" w16cid:durableId="1274284866">
    <w:abstractNumId w:val="1"/>
  </w:num>
  <w:num w:numId="12" w16cid:durableId="2125078091">
    <w:abstractNumId w:val="12"/>
  </w:num>
  <w:num w:numId="13" w16cid:durableId="568342457">
    <w:abstractNumId w:val="11"/>
  </w:num>
  <w:num w:numId="14" w16cid:durableId="671950848">
    <w:abstractNumId w:val="15"/>
  </w:num>
  <w:num w:numId="15" w16cid:durableId="1520124135">
    <w:abstractNumId w:val="2"/>
  </w:num>
  <w:num w:numId="16" w16cid:durableId="1611818206">
    <w:abstractNumId w:val="3"/>
  </w:num>
  <w:num w:numId="17" w16cid:durableId="180289914">
    <w:abstractNumId w:val="4"/>
  </w:num>
  <w:num w:numId="18" w16cid:durableId="875895762">
    <w:abstractNumId w:val="5"/>
  </w:num>
  <w:num w:numId="19" w16cid:durableId="1735662983">
    <w:abstractNumId w:val="6"/>
  </w:num>
  <w:num w:numId="20" w16cid:durableId="1795053829">
    <w:abstractNumId w:val="7"/>
  </w:num>
  <w:num w:numId="21" w16cid:durableId="1929003237">
    <w:abstractNumId w:val="8"/>
  </w:num>
  <w:num w:numId="22" w16cid:durableId="958150904">
    <w:abstractNumId w:val="9"/>
  </w:num>
  <w:num w:numId="23" w16cid:durableId="17902784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17F"/>
    <w:rsid w:val="00006850"/>
    <w:rsid w:val="00031CDC"/>
    <w:rsid w:val="00034821"/>
    <w:rsid w:val="00057F7F"/>
    <w:rsid w:val="0006448C"/>
    <w:rsid w:val="00072D6A"/>
    <w:rsid w:val="00097B6E"/>
    <w:rsid w:val="000A188B"/>
    <w:rsid w:val="000A33E0"/>
    <w:rsid w:val="000D5746"/>
    <w:rsid w:val="000D7E07"/>
    <w:rsid w:val="000E3683"/>
    <w:rsid w:val="0010051E"/>
    <w:rsid w:val="0012603F"/>
    <w:rsid w:val="001270FF"/>
    <w:rsid w:val="001429CE"/>
    <w:rsid w:val="001603F8"/>
    <w:rsid w:val="00170BB0"/>
    <w:rsid w:val="00174227"/>
    <w:rsid w:val="001A2076"/>
    <w:rsid w:val="001B5D94"/>
    <w:rsid w:val="001B7F42"/>
    <w:rsid w:val="001D3987"/>
    <w:rsid w:val="00224B0B"/>
    <w:rsid w:val="0023020B"/>
    <w:rsid w:val="0023034C"/>
    <w:rsid w:val="002308B5"/>
    <w:rsid w:val="00231A82"/>
    <w:rsid w:val="0023218B"/>
    <w:rsid w:val="00243FBC"/>
    <w:rsid w:val="00277101"/>
    <w:rsid w:val="002A527F"/>
    <w:rsid w:val="002B440D"/>
    <w:rsid w:val="002B48C1"/>
    <w:rsid w:val="002B6D73"/>
    <w:rsid w:val="002D0D02"/>
    <w:rsid w:val="002E1FFC"/>
    <w:rsid w:val="002E40A1"/>
    <w:rsid w:val="002F18CC"/>
    <w:rsid w:val="00307A1A"/>
    <w:rsid w:val="00316A81"/>
    <w:rsid w:val="00344DF7"/>
    <w:rsid w:val="0034557F"/>
    <w:rsid w:val="00353D50"/>
    <w:rsid w:val="00356C37"/>
    <w:rsid w:val="00357946"/>
    <w:rsid w:val="00377560"/>
    <w:rsid w:val="003A2115"/>
    <w:rsid w:val="003B334A"/>
    <w:rsid w:val="003B5512"/>
    <w:rsid w:val="003C2858"/>
    <w:rsid w:val="003D0EE1"/>
    <w:rsid w:val="003D1116"/>
    <w:rsid w:val="003F0297"/>
    <w:rsid w:val="00401228"/>
    <w:rsid w:val="00404557"/>
    <w:rsid w:val="004315A2"/>
    <w:rsid w:val="00446719"/>
    <w:rsid w:val="00451950"/>
    <w:rsid w:val="004548C8"/>
    <w:rsid w:val="00454CD6"/>
    <w:rsid w:val="00457541"/>
    <w:rsid w:val="00465559"/>
    <w:rsid w:val="00485BB4"/>
    <w:rsid w:val="00496BF3"/>
    <w:rsid w:val="004C089B"/>
    <w:rsid w:val="004C170D"/>
    <w:rsid w:val="004C266B"/>
    <w:rsid w:val="004D4D8F"/>
    <w:rsid w:val="004D70A1"/>
    <w:rsid w:val="004E2CEB"/>
    <w:rsid w:val="004E599A"/>
    <w:rsid w:val="004F0270"/>
    <w:rsid w:val="004F25E2"/>
    <w:rsid w:val="004F46BF"/>
    <w:rsid w:val="0050355C"/>
    <w:rsid w:val="00515A1B"/>
    <w:rsid w:val="00530828"/>
    <w:rsid w:val="00534D06"/>
    <w:rsid w:val="00544DFA"/>
    <w:rsid w:val="00550AC0"/>
    <w:rsid w:val="0056018A"/>
    <w:rsid w:val="005A2A22"/>
    <w:rsid w:val="005B0C30"/>
    <w:rsid w:val="005B0CAB"/>
    <w:rsid w:val="005C003E"/>
    <w:rsid w:val="005D475C"/>
    <w:rsid w:val="005D5CE2"/>
    <w:rsid w:val="005F21CE"/>
    <w:rsid w:val="00600B73"/>
    <w:rsid w:val="00613E03"/>
    <w:rsid w:val="00620883"/>
    <w:rsid w:val="0063343B"/>
    <w:rsid w:val="00633E4A"/>
    <w:rsid w:val="0064689A"/>
    <w:rsid w:val="0065732A"/>
    <w:rsid w:val="0067379F"/>
    <w:rsid w:val="00675917"/>
    <w:rsid w:val="00687ACD"/>
    <w:rsid w:val="006A072A"/>
    <w:rsid w:val="006A5D6D"/>
    <w:rsid w:val="006A7598"/>
    <w:rsid w:val="006B477C"/>
    <w:rsid w:val="006C37DC"/>
    <w:rsid w:val="006F192E"/>
    <w:rsid w:val="006F2076"/>
    <w:rsid w:val="00706B42"/>
    <w:rsid w:val="007244D9"/>
    <w:rsid w:val="00724999"/>
    <w:rsid w:val="00737025"/>
    <w:rsid w:val="007518B1"/>
    <w:rsid w:val="00762B18"/>
    <w:rsid w:val="00766E57"/>
    <w:rsid w:val="00774F28"/>
    <w:rsid w:val="007849FE"/>
    <w:rsid w:val="007934C0"/>
    <w:rsid w:val="007B33DC"/>
    <w:rsid w:val="007D1160"/>
    <w:rsid w:val="007D156F"/>
    <w:rsid w:val="007F7C5C"/>
    <w:rsid w:val="008036D1"/>
    <w:rsid w:val="00811F4D"/>
    <w:rsid w:val="008144D7"/>
    <w:rsid w:val="00840B4D"/>
    <w:rsid w:val="00860769"/>
    <w:rsid w:val="00870FFB"/>
    <w:rsid w:val="00877A7E"/>
    <w:rsid w:val="00897735"/>
    <w:rsid w:val="00897EED"/>
    <w:rsid w:val="008A36FC"/>
    <w:rsid w:val="008B7795"/>
    <w:rsid w:val="008C76B9"/>
    <w:rsid w:val="008E72D6"/>
    <w:rsid w:val="008F6D38"/>
    <w:rsid w:val="0090554E"/>
    <w:rsid w:val="00906706"/>
    <w:rsid w:val="00933996"/>
    <w:rsid w:val="00934B9C"/>
    <w:rsid w:val="009412CB"/>
    <w:rsid w:val="009431F6"/>
    <w:rsid w:val="00950B57"/>
    <w:rsid w:val="00964618"/>
    <w:rsid w:val="00995D8A"/>
    <w:rsid w:val="00997CF9"/>
    <w:rsid w:val="009C3D63"/>
    <w:rsid w:val="009D5AB2"/>
    <w:rsid w:val="009D6232"/>
    <w:rsid w:val="009E10B0"/>
    <w:rsid w:val="009F48AD"/>
    <w:rsid w:val="00A018A5"/>
    <w:rsid w:val="00A115B4"/>
    <w:rsid w:val="00A13D44"/>
    <w:rsid w:val="00A25E10"/>
    <w:rsid w:val="00A27697"/>
    <w:rsid w:val="00A34D55"/>
    <w:rsid w:val="00A5135F"/>
    <w:rsid w:val="00A62B57"/>
    <w:rsid w:val="00A752EC"/>
    <w:rsid w:val="00A77631"/>
    <w:rsid w:val="00AB7F44"/>
    <w:rsid w:val="00AE7607"/>
    <w:rsid w:val="00AE7B34"/>
    <w:rsid w:val="00AF33A5"/>
    <w:rsid w:val="00B01F28"/>
    <w:rsid w:val="00B15FB0"/>
    <w:rsid w:val="00B4617F"/>
    <w:rsid w:val="00B51E0B"/>
    <w:rsid w:val="00B5562F"/>
    <w:rsid w:val="00B62CC7"/>
    <w:rsid w:val="00B803E8"/>
    <w:rsid w:val="00B913B1"/>
    <w:rsid w:val="00BB1B39"/>
    <w:rsid w:val="00BB5581"/>
    <w:rsid w:val="00BE5452"/>
    <w:rsid w:val="00BF2F46"/>
    <w:rsid w:val="00C0482A"/>
    <w:rsid w:val="00C06423"/>
    <w:rsid w:val="00C1560E"/>
    <w:rsid w:val="00C27B77"/>
    <w:rsid w:val="00C32FFA"/>
    <w:rsid w:val="00C361F2"/>
    <w:rsid w:val="00C4157D"/>
    <w:rsid w:val="00C45C7A"/>
    <w:rsid w:val="00C466E4"/>
    <w:rsid w:val="00C54680"/>
    <w:rsid w:val="00C65F3F"/>
    <w:rsid w:val="00C667C2"/>
    <w:rsid w:val="00C66B7E"/>
    <w:rsid w:val="00C847AE"/>
    <w:rsid w:val="00C95E56"/>
    <w:rsid w:val="00C97D76"/>
    <w:rsid w:val="00CA3904"/>
    <w:rsid w:val="00CB2BB5"/>
    <w:rsid w:val="00CC695B"/>
    <w:rsid w:val="00CC785E"/>
    <w:rsid w:val="00CE57C7"/>
    <w:rsid w:val="00CF1ACC"/>
    <w:rsid w:val="00D10A3D"/>
    <w:rsid w:val="00D22458"/>
    <w:rsid w:val="00D53AF3"/>
    <w:rsid w:val="00D56CDB"/>
    <w:rsid w:val="00D71A5E"/>
    <w:rsid w:val="00D77C8F"/>
    <w:rsid w:val="00DB7EF4"/>
    <w:rsid w:val="00DE2E78"/>
    <w:rsid w:val="00DF6B42"/>
    <w:rsid w:val="00E0335A"/>
    <w:rsid w:val="00E327E8"/>
    <w:rsid w:val="00E47088"/>
    <w:rsid w:val="00E470B9"/>
    <w:rsid w:val="00E47E6D"/>
    <w:rsid w:val="00E55BB6"/>
    <w:rsid w:val="00E939DE"/>
    <w:rsid w:val="00EA150D"/>
    <w:rsid w:val="00EB05D6"/>
    <w:rsid w:val="00F026F3"/>
    <w:rsid w:val="00F32047"/>
    <w:rsid w:val="00F617FC"/>
    <w:rsid w:val="00F64216"/>
    <w:rsid w:val="00F646F0"/>
    <w:rsid w:val="00F72A2B"/>
    <w:rsid w:val="00F82917"/>
    <w:rsid w:val="00F86DA5"/>
    <w:rsid w:val="00FA5A2A"/>
    <w:rsid w:val="00FB5591"/>
    <w:rsid w:val="00FB654F"/>
    <w:rsid w:val="00FC15D7"/>
    <w:rsid w:val="00FC79C2"/>
    <w:rsid w:val="00FD62A9"/>
    <w:rsid w:val="00FF1129"/>
    <w:rsid w:val="00FF61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CAB5D"/>
  <w15:docId w15:val="{563A808C-344D-CB42-B50B-182B6EC2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0A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7F"/>
    <w:pPr>
      <w:tabs>
        <w:tab w:val="center" w:pos="4153"/>
        <w:tab w:val="right" w:pos="8306"/>
      </w:tabs>
    </w:pPr>
  </w:style>
  <w:style w:type="character" w:customStyle="1" w:styleId="HeaderChar">
    <w:name w:val="Header Char"/>
    <w:basedOn w:val="DefaultParagraphFont"/>
    <w:link w:val="Header"/>
    <w:uiPriority w:val="99"/>
    <w:rsid w:val="00B4617F"/>
  </w:style>
  <w:style w:type="paragraph" w:styleId="Footer">
    <w:name w:val="footer"/>
    <w:basedOn w:val="Normal"/>
    <w:link w:val="FooterChar"/>
    <w:uiPriority w:val="99"/>
    <w:unhideWhenUsed/>
    <w:rsid w:val="00B4617F"/>
    <w:pPr>
      <w:tabs>
        <w:tab w:val="center" w:pos="4153"/>
        <w:tab w:val="right" w:pos="8306"/>
      </w:tabs>
    </w:pPr>
  </w:style>
  <w:style w:type="character" w:customStyle="1" w:styleId="FooterChar">
    <w:name w:val="Footer Char"/>
    <w:basedOn w:val="DefaultParagraphFont"/>
    <w:link w:val="Footer"/>
    <w:uiPriority w:val="99"/>
    <w:rsid w:val="00B4617F"/>
  </w:style>
  <w:style w:type="character" w:styleId="CommentReference">
    <w:name w:val="annotation reference"/>
    <w:basedOn w:val="DefaultParagraphFont"/>
    <w:uiPriority w:val="99"/>
    <w:semiHidden/>
    <w:unhideWhenUsed/>
    <w:rsid w:val="00B803E8"/>
    <w:rPr>
      <w:sz w:val="16"/>
      <w:szCs w:val="16"/>
    </w:rPr>
  </w:style>
  <w:style w:type="paragraph" w:styleId="CommentText">
    <w:name w:val="annotation text"/>
    <w:basedOn w:val="Normal"/>
    <w:link w:val="CommentTextChar"/>
    <w:uiPriority w:val="99"/>
    <w:unhideWhenUsed/>
    <w:rsid w:val="00B803E8"/>
    <w:rPr>
      <w:rFonts w:ascii="Times New Roman" w:eastAsia="Times New Roman" w:hAnsi="Times New Roman" w:cs="Times New Roman"/>
      <w:sz w:val="20"/>
      <w:szCs w:val="20"/>
      <w:lang w:eastAsia="el-GR"/>
    </w:rPr>
  </w:style>
  <w:style w:type="character" w:customStyle="1" w:styleId="CommentTextChar">
    <w:name w:val="Comment Text Char"/>
    <w:basedOn w:val="DefaultParagraphFont"/>
    <w:link w:val="CommentText"/>
    <w:uiPriority w:val="99"/>
    <w:rsid w:val="00B803E8"/>
    <w:rPr>
      <w:rFonts w:ascii="Times New Roman" w:eastAsia="Times New Roman" w:hAnsi="Times New Roman" w:cs="Times New Roman"/>
      <w:sz w:val="20"/>
      <w:szCs w:val="20"/>
      <w:lang w:eastAsia="el-GR"/>
    </w:rPr>
  </w:style>
  <w:style w:type="paragraph" w:styleId="ListParagraph">
    <w:name w:val="List Paragraph"/>
    <w:basedOn w:val="Normal"/>
    <w:uiPriority w:val="34"/>
    <w:qFormat/>
    <w:rsid w:val="00B803E8"/>
    <w:pPr>
      <w:ind w:left="720"/>
      <w:contextualSpacing/>
    </w:pPr>
    <w:rPr>
      <w:rFonts w:ascii="Times New Roman" w:eastAsia="Times New Roman" w:hAnsi="Times New Roman" w:cs="Times New Roman"/>
      <w:lang w:eastAsia="el-GR"/>
    </w:rPr>
  </w:style>
  <w:style w:type="character" w:styleId="Hyperlink">
    <w:name w:val="Hyperlink"/>
    <w:basedOn w:val="DefaultParagraphFont"/>
    <w:uiPriority w:val="99"/>
    <w:unhideWhenUsed/>
    <w:rsid w:val="00B803E8"/>
    <w:rPr>
      <w:color w:val="0563C1" w:themeColor="hyperlink"/>
      <w:u w:val="single"/>
    </w:rPr>
  </w:style>
  <w:style w:type="character" w:styleId="UnresolvedMention">
    <w:name w:val="Unresolved Mention"/>
    <w:basedOn w:val="DefaultParagraphFont"/>
    <w:uiPriority w:val="99"/>
    <w:rsid w:val="00B803E8"/>
    <w:rPr>
      <w:color w:val="605E5C"/>
      <w:shd w:val="clear" w:color="auto" w:fill="E1DFDD"/>
    </w:rPr>
  </w:style>
  <w:style w:type="table" w:styleId="TableGrid">
    <w:name w:val="Table Grid"/>
    <w:basedOn w:val="TableNormal"/>
    <w:uiPriority w:val="39"/>
    <w:rsid w:val="00B80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803E8"/>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803E8"/>
    <w:rPr>
      <w:rFonts w:ascii="Times New Roman" w:eastAsia="Times New Roman" w:hAnsi="Times New Roman" w:cs="Times New Roman"/>
      <w:b/>
      <w:bCs/>
      <w:sz w:val="20"/>
      <w:szCs w:val="20"/>
      <w:lang w:eastAsia="el-GR"/>
    </w:rPr>
  </w:style>
  <w:style w:type="character" w:styleId="FollowedHyperlink">
    <w:name w:val="FollowedHyperlink"/>
    <w:basedOn w:val="DefaultParagraphFont"/>
    <w:uiPriority w:val="99"/>
    <w:semiHidden/>
    <w:unhideWhenUsed/>
    <w:rsid w:val="00D53AF3"/>
    <w:rPr>
      <w:color w:val="954F72" w:themeColor="followedHyperlink"/>
      <w:u w:val="single"/>
    </w:rPr>
  </w:style>
  <w:style w:type="paragraph" w:styleId="Caption">
    <w:name w:val="caption"/>
    <w:basedOn w:val="Normal"/>
    <w:next w:val="Normal"/>
    <w:uiPriority w:val="35"/>
    <w:unhideWhenUsed/>
    <w:qFormat/>
    <w:rsid w:val="001429CE"/>
    <w:pPr>
      <w:spacing w:after="200"/>
    </w:pPr>
    <w:rPr>
      <w:i/>
      <w:iCs/>
      <w:color w:val="44546A" w:themeColor="text2"/>
      <w:sz w:val="18"/>
      <w:szCs w:val="18"/>
    </w:rPr>
  </w:style>
  <w:style w:type="character" w:styleId="PageNumber">
    <w:name w:val="page number"/>
    <w:basedOn w:val="DefaultParagraphFont"/>
    <w:uiPriority w:val="99"/>
    <w:semiHidden/>
    <w:unhideWhenUsed/>
    <w:rsid w:val="00057F7F"/>
  </w:style>
  <w:style w:type="paragraph" w:styleId="Revision">
    <w:name w:val="Revision"/>
    <w:hidden/>
    <w:uiPriority w:val="99"/>
    <w:semiHidden/>
    <w:rsid w:val="00BE5452"/>
  </w:style>
  <w:style w:type="paragraph" w:styleId="NormalWeb">
    <w:name w:val="Normal (Web)"/>
    <w:basedOn w:val="Normal"/>
    <w:uiPriority w:val="99"/>
    <w:unhideWhenUsed/>
    <w:rsid w:val="0017422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969">
      <w:bodyDiv w:val="1"/>
      <w:marLeft w:val="0"/>
      <w:marRight w:val="0"/>
      <w:marTop w:val="0"/>
      <w:marBottom w:val="0"/>
      <w:divBdr>
        <w:top w:val="none" w:sz="0" w:space="0" w:color="auto"/>
        <w:left w:val="none" w:sz="0" w:space="0" w:color="auto"/>
        <w:bottom w:val="none" w:sz="0" w:space="0" w:color="auto"/>
        <w:right w:val="none" w:sz="0" w:space="0" w:color="auto"/>
      </w:divBdr>
      <w:divsChild>
        <w:div w:id="961961835">
          <w:marLeft w:val="274"/>
          <w:marRight w:val="0"/>
          <w:marTop w:val="0"/>
          <w:marBottom w:val="0"/>
          <w:divBdr>
            <w:top w:val="none" w:sz="0" w:space="0" w:color="auto"/>
            <w:left w:val="none" w:sz="0" w:space="0" w:color="auto"/>
            <w:bottom w:val="none" w:sz="0" w:space="0" w:color="auto"/>
            <w:right w:val="none" w:sz="0" w:space="0" w:color="auto"/>
          </w:divBdr>
        </w:div>
        <w:div w:id="1477338948">
          <w:marLeft w:val="274"/>
          <w:marRight w:val="0"/>
          <w:marTop w:val="0"/>
          <w:marBottom w:val="0"/>
          <w:divBdr>
            <w:top w:val="none" w:sz="0" w:space="0" w:color="auto"/>
            <w:left w:val="none" w:sz="0" w:space="0" w:color="auto"/>
            <w:bottom w:val="none" w:sz="0" w:space="0" w:color="auto"/>
            <w:right w:val="none" w:sz="0" w:space="0" w:color="auto"/>
          </w:divBdr>
        </w:div>
        <w:div w:id="437146299">
          <w:marLeft w:val="274"/>
          <w:marRight w:val="0"/>
          <w:marTop w:val="0"/>
          <w:marBottom w:val="0"/>
          <w:divBdr>
            <w:top w:val="none" w:sz="0" w:space="0" w:color="auto"/>
            <w:left w:val="none" w:sz="0" w:space="0" w:color="auto"/>
            <w:bottom w:val="none" w:sz="0" w:space="0" w:color="auto"/>
            <w:right w:val="none" w:sz="0" w:space="0" w:color="auto"/>
          </w:divBdr>
        </w:div>
      </w:divsChild>
    </w:div>
    <w:div w:id="77410136">
      <w:bodyDiv w:val="1"/>
      <w:marLeft w:val="0"/>
      <w:marRight w:val="0"/>
      <w:marTop w:val="0"/>
      <w:marBottom w:val="0"/>
      <w:divBdr>
        <w:top w:val="none" w:sz="0" w:space="0" w:color="auto"/>
        <w:left w:val="none" w:sz="0" w:space="0" w:color="auto"/>
        <w:bottom w:val="none" w:sz="0" w:space="0" w:color="auto"/>
        <w:right w:val="none" w:sz="0" w:space="0" w:color="auto"/>
      </w:divBdr>
    </w:div>
    <w:div w:id="118650749">
      <w:bodyDiv w:val="1"/>
      <w:marLeft w:val="0"/>
      <w:marRight w:val="0"/>
      <w:marTop w:val="0"/>
      <w:marBottom w:val="0"/>
      <w:divBdr>
        <w:top w:val="none" w:sz="0" w:space="0" w:color="auto"/>
        <w:left w:val="none" w:sz="0" w:space="0" w:color="auto"/>
        <w:bottom w:val="none" w:sz="0" w:space="0" w:color="auto"/>
        <w:right w:val="none" w:sz="0" w:space="0" w:color="auto"/>
      </w:divBdr>
    </w:div>
    <w:div w:id="128937708">
      <w:bodyDiv w:val="1"/>
      <w:marLeft w:val="0"/>
      <w:marRight w:val="0"/>
      <w:marTop w:val="0"/>
      <w:marBottom w:val="0"/>
      <w:divBdr>
        <w:top w:val="none" w:sz="0" w:space="0" w:color="auto"/>
        <w:left w:val="none" w:sz="0" w:space="0" w:color="auto"/>
        <w:bottom w:val="none" w:sz="0" w:space="0" w:color="auto"/>
        <w:right w:val="none" w:sz="0" w:space="0" w:color="auto"/>
      </w:divBdr>
    </w:div>
    <w:div w:id="229317111">
      <w:bodyDiv w:val="1"/>
      <w:marLeft w:val="0"/>
      <w:marRight w:val="0"/>
      <w:marTop w:val="0"/>
      <w:marBottom w:val="0"/>
      <w:divBdr>
        <w:top w:val="none" w:sz="0" w:space="0" w:color="auto"/>
        <w:left w:val="none" w:sz="0" w:space="0" w:color="auto"/>
        <w:bottom w:val="none" w:sz="0" w:space="0" w:color="auto"/>
        <w:right w:val="none" w:sz="0" w:space="0" w:color="auto"/>
      </w:divBdr>
      <w:divsChild>
        <w:div w:id="1980766924">
          <w:marLeft w:val="0"/>
          <w:marRight w:val="0"/>
          <w:marTop w:val="0"/>
          <w:marBottom w:val="75"/>
          <w:divBdr>
            <w:top w:val="none" w:sz="0" w:space="0" w:color="auto"/>
            <w:left w:val="none" w:sz="0" w:space="0" w:color="auto"/>
            <w:bottom w:val="none" w:sz="0" w:space="0" w:color="auto"/>
            <w:right w:val="none" w:sz="0" w:space="0" w:color="auto"/>
          </w:divBdr>
        </w:div>
        <w:div w:id="1704093356">
          <w:marLeft w:val="0"/>
          <w:marRight w:val="0"/>
          <w:marTop w:val="0"/>
          <w:marBottom w:val="75"/>
          <w:divBdr>
            <w:top w:val="none" w:sz="0" w:space="0" w:color="auto"/>
            <w:left w:val="none" w:sz="0" w:space="0" w:color="auto"/>
            <w:bottom w:val="none" w:sz="0" w:space="0" w:color="auto"/>
            <w:right w:val="none" w:sz="0" w:space="0" w:color="auto"/>
          </w:divBdr>
        </w:div>
      </w:divsChild>
    </w:div>
    <w:div w:id="406074884">
      <w:bodyDiv w:val="1"/>
      <w:marLeft w:val="0"/>
      <w:marRight w:val="0"/>
      <w:marTop w:val="0"/>
      <w:marBottom w:val="0"/>
      <w:divBdr>
        <w:top w:val="none" w:sz="0" w:space="0" w:color="auto"/>
        <w:left w:val="none" w:sz="0" w:space="0" w:color="auto"/>
        <w:bottom w:val="none" w:sz="0" w:space="0" w:color="auto"/>
        <w:right w:val="none" w:sz="0" w:space="0" w:color="auto"/>
      </w:divBdr>
      <w:divsChild>
        <w:div w:id="1218663639">
          <w:marLeft w:val="274"/>
          <w:marRight w:val="0"/>
          <w:marTop w:val="0"/>
          <w:marBottom w:val="0"/>
          <w:divBdr>
            <w:top w:val="none" w:sz="0" w:space="0" w:color="auto"/>
            <w:left w:val="none" w:sz="0" w:space="0" w:color="auto"/>
            <w:bottom w:val="none" w:sz="0" w:space="0" w:color="auto"/>
            <w:right w:val="none" w:sz="0" w:space="0" w:color="auto"/>
          </w:divBdr>
        </w:div>
        <w:div w:id="1360351340">
          <w:marLeft w:val="274"/>
          <w:marRight w:val="0"/>
          <w:marTop w:val="0"/>
          <w:marBottom w:val="0"/>
          <w:divBdr>
            <w:top w:val="none" w:sz="0" w:space="0" w:color="auto"/>
            <w:left w:val="none" w:sz="0" w:space="0" w:color="auto"/>
            <w:bottom w:val="none" w:sz="0" w:space="0" w:color="auto"/>
            <w:right w:val="none" w:sz="0" w:space="0" w:color="auto"/>
          </w:divBdr>
        </w:div>
        <w:div w:id="988174800">
          <w:marLeft w:val="274"/>
          <w:marRight w:val="0"/>
          <w:marTop w:val="0"/>
          <w:marBottom w:val="0"/>
          <w:divBdr>
            <w:top w:val="none" w:sz="0" w:space="0" w:color="auto"/>
            <w:left w:val="none" w:sz="0" w:space="0" w:color="auto"/>
            <w:bottom w:val="none" w:sz="0" w:space="0" w:color="auto"/>
            <w:right w:val="none" w:sz="0" w:space="0" w:color="auto"/>
          </w:divBdr>
        </w:div>
        <w:div w:id="352194231">
          <w:marLeft w:val="274"/>
          <w:marRight w:val="0"/>
          <w:marTop w:val="0"/>
          <w:marBottom w:val="0"/>
          <w:divBdr>
            <w:top w:val="none" w:sz="0" w:space="0" w:color="auto"/>
            <w:left w:val="none" w:sz="0" w:space="0" w:color="auto"/>
            <w:bottom w:val="none" w:sz="0" w:space="0" w:color="auto"/>
            <w:right w:val="none" w:sz="0" w:space="0" w:color="auto"/>
          </w:divBdr>
        </w:div>
        <w:div w:id="555435152">
          <w:marLeft w:val="274"/>
          <w:marRight w:val="0"/>
          <w:marTop w:val="0"/>
          <w:marBottom w:val="0"/>
          <w:divBdr>
            <w:top w:val="none" w:sz="0" w:space="0" w:color="auto"/>
            <w:left w:val="none" w:sz="0" w:space="0" w:color="auto"/>
            <w:bottom w:val="none" w:sz="0" w:space="0" w:color="auto"/>
            <w:right w:val="none" w:sz="0" w:space="0" w:color="auto"/>
          </w:divBdr>
        </w:div>
        <w:div w:id="378940996">
          <w:marLeft w:val="274"/>
          <w:marRight w:val="0"/>
          <w:marTop w:val="0"/>
          <w:marBottom w:val="0"/>
          <w:divBdr>
            <w:top w:val="none" w:sz="0" w:space="0" w:color="auto"/>
            <w:left w:val="none" w:sz="0" w:space="0" w:color="auto"/>
            <w:bottom w:val="none" w:sz="0" w:space="0" w:color="auto"/>
            <w:right w:val="none" w:sz="0" w:space="0" w:color="auto"/>
          </w:divBdr>
        </w:div>
        <w:div w:id="1759207721">
          <w:marLeft w:val="274"/>
          <w:marRight w:val="0"/>
          <w:marTop w:val="0"/>
          <w:marBottom w:val="0"/>
          <w:divBdr>
            <w:top w:val="none" w:sz="0" w:space="0" w:color="auto"/>
            <w:left w:val="none" w:sz="0" w:space="0" w:color="auto"/>
            <w:bottom w:val="none" w:sz="0" w:space="0" w:color="auto"/>
            <w:right w:val="none" w:sz="0" w:space="0" w:color="auto"/>
          </w:divBdr>
        </w:div>
        <w:div w:id="31349449">
          <w:marLeft w:val="274"/>
          <w:marRight w:val="0"/>
          <w:marTop w:val="0"/>
          <w:marBottom w:val="0"/>
          <w:divBdr>
            <w:top w:val="none" w:sz="0" w:space="0" w:color="auto"/>
            <w:left w:val="none" w:sz="0" w:space="0" w:color="auto"/>
            <w:bottom w:val="none" w:sz="0" w:space="0" w:color="auto"/>
            <w:right w:val="none" w:sz="0" w:space="0" w:color="auto"/>
          </w:divBdr>
        </w:div>
        <w:div w:id="231626888">
          <w:marLeft w:val="274"/>
          <w:marRight w:val="0"/>
          <w:marTop w:val="0"/>
          <w:marBottom w:val="0"/>
          <w:divBdr>
            <w:top w:val="none" w:sz="0" w:space="0" w:color="auto"/>
            <w:left w:val="none" w:sz="0" w:space="0" w:color="auto"/>
            <w:bottom w:val="none" w:sz="0" w:space="0" w:color="auto"/>
            <w:right w:val="none" w:sz="0" w:space="0" w:color="auto"/>
          </w:divBdr>
        </w:div>
        <w:div w:id="675114963">
          <w:marLeft w:val="274"/>
          <w:marRight w:val="0"/>
          <w:marTop w:val="0"/>
          <w:marBottom w:val="0"/>
          <w:divBdr>
            <w:top w:val="none" w:sz="0" w:space="0" w:color="auto"/>
            <w:left w:val="none" w:sz="0" w:space="0" w:color="auto"/>
            <w:bottom w:val="none" w:sz="0" w:space="0" w:color="auto"/>
            <w:right w:val="none" w:sz="0" w:space="0" w:color="auto"/>
          </w:divBdr>
        </w:div>
        <w:div w:id="553008694">
          <w:marLeft w:val="274"/>
          <w:marRight w:val="0"/>
          <w:marTop w:val="0"/>
          <w:marBottom w:val="0"/>
          <w:divBdr>
            <w:top w:val="none" w:sz="0" w:space="0" w:color="auto"/>
            <w:left w:val="none" w:sz="0" w:space="0" w:color="auto"/>
            <w:bottom w:val="none" w:sz="0" w:space="0" w:color="auto"/>
            <w:right w:val="none" w:sz="0" w:space="0" w:color="auto"/>
          </w:divBdr>
        </w:div>
        <w:div w:id="1562905421">
          <w:marLeft w:val="274"/>
          <w:marRight w:val="0"/>
          <w:marTop w:val="0"/>
          <w:marBottom w:val="0"/>
          <w:divBdr>
            <w:top w:val="none" w:sz="0" w:space="0" w:color="auto"/>
            <w:left w:val="none" w:sz="0" w:space="0" w:color="auto"/>
            <w:bottom w:val="none" w:sz="0" w:space="0" w:color="auto"/>
            <w:right w:val="none" w:sz="0" w:space="0" w:color="auto"/>
          </w:divBdr>
        </w:div>
        <w:div w:id="127746429">
          <w:marLeft w:val="274"/>
          <w:marRight w:val="0"/>
          <w:marTop w:val="0"/>
          <w:marBottom w:val="0"/>
          <w:divBdr>
            <w:top w:val="none" w:sz="0" w:space="0" w:color="auto"/>
            <w:left w:val="none" w:sz="0" w:space="0" w:color="auto"/>
            <w:bottom w:val="none" w:sz="0" w:space="0" w:color="auto"/>
            <w:right w:val="none" w:sz="0" w:space="0" w:color="auto"/>
          </w:divBdr>
        </w:div>
        <w:div w:id="1350370034">
          <w:marLeft w:val="274"/>
          <w:marRight w:val="0"/>
          <w:marTop w:val="0"/>
          <w:marBottom w:val="0"/>
          <w:divBdr>
            <w:top w:val="none" w:sz="0" w:space="0" w:color="auto"/>
            <w:left w:val="none" w:sz="0" w:space="0" w:color="auto"/>
            <w:bottom w:val="none" w:sz="0" w:space="0" w:color="auto"/>
            <w:right w:val="none" w:sz="0" w:space="0" w:color="auto"/>
          </w:divBdr>
        </w:div>
        <w:div w:id="406729035">
          <w:marLeft w:val="274"/>
          <w:marRight w:val="0"/>
          <w:marTop w:val="0"/>
          <w:marBottom w:val="0"/>
          <w:divBdr>
            <w:top w:val="none" w:sz="0" w:space="0" w:color="auto"/>
            <w:left w:val="none" w:sz="0" w:space="0" w:color="auto"/>
            <w:bottom w:val="none" w:sz="0" w:space="0" w:color="auto"/>
            <w:right w:val="none" w:sz="0" w:space="0" w:color="auto"/>
          </w:divBdr>
        </w:div>
      </w:divsChild>
    </w:div>
    <w:div w:id="547106672">
      <w:bodyDiv w:val="1"/>
      <w:marLeft w:val="0"/>
      <w:marRight w:val="0"/>
      <w:marTop w:val="0"/>
      <w:marBottom w:val="0"/>
      <w:divBdr>
        <w:top w:val="none" w:sz="0" w:space="0" w:color="auto"/>
        <w:left w:val="none" w:sz="0" w:space="0" w:color="auto"/>
        <w:bottom w:val="none" w:sz="0" w:space="0" w:color="auto"/>
        <w:right w:val="none" w:sz="0" w:space="0" w:color="auto"/>
      </w:divBdr>
    </w:div>
    <w:div w:id="692801585">
      <w:bodyDiv w:val="1"/>
      <w:marLeft w:val="0"/>
      <w:marRight w:val="0"/>
      <w:marTop w:val="0"/>
      <w:marBottom w:val="0"/>
      <w:divBdr>
        <w:top w:val="none" w:sz="0" w:space="0" w:color="auto"/>
        <w:left w:val="none" w:sz="0" w:space="0" w:color="auto"/>
        <w:bottom w:val="none" w:sz="0" w:space="0" w:color="auto"/>
        <w:right w:val="none" w:sz="0" w:space="0" w:color="auto"/>
      </w:divBdr>
    </w:div>
    <w:div w:id="754715800">
      <w:bodyDiv w:val="1"/>
      <w:marLeft w:val="0"/>
      <w:marRight w:val="0"/>
      <w:marTop w:val="0"/>
      <w:marBottom w:val="0"/>
      <w:divBdr>
        <w:top w:val="none" w:sz="0" w:space="0" w:color="auto"/>
        <w:left w:val="none" w:sz="0" w:space="0" w:color="auto"/>
        <w:bottom w:val="none" w:sz="0" w:space="0" w:color="auto"/>
        <w:right w:val="none" w:sz="0" w:space="0" w:color="auto"/>
      </w:divBdr>
    </w:div>
    <w:div w:id="832064152">
      <w:bodyDiv w:val="1"/>
      <w:marLeft w:val="0"/>
      <w:marRight w:val="0"/>
      <w:marTop w:val="0"/>
      <w:marBottom w:val="0"/>
      <w:divBdr>
        <w:top w:val="none" w:sz="0" w:space="0" w:color="auto"/>
        <w:left w:val="none" w:sz="0" w:space="0" w:color="auto"/>
        <w:bottom w:val="none" w:sz="0" w:space="0" w:color="auto"/>
        <w:right w:val="none" w:sz="0" w:space="0" w:color="auto"/>
      </w:divBdr>
    </w:div>
    <w:div w:id="1323196606">
      <w:bodyDiv w:val="1"/>
      <w:marLeft w:val="0"/>
      <w:marRight w:val="0"/>
      <w:marTop w:val="0"/>
      <w:marBottom w:val="0"/>
      <w:divBdr>
        <w:top w:val="none" w:sz="0" w:space="0" w:color="auto"/>
        <w:left w:val="none" w:sz="0" w:space="0" w:color="auto"/>
        <w:bottom w:val="none" w:sz="0" w:space="0" w:color="auto"/>
        <w:right w:val="none" w:sz="0" w:space="0" w:color="auto"/>
      </w:divBdr>
    </w:div>
    <w:div w:id="1494372189">
      <w:bodyDiv w:val="1"/>
      <w:marLeft w:val="0"/>
      <w:marRight w:val="0"/>
      <w:marTop w:val="0"/>
      <w:marBottom w:val="0"/>
      <w:divBdr>
        <w:top w:val="none" w:sz="0" w:space="0" w:color="auto"/>
        <w:left w:val="none" w:sz="0" w:space="0" w:color="auto"/>
        <w:bottom w:val="none" w:sz="0" w:space="0" w:color="auto"/>
        <w:right w:val="none" w:sz="0" w:space="0" w:color="auto"/>
      </w:divBdr>
    </w:div>
    <w:div w:id="1513643024">
      <w:bodyDiv w:val="1"/>
      <w:marLeft w:val="0"/>
      <w:marRight w:val="0"/>
      <w:marTop w:val="0"/>
      <w:marBottom w:val="0"/>
      <w:divBdr>
        <w:top w:val="none" w:sz="0" w:space="0" w:color="auto"/>
        <w:left w:val="none" w:sz="0" w:space="0" w:color="auto"/>
        <w:bottom w:val="none" w:sz="0" w:space="0" w:color="auto"/>
        <w:right w:val="none" w:sz="0" w:space="0" w:color="auto"/>
      </w:divBdr>
    </w:div>
    <w:div w:id="1606187890">
      <w:bodyDiv w:val="1"/>
      <w:marLeft w:val="0"/>
      <w:marRight w:val="0"/>
      <w:marTop w:val="0"/>
      <w:marBottom w:val="0"/>
      <w:divBdr>
        <w:top w:val="none" w:sz="0" w:space="0" w:color="auto"/>
        <w:left w:val="none" w:sz="0" w:space="0" w:color="auto"/>
        <w:bottom w:val="none" w:sz="0" w:space="0" w:color="auto"/>
        <w:right w:val="none" w:sz="0" w:space="0" w:color="auto"/>
      </w:divBdr>
    </w:div>
    <w:div w:id="1693067522">
      <w:bodyDiv w:val="1"/>
      <w:marLeft w:val="0"/>
      <w:marRight w:val="0"/>
      <w:marTop w:val="0"/>
      <w:marBottom w:val="0"/>
      <w:divBdr>
        <w:top w:val="none" w:sz="0" w:space="0" w:color="auto"/>
        <w:left w:val="none" w:sz="0" w:space="0" w:color="auto"/>
        <w:bottom w:val="none" w:sz="0" w:space="0" w:color="auto"/>
        <w:right w:val="none" w:sz="0" w:space="0" w:color="auto"/>
      </w:divBdr>
    </w:div>
    <w:div w:id="1972054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user=RI7IEPQAAAAJ&amp;hl=en" TargetMode="External"/><Relationship Id="rId13" Type="http://schemas.openxmlformats.org/officeDocument/2006/relationships/hyperlink" Target="http://res.momus.g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1016/j.jdmm.2021.10055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www.mckinsey.com/business-functions/risk-and-resilience/our-insights/covid-19-implications-for-business" TargetMode="External"/><Relationship Id="rId10" Type="http://schemas.openxmlformats.org/officeDocument/2006/relationships/hyperlink" Target="https://www.mckinsey.com/business-functions/risk/our-insights/covid-19-implications-for-busines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c.europa.eu/info/strategy/priorities-2019-2024/new-push-european-democracy/impact-demographic-change-europe" TargetMode="External"/><Relationship Id="rId14" Type="http://schemas.openxmlformats.org/officeDocument/2006/relationships/image" Target="media/image3.tif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19AAB-C2A6-DF4E-91EB-30F85DE1F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103814</Words>
  <Characters>591742</Characters>
  <Application>Microsoft Office Word</Application>
  <DocSecurity>0</DocSecurity>
  <Lines>4931</Lines>
  <Paragraphs>1388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694168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Evangelos Christou</dc:creator>
  <cp:keywords/>
  <dc:description/>
  <cp:lastModifiedBy>Ruth Mardall (R.Mardall)</cp:lastModifiedBy>
  <cp:revision>2</cp:revision>
  <dcterms:created xsi:type="dcterms:W3CDTF">2022-12-08T15:40:00Z</dcterms:created>
  <dcterms:modified xsi:type="dcterms:W3CDTF">2022-12-08T15:40:00Z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0cc3c147-b9af-339e-828f-b55f7b54cea8</vt:lpwstr>
  </property>
  <property fmtid="{D5CDD505-2E9C-101B-9397-08002B2CF9AE}" pid="24" name="Mendeley Citation Style_1">
    <vt:lpwstr>http://www.zotero.org/styles/harvard-cite-them-right</vt:lpwstr>
  </property>
</Properties>
</file>