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79E" w14:textId="2FE3CE19" w:rsidR="00193FF4" w:rsidRDefault="00193FF4" w:rsidP="00193FF4">
      <w:pPr>
        <w:spacing w:line="480" w:lineRule="auto"/>
        <w:jc w:val="center"/>
        <w:rPr>
          <w:b/>
          <w:color w:val="000000" w:themeColor="text1"/>
        </w:rPr>
      </w:pPr>
      <w:r w:rsidRPr="00DF22B3">
        <w:rPr>
          <w:b/>
          <w:noProof/>
        </w:rPr>
        <mc:AlternateContent>
          <mc:Choice Requires="wps">
            <w:drawing>
              <wp:anchor distT="45720" distB="45720" distL="114300" distR="114300" simplePos="0" relativeHeight="251659264" behindDoc="0" locked="0" layoutInCell="1" allowOverlap="1" wp14:anchorId="51666E79" wp14:editId="7192328D">
                <wp:simplePos x="0" y="0"/>
                <wp:positionH relativeFrom="margin">
                  <wp:align>left</wp:align>
                </wp:positionH>
                <wp:positionV relativeFrom="paragraph">
                  <wp:posOffset>399415</wp:posOffset>
                </wp:positionV>
                <wp:extent cx="5699760" cy="13430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343025"/>
                        </a:xfrm>
                        <a:prstGeom prst="rect">
                          <a:avLst/>
                        </a:prstGeom>
                        <a:solidFill>
                          <a:srgbClr val="FFFFFF"/>
                        </a:solidFill>
                        <a:ln w="9525">
                          <a:solidFill>
                            <a:srgbClr val="000000"/>
                          </a:solidFill>
                          <a:miter lim="800000"/>
                          <a:headEnd/>
                          <a:tailEnd/>
                        </a:ln>
                      </wps:spPr>
                      <wps:txbx>
                        <w:txbxContent>
                          <w:p w14:paraId="7CE6ECA7" w14:textId="64737462" w:rsidR="00193FF4" w:rsidRPr="00DF22B3" w:rsidRDefault="00193FF4" w:rsidP="00193FF4">
                            <w:pPr>
                              <w:spacing w:line="480" w:lineRule="auto"/>
                              <w:rPr>
                                <w:color w:val="0000FF" w:themeColor="hyperlink"/>
                                <w:u w:val="single"/>
                              </w:rPr>
                            </w:pPr>
                            <w:r>
                              <w:rPr>
                                <w:bCs/>
                              </w:rPr>
                              <w:t xml:space="preserve">To cite: </w:t>
                            </w:r>
                            <w:r w:rsidR="006E3162">
                              <w:rPr>
                                <w:bCs/>
                              </w:rPr>
                              <w:t xml:space="preserve">McHugh, R., </w:t>
                            </w:r>
                            <w:r w:rsidRPr="00DF22B3">
                              <w:rPr>
                                <w:bCs/>
                              </w:rPr>
                              <w:t>Vaughan, R. S.</w:t>
                            </w:r>
                            <w:r w:rsidR="006E3162">
                              <w:rPr>
                                <w:bCs/>
                              </w:rPr>
                              <w:t>, Duarte, C., McDevitt-Petrovic, O., &amp; Kirby, K.</w:t>
                            </w:r>
                            <w:r>
                              <w:t xml:space="preserve"> (202</w:t>
                            </w:r>
                            <w:r w:rsidR="006E3162">
                              <w:t>2</w:t>
                            </w:r>
                            <w:r>
                              <w:t xml:space="preserve">). </w:t>
                            </w:r>
                            <w:r w:rsidRPr="00193FF4">
                              <w:t xml:space="preserve">Psychometric properties of the Cystic Fibrosis Eating Attitudes and </w:t>
                            </w:r>
                            <w:proofErr w:type="spellStart"/>
                            <w:r w:rsidRPr="00193FF4">
                              <w:t>Behaviours</w:t>
                            </w:r>
                            <w:proofErr w:type="spellEnd"/>
                            <w:r w:rsidRPr="00193FF4">
                              <w:t xml:space="preserve"> scale (CFEAB) in an adult population</w:t>
                            </w:r>
                            <w:r>
                              <w:t xml:space="preserve">. </w:t>
                            </w:r>
                            <w:r w:rsidRPr="00782289">
                              <w:rPr>
                                <w:i/>
                              </w:rPr>
                              <w:t>Journal</w:t>
                            </w:r>
                            <w:r>
                              <w:t xml:space="preserve"> </w:t>
                            </w:r>
                            <w:r w:rsidRPr="00A424E1">
                              <w:rPr>
                                <w:i/>
                              </w:rPr>
                              <w:t xml:space="preserve">of </w:t>
                            </w:r>
                            <w:r w:rsidRPr="00193FF4">
                              <w:rPr>
                                <w:i/>
                              </w:rPr>
                              <w:t>Psychosomatic Research</w:t>
                            </w:r>
                            <w:r>
                              <w:rPr>
                                <w:i/>
                              </w:rPr>
                              <w:t>.</w:t>
                            </w:r>
                            <w:r w:rsidR="009678EA">
                              <w:t>111123</w:t>
                            </w:r>
                            <w:r>
                              <w:t xml:space="preserve">. </w:t>
                            </w:r>
                            <w:hyperlink r:id="rId11" w:history="1">
                              <w:r w:rsidR="009678EA" w:rsidRPr="009F4D0E">
                                <w:rPr>
                                  <w:rStyle w:val="Hyperlink"/>
                                </w:rPr>
                                <w:t>https://doi.org/10.1016/j.jpsychores.2022.111123</w:t>
                              </w:r>
                            </w:hyperlink>
                            <w:r w:rsidR="009678EA">
                              <w:t xml:space="preserve">. </w:t>
                            </w:r>
                            <w:r>
                              <w:rPr>
                                <w:bCs/>
                              </w:rPr>
                              <w:t>Accepted 14-12-22.</w:t>
                            </w:r>
                          </w:p>
                          <w:p w14:paraId="4211B5C2" w14:textId="77777777" w:rsidR="00193FF4" w:rsidRDefault="00193FF4" w:rsidP="00193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66E79" id="_x0000_t202" coordsize="21600,21600" o:spt="202" path="m,l,21600r21600,l21600,xe">
                <v:stroke joinstyle="miter"/>
                <v:path gradientshapeok="t" o:connecttype="rect"/>
              </v:shapetype>
              <v:shape id="Text Box 2" o:spid="_x0000_s1026" type="#_x0000_t202" style="position:absolute;left:0;text-align:left;margin-left:0;margin-top:31.45pt;width:448.8pt;height:10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">
                <v:textbox>
                  <w:txbxContent>
                    <w:p w14:paraId="7CE6ECA7" w14:textId="64737462" w:rsidR="00193FF4" w:rsidRPr="00DF22B3" w:rsidRDefault="00193FF4" w:rsidP="00193FF4">
                      <w:pPr>
                        <w:spacing w:line="480" w:lineRule="auto"/>
                        <w:rPr>
                          <w:color w:val="0000FF" w:themeColor="hyperlink"/>
                          <w:u w:val="single"/>
                        </w:rPr>
                      </w:pPr>
                      <w:r>
                        <w:rPr>
                          <w:bCs/>
                        </w:rPr>
                        <w:t xml:space="preserve">To cite: </w:t>
                      </w:r>
                      <w:r w:rsidR="006E3162">
                        <w:rPr>
                          <w:bCs/>
                        </w:rPr>
                        <w:t xml:space="preserve">McHugh, R., </w:t>
                      </w:r>
                      <w:r w:rsidRPr="00DF22B3">
                        <w:rPr>
                          <w:bCs/>
                        </w:rPr>
                        <w:t>Vaughan, R. S.</w:t>
                      </w:r>
                      <w:r w:rsidR="006E3162">
                        <w:rPr>
                          <w:bCs/>
                        </w:rPr>
                        <w:t>, Duarte, C., McDevitt-Petrovic, O., &amp; Kirby, K.</w:t>
                      </w:r>
                      <w:r>
                        <w:t xml:space="preserve"> (202</w:t>
                      </w:r>
                      <w:r w:rsidR="006E3162">
                        <w:t>2</w:t>
                      </w:r>
                      <w:r>
                        <w:t xml:space="preserve">). </w:t>
                      </w:r>
                      <w:r w:rsidRPr="00193FF4">
                        <w:t xml:space="preserve">Psychometric properties of the Cystic Fibrosis Eating Attitudes and </w:t>
                      </w:r>
                      <w:proofErr w:type="spellStart"/>
                      <w:r w:rsidRPr="00193FF4">
                        <w:t>Behaviours</w:t>
                      </w:r>
                      <w:proofErr w:type="spellEnd"/>
                      <w:r w:rsidRPr="00193FF4">
                        <w:t xml:space="preserve"> scale (CFEAB) in an adult population</w:t>
                      </w:r>
                      <w:r>
                        <w:t xml:space="preserve">. </w:t>
                      </w:r>
                      <w:r w:rsidRPr="00782289">
                        <w:rPr>
                          <w:i/>
                        </w:rPr>
                        <w:t>Journal</w:t>
                      </w:r>
                      <w:r>
                        <w:t xml:space="preserve"> </w:t>
                      </w:r>
                      <w:r w:rsidRPr="00A424E1">
                        <w:rPr>
                          <w:i/>
                        </w:rPr>
                        <w:t xml:space="preserve">of </w:t>
                      </w:r>
                      <w:r w:rsidRPr="00193FF4">
                        <w:rPr>
                          <w:i/>
                        </w:rPr>
                        <w:t>Psychosomatic Research</w:t>
                      </w:r>
                      <w:r>
                        <w:rPr>
                          <w:i/>
                        </w:rPr>
                        <w:t>.</w:t>
                      </w:r>
                      <w:r w:rsidR="009678EA">
                        <w:t>111123</w:t>
                      </w:r>
                      <w:r>
                        <w:t xml:space="preserve">. </w:t>
                      </w:r>
                      <w:hyperlink r:id="rId12" w:history="1">
                        <w:r w:rsidR="009678EA" w:rsidRPr="009F4D0E">
                          <w:rPr>
                            <w:rStyle w:val="Hyperlink"/>
                          </w:rPr>
                          <w:t>https://doi.org/10.1016/j.jpsychores.2022.111123</w:t>
                        </w:r>
                      </w:hyperlink>
                      <w:r w:rsidR="009678EA">
                        <w:t xml:space="preserve">. </w:t>
                      </w:r>
                      <w:r>
                        <w:rPr>
                          <w:bCs/>
                        </w:rPr>
                        <w:t>Accepted 14-12-22.</w:t>
                      </w:r>
                    </w:p>
                    <w:p w14:paraId="4211B5C2" w14:textId="77777777" w:rsidR="00193FF4" w:rsidRDefault="00193FF4" w:rsidP="00193FF4"/>
                  </w:txbxContent>
                </v:textbox>
                <w10:wrap type="square" anchorx="margin"/>
              </v:shape>
            </w:pict>
          </mc:Fallback>
        </mc:AlternateContent>
      </w:r>
    </w:p>
    <w:p w14:paraId="4C6AF192" w14:textId="3F316F21" w:rsidR="00193FF4" w:rsidRDefault="00193FF4" w:rsidP="00193FF4">
      <w:pPr>
        <w:spacing w:line="480" w:lineRule="auto"/>
        <w:jc w:val="center"/>
        <w:rPr>
          <w:b/>
          <w:color w:val="000000" w:themeColor="text1"/>
        </w:rPr>
      </w:pPr>
    </w:p>
    <w:p w14:paraId="42619FF3" w14:textId="77777777" w:rsidR="006E3162" w:rsidRDefault="006E3162" w:rsidP="00193FF4">
      <w:pPr>
        <w:spacing w:line="480" w:lineRule="auto"/>
        <w:jc w:val="center"/>
        <w:rPr>
          <w:b/>
          <w:color w:val="000000" w:themeColor="text1"/>
        </w:rPr>
      </w:pPr>
    </w:p>
    <w:p w14:paraId="352C583C" w14:textId="3DC2422F" w:rsidR="00CB6AC6" w:rsidRPr="00615F05" w:rsidRDefault="00CB6AC6" w:rsidP="00193FF4">
      <w:pPr>
        <w:spacing w:line="480" w:lineRule="auto"/>
        <w:jc w:val="center"/>
        <w:rPr>
          <w:b/>
          <w:color w:val="000000" w:themeColor="text1"/>
        </w:rPr>
      </w:pPr>
      <w:r w:rsidRPr="00615F05">
        <w:rPr>
          <w:b/>
          <w:color w:val="000000" w:themeColor="text1"/>
        </w:rPr>
        <w:t xml:space="preserve">Psychometric properties of the </w:t>
      </w:r>
      <w:r w:rsidR="00B4317D" w:rsidRPr="00615F05">
        <w:rPr>
          <w:b/>
          <w:color w:val="000000" w:themeColor="text1"/>
        </w:rPr>
        <w:t xml:space="preserve">Cystic Fibrosis Eating Attitudes and </w:t>
      </w:r>
      <w:proofErr w:type="spellStart"/>
      <w:r w:rsidR="00B4317D" w:rsidRPr="00615F05">
        <w:rPr>
          <w:b/>
          <w:color w:val="000000" w:themeColor="text1"/>
        </w:rPr>
        <w:t>Behaviours</w:t>
      </w:r>
      <w:proofErr w:type="spellEnd"/>
      <w:r w:rsidR="00B4317D" w:rsidRPr="00615F05">
        <w:rPr>
          <w:b/>
          <w:color w:val="000000" w:themeColor="text1"/>
        </w:rPr>
        <w:t xml:space="preserve"> scale (</w:t>
      </w:r>
      <w:r w:rsidRPr="00615F05">
        <w:rPr>
          <w:b/>
          <w:color w:val="000000" w:themeColor="text1"/>
        </w:rPr>
        <w:t>CFEAB</w:t>
      </w:r>
      <w:r w:rsidR="00B4317D" w:rsidRPr="00615F05">
        <w:rPr>
          <w:b/>
          <w:color w:val="000000" w:themeColor="text1"/>
        </w:rPr>
        <w:t>)</w:t>
      </w:r>
      <w:r w:rsidR="007A5536" w:rsidRPr="00615F05">
        <w:rPr>
          <w:b/>
          <w:color w:val="000000" w:themeColor="text1"/>
        </w:rPr>
        <w:t xml:space="preserve"> in an adult population</w:t>
      </w:r>
      <w:r w:rsidRPr="00615F05">
        <w:rPr>
          <w:b/>
          <w:color w:val="000000" w:themeColor="text1"/>
        </w:rPr>
        <w:t>.</w:t>
      </w:r>
    </w:p>
    <w:p w14:paraId="0141B3D7" w14:textId="77777777" w:rsidR="00CB6AC6" w:rsidRPr="00615F05" w:rsidRDefault="00CB6AC6" w:rsidP="00193FF4">
      <w:pPr>
        <w:spacing w:line="480" w:lineRule="auto"/>
        <w:jc w:val="center"/>
        <w:rPr>
          <w:rFonts w:eastAsia="Times New Roman"/>
          <w:color w:val="000000" w:themeColor="text1"/>
          <w:lang w:eastAsia="en-GB"/>
        </w:rPr>
      </w:pPr>
    </w:p>
    <w:p w14:paraId="1F934A80" w14:textId="72335BCE" w:rsidR="006E3162" w:rsidRDefault="006E3162" w:rsidP="00193FF4">
      <w:pPr>
        <w:spacing w:line="480" w:lineRule="auto"/>
        <w:jc w:val="center"/>
        <w:rPr>
          <w:rFonts w:eastAsia="Times New Roman"/>
          <w:color w:val="000000" w:themeColor="text1"/>
          <w:lang w:eastAsia="en-GB"/>
        </w:rPr>
      </w:pPr>
    </w:p>
    <w:p w14:paraId="3755E473" w14:textId="77777777" w:rsidR="006E3162" w:rsidRPr="00615F05" w:rsidRDefault="006E3162" w:rsidP="00193FF4">
      <w:pPr>
        <w:spacing w:line="480" w:lineRule="auto"/>
        <w:jc w:val="center"/>
        <w:rPr>
          <w:rFonts w:eastAsia="Times New Roman"/>
          <w:color w:val="000000" w:themeColor="text1"/>
          <w:lang w:eastAsia="en-GB"/>
        </w:rPr>
      </w:pPr>
    </w:p>
    <w:p w14:paraId="4CDBC9C5" w14:textId="769B9856" w:rsidR="00CB6AC6" w:rsidRPr="00615F05" w:rsidRDefault="00CB6AC6" w:rsidP="00193FF4">
      <w:pPr>
        <w:spacing w:line="480" w:lineRule="auto"/>
        <w:jc w:val="center"/>
        <w:rPr>
          <w:rFonts w:eastAsia="Times New Roman"/>
          <w:color w:val="000000" w:themeColor="text1"/>
          <w:lang w:eastAsia="en-GB"/>
        </w:rPr>
      </w:pPr>
      <w:r w:rsidRPr="00615F05">
        <w:rPr>
          <w:rFonts w:eastAsia="Times New Roman"/>
          <w:color w:val="000000" w:themeColor="text1"/>
          <w:lang w:eastAsia="en-GB"/>
        </w:rPr>
        <w:t>Rachel Mc Hugh</w:t>
      </w:r>
      <w:r w:rsidRPr="00615F05">
        <w:rPr>
          <w:color w:val="000000" w:themeColor="text1"/>
          <w:vertAlign w:val="superscript"/>
        </w:rPr>
        <w:t>§</w:t>
      </w:r>
      <w:r w:rsidR="00193FF4">
        <w:rPr>
          <w:color w:val="000000" w:themeColor="text1"/>
          <w:vertAlign w:val="superscript"/>
        </w:rPr>
        <w:t>1</w:t>
      </w:r>
      <w:r w:rsidR="00193FF4">
        <w:rPr>
          <w:rFonts w:eastAsia="Times New Roman"/>
          <w:color w:val="000000" w:themeColor="text1"/>
          <w:lang w:eastAsia="en-GB"/>
        </w:rPr>
        <w:t xml:space="preserve">, </w:t>
      </w:r>
      <w:r w:rsidRPr="00615F05">
        <w:rPr>
          <w:rFonts w:eastAsia="Times New Roman"/>
          <w:color w:val="000000" w:themeColor="text1"/>
          <w:lang w:eastAsia="en-GB"/>
        </w:rPr>
        <w:t xml:space="preserve">Robert </w:t>
      </w:r>
      <w:r w:rsidR="00193FF4">
        <w:rPr>
          <w:rFonts w:eastAsia="Times New Roman"/>
          <w:color w:val="000000" w:themeColor="text1"/>
          <w:lang w:eastAsia="en-GB"/>
        </w:rPr>
        <w:t xml:space="preserve">S. </w:t>
      </w:r>
      <w:r w:rsidRPr="00615F05">
        <w:rPr>
          <w:rFonts w:eastAsia="Times New Roman"/>
          <w:color w:val="000000" w:themeColor="text1"/>
          <w:lang w:eastAsia="en-GB"/>
        </w:rPr>
        <w:t>Vaughan</w:t>
      </w:r>
      <w:r w:rsidR="00193FF4" w:rsidRPr="00193FF4">
        <w:rPr>
          <w:rFonts w:eastAsia="Times New Roman"/>
          <w:color w:val="000000" w:themeColor="text1"/>
          <w:vertAlign w:val="superscript"/>
          <w:lang w:eastAsia="en-GB"/>
        </w:rPr>
        <w:t>2</w:t>
      </w:r>
      <w:r w:rsidR="00193FF4">
        <w:rPr>
          <w:rFonts w:eastAsia="Times New Roman"/>
          <w:color w:val="000000" w:themeColor="text1"/>
          <w:lang w:eastAsia="en-GB"/>
        </w:rPr>
        <w:t xml:space="preserve">, </w:t>
      </w:r>
      <w:r w:rsidRPr="00615F05">
        <w:rPr>
          <w:rFonts w:eastAsia="Times New Roman"/>
          <w:color w:val="000000" w:themeColor="text1"/>
          <w:lang w:eastAsia="en-GB"/>
        </w:rPr>
        <w:t>Cristiana Duarte</w:t>
      </w:r>
      <w:r w:rsidR="00193FF4" w:rsidRPr="00193FF4">
        <w:rPr>
          <w:rFonts w:eastAsia="Times New Roman"/>
          <w:color w:val="000000" w:themeColor="text1"/>
          <w:vertAlign w:val="superscript"/>
          <w:lang w:eastAsia="en-GB"/>
        </w:rPr>
        <w:t>2</w:t>
      </w:r>
      <w:r w:rsidR="00193FF4">
        <w:rPr>
          <w:rFonts w:eastAsia="Times New Roman"/>
          <w:color w:val="000000" w:themeColor="text1"/>
          <w:lang w:eastAsia="en-GB"/>
        </w:rPr>
        <w:t xml:space="preserve">, </w:t>
      </w:r>
      <w:r w:rsidRPr="00615F05">
        <w:rPr>
          <w:rFonts w:eastAsia="Times New Roman"/>
          <w:color w:val="000000" w:themeColor="text1"/>
          <w:lang w:eastAsia="en-GB"/>
        </w:rPr>
        <w:t>Orla McDevitt-Petrovic</w:t>
      </w:r>
      <w:r w:rsidR="00193FF4" w:rsidRPr="00193FF4">
        <w:rPr>
          <w:rFonts w:eastAsia="Times New Roman"/>
          <w:color w:val="000000" w:themeColor="text1"/>
          <w:vertAlign w:val="superscript"/>
          <w:lang w:eastAsia="en-GB"/>
        </w:rPr>
        <w:t>1</w:t>
      </w:r>
      <w:r w:rsidR="00193FF4">
        <w:rPr>
          <w:rFonts w:eastAsia="Times New Roman"/>
          <w:color w:val="000000" w:themeColor="text1"/>
          <w:lang w:eastAsia="en-GB"/>
        </w:rPr>
        <w:t>, &amp;</w:t>
      </w:r>
    </w:p>
    <w:p w14:paraId="55268BBF" w14:textId="4A3024F6" w:rsidR="00CB6AC6" w:rsidRPr="00615F05" w:rsidRDefault="00CB6AC6" w:rsidP="00193FF4">
      <w:pPr>
        <w:spacing w:line="480" w:lineRule="auto"/>
        <w:jc w:val="center"/>
        <w:rPr>
          <w:rFonts w:eastAsia="Times New Roman"/>
          <w:color w:val="000000" w:themeColor="text1"/>
          <w:lang w:eastAsia="en-GB"/>
        </w:rPr>
      </w:pPr>
      <w:r w:rsidRPr="00615F05">
        <w:rPr>
          <w:rFonts w:eastAsia="Times New Roman"/>
          <w:color w:val="000000" w:themeColor="text1"/>
          <w:lang w:eastAsia="en-GB"/>
        </w:rPr>
        <w:t>Karen Kirby</w:t>
      </w:r>
      <w:r w:rsidR="00193FF4" w:rsidRPr="00193FF4">
        <w:rPr>
          <w:rFonts w:eastAsia="Times New Roman"/>
          <w:color w:val="000000" w:themeColor="text1"/>
          <w:vertAlign w:val="superscript"/>
          <w:lang w:eastAsia="en-GB"/>
        </w:rPr>
        <w:t>1</w:t>
      </w:r>
    </w:p>
    <w:p w14:paraId="741A29F3" w14:textId="7529D7EE" w:rsidR="006E3162" w:rsidRDefault="006E3162" w:rsidP="00193FF4">
      <w:pPr>
        <w:spacing w:line="480" w:lineRule="auto"/>
        <w:jc w:val="center"/>
        <w:rPr>
          <w:rFonts w:eastAsia="Times New Roman"/>
          <w:color w:val="000000" w:themeColor="text1"/>
          <w:lang w:eastAsia="en-GB"/>
        </w:rPr>
      </w:pPr>
    </w:p>
    <w:p w14:paraId="614DC297" w14:textId="77777777" w:rsidR="006E3162" w:rsidRDefault="006E3162" w:rsidP="00193FF4">
      <w:pPr>
        <w:spacing w:line="480" w:lineRule="auto"/>
        <w:jc w:val="center"/>
        <w:rPr>
          <w:rFonts w:eastAsia="Times New Roman"/>
          <w:color w:val="000000" w:themeColor="text1"/>
          <w:lang w:eastAsia="en-GB"/>
        </w:rPr>
      </w:pPr>
    </w:p>
    <w:p w14:paraId="0037EBB9" w14:textId="77777777" w:rsidR="006E3162" w:rsidRPr="00615F05" w:rsidRDefault="006E3162" w:rsidP="00193FF4">
      <w:pPr>
        <w:spacing w:line="480" w:lineRule="auto"/>
        <w:jc w:val="center"/>
        <w:rPr>
          <w:rFonts w:eastAsia="Times New Roman"/>
          <w:color w:val="000000" w:themeColor="text1"/>
          <w:lang w:eastAsia="en-GB"/>
        </w:rPr>
      </w:pPr>
    </w:p>
    <w:p w14:paraId="0BD5FE98" w14:textId="48D9EC84" w:rsidR="00193FF4" w:rsidRDefault="00193FF4" w:rsidP="00193FF4">
      <w:pPr>
        <w:spacing w:line="480" w:lineRule="auto"/>
        <w:jc w:val="center"/>
        <w:rPr>
          <w:rStyle w:val="LineNumber"/>
        </w:rPr>
      </w:pPr>
      <w:r w:rsidRPr="00DF22B3">
        <w:rPr>
          <w:rStyle w:val="LineNumber"/>
        </w:rPr>
        <w:t xml:space="preserve">— </w:t>
      </w:r>
      <w:r w:rsidR="00241251">
        <w:rPr>
          <w:rStyle w:val="LineNumber"/>
        </w:rPr>
        <w:t>5</w:t>
      </w:r>
      <w:r w:rsidRPr="00DF22B3">
        <w:rPr>
          <w:rStyle w:val="LineNumber"/>
        </w:rPr>
        <w:t xml:space="preserve">, </w:t>
      </w:r>
      <w:r w:rsidR="00241251">
        <w:rPr>
          <w:rStyle w:val="LineNumber"/>
        </w:rPr>
        <w:t>224</w:t>
      </w:r>
      <w:r w:rsidRPr="00DF22B3">
        <w:rPr>
          <w:rStyle w:val="LineNumber"/>
        </w:rPr>
        <w:t xml:space="preserve"> words </w:t>
      </w:r>
      <w:r>
        <w:rPr>
          <w:rStyle w:val="LineNumber"/>
        </w:rPr>
        <w:t xml:space="preserve">inclusive </w:t>
      </w:r>
      <w:r w:rsidRPr="00DF22B3">
        <w:rPr>
          <w:rStyle w:val="LineNumber"/>
        </w:rPr>
        <w:t>—</w:t>
      </w:r>
    </w:p>
    <w:p w14:paraId="5ED51380" w14:textId="2F5A0E70" w:rsidR="006E3162" w:rsidRDefault="006E3162" w:rsidP="00193FF4">
      <w:pPr>
        <w:spacing w:line="480" w:lineRule="auto"/>
        <w:jc w:val="center"/>
        <w:rPr>
          <w:rFonts w:eastAsia="Times New Roman"/>
          <w:color w:val="000000" w:themeColor="text1"/>
          <w:lang w:eastAsia="en-GB"/>
        </w:rPr>
      </w:pPr>
    </w:p>
    <w:p w14:paraId="2CE8989C" w14:textId="7F2F01E1" w:rsidR="006E3162" w:rsidRDefault="006E3162" w:rsidP="00193FF4">
      <w:pPr>
        <w:spacing w:line="480" w:lineRule="auto"/>
        <w:jc w:val="center"/>
        <w:rPr>
          <w:rFonts w:eastAsia="Times New Roman"/>
          <w:color w:val="000000" w:themeColor="text1"/>
          <w:lang w:eastAsia="en-GB"/>
        </w:rPr>
      </w:pPr>
    </w:p>
    <w:p w14:paraId="5ECDA921" w14:textId="77777777" w:rsidR="001444EE" w:rsidRPr="00615F05" w:rsidRDefault="001444EE" w:rsidP="00193FF4">
      <w:pPr>
        <w:spacing w:line="480" w:lineRule="auto"/>
        <w:jc w:val="center"/>
        <w:rPr>
          <w:rFonts w:eastAsia="Times New Roman"/>
          <w:color w:val="000000" w:themeColor="text1"/>
          <w:lang w:eastAsia="en-GB"/>
        </w:rPr>
      </w:pPr>
    </w:p>
    <w:p w14:paraId="337589A6" w14:textId="128A8BBA" w:rsidR="00CB6AC6" w:rsidRPr="00615F05" w:rsidRDefault="00CB6AC6" w:rsidP="00193FF4">
      <w:pPr>
        <w:spacing w:line="480" w:lineRule="auto"/>
        <w:jc w:val="center"/>
        <w:rPr>
          <w:rFonts w:eastAsia="Times New Roman"/>
          <w:color w:val="000000" w:themeColor="text1"/>
        </w:rPr>
      </w:pPr>
      <w:r w:rsidRPr="00615F05">
        <w:rPr>
          <w:color w:val="000000" w:themeColor="text1"/>
        </w:rPr>
        <w:t xml:space="preserve">Corresponding author </w:t>
      </w:r>
      <w:r w:rsidRPr="00615F05">
        <w:rPr>
          <w:color w:val="000000" w:themeColor="text1"/>
          <w:vertAlign w:val="superscript"/>
        </w:rPr>
        <w:t>§</w:t>
      </w:r>
      <w:r w:rsidRPr="00615F05">
        <w:rPr>
          <w:color w:val="000000" w:themeColor="text1"/>
        </w:rPr>
        <w:t xml:space="preserve"> –Rachel Mc Hugh, </w:t>
      </w:r>
      <w:r w:rsidR="00193FF4">
        <w:rPr>
          <w:color w:val="000000" w:themeColor="text1"/>
        </w:rPr>
        <w:t xml:space="preserve">School of Psychology, </w:t>
      </w:r>
      <w:r w:rsidR="00193FF4" w:rsidRPr="00615F05">
        <w:rPr>
          <w:color w:val="000000" w:themeColor="text1"/>
        </w:rPr>
        <w:t xml:space="preserve">Ulster University, </w:t>
      </w:r>
      <w:proofErr w:type="spellStart"/>
      <w:r w:rsidR="00193FF4" w:rsidRPr="00615F05">
        <w:rPr>
          <w:color w:val="000000" w:themeColor="text1"/>
        </w:rPr>
        <w:t>Cromore</w:t>
      </w:r>
      <w:proofErr w:type="spellEnd"/>
      <w:r w:rsidR="00193FF4" w:rsidRPr="00615F05">
        <w:rPr>
          <w:color w:val="000000" w:themeColor="text1"/>
        </w:rPr>
        <w:t xml:space="preserve"> Road, Coleraine, Northern Ireland, BT52 1SA, UK</w:t>
      </w:r>
      <w:r w:rsidR="00193FF4">
        <w:rPr>
          <w:color w:val="000000" w:themeColor="text1"/>
        </w:rPr>
        <w:t xml:space="preserve">, </w:t>
      </w:r>
      <w:r w:rsidRPr="00615F05">
        <w:rPr>
          <w:color w:val="000000" w:themeColor="text1"/>
        </w:rPr>
        <w:t xml:space="preserve">Tel: </w:t>
      </w:r>
      <w:r w:rsidRPr="00615F05">
        <w:rPr>
          <w:rFonts w:eastAsia="Times New Roman"/>
          <w:color w:val="000000" w:themeColor="text1"/>
          <w:shd w:val="clear" w:color="auto" w:fill="FFFFFF"/>
        </w:rPr>
        <w:t>02870123471</w:t>
      </w:r>
      <w:r w:rsidR="00193FF4">
        <w:rPr>
          <w:rFonts w:eastAsia="Times New Roman"/>
          <w:color w:val="000000" w:themeColor="text1"/>
          <w:shd w:val="clear" w:color="auto" w:fill="FFFFFF"/>
        </w:rPr>
        <w:t xml:space="preserve">, </w:t>
      </w:r>
      <w:r w:rsidRPr="00615F05">
        <w:rPr>
          <w:color w:val="000000" w:themeColor="text1"/>
        </w:rPr>
        <w:t>Email: r.mchugh@ulster.ac.uk</w:t>
      </w:r>
      <w:r w:rsidRPr="00615F05">
        <w:rPr>
          <w:color w:val="000000" w:themeColor="text1"/>
        </w:rPr>
        <w:br/>
      </w:r>
    </w:p>
    <w:p w14:paraId="1B4CCE3D" w14:textId="77777777" w:rsidR="00CB6AC6" w:rsidRPr="00615F05" w:rsidRDefault="00CB6AC6" w:rsidP="00B4317D">
      <w:pPr>
        <w:outlineLvl w:val="0"/>
        <w:rPr>
          <w:b/>
          <w:color w:val="000000" w:themeColor="text1"/>
        </w:rPr>
      </w:pPr>
    </w:p>
    <w:p w14:paraId="4A7AC3A8" w14:textId="77777777" w:rsidR="00587D89" w:rsidRPr="00615F05" w:rsidRDefault="00553B2D" w:rsidP="00587D89">
      <w:pPr>
        <w:spacing w:line="480" w:lineRule="auto"/>
        <w:jc w:val="center"/>
        <w:rPr>
          <w:b/>
          <w:color w:val="000000" w:themeColor="text1"/>
        </w:rPr>
      </w:pPr>
      <w:r w:rsidRPr="00615F05">
        <w:rPr>
          <w:b/>
          <w:color w:val="000000" w:themeColor="text1"/>
        </w:rPr>
        <w:t>Abstract</w:t>
      </w:r>
    </w:p>
    <w:p w14:paraId="6234B951" w14:textId="559989CE" w:rsidR="00112F39" w:rsidRPr="00615F05" w:rsidRDefault="00840F76" w:rsidP="00587D89">
      <w:pPr>
        <w:spacing w:line="480" w:lineRule="auto"/>
        <w:rPr>
          <w:color w:val="000000" w:themeColor="text1"/>
        </w:rPr>
      </w:pPr>
      <w:r w:rsidRPr="00615F05">
        <w:rPr>
          <w:b/>
          <w:bCs/>
          <w:color w:val="000000" w:themeColor="text1"/>
        </w:rPr>
        <w:t>Objective</w:t>
      </w:r>
      <w:r w:rsidR="00A9740C" w:rsidRPr="00615F05">
        <w:rPr>
          <w:b/>
          <w:bCs/>
          <w:color w:val="000000" w:themeColor="text1"/>
        </w:rPr>
        <w:t>s</w:t>
      </w:r>
      <w:r w:rsidRPr="00615F05">
        <w:rPr>
          <w:b/>
          <w:bCs/>
          <w:color w:val="000000" w:themeColor="text1"/>
        </w:rPr>
        <w:t>:</w:t>
      </w:r>
      <w:r w:rsidRPr="00615F05">
        <w:rPr>
          <w:color w:val="000000" w:themeColor="text1"/>
        </w:rPr>
        <w:t xml:space="preserve"> </w:t>
      </w:r>
      <w:r w:rsidR="007910E9" w:rsidRPr="00615F05">
        <w:rPr>
          <w:color w:val="000000" w:themeColor="text1"/>
        </w:rPr>
        <w:t>I</w:t>
      </w:r>
      <w:r w:rsidR="00110BF5" w:rsidRPr="00615F05">
        <w:rPr>
          <w:color w:val="000000" w:themeColor="text1"/>
        </w:rPr>
        <w:t xml:space="preserve">ndividuals with </w:t>
      </w:r>
      <w:r w:rsidR="007910E9" w:rsidRPr="00615F05">
        <w:rPr>
          <w:color w:val="000000" w:themeColor="text1"/>
        </w:rPr>
        <w:t xml:space="preserve">Cystic Fibrosis (CF) </w:t>
      </w:r>
      <w:r w:rsidR="00110BF5" w:rsidRPr="00615F05">
        <w:rPr>
          <w:color w:val="000000" w:themeColor="text1"/>
        </w:rPr>
        <w:t xml:space="preserve">may be at an increased risk of developing a range </w:t>
      </w:r>
      <w:r w:rsidR="00C160C9" w:rsidRPr="00615F05">
        <w:rPr>
          <w:color w:val="000000" w:themeColor="text1"/>
        </w:rPr>
        <w:t xml:space="preserve">of eating </w:t>
      </w:r>
      <w:r w:rsidR="00110BF5" w:rsidRPr="00615F05">
        <w:rPr>
          <w:color w:val="000000" w:themeColor="text1"/>
        </w:rPr>
        <w:t xml:space="preserve">difficulties. Scales designed to measure disordered eating in the general population do not cover CF-specific </w:t>
      </w:r>
      <w:proofErr w:type="spellStart"/>
      <w:r w:rsidR="00110BF5" w:rsidRPr="00615F05">
        <w:rPr>
          <w:color w:val="000000" w:themeColor="text1"/>
        </w:rPr>
        <w:t>behaviours</w:t>
      </w:r>
      <w:proofErr w:type="spellEnd"/>
      <w:r w:rsidR="007910E9" w:rsidRPr="00615F05">
        <w:rPr>
          <w:color w:val="000000" w:themeColor="text1"/>
        </w:rPr>
        <w:t xml:space="preserve"> resulting in a knowledge gap</w:t>
      </w:r>
      <w:r w:rsidR="00110BF5" w:rsidRPr="00615F05">
        <w:rPr>
          <w:color w:val="000000" w:themeColor="text1"/>
        </w:rPr>
        <w:t xml:space="preserve">. </w:t>
      </w:r>
      <w:r w:rsidR="007910E9" w:rsidRPr="00615F05">
        <w:rPr>
          <w:color w:val="000000" w:themeColor="text1"/>
        </w:rPr>
        <w:t xml:space="preserve">The CFEAB was developed as a CF-specific measure </w:t>
      </w:r>
      <w:r w:rsidR="00110BF5" w:rsidRPr="00615F05">
        <w:rPr>
          <w:color w:val="000000" w:themeColor="text1"/>
        </w:rPr>
        <w:t>assess</w:t>
      </w:r>
      <w:r w:rsidR="007910E9" w:rsidRPr="00615F05">
        <w:rPr>
          <w:color w:val="000000" w:themeColor="text1"/>
        </w:rPr>
        <w:t>ing</w:t>
      </w:r>
      <w:r w:rsidR="00110BF5" w:rsidRPr="00615F05">
        <w:rPr>
          <w:color w:val="000000" w:themeColor="text1"/>
        </w:rPr>
        <w:t xml:space="preserve"> eating </w:t>
      </w:r>
      <w:proofErr w:type="spellStart"/>
      <w:r w:rsidR="00110BF5" w:rsidRPr="00615F05">
        <w:rPr>
          <w:color w:val="000000" w:themeColor="text1"/>
        </w:rPr>
        <w:t>behaviours</w:t>
      </w:r>
      <w:proofErr w:type="spellEnd"/>
      <w:r w:rsidR="00110BF5" w:rsidRPr="00615F05">
        <w:rPr>
          <w:color w:val="000000" w:themeColor="text1"/>
        </w:rPr>
        <w:t xml:space="preserve"> and attitudes </w:t>
      </w:r>
      <w:r w:rsidR="007910E9" w:rsidRPr="00615F05">
        <w:rPr>
          <w:color w:val="000000" w:themeColor="text1"/>
        </w:rPr>
        <w:t>however little evidence exists regarding its psyc</w:t>
      </w:r>
      <w:r w:rsidRPr="00615F05">
        <w:rPr>
          <w:color w:val="000000" w:themeColor="text1"/>
        </w:rPr>
        <w:t xml:space="preserve">hometric quality. The aim of this cross-sectional </w:t>
      </w:r>
      <w:r w:rsidR="007910E9" w:rsidRPr="00615F05">
        <w:rPr>
          <w:color w:val="000000" w:themeColor="text1"/>
        </w:rPr>
        <w:t xml:space="preserve">study was to provide a robust assessment of its internal consistency, structural validity, and </w:t>
      </w:r>
      <w:r w:rsidR="00A9740C" w:rsidRPr="00615F05">
        <w:rPr>
          <w:color w:val="000000" w:themeColor="text1"/>
        </w:rPr>
        <w:t>criterion</w:t>
      </w:r>
      <w:r w:rsidR="007910E9" w:rsidRPr="00615F05">
        <w:rPr>
          <w:color w:val="000000" w:themeColor="text1"/>
        </w:rPr>
        <w:t xml:space="preserve"> </w:t>
      </w:r>
      <w:r w:rsidR="00A9740C" w:rsidRPr="00615F05">
        <w:rPr>
          <w:color w:val="000000" w:themeColor="text1"/>
        </w:rPr>
        <w:t>validity</w:t>
      </w:r>
      <w:r w:rsidR="007910E9" w:rsidRPr="00615F05">
        <w:rPr>
          <w:color w:val="000000" w:themeColor="text1"/>
        </w:rPr>
        <w:t>.</w:t>
      </w:r>
      <w:r w:rsidRPr="00615F05">
        <w:rPr>
          <w:color w:val="000000" w:themeColor="text1"/>
        </w:rPr>
        <w:t xml:space="preserve"> </w:t>
      </w:r>
      <w:r w:rsidRPr="00615F05">
        <w:rPr>
          <w:b/>
          <w:bCs/>
          <w:color w:val="000000" w:themeColor="text1"/>
        </w:rPr>
        <w:t>Methods:</w:t>
      </w:r>
      <w:r w:rsidR="007910E9" w:rsidRPr="00615F05">
        <w:rPr>
          <w:color w:val="000000" w:themeColor="text1"/>
        </w:rPr>
        <w:t xml:space="preserve"> One-hundred and thirty-two people with CF completed self-report scales pertaining to </w:t>
      </w:r>
      <w:r w:rsidR="00C74081" w:rsidRPr="00615F05">
        <w:rPr>
          <w:color w:val="000000" w:themeColor="text1"/>
        </w:rPr>
        <w:t>mental health</w:t>
      </w:r>
      <w:r w:rsidR="00DF059A" w:rsidRPr="00615F05">
        <w:rPr>
          <w:color w:val="000000" w:themeColor="text1"/>
        </w:rPr>
        <w:t xml:space="preserve">, eating disorders, </w:t>
      </w:r>
      <w:r w:rsidR="007910E9" w:rsidRPr="00615F05">
        <w:rPr>
          <w:color w:val="000000" w:themeColor="text1"/>
        </w:rPr>
        <w:t xml:space="preserve">and the </w:t>
      </w:r>
      <w:bookmarkStart w:id="0" w:name="_Hlk55172187"/>
      <w:r w:rsidR="00B4317D" w:rsidRPr="00615F05">
        <w:rPr>
          <w:color w:val="000000" w:themeColor="text1"/>
        </w:rPr>
        <w:t xml:space="preserve">Cystic Fibrosis Eating Attitudes and </w:t>
      </w:r>
      <w:proofErr w:type="spellStart"/>
      <w:r w:rsidR="00B4317D" w:rsidRPr="00615F05">
        <w:rPr>
          <w:color w:val="000000" w:themeColor="text1"/>
        </w:rPr>
        <w:t>Behaviours</w:t>
      </w:r>
      <w:proofErr w:type="spellEnd"/>
      <w:r w:rsidR="00B4317D" w:rsidRPr="00615F05">
        <w:rPr>
          <w:color w:val="000000" w:themeColor="text1"/>
        </w:rPr>
        <w:t xml:space="preserve"> (CFEAB). </w:t>
      </w:r>
      <w:r w:rsidRPr="00615F05">
        <w:rPr>
          <w:b/>
          <w:bCs/>
          <w:color w:val="000000" w:themeColor="text1"/>
        </w:rPr>
        <w:t>Results:</w:t>
      </w:r>
      <w:r w:rsidRPr="00615F05">
        <w:rPr>
          <w:color w:val="000000" w:themeColor="text1"/>
        </w:rPr>
        <w:t xml:space="preserve"> </w:t>
      </w:r>
      <w:r w:rsidR="00DF059A" w:rsidRPr="00615F05">
        <w:rPr>
          <w:color w:val="000000" w:themeColor="text1"/>
        </w:rPr>
        <w:t>Results</w:t>
      </w:r>
      <w:r w:rsidR="00112F39" w:rsidRPr="00615F05">
        <w:rPr>
          <w:color w:val="000000" w:themeColor="text1"/>
        </w:rPr>
        <w:t xml:space="preserve"> </w:t>
      </w:r>
      <w:r w:rsidR="008061A0" w:rsidRPr="00615F05">
        <w:rPr>
          <w:color w:val="000000" w:themeColor="text1"/>
        </w:rPr>
        <w:t xml:space="preserve">of exploratory structural equation modelling </w:t>
      </w:r>
      <w:r w:rsidR="00F923C1" w:rsidRPr="00615F05">
        <w:rPr>
          <w:color w:val="000000" w:themeColor="text1"/>
        </w:rPr>
        <w:t xml:space="preserve">indicated </w:t>
      </w:r>
      <w:r w:rsidR="00466781" w:rsidRPr="00615F05">
        <w:rPr>
          <w:color w:val="000000" w:themeColor="text1"/>
        </w:rPr>
        <w:t xml:space="preserve">that a three-factor structure produced good fit with </w:t>
      </w:r>
      <w:r w:rsidR="008061A0" w:rsidRPr="00615F05">
        <w:rPr>
          <w:color w:val="000000" w:themeColor="text1"/>
        </w:rPr>
        <w:t xml:space="preserve">the </w:t>
      </w:r>
      <w:r w:rsidR="00466781" w:rsidRPr="00615F05">
        <w:rPr>
          <w:color w:val="000000" w:themeColor="text1"/>
        </w:rPr>
        <w:t>24</w:t>
      </w:r>
      <w:r w:rsidR="008061A0" w:rsidRPr="00615F05">
        <w:rPr>
          <w:color w:val="000000" w:themeColor="text1"/>
        </w:rPr>
        <w:t>-</w:t>
      </w:r>
      <w:r w:rsidR="00466781" w:rsidRPr="00615F05">
        <w:rPr>
          <w:color w:val="000000" w:themeColor="text1"/>
        </w:rPr>
        <w:t>item</w:t>
      </w:r>
      <w:r w:rsidR="008061A0" w:rsidRPr="00615F05">
        <w:rPr>
          <w:color w:val="000000" w:themeColor="text1"/>
        </w:rPr>
        <w:t xml:space="preserve"> </w:t>
      </w:r>
      <w:proofErr w:type="gramStart"/>
      <w:r w:rsidR="008061A0" w:rsidRPr="00615F05">
        <w:rPr>
          <w:color w:val="000000" w:themeColor="text1"/>
        </w:rPr>
        <w:t>CFEAB</w:t>
      </w:r>
      <w:proofErr w:type="gramEnd"/>
      <w:r w:rsidR="00466781" w:rsidRPr="00615F05">
        <w:rPr>
          <w:color w:val="000000" w:themeColor="text1"/>
        </w:rPr>
        <w:t xml:space="preserve"> but </w:t>
      </w:r>
      <w:r w:rsidR="008061A0" w:rsidRPr="00615F05">
        <w:rPr>
          <w:color w:val="000000" w:themeColor="text1"/>
        </w:rPr>
        <w:t>a purified 12-item CFEAB displayed superior fit and internal consistency.</w:t>
      </w:r>
      <w:r w:rsidR="00466781" w:rsidRPr="00615F05">
        <w:rPr>
          <w:color w:val="000000" w:themeColor="text1"/>
        </w:rPr>
        <w:t xml:space="preserve"> </w:t>
      </w:r>
      <w:r w:rsidR="008061A0" w:rsidRPr="00615F05">
        <w:rPr>
          <w:color w:val="000000" w:themeColor="text1"/>
        </w:rPr>
        <w:t>Also, the 12-item scale predicted significant amounts of variance for anxiety, depression, and eating disorders</w:t>
      </w:r>
      <w:r w:rsidR="00C74081" w:rsidRPr="00615F05">
        <w:rPr>
          <w:color w:val="000000" w:themeColor="text1"/>
        </w:rPr>
        <w:t xml:space="preserve"> showing enhanced relevance for clinical use</w:t>
      </w:r>
      <w:r w:rsidR="008061A0" w:rsidRPr="00615F05">
        <w:rPr>
          <w:color w:val="000000" w:themeColor="text1"/>
        </w:rPr>
        <w:t>.</w:t>
      </w:r>
      <w:r w:rsidR="005C4796" w:rsidRPr="00615F05">
        <w:rPr>
          <w:color w:val="000000" w:themeColor="text1"/>
        </w:rPr>
        <w:t xml:space="preserve"> </w:t>
      </w:r>
      <w:r w:rsidRPr="00615F05">
        <w:rPr>
          <w:b/>
          <w:bCs/>
          <w:color w:val="000000" w:themeColor="text1"/>
        </w:rPr>
        <w:t>Conclusion</w:t>
      </w:r>
      <w:r w:rsidR="00A9740C" w:rsidRPr="00615F05">
        <w:rPr>
          <w:b/>
          <w:bCs/>
          <w:color w:val="000000" w:themeColor="text1"/>
        </w:rPr>
        <w:t>s</w:t>
      </w:r>
      <w:r w:rsidRPr="00615F05">
        <w:rPr>
          <w:b/>
          <w:bCs/>
          <w:color w:val="000000" w:themeColor="text1"/>
        </w:rPr>
        <w:t>:</w:t>
      </w:r>
      <w:r w:rsidRPr="00615F05">
        <w:rPr>
          <w:color w:val="000000" w:themeColor="text1"/>
        </w:rPr>
        <w:t xml:space="preserve"> </w:t>
      </w:r>
      <w:r w:rsidR="00112F39" w:rsidRPr="00615F05">
        <w:rPr>
          <w:color w:val="000000" w:themeColor="text1"/>
        </w:rPr>
        <w:t>The</w:t>
      </w:r>
      <w:r w:rsidR="00DF059A" w:rsidRPr="00615F05">
        <w:rPr>
          <w:color w:val="000000" w:themeColor="text1"/>
        </w:rPr>
        <w:t>se</w:t>
      </w:r>
      <w:r w:rsidR="00112F39" w:rsidRPr="00615F05">
        <w:rPr>
          <w:color w:val="000000" w:themeColor="text1"/>
        </w:rPr>
        <w:t xml:space="preserve"> findings add emphasis to the importance of the validation and development of CF-specific measures and the possible inclusion at clinics to </w:t>
      </w:r>
      <w:r w:rsidR="00DF059A" w:rsidRPr="00615F05">
        <w:rPr>
          <w:color w:val="000000" w:themeColor="text1"/>
        </w:rPr>
        <w:t>help improve CF patient care</w:t>
      </w:r>
      <w:r w:rsidR="00112F39" w:rsidRPr="00615F05">
        <w:rPr>
          <w:color w:val="000000" w:themeColor="text1"/>
        </w:rPr>
        <w:t>.</w:t>
      </w:r>
    </w:p>
    <w:bookmarkEnd w:id="0"/>
    <w:p w14:paraId="7B7C1060" w14:textId="77777777" w:rsidR="00DF059A" w:rsidRPr="00615F05" w:rsidRDefault="00DF059A" w:rsidP="00587D89">
      <w:pPr>
        <w:autoSpaceDE w:val="0"/>
        <w:autoSpaceDN w:val="0"/>
        <w:adjustRightInd w:val="0"/>
        <w:spacing w:line="480" w:lineRule="auto"/>
        <w:rPr>
          <w:b/>
          <w:color w:val="000000" w:themeColor="text1"/>
        </w:rPr>
      </w:pPr>
    </w:p>
    <w:p w14:paraId="6E06C0BA" w14:textId="0F1714DC" w:rsidR="00590D2D" w:rsidRPr="00615F05" w:rsidRDefault="00590D2D" w:rsidP="00587D89">
      <w:pPr>
        <w:autoSpaceDE w:val="0"/>
        <w:autoSpaceDN w:val="0"/>
        <w:adjustRightInd w:val="0"/>
        <w:spacing w:line="480" w:lineRule="auto"/>
        <w:rPr>
          <w:color w:val="000000" w:themeColor="text1"/>
        </w:rPr>
      </w:pPr>
      <w:r w:rsidRPr="00615F05">
        <w:rPr>
          <w:b/>
          <w:color w:val="000000" w:themeColor="text1"/>
        </w:rPr>
        <w:t>Keywords:</w:t>
      </w:r>
      <w:r w:rsidRPr="00615F05">
        <w:rPr>
          <w:color w:val="000000" w:themeColor="text1"/>
        </w:rPr>
        <w:t xml:space="preserve"> C</w:t>
      </w:r>
      <w:r w:rsidR="00840F76" w:rsidRPr="00615F05">
        <w:rPr>
          <w:color w:val="000000" w:themeColor="text1"/>
        </w:rPr>
        <w:t>FEAB, C</w:t>
      </w:r>
      <w:r w:rsidRPr="00615F05">
        <w:rPr>
          <w:color w:val="000000" w:themeColor="text1"/>
        </w:rPr>
        <w:t>ystic Fibrosis</w:t>
      </w:r>
      <w:r w:rsidR="00DF059A" w:rsidRPr="00615F05">
        <w:rPr>
          <w:color w:val="000000" w:themeColor="text1"/>
        </w:rPr>
        <w:t>;</w:t>
      </w:r>
      <w:r w:rsidRPr="00615F05">
        <w:rPr>
          <w:color w:val="000000" w:themeColor="text1"/>
        </w:rPr>
        <w:t xml:space="preserve"> Eati</w:t>
      </w:r>
      <w:r w:rsidR="00C160C9" w:rsidRPr="00615F05">
        <w:rPr>
          <w:color w:val="000000" w:themeColor="text1"/>
        </w:rPr>
        <w:t>ng Disorders</w:t>
      </w:r>
      <w:r w:rsidR="00DF059A" w:rsidRPr="00615F05">
        <w:rPr>
          <w:color w:val="000000" w:themeColor="text1"/>
        </w:rPr>
        <w:t>;</w:t>
      </w:r>
      <w:r w:rsidR="00C160C9" w:rsidRPr="00615F05">
        <w:rPr>
          <w:color w:val="000000" w:themeColor="text1"/>
        </w:rPr>
        <w:t xml:space="preserve"> </w:t>
      </w:r>
      <w:r w:rsidR="00792281" w:rsidRPr="00615F05">
        <w:rPr>
          <w:color w:val="000000" w:themeColor="text1"/>
        </w:rPr>
        <w:t>Exploratory S</w:t>
      </w:r>
      <w:r w:rsidR="00C74081" w:rsidRPr="00615F05">
        <w:rPr>
          <w:color w:val="000000" w:themeColor="text1"/>
        </w:rPr>
        <w:t xml:space="preserve">tructural Equation Modelling; </w:t>
      </w:r>
      <w:r w:rsidR="00792281" w:rsidRPr="00615F05">
        <w:rPr>
          <w:color w:val="000000" w:themeColor="text1"/>
        </w:rPr>
        <w:t>Internal Consistency</w:t>
      </w:r>
      <w:r w:rsidR="00C160C9" w:rsidRPr="00615F05">
        <w:rPr>
          <w:color w:val="000000" w:themeColor="text1"/>
        </w:rPr>
        <w:t>.</w:t>
      </w:r>
    </w:p>
    <w:p w14:paraId="3B8DA7D8" w14:textId="446CEC86" w:rsidR="00DF059A" w:rsidRPr="00615F05" w:rsidRDefault="00DF059A" w:rsidP="00587D89">
      <w:pPr>
        <w:autoSpaceDE w:val="0"/>
        <w:autoSpaceDN w:val="0"/>
        <w:adjustRightInd w:val="0"/>
        <w:spacing w:line="480" w:lineRule="auto"/>
        <w:rPr>
          <w:color w:val="000000" w:themeColor="text1"/>
        </w:rPr>
      </w:pPr>
    </w:p>
    <w:p w14:paraId="21BAAF77" w14:textId="11EA3975" w:rsidR="00DF059A" w:rsidRPr="00615F05" w:rsidRDefault="00DF059A" w:rsidP="00587D89">
      <w:pPr>
        <w:autoSpaceDE w:val="0"/>
        <w:autoSpaceDN w:val="0"/>
        <w:adjustRightInd w:val="0"/>
        <w:spacing w:line="480" w:lineRule="auto"/>
        <w:rPr>
          <w:color w:val="000000" w:themeColor="text1"/>
        </w:rPr>
      </w:pPr>
    </w:p>
    <w:p w14:paraId="61AAED15" w14:textId="75562594" w:rsidR="00DF059A" w:rsidRPr="00615F05" w:rsidRDefault="00DF059A" w:rsidP="00587D89">
      <w:pPr>
        <w:autoSpaceDE w:val="0"/>
        <w:autoSpaceDN w:val="0"/>
        <w:adjustRightInd w:val="0"/>
        <w:spacing w:line="480" w:lineRule="auto"/>
        <w:rPr>
          <w:color w:val="000000" w:themeColor="text1"/>
        </w:rPr>
      </w:pPr>
    </w:p>
    <w:p w14:paraId="04EC8EA3" w14:textId="0228BE0A" w:rsidR="00DF059A" w:rsidRPr="00615F05" w:rsidRDefault="00DF059A" w:rsidP="00587D89">
      <w:pPr>
        <w:autoSpaceDE w:val="0"/>
        <w:autoSpaceDN w:val="0"/>
        <w:adjustRightInd w:val="0"/>
        <w:spacing w:line="480" w:lineRule="auto"/>
        <w:rPr>
          <w:color w:val="000000" w:themeColor="text1"/>
        </w:rPr>
      </w:pPr>
    </w:p>
    <w:p w14:paraId="700F294C" w14:textId="10B03423" w:rsidR="00DF059A" w:rsidRPr="00615F05" w:rsidRDefault="00DF059A" w:rsidP="00587D89">
      <w:pPr>
        <w:autoSpaceDE w:val="0"/>
        <w:autoSpaceDN w:val="0"/>
        <w:adjustRightInd w:val="0"/>
        <w:spacing w:line="480" w:lineRule="auto"/>
        <w:rPr>
          <w:color w:val="000000" w:themeColor="text1"/>
        </w:rPr>
      </w:pPr>
    </w:p>
    <w:p w14:paraId="561BAC22" w14:textId="77777777" w:rsidR="00DF059A" w:rsidRPr="00615F05" w:rsidRDefault="00DF059A" w:rsidP="00587D89">
      <w:pPr>
        <w:autoSpaceDE w:val="0"/>
        <w:autoSpaceDN w:val="0"/>
        <w:adjustRightInd w:val="0"/>
        <w:spacing w:line="480" w:lineRule="auto"/>
        <w:rPr>
          <w:color w:val="000000" w:themeColor="text1"/>
        </w:rPr>
      </w:pPr>
    </w:p>
    <w:p w14:paraId="37AAA852" w14:textId="19DD5687" w:rsidR="00520C38" w:rsidRPr="00615F05" w:rsidRDefault="00655EE5" w:rsidP="00F82D6B">
      <w:pPr>
        <w:spacing w:line="480" w:lineRule="auto"/>
        <w:jc w:val="center"/>
        <w:rPr>
          <w:color w:val="000000" w:themeColor="text1"/>
        </w:rPr>
      </w:pPr>
      <w:r w:rsidRPr="00615F05">
        <w:rPr>
          <w:b/>
          <w:color w:val="000000" w:themeColor="text1"/>
        </w:rPr>
        <w:lastRenderedPageBreak/>
        <w:t>Introduction</w:t>
      </w:r>
    </w:p>
    <w:p w14:paraId="0FA03960" w14:textId="7D26B0D4" w:rsidR="0079676E" w:rsidRPr="00615F05" w:rsidRDefault="00B323A5" w:rsidP="000F0D28">
      <w:pPr>
        <w:autoSpaceDE w:val="0"/>
        <w:autoSpaceDN w:val="0"/>
        <w:adjustRightInd w:val="0"/>
        <w:spacing w:line="480" w:lineRule="auto"/>
        <w:ind w:firstLine="720"/>
        <w:rPr>
          <w:color w:val="000000" w:themeColor="text1"/>
        </w:rPr>
      </w:pPr>
      <w:r w:rsidRPr="00615F05">
        <w:rPr>
          <w:color w:val="000000" w:themeColor="text1"/>
        </w:rPr>
        <w:t xml:space="preserve">Cystic Fibrosis is a life threatening, genetic condition which affects </w:t>
      </w:r>
      <w:r w:rsidR="000C7B08" w:rsidRPr="00615F05">
        <w:rPr>
          <w:color w:val="000000" w:themeColor="text1"/>
        </w:rPr>
        <w:t>over</w:t>
      </w:r>
      <w:r w:rsidRPr="00615F05">
        <w:rPr>
          <w:color w:val="000000" w:themeColor="text1"/>
        </w:rPr>
        <w:t xml:space="preserve"> 100,000 </w:t>
      </w:r>
      <w:r w:rsidR="0074502F" w:rsidRPr="00615F05">
        <w:rPr>
          <w:color w:val="000000" w:themeColor="text1"/>
        </w:rPr>
        <w:t>individuals</w:t>
      </w:r>
      <w:r w:rsidRPr="00615F05">
        <w:rPr>
          <w:color w:val="000000" w:themeColor="text1"/>
        </w:rPr>
        <w:t xml:space="preserve"> worldwide (UK CF Registry, </w:t>
      </w:r>
      <w:r w:rsidR="000C7B08" w:rsidRPr="00615F05">
        <w:rPr>
          <w:color w:val="000000" w:themeColor="text1"/>
        </w:rPr>
        <w:t>2020</w:t>
      </w:r>
      <w:r w:rsidRPr="00615F05">
        <w:rPr>
          <w:color w:val="000000" w:themeColor="text1"/>
        </w:rPr>
        <w:t xml:space="preserve">). The majority </w:t>
      </w:r>
      <w:r w:rsidR="0074502F" w:rsidRPr="00615F05">
        <w:rPr>
          <w:color w:val="000000" w:themeColor="text1"/>
        </w:rPr>
        <w:t xml:space="preserve">affected </w:t>
      </w:r>
      <w:r w:rsidRPr="00615F05">
        <w:rPr>
          <w:rStyle w:val="CommentReference"/>
          <w:color w:val="000000" w:themeColor="text1"/>
          <w:sz w:val="24"/>
          <w:szCs w:val="24"/>
        </w:rPr>
        <w:t>d</w:t>
      </w:r>
      <w:r w:rsidRPr="00615F05">
        <w:rPr>
          <w:color w:val="000000" w:themeColor="text1"/>
        </w:rPr>
        <w:t>evelop recurrent and chronic infections, mucous plugging in the lungs</w:t>
      </w:r>
      <w:r w:rsidR="008C7B0E" w:rsidRPr="00615F05">
        <w:rPr>
          <w:color w:val="000000" w:themeColor="text1"/>
        </w:rPr>
        <w:t>,</w:t>
      </w:r>
      <w:r w:rsidRPr="00615F05">
        <w:rPr>
          <w:color w:val="000000" w:themeColor="text1"/>
        </w:rPr>
        <w:t xml:space="preserve"> and digestive problems </w:t>
      </w:r>
      <w:r w:rsidR="00036BDA" w:rsidRPr="00615F05">
        <w:rPr>
          <w:color w:val="000000" w:themeColor="text1"/>
        </w:rPr>
        <w:t>with</w:t>
      </w:r>
      <w:r w:rsidRPr="00615F05">
        <w:rPr>
          <w:color w:val="000000" w:themeColor="text1"/>
        </w:rPr>
        <w:t xml:space="preserve"> </w:t>
      </w:r>
      <w:r w:rsidR="00FE11FC" w:rsidRPr="00615F05">
        <w:rPr>
          <w:color w:val="000000" w:themeColor="text1"/>
        </w:rPr>
        <w:t xml:space="preserve">insufficient </w:t>
      </w:r>
      <w:r w:rsidRPr="00615F05">
        <w:rPr>
          <w:color w:val="000000" w:themeColor="text1"/>
        </w:rPr>
        <w:t>pancreatic enzymes (</w:t>
      </w:r>
      <w:r w:rsidR="000F0D28" w:rsidRPr="00615F05">
        <w:rPr>
          <w:color w:val="000000" w:themeColor="text1"/>
        </w:rPr>
        <w:t>Abbott et al., 2000).</w:t>
      </w:r>
      <w:r w:rsidR="00CB5D8D" w:rsidRPr="00615F05">
        <w:rPr>
          <w:color w:val="000000" w:themeColor="text1"/>
        </w:rPr>
        <w:t xml:space="preserve"> </w:t>
      </w:r>
      <w:r w:rsidRPr="00615F05">
        <w:rPr>
          <w:color w:val="000000" w:themeColor="text1"/>
        </w:rPr>
        <w:t xml:space="preserve">In recent years, better management and new therapies </w:t>
      </w:r>
      <w:r w:rsidR="00D720C0" w:rsidRPr="00615F05">
        <w:rPr>
          <w:color w:val="000000" w:themeColor="text1"/>
        </w:rPr>
        <w:t>are</w:t>
      </w:r>
      <w:r w:rsidRPr="00615F05">
        <w:rPr>
          <w:color w:val="000000" w:themeColor="text1"/>
        </w:rPr>
        <w:t xml:space="preserve"> leading to increasing survival rates (Sawicki, Sellers &amp; Robinson, 2011). Issues such as </w:t>
      </w:r>
      <w:r w:rsidR="00FE11FC" w:rsidRPr="00615F05">
        <w:rPr>
          <w:color w:val="000000" w:themeColor="text1"/>
        </w:rPr>
        <w:t xml:space="preserve">quality of life </w:t>
      </w:r>
      <w:r w:rsidRPr="00615F05">
        <w:rPr>
          <w:color w:val="000000" w:themeColor="text1"/>
        </w:rPr>
        <w:t xml:space="preserve">and psychological wellbeing </w:t>
      </w:r>
      <w:r w:rsidR="0079676E" w:rsidRPr="00615F05">
        <w:rPr>
          <w:color w:val="000000" w:themeColor="text1"/>
        </w:rPr>
        <w:t xml:space="preserve">are </w:t>
      </w:r>
      <w:r w:rsidR="000F0D28" w:rsidRPr="00615F05">
        <w:rPr>
          <w:color w:val="000000" w:themeColor="text1"/>
        </w:rPr>
        <w:t xml:space="preserve">now </w:t>
      </w:r>
      <w:proofErr w:type="spellStart"/>
      <w:r w:rsidR="000F0D28" w:rsidRPr="00615F05">
        <w:rPr>
          <w:color w:val="000000" w:themeColor="text1"/>
        </w:rPr>
        <w:t>recognised</w:t>
      </w:r>
      <w:proofErr w:type="spellEnd"/>
      <w:r w:rsidR="000F0D28" w:rsidRPr="00615F05">
        <w:rPr>
          <w:color w:val="000000" w:themeColor="text1"/>
        </w:rPr>
        <w:t xml:space="preserve"> as</w:t>
      </w:r>
      <w:r w:rsidRPr="00615F05">
        <w:rPr>
          <w:color w:val="000000" w:themeColor="text1"/>
        </w:rPr>
        <w:t xml:space="preserve"> significant factors</w:t>
      </w:r>
      <w:r w:rsidR="00CB5D8D" w:rsidRPr="00615F05">
        <w:rPr>
          <w:color w:val="000000" w:themeColor="text1"/>
        </w:rPr>
        <w:t xml:space="preserve"> in</w:t>
      </w:r>
      <w:r w:rsidR="00FA4311" w:rsidRPr="00615F05">
        <w:rPr>
          <w:color w:val="000000" w:themeColor="text1"/>
        </w:rPr>
        <w:t xml:space="preserve"> predicting longevity</w:t>
      </w:r>
      <w:r w:rsidRPr="00615F05">
        <w:rPr>
          <w:color w:val="000000" w:themeColor="text1"/>
        </w:rPr>
        <w:t xml:space="preserve"> (</w:t>
      </w:r>
      <w:proofErr w:type="spellStart"/>
      <w:r w:rsidRPr="00615F05">
        <w:rPr>
          <w:color w:val="000000" w:themeColor="text1"/>
        </w:rPr>
        <w:t>Szyndler</w:t>
      </w:r>
      <w:proofErr w:type="spellEnd"/>
      <w:r w:rsidR="000F3BB3" w:rsidRPr="00615F05">
        <w:rPr>
          <w:color w:val="000000" w:themeColor="text1"/>
        </w:rPr>
        <w:t xml:space="preserve"> et al.</w:t>
      </w:r>
      <w:r w:rsidRPr="00615F05">
        <w:rPr>
          <w:color w:val="000000" w:themeColor="text1"/>
        </w:rPr>
        <w:t>, 2005</w:t>
      </w:r>
      <w:r w:rsidR="00CB6AE6" w:rsidRPr="00615F05">
        <w:rPr>
          <w:color w:val="000000" w:themeColor="text1"/>
        </w:rPr>
        <w:t xml:space="preserve">; </w:t>
      </w:r>
      <w:proofErr w:type="spellStart"/>
      <w:r w:rsidR="00CB6AE6" w:rsidRPr="00615F05">
        <w:rPr>
          <w:color w:val="000000" w:themeColor="text1"/>
        </w:rPr>
        <w:t>Linkson</w:t>
      </w:r>
      <w:proofErr w:type="spellEnd"/>
      <w:r w:rsidR="00CB6AE6" w:rsidRPr="00615F05">
        <w:rPr>
          <w:color w:val="000000" w:themeColor="text1"/>
        </w:rPr>
        <w:t xml:space="preserve"> et el., 2018</w:t>
      </w:r>
      <w:r w:rsidRPr="00615F05">
        <w:rPr>
          <w:color w:val="000000" w:themeColor="text1"/>
        </w:rPr>
        <w:t>).</w:t>
      </w:r>
      <w:r w:rsidR="00980D01" w:rsidRPr="00615F05">
        <w:rPr>
          <w:color w:val="000000" w:themeColor="text1"/>
        </w:rPr>
        <w:t xml:space="preserve"> </w:t>
      </w:r>
      <w:r w:rsidR="00AB3451" w:rsidRPr="00615F05">
        <w:rPr>
          <w:color w:val="000000" w:themeColor="text1"/>
        </w:rPr>
        <w:t>Given the importance of diet and weight gain in the</w:t>
      </w:r>
      <w:r w:rsidR="0079676E" w:rsidRPr="00615F05">
        <w:rPr>
          <w:color w:val="000000" w:themeColor="text1"/>
        </w:rPr>
        <w:t xml:space="preserve"> management of CF</w:t>
      </w:r>
      <w:r w:rsidR="00AB3451" w:rsidRPr="00615F05">
        <w:rPr>
          <w:color w:val="000000" w:themeColor="text1"/>
        </w:rPr>
        <w:t xml:space="preserve"> treatment, a small body of research has begun to explore the issue of disordered eating in CF samples</w:t>
      </w:r>
      <w:r w:rsidR="00FA4311" w:rsidRPr="00615F05">
        <w:rPr>
          <w:color w:val="000000" w:themeColor="text1"/>
        </w:rPr>
        <w:t xml:space="preserve"> </w:t>
      </w:r>
      <w:r w:rsidR="00CB5D8D" w:rsidRPr="00615F05">
        <w:rPr>
          <w:color w:val="000000" w:themeColor="text1"/>
        </w:rPr>
        <w:t xml:space="preserve">(Gilchrist &amp; </w:t>
      </w:r>
      <w:proofErr w:type="spellStart"/>
      <w:r w:rsidR="00CB5D8D" w:rsidRPr="00615F05">
        <w:rPr>
          <w:color w:val="000000" w:themeColor="text1"/>
        </w:rPr>
        <w:t>Lenney</w:t>
      </w:r>
      <w:proofErr w:type="spellEnd"/>
      <w:r w:rsidR="00CB5D8D" w:rsidRPr="00615F05">
        <w:rPr>
          <w:color w:val="000000" w:themeColor="text1"/>
        </w:rPr>
        <w:t xml:space="preserve">, 2008). </w:t>
      </w:r>
      <w:r w:rsidR="0079676E" w:rsidRPr="00615F05">
        <w:rPr>
          <w:color w:val="000000" w:themeColor="text1"/>
        </w:rPr>
        <w:t xml:space="preserve">Nonetheless, </w:t>
      </w:r>
      <w:r w:rsidR="00716DBD" w:rsidRPr="00615F05">
        <w:rPr>
          <w:color w:val="000000" w:themeColor="text1"/>
        </w:rPr>
        <w:t xml:space="preserve">this literature </w:t>
      </w:r>
      <w:r w:rsidR="000438D5" w:rsidRPr="00615F05">
        <w:rPr>
          <w:color w:val="000000" w:themeColor="text1"/>
        </w:rPr>
        <w:t>is</w:t>
      </w:r>
      <w:r w:rsidR="00716DBD" w:rsidRPr="00615F05">
        <w:rPr>
          <w:color w:val="000000" w:themeColor="text1"/>
        </w:rPr>
        <w:t xml:space="preserve"> limited by measurement issues. </w:t>
      </w:r>
    </w:p>
    <w:p w14:paraId="1BCDE7F4" w14:textId="0058F24A" w:rsidR="002B5B2B" w:rsidRPr="00615F05" w:rsidRDefault="00AB3451" w:rsidP="00AC0B5B">
      <w:pPr>
        <w:spacing w:line="480" w:lineRule="auto"/>
        <w:ind w:firstLine="720"/>
        <w:rPr>
          <w:color w:val="000000" w:themeColor="text1"/>
          <w:bdr w:val="none" w:sz="0" w:space="0" w:color="auto" w:frame="1"/>
        </w:rPr>
      </w:pPr>
      <w:r w:rsidRPr="00615F05">
        <w:rPr>
          <w:color w:val="000000" w:themeColor="text1"/>
        </w:rPr>
        <w:t>Scales designed to measure disordered eating in the general population</w:t>
      </w:r>
      <w:r w:rsidR="00354603" w:rsidRPr="00615F05">
        <w:rPr>
          <w:color w:val="000000" w:themeColor="text1"/>
        </w:rPr>
        <w:t xml:space="preserve">, </w:t>
      </w:r>
      <w:r w:rsidR="00FB68DE" w:rsidRPr="00615F05">
        <w:rPr>
          <w:color w:val="000000" w:themeColor="text1"/>
        </w:rPr>
        <w:t>like</w:t>
      </w:r>
      <w:r w:rsidR="00354603" w:rsidRPr="00615F05">
        <w:rPr>
          <w:color w:val="000000" w:themeColor="text1"/>
        </w:rPr>
        <w:t xml:space="preserve"> the </w:t>
      </w:r>
      <w:r w:rsidR="00631CF2" w:rsidRPr="00615F05">
        <w:rPr>
          <w:color w:val="000000" w:themeColor="text1"/>
        </w:rPr>
        <w:t>‘EAT-26’</w:t>
      </w:r>
      <w:r w:rsidR="00354603" w:rsidRPr="00615F05">
        <w:rPr>
          <w:color w:val="000000" w:themeColor="text1"/>
        </w:rPr>
        <w:t xml:space="preserve"> (Garner </w:t>
      </w:r>
      <w:r w:rsidR="005772DA" w:rsidRPr="00615F05">
        <w:rPr>
          <w:color w:val="000000" w:themeColor="text1"/>
        </w:rPr>
        <w:t>et al.</w:t>
      </w:r>
      <w:r w:rsidR="00354603" w:rsidRPr="00615F05">
        <w:rPr>
          <w:color w:val="000000" w:themeColor="text1"/>
        </w:rPr>
        <w:t xml:space="preserve">, 1982), </w:t>
      </w:r>
      <w:r w:rsidRPr="00615F05">
        <w:rPr>
          <w:color w:val="000000" w:themeColor="text1"/>
        </w:rPr>
        <w:t xml:space="preserve">contain questions pertaining to lack of control </w:t>
      </w:r>
      <w:r w:rsidR="000438D5" w:rsidRPr="00615F05">
        <w:rPr>
          <w:color w:val="000000" w:themeColor="text1"/>
        </w:rPr>
        <w:t>of</w:t>
      </w:r>
      <w:r w:rsidRPr="00615F05">
        <w:rPr>
          <w:color w:val="000000" w:themeColor="text1"/>
        </w:rPr>
        <w:t xml:space="preserve"> eating high calorific food (e.g.</w:t>
      </w:r>
      <w:r w:rsidR="00490E25" w:rsidRPr="00615F05">
        <w:rPr>
          <w:color w:val="000000" w:themeColor="text1"/>
        </w:rPr>
        <w:t>,</w:t>
      </w:r>
      <w:r w:rsidRPr="00615F05">
        <w:rPr>
          <w:color w:val="000000" w:themeColor="text1"/>
        </w:rPr>
        <w:t xml:space="preserve"> bulimic-type </w:t>
      </w:r>
      <w:proofErr w:type="spellStart"/>
      <w:r w:rsidRPr="00615F05">
        <w:rPr>
          <w:color w:val="000000" w:themeColor="text1"/>
        </w:rPr>
        <w:t>behaviours</w:t>
      </w:r>
      <w:proofErr w:type="spellEnd"/>
      <w:r w:rsidRPr="00615F05">
        <w:rPr>
          <w:color w:val="000000" w:themeColor="text1"/>
        </w:rPr>
        <w:t>) or severe restriction of food (e.g.</w:t>
      </w:r>
      <w:r w:rsidR="00490E25" w:rsidRPr="00615F05">
        <w:rPr>
          <w:color w:val="000000" w:themeColor="text1"/>
        </w:rPr>
        <w:t>,</w:t>
      </w:r>
      <w:r w:rsidRPr="00615F05">
        <w:rPr>
          <w:color w:val="000000" w:themeColor="text1"/>
        </w:rPr>
        <w:t xml:space="preserve"> anorexic-type </w:t>
      </w:r>
      <w:proofErr w:type="spellStart"/>
      <w:r w:rsidRPr="00615F05">
        <w:rPr>
          <w:color w:val="000000" w:themeColor="text1"/>
        </w:rPr>
        <w:t>behaviours</w:t>
      </w:r>
      <w:proofErr w:type="spellEnd"/>
      <w:r w:rsidRPr="00615F05">
        <w:rPr>
          <w:color w:val="000000" w:themeColor="text1"/>
        </w:rPr>
        <w:t xml:space="preserve">). These scales do not cover CF-specific </w:t>
      </w:r>
      <w:proofErr w:type="spellStart"/>
      <w:r w:rsidRPr="00615F05">
        <w:rPr>
          <w:color w:val="000000" w:themeColor="text1"/>
        </w:rPr>
        <w:t>behaviours</w:t>
      </w:r>
      <w:proofErr w:type="spellEnd"/>
      <w:r w:rsidRPr="00615F05">
        <w:rPr>
          <w:color w:val="000000" w:themeColor="text1"/>
        </w:rPr>
        <w:t xml:space="preserve"> such as refusal to follow prescribed treatment as a mechanism to manipulate weight gain. Research demonstrates that </w:t>
      </w:r>
      <w:r w:rsidR="00225FED" w:rsidRPr="00615F05">
        <w:rPr>
          <w:color w:val="000000" w:themeColor="text1"/>
        </w:rPr>
        <w:t>ED</w:t>
      </w:r>
      <w:r w:rsidRPr="00615F05">
        <w:rPr>
          <w:color w:val="000000" w:themeColor="text1"/>
        </w:rPr>
        <w:t xml:space="preserve"> </w:t>
      </w:r>
      <w:proofErr w:type="spellStart"/>
      <w:r w:rsidRPr="00615F05">
        <w:rPr>
          <w:color w:val="000000" w:themeColor="text1"/>
        </w:rPr>
        <w:t>behaviours</w:t>
      </w:r>
      <w:proofErr w:type="spellEnd"/>
      <w:r w:rsidRPr="00615F05">
        <w:rPr>
          <w:color w:val="000000" w:themeColor="text1"/>
        </w:rPr>
        <w:t>, such as the manipulation of digestive enzyme medications ha</w:t>
      </w:r>
      <w:r w:rsidR="002B5B2B" w:rsidRPr="00615F05">
        <w:rPr>
          <w:color w:val="000000" w:themeColor="text1"/>
        </w:rPr>
        <w:t>ve</w:t>
      </w:r>
      <w:r w:rsidRPr="00615F05">
        <w:rPr>
          <w:color w:val="000000" w:themeColor="text1"/>
        </w:rPr>
        <w:t xml:space="preserve"> been discovered within the CF population (Byron, Shearer &amp; Davies, 2008)</w:t>
      </w:r>
      <w:r w:rsidR="002B5B2B" w:rsidRPr="00615F05">
        <w:rPr>
          <w:color w:val="000000" w:themeColor="text1"/>
        </w:rPr>
        <w:t xml:space="preserve"> along with r</w:t>
      </w:r>
      <w:r w:rsidRPr="00615F05">
        <w:rPr>
          <w:color w:val="000000" w:themeColor="text1"/>
        </w:rPr>
        <w:t>ecurrent episodes of binge eating, fasting, intense exercising, laxative misuse</w:t>
      </w:r>
      <w:r w:rsidR="002B5B2B" w:rsidRPr="00615F05">
        <w:rPr>
          <w:color w:val="000000" w:themeColor="text1"/>
        </w:rPr>
        <w:t>,</w:t>
      </w:r>
      <w:r w:rsidRPr="00615F05">
        <w:rPr>
          <w:color w:val="000000" w:themeColor="text1"/>
        </w:rPr>
        <w:t xml:space="preserve"> and insulin misuse </w:t>
      </w:r>
      <w:r w:rsidR="00642ED8" w:rsidRPr="00615F05">
        <w:rPr>
          <w:color w:val="000000" w:themeColor="text1"/>
        </w:rPr>
        <w:t>(Shearer &amp;</w:t>
      </w:r>
      <w:r w:rsidRPr="00615F05">
        <w:rPr>
          <w:color w:val="000000" w:themeColor="text1"/>
        </w:rPr>
        <w:t xml:space="preserve"> Byron, 2004</w:t>
      </w:r>
      <w:r w:rsidR="005C21C3" w:rsidRPr="00615F05">
        <w:rPr>
          <w:color w:val="000000" w:themeColor="text1"/>
        </w:rPr>
        <w:t xml:space="preserve">). </w:t>
      </w:r>
      <w:bookmarkStart w:id="1" w:name="_Hlk119017364"/>
      <w:r w:rsidR="00036BDA" w:rsidRPr="00615F05">
        <w:rPr>
          <w:color w:val="000000" w:themeColor="text1"/>
        </w:rPr>
        <w:t>I</w:t>
      </w:r>
      <w:r w:rsidR="005C21C3" w:rsidRPr="00615F05">
        <w:rPr>
          <w:color w:val="000000" w:themeColor="text1"/>
        </w:rPr>
        <w:t>ndividuals</w:t>
      </w:r>
      <w:r w:rsidR="002B5B2B" w:rsidRPr="00615F05">
        <w:rPr>
          <w:color w:val="000000" w:themeColor="text1"/>
        </w:rPr>
        <w:t xml:space="preserve"> with CF may be risk of developing a range of difficulties not covered by traditional diagnostic </w:t>
      </w:r>
      <w:r w:rsidR="005C21C3" w:rsidRPr="00615F05">
        <w:rPr>
          <w:color w:val="000000" w:themeColor="text1"/>
        </w:rPr>
        <w:t>categories</w:t>
      </w:r>
      <w:r w:rsidR="002B5B2B" w:rsidRPr="00615F05">
        <w:rPr>
          <w:color w:val="000000" w:themeColor="text1"/>
        </w:rPr>
        <w:t xml:space="preserve"> </w:t>
      </w:r>
      <w:r w:rsidR="00315FEF" w:rsidRPr="00615F05">
        <w:rPr>
          <w:color w:val="000000" w:themeColor="text1"/>
        </w:rPr>
        <w:t xml:space="preserve">often referred to as eating disorder not otherwise specified </w:t>
      </w:r>
      <w:r w:rsidR="005C21C3" w:rsidRPr="00615F05">
        <w:rPr>
          <w:color w:val="000000" w:themeColor="text1"/>
        </w:rPr>
        <w:t>(</w:t>
      </w:r>
      <w:r w:rsidR="002B5B2B" w:rsidRPr="00615F05">
        <w:rPr>
          <w:color w:val="000000" w:themeColor="text1"/>
        </w:rPr>
        <w:t xml:space="preserve">Quick </w:t>
      </w:r>
      <w:r w:rsidR="005772DA" w:rsidRPr="00615F05">
        <w:rPr>
          <w:color w:val="000000" w:themeColor="text1"/>
        </w:rPr>
        <w:t>et al.,</w:t>
      </w:r>
      <w:r w:rsidR="002B5B2B" w:rsidRPr="00615F05">
        <w:rPr>
          <w:color w:val="000000" w:themeColor="text1"/>
        </w:rPr>
        <w:t xml:space="preserve"> 2012; </w:t>
      </w:r>
      <w:proofErr w:type="spellStart"/>
      <w:r w:rsidR="002B5B2B" w:rsidRPr="00615F05">
        <w:rPr>
          <w:color w:val="000000" w:themeColor="text1"/>
        </w:rPr>
        <w:t>Conviser</w:t>
      </w:r>
      <w:proofErr w:type="spellEnd"/>
      <w:r w:rsidR="002B5B2B" w:rsidRPr="00615F05">
        <w:rPr>
          <w:color w:val="000000" w:themeColor="text1"/>
        </w:rPr>
        <w:t xml:space="preserve">, Fisher &amp; </w:t>
      </w:r>
      <w:proofErr w:type="spellStart"/>
      <w:r w:rsidR="002B5B2B" w:rsidRPr="00615F05">
        <w:rPr>
          <w:color w:val="000000" w:themeColor="text1"/>
        </w:rPr>
        <w:t>McColley</w:t>
      </w:r>
      <w:proofErr w:type="spellEnd"/>
      <w:r w:rsidR="002B5B2B" w:rsidRPr="00615F05">
        <w:rPr>
          <w:color w:val="000000" w:themeColor="text1"/>
        </w:rPr>
        <w:t>, 2018).</w:t>
      </w:r>
      <w:r w:rsidR="00FD1889" w:rsidRPr="00615F05">
        <w:rPr>
          <w:color w:val="000000" w:themeColor="text1"/>
        </w:rPr>
        <w:t xml:space="preserve"> </w:t>
      </w:r>
      <w:r w:rsidR="00315FEF" w:rsidRPr="00615F05">
        <w:rPr>
          <w:color w:val="000000" w:themeColor="text1"/>
        </w:rPr>
        <w:t>For example,</w:t>
      </w:r>
      <w:r w:rsidR="003E2709" w:rsidRPr="00615F05">
        <w:rPr>
          <w:color w:val="000000" w:themeColor="text1"/>
        </w:rPr>
        <w:t xml:space="preserve"> </w:t>
      </w:r>
      <w:r w:rsidR="00315FEF" w:rsidRPr="00615F05">
        <w:rPr>
          <w:color w:val="000000" w:themeColor="text1"/>
        </w:rPr>
        <w:t>i</w:t>
      </w:r>
      <w:r w:rsidR="003E2709" w:rsidRPr="00615F05">
        <w:rPr>
          <w:color w:val="000000" w:themeColor="text1"/>
        </w:rPr>
        <w:t xml:space="preserve">n a sample of women with CF, a quarter engaged in self-induced vomiting and medicine manipulation to control their weight (Quick &amp; </w:t>
      </w:r>
      <w:proofErr w:type="spellStart"/>
      <w:r w:rsidR="003E2709" w:rsidRPr="00615F05">
        <w:rPr>
          <w:color w:val="000000" w:themeColor="text1"/>
        </w:rPr>
        <w:t>Bryd-Bredbenner</w:t>
      </w:r>
      <w:proofErr w:type="spellEnd"/>
      <w:r w:rsidR="003E2709" w:rsidRPr="00615F05">
        <w:rPr>
          <w:color w:val="000000" w:themeColor="text1"/>
        </w:rPr>
        <w:t xml:space="preserve">, 2012). In </w:t>
      </w:r>
      <w:r w:rsidR="00315FEF" w:rsidRPr="00615F05">
        <w:rPr>
          <w:color w:val="000000" w:themeColor="text1"/>
        </w:rPr>
        <w:t>multiple</w:t>
      </w:r>
      <w:r w:rsidR="003E2709" w:rsidRPr="00615F05">
        <w:rPr>
          <w:color w:val="000000" w:themeColor="text1"/>
        </w:rPr>
        <w:t xml:space="preserve"> previous studies, CF patients did not meet the criteria for anorexia or bulimia nervosa </w:t>
      </w:r>
      <w:r w:rsidR="003E2709" w:rsidRPr="00615F05">
        <w:rPr>
          <w:color w:val="000000" w:themeColor="text1"/>
        </w:rPr>
        <w:lastRenderedPageBreak/>
        <w:t>(Raymond et al., 2000).</w:t>
      </w:r>
      <w:r w:rsidR="00315FEF" w:rsidRPr="00615F05">
        <w:rPr>
          <w:color w:val="000000" w:themeColor="text1"/>
        </w:rPr>
        <w:t xml:space="preserve"> </w:t>
      </w:r>
      <w:r w:rsidR="003E2709" w:rsidRPr="00615F05">
        <w:rPr>
          <w:color w:val="000000" w:themeColor="text1"/>
        </w:rPr>
        <w:t>Until recently, researchers and clinicians did not have at their disposal an appropriate tool to assess for eating-related difficulties among CF individuals</w:t>
      </w:r>
      <w:r w:rsidR="00315FEF" w:rsidRPr="00615F05">
        <w:rPr>
          <w:color w:val="000000" w:themeColor="text1"/>
        </w:rPr>
        <w:t xml:space="preserve"> providing rationale for the current work</w:t>
      </w:r>
      <w:r w:rsidR="003E2709" w:rsidRPr="00615F05">
        <w:rPr>
          <w:color w:val="000000" w:themeColor="text1"/>
        </w:rPr>
        <w:t>.</w:t>
      </w:r>
    </w:p>
    <w:bookmarkEnd w:id="1"/>
    <w:p w14:paraId="7279D3D7" w14:textId="52C95C43" w:rsidR="00AC0B5B" w:rsidRPr="00615F05" w:rsidRDefault="00AC0B5B" w:rsidP="00AC0B5B">
      <w:pPr>
        <w:widowControl w:val="0"/>
        <w:autoSpaceDE w:val="0"/>
        <w:autoSpaceDN w:val="0"/>
        <w:adjustRightInd w:val="0"/>
        <w:spacing w:line="480" w:lineRule="auto"/>
        <w:rPr>
          <w:color w:val="000000" w:themeColor="text1"/>
        </w:rPr>
      </w:pPr>
      <w:r w:rsidRPr="00615F05">
        <w:rPr>
          <w:color w:val="000000" w:themeColor="text1"/>
        </w:rPr>
        <w:t xml:space="preserve"> </w:t>
      </w:r>
      <w:r w:rsidRPr="00615F05">
        <w:rPr>
          <w:color w:val="000000" w:themeColor="text1"/>
        </w:rPr>
        <w:tab/>
      </w:r>
      <w:r w:rsidR="005C742E" w:rsidRPr="00615F05">
        <w:rPr>
          <w:color w:val="000000" w:themeColor="text1"/>
        </w:rPr>
        <w:t xml:space="preserve">A draft version of </w:t>
      </w:r>
      <w:r w:rsidR="00263D09" w:rsidRPr="00615F05">
        <w:rPr>
          <w:color w:val="000000" w:themeColor="text1"/>
        </w:rPr>
        <w:t>the CFEAB</w:t>
      </w:r>
      <w:r w:rsidR="005C742E" w:rsidRPr="00615F05">
        <w:rPr>
          <w:color w:val="000000" w:themeColor="text1"/>
        </w:rPr>
        <w:t xml:space="preserve"> was </w:t>
      </w:r>
      <w:r w:rsidR="00DB0913" w:rsidRPr="00615F05">
        <w:rPr>
          <w:color w:val="000000" w:themeColor="text1"/>
        </w:rPr>
        <w:t>developed with 29</w:t>
      </w:r>
      <w:r w:rsidR="00E214C8" w:rsidRPr="00615F05">
        <w:rPr>
          <w:color w:val="000000" w:themeColor="text1"/>
        </w:rPr>
        <w:t xml:space="preserve"> </w:t>
      </w:r>
      <w:r w:rsidR="005C742E" w:rsidRPr="00615F05">
        <w:rPr>
          <w:color w:val="000000" w:themeColor="text1"/>
        </w:rPr>
        <w:t xml:space="preserve">items for patients aged over 11 years old (Byron et al., 2006). </w:t>
      </w:r>
      <w:r w:rsidR="00FB68DE" w:rsidRPr="00615F05">
        <w:rPr>
          <w:color w:val="000000" w:themeColor="text1"/>
        </w:rPr>
        <w:t>Body</w:t>
      </w:r>
      <w:r w:rsidR="005C742E" w:rsidRPr="00615F05">
        <w:rPr>
          <w:color w:val="000000" w:themeColor="text1"/>
        </w:rPr>
        <w:t xml:space="preserve"> image questions were then removed, as the assessment of this was beyond the scope of the measure. </w:t>
      </w:r>
      <w:proofErr w:type="spellStart"/>
      <w:r w:rsidR="005C742E" w:rsidRPr="00615F05">
        <w:rPr>
          <w:color w:val="000000" w:themeColor="text1"/>
        </w:rPr>
        <w:t>Randlesome</w:t>
      </w:r>
      <w:proofErr w:type="spellEnd"/>
      <w:r w:rsidR="005C742E" w:rsidRPr="00615F05">
        <w:rPr>
          <w:color w:val="000000" w:themeColor="text1"/>
        </w:rPr>
        <w:t xml:space="preserve">, Byron and </w:t>
      </w:r>
      <w:proofErr w:type="spellStart"/>
      <w:r w:rsidR="005C742E" w:rsidRPr="00615F05">
        <w:rPr>
          <w:color w:val="000000" w:themeColor="text1"/>
        </w:rPr>
        <w:t>Evangeli</w:t>
      </w:r>
      <w:proofErr w:type="spellEnd"/>
      <w:r w:rsidR="005C742E" w:rsidRPr="00615F05">
        <w:rPr>
          <w:color w:val="000000" w:themeColor="text1"/>
        </w:rPr>
        <w:t>, (201</w:t>
      </w:r>
      <w:r w:rsidR="00B4317D" w:rsidRPr="00615F05">
        <w:rPr>
          <w:color w:val="000000" w:themeColor="text1"/>
        </w:rPr>
        <w:t>1</w:t>
      </w:r>
      <w:r w:rsidR="005C742E" w:rsidRPr="00615F05">
        <w:rPr>
          <w:color w:val="000000" w:themeColor="text1"/>
        </w:rPr>
        <w:t>) developed the CFEAB</w:t>
      </w:r>
      <w:r w:rsidR="005C742E" w:rsidRPr="00615F05" w:rsidDel="002B5B2B">
        <w:rPr>
          <w:color w:val="000000" w:themeColor="text1"/>
        </w:rPr>
        <w:t xml:space="preserve"> </w:t>
      </w:r>
      <w:r w:rsidR="005C742E" w:rsidRPr="00615F05">
        <w:rPr>
          <w:color w:val="000000" w:themeColor="text1"/>
        </w:rPr>
        <w:t>further</w:t>
      </w:r>
      <w:r w:rsidR="00263D09" w:rsidRPr="00615F05">
        <w:rPr>
          <w:color w:val="000000" w:themeColor="text1"/>
        </w:rPr>
        <w:t xml:space="preserve"> in a sample of 155 participants from one adult and two </w:t>
      </w:r>
      <w:proofErr w:type="spellStart"/>
      <w:r w:rsidR="00263D09" w:rsidRPr="00615F05">
        <w:rPr>
          <w:color w:val="000000" w:themeColor="text1"/>
        </w:rPr>
        <w:t>paediatric</w:t>
      </w:r>
      <w:proofErr w:type="spellEnd"/>
      <w:r w:rsidR="00263D09" w:rsidRPr="00615F05">
        <w:rPr>
          <w:color w:val="000000" w:themeColor="text1"/>
        </w:rPr>
        <w:t xml:space="preserve"> CF </w:t>
      </w:r>
      <w:proofErr w:type="spellStart"/>
      <w:r w:rsidR="00263D09" w:rsidRPr="00615F05">
        <w:rPr>
          <w:color w:val="000000" w:themeColor="text1"/>
        </w:rPr>
        <w:t>centres</w:t>
      </w:r>
      <w:proofErr w:type="spellEnd"/>
      <w:r w:rsidR="00263D09" w:rsidRPr="00615F05">
        <w:rPr>
          <w:color w:val="000000" w:themeColor="text1"/>
        </w:rPr>
        <w:t xml:space="preserve"> in London</w:t>
      </w:r>
      <w:r w:rsidR="005C742E" w:rsidRPr="00615F05">
        <w:rPr>
          <w:color w:val="000000" w:themeColor="text1"/>
        </w:rPr>
        <w:t xml:space="preserve">. Their 24-item self-report scale measures three factors of disordered eating; </w:t>
      </w:r>
      <w:r w:rsidR="005C742E" w:rsidRPr="00615F05">
        <w:rPr>
          <w:i/>
          <w:color w:val="000000" w:themeColor="text1"/>
        </w:rPr>
        <w:t>appetite</w:t>
      </w:r>
      <w:r w:rsidR="005C742E" w:rsidRPr="00615F05">
        <w:rPr>
          <w:color w:val="000000" w:themeColor="text1"/>
        </w:rPr>
        <w:t xml:space="preserve">, expressing general pleasure with eating </w:t>
      </w:r>
      <w:proofErr w:type="spellStart"/>
      <w:r w:rsidR="005C742E" w:rsidRPr="00615F05">
        <w:rPr>
          <w:color w:val="000000" w:themeColor="text1"/>
        </w:rPr>
        <w:t>behaviours</w:t>
      </w:r>
      <w:proofErr w:type="spellEnd"/>
      <w:r w:rsidR="005C742E" w:rsidRPr="00615F05">
        <w:rPr>
          <w:color w:val="000000" w:themeColor="text1"/>
        </w:rPr>
        <w:t xml:space="preserve">, </w:t>
      </w:r>
      <w:r w:rsidR="005C742E" w:rsidRPr="00615F05">
        <w:rPr>
          <w:i/>
          <w:color w:val="000000" w:themeColor="text1"/>
        </w:rPr>
        <w:t xml:space="preserve">disturbed </w:t>
      </w:r>
      <w:proofErr w:type="gramStart"/>
      <w:r w:rsidR="005C742E" w:rsidRPr="00615F05">
        <w:rPr>
          <w:i/>
          <w:color w:val="000000" w:themeColor="text1"/>
        </w:rPr>
        <w:t>eating</w:t>
      </w:r>
      <w:proofErr w:type="gramEnd"/>
      <w:r w:rsidR="005C742E" w:rsidRPr="00615F05">
        <w:rPr>
          <w:i/>
          <w:color w:val="000000" w:themeColor="text1"/>
        </w:rPr>
        <w:t xml:space="preserve"> and </w:t>
      </w:r>
      <w:proofErr w:type="spellStart"/>
      <w:r w:rsidR="005C742E" w:rsidRPr="00615F05">
        <w:rPr>
          <w:i/>
          <w:color w:val="000000" w:themeColor="text1"/>
        </w:rPr>
        <w:t>behaviours</w:t>
      </w:r>
      <w:proofErr w:type="spellEnd"/>
      <w:r w:rsidR="005C742E" w:rsidRPr="00615F05">
        <w:rPr>
          <w:color w:val="000000" w:themeColor="text1"/>
        </w:rPr>
        <w:t xml:space="preserve">, related to eating disordered psychopathology, and </w:t>
      </w:r>
      <w:r w:rsidR="005C742E" w:rsidRPr="00615F05">
        <w:rPr>
          <w:i/>
          <w:color w:val="000000" w:themeColor="text1"/>
        </w:rPr>
        <w:t>desire for thinness and weight loss</w:t>
      </w:r>
      <w:r w:rsidR="005C742E" w:rsidRPr="00615F05">
        <w:rPr>
          <w:color w:val="000000" w:themeColor="text1"/>
        </w:rPr>
        <w:t xml:space="preserve">, describing feelings about appearance and weight management. In </w:t>
      </w:r>
      <w:proofErr w:type="spellStart"/>
      <w:r w:rsidR="005C742E" w:rsidRPr="00615F05">
        <w:rPr>
          <w:color w:val="000000" w:themeColor="text1"/>
        </w:rPr>
        <w:t>Randlesome</w:t>
      </w:r>
      <w:proofErr w:type="spellEnd"/>
      <w:r w:rsidR="009C758F" w:rsidRPr="00615F05">
        <w:rPr>
          <w:color w:val="000000" w:themeColor="text1"/>
        </w:rPr>
        <w:t xml:space="preserve"> and colleagues (2011)</w:t>
      </w:r>
      <w:r w:rsidR="005C742E" w:rsidRPr="00615F05">
        <w:rPr>
          <w:color w:val="000000" w:themeColor="text1"/>
        </w:rPr>
        <w:t xml:space="preserve"> original study, alpha coefficients of each of the three subscales were: 0.92 (</w:t>
      </w:r>
      <w:r w:rsidR="005C742E" w:rsidRPr="00615F05">
        <w:rPr>
          <w:iCs/>
          <w:color w:val="000000" w:themeColor="text1"/>
        </w:rPr>
        <w:t>Desire for Thinness</w:t>
      </w:r>
      <w:r w:rsidR="005C742E" w:rsidRPr="00615F05">
        <w:rPr>
          <w:color w:val="000000" w:themeColor="text1"/>
        </w:rPr>
        <w:t>), 0.89 (</w:t>
      </w:r>
      <w:r w:rsidR="005C742E" w:rsidRPr="00615F05">
        <w:rPr>
          <w:iCs/>
          <w:color w:val="000000" w:themeColor="text1"/>
        </w:rPr>
        <w:t>Disturbed E</w:t>
      </w:r>
      <w:r w:rsidR="00E60DF0" w:rsidRPr="00615F05">
        <w:rPr>
          <w:iCs/>
          <w:color w:val="000000" w:themeColor="text1"/>
        </w:rPr>
        <w:t xml:space="preserve">ating Attitudes and </w:t>
      </w:r>
      <w:proofErr w:type="spellStart"/>
      <w:r w:rsidR="00E60DF0" w:rsidRPr="00615F05">
        <w:rPr>
          <w:iCs/>
          <w:color w:val="000000" w:themeColor="text1"/>
        </w:rPr>
        <w:t>Behaviours</w:t>
      </w:r>
      <w:proofErr w:type="spellEnd"/>
      <w:r w:rsidR="00E60DF0" w:rsidRPr="00615F05">
        <w:rPr>
          <w:iCs/>
          <w:color w:val="000000" w:themeColor="text1"/>
        </w:rPr>
        <w:t xml:space="preserve"> (DE</w:t>
      </w:r>
      <w:r w:rsidR="005C742E" w:rsidRPr="00615F05">
        <w:rPr>
          <w:iCs/>
          <w:color w:val="000000" w:themeColor="text1"/>
        </w:rPr>
        <w:t>ABs</w:t>
      </w:r>
      <w:r w:rsidR="005C742E" w:rsidRPr="00615F05">
        <w:rPr>
          <w:color w:val="000000" w:themeColor="text1"/>
        </w:rPr>
        <w:t>), 0.77 (</w:t>
      </w:r>
      <w:r w:rsidR="005C742E" w:rsidRPr="00615F05">
        <w:rPr>
          <w:iCs/>
          <w:color w:val="000000" w:themeColor="text1"/>
        </w:rPr>
        <w:t>Appetite</w:t>
      </w:r>
      <w:r w:rsidR="005C742E" w:rsidRPr="00615F05">
        <w:rPr>
          <w:color w:val="000000" w:themeColor="text1"/>
        </w:rPr>
        <w:t>). Three items that did not achieve content validity were re</w:t>
      </w:r>
      <w:r w:rsidR="00DB0913" w:rsidRPr="00615F05">
        <w:rPr>
          <w:color w:val="000000" w:themeColor="text1"/>
        </w:rPr>
        <w:t>moved, with 21-</w:t>
      </w:r>
      <w:r w:rsidR="005C742E" w:rsidRPr="00615F05">
        <w:rPr>
          <w:color w:val="000000" w:themeColor="text1"/>
        </w:rPr>
        <w:t xml:space="preserve">items remaining. </w:t>
      </w:r>
      <w:proofErr w:type="spellStart"/>
      <w:r w:rsidR="00263D09" w:rsidRPr="00615F05">
        <w:rPr>
          <w:color w:val="000000" w:themeColor="text1"/>
        </w:rPr>
        <w:t>Randlesome</w:t>
      </w:r>
      <w:proofErr w:type="spellEnd"/>
      <w:r w:rsidR="00263D09" w:rsidRPr="00615F05">
        <w:rPr>
          <w:color w:val="000000" w:themeColor="text1"/>
        </w:rPr>
        <w:t xml:space="preserve"> et al. (2013) concluded that the CFEAB demonstrated promising psychometric properties. </w:t>
      </w:r>
    </w:p>
    <w:p w14:paraId="0AEAE85B" w14:textId="17C5FFF0" w:rsidR="00CD3891" w:rsidRPr="00615F05" w:rsidRDefault="00036BDA" w:rsidP="009644B5">
      <w:pPr>
        <w:widowControl w:val="0"/>
        <w:autoSpaceDE w:val="0"/>
        <w:autoSpaceDN w:val="0"/>
        <w:adjustRightInd w:val="0"/>
        <w:spacing w:line="480" w:lineRule="auto"/>
        <w:ind w:firstLine="720"/>
        <w:rPr>
          <w:color w:val="000000" w:themeColor="text1"/>
        </w:rPr>
      </w:pPr>
      <w:r w:rsidRPr="00615F05">
        <w:rPr>
          <w:color w:val="000000" w:themeColor="text1"/>
        </w:rPr>
        <w:t>The</w:t>
      </w:r>
      <w:r w:rsidR="00AD268B" w:rsidRPr="00615F05">
        <w:rPr>
          <w:color w:val="000000" w:themeColor="text1"/>
        </w:rPr>
        <w:t xml:space="preserve"> researchers </w:t>
      </w:r>
      <w:r w:rsidR="003D4951" w:rsidRPr="00615F05">
        <w:rPr>
          <w:color w:val="000000" w:themeColor="text1"/>
        </w:rPr>
        <w:t xml:space="preserve">adopted an exploratory approach </w:t>
      </w:r>
      <w:r w:rsidR="00F978C8" w:rsidRPr="00615F05">
        <w:rPr>
          <w:color w:val="000000" w:themeColor="text1"/>
        </w:rPr>
        <w:t xml:space="preserve">providing only preliminary evidence of the </w:t>
      </w:r>
      <w:r w:rsidR="007767E3" w:rsidRPr="00615F05">
        <w:rPr>
          <w:color w:val="000000" w:themeColor="text1"/>
        </w:rPr>
        <w:t>scale’s</w:t>
      </w:r>
      <w:r w:rsidR="00F978C8" w:rsidRPr="00615F05">
        <w:rPr>
          <w:color w:val="000000" w:themeColor="text1"/>
        </w:rPr>
        <w:t xml:space="preserve"> </w:t>
      </w:r>
      <w:r w:rsidR="00AE15D8" w:rsidRPr="00615F05">
        <w:rPr>
          <w:color w:val="000000" w:themeColor="text1"/>
        </w:rPr>
        <w:t xml:space="preserve">psychometric properties. </w:t>
      </w:r>
      <w:r w:rsidR="0044571E" w:rsidRPr="00615F05">
        <w:rPr>
          <w:color w:val="000000" w:themeColor="text1"/>
        </w:rPr>
        <w:t>Thus, there is a need</w:t>
      </w:r>
      <w:r w:rsidR="00127C9B" w:rsidRPr="00615F05">
        <w:rPr>
          <w:color w:val="000000" w:themeColor="text1"/>
        </w:rPr>
        <w:t xml:space="preserve"> for </w:t>
      </w:r>
      <w:r w:rsidR="00F978C8" w:rsidRPr="00615F05">
        <w:rPr>
          <w:color w:val="000000" w:themeColor="text1"/>
        </w:rPr>
        <w:t xml:space="preserve">replication and further evaluation with more sophisticated analytical techniques before the CFEAB can be used in </w:t>
      </w:r>
      <w:r w:rsidR="007767E3" w:rsidRPr="00615F05">
        <w:rPr>
          <w:color w:val="000000" w:themeColor="text1"/>
        </w:rPr>
        <w:t>patient</w:t>
      </w:r>
      <w:r w:rsidR="00127C9B" w:rsidRPr="00615F05">
        <w:rPr>
          <w:color w:val="000000" w:themeColor="text1"/>
        </w:rPr>
        <w:t xml:space="preserve"> </w:t>
      </w:r>
      <w:r w:rsidR="00F978C8" w:rsidRPr="00615F05">
        <w:rPr>
          <w:color w:val="000000" w:themeColor="text1"/>
        </w:rPr>
        <w:t>settings (</w:t>
      </w:r>
      <w:proofErr w:type="spellStart"/>
      <w:r w:rsidR="00F978C8" w:rsidRPr="00615F05">
        <w:rPr>
          <w:color w:val="000000" w:themeColor="text1"/>
        </w:rPr>
        <w:t>Melhuish</w:t>
      </w:r>
      <w:proofErr w:type="spellEnd"/>
      <w:r w:rsidR="00F978C8" w:rsidRPr="00615F05">
        <w:rPr>
          <w:color w:val="000000" w:themeColor="text1"/>
        </w:rPr>
        <w:t xml:space="preserve">, 2013). </w:t>
      </w:r>
      <w:r w:rsidR="0044571E" w:rsidRPr="00615F05">
        <w:rPr>
          <w:color w:val="000000" w:themeColor="text1"/>
        </w:rPr>
        <w:t>E</w:t>
      </w:r>
      <w:r w:rsidR="00544A9E" w:rsidRPr="00615F05">
        <w:rPr>
          <w:color w:val="000000" w:themeColor="text1"/>
        </w:rPr>
        <w:t>xploratory factor analysis</w:t>
      </w:r>
      <w:r w:rsidR="00AD268B" w:rsidRPr="00615F05">
        <w:rPr>
          <w:color w:val="000000" w:themeColor="text1"/>
        </w:rPr>
        <w:t xml:space="preserve">, whilst appropriate in the validation context, </w:t>
      </w:r>
      <w:r w:rsidR="00A70530" w:rsidRPr="00615F05">
        <w:rPr>
          <w:color w:val="000000" w:themeColor="text1"/>
        </w:rPr>
        <w:t xml:space="preserve">is subject to measurement limitation due to its simplicity and increased subjectivity in identifying </w:t>
      </w:r>
      <w:r w:rsidR="00716DBD" w:rsidRPr="00615F05">
        <w:rPr>
          <w:color w:val="000000" w:themeColor="text1"/>
        </w:rPr>
        <w:t>a</w:t>
      </w:r>
      <w:r w:rsidR="00A70530" w:rsidRPr="00615F05">
        <w:rPr>
          <w:color w:val="000000" w:themeColor="text1"/>
        </w:rPr>
        <w:t xml:space="preserve"> factor solution (Russell, 2002). This may be particularly </w:t>
      </w:r>
      <w:r w:rsidR="0044571E" w:rsidRPr="00615F05">
        <w:rPr>
          <w:color w:val="000000" w:themeColor="text1"/>
        </w:rPr>
        <w:t xml:space="preserve">relevant in </w:t>
      </w:r>
      <w:proofErr w:type="spellStart"/>
      <w:r w:rsidR="0044571E" w:rsidRPr="00615F05">
        <w:rPr>
          <w:color w:val="000000" w:themeColor="text1"/>
        </w:rPr>
        <w:t>Randlesome</w:t>
      </w:r>
      <w:proofErr w:type="spellEnd"/>
      <w:r w:rsidR="0044571E" w:rsidRPr="00615F05">
        <w:rPr>
          <w:color w:val="000000" w:themeColor="text1"/>
        </w:rPr>
        <w:t xml:space="preserve"> and colleagues (2013)</w:t>
      </w:r>
      <w:r w:rsidR="00E8323F" w:rsidRPr="00615F05">
        <w:rPr>
          <w:color w:val="000000" w:themeColor="text1"/>
        </w:rPr>
        <w:t xml:space="preserve"> work</w:t>
      </w:r>
      <w:r w:rsidRPr="00615F05">
        <w:rPr>
          <w:color w:val="000000" w:themeColor="text1"/>
        </w:rPr>
        <w:t>, as r</w:t>
      </w:r>
      <w:r w:rsidR="004B4B7E" w:rsidRPr="00615F05">
        <w:rPr>
          <w:color w:val="000000" w:themeColor="text1"/>
        </w:rPr>
        <w:t>esearchers suggest at least four items per subscale (</w:t>
      </w:r>
      <w:proofErr w:type="spellStart"/>
      <w:r w:rsidR="004B4B7E" w:rsidRPr="00615F05">
        <w:rPr>
          <w:color w:val="000000" w:themeColor="text1"/>
        </w:rPr>
        <w:t>Comrey</w:t>
      </w:r>
      <w:proofErr w:type="spellEnd"/>
      <w:r w:rsidR="004B4B7E" w:rsidRPr="00615F05">
        <w:rPr>
          <w:color w:val="000000" w:themeColor="text1"/>
        </w:rPr>
        <w:t xml:space="preserve"> &amp; Le</w:t>
      </w:r>
      <w:r w:rsidR="00326524" w:rsidRPr="00615F05">
        <w:rPr>
          <w:color w:val="000000" w:themeColor="text1"/>
        </w:rPr>
        <w:t>e</w:t>
      </w:r>
      <w:r w:rsidR="009644B5" w:rsidRPr="00615F05">
        <w:rPr>
          <w:color w:val="000000" w:themeColor="text1"/>
        </w:rPr>
        <w:t>, 2013</w:t>
      </w:r>
      <w:r w:rsidR="004B4B7E" w:rsidRPr="00615F05">
        <w:rPr>
          <w:color w:val="000000" w:themeColor="text1"/>
        </w:rPr>
        <w:t xml:space="preserve">), however, </w:t>
      </w:r>
      <w:r w:rsidR="0044571E" w:rsidRPr="00615F05">
        <w:rPr>
          <w:color w:val="000000" w:themeColor="text1"/>
        </w:rPr>
        <w:t>factor three</w:t>
      </w:r>
      <w:r w:rsidR="00E8323F" w:rsidRPr="00615F05">
        <w:rPr>
          <w:color w:val="000000" w:themeColor="text1"/>
        </w:rPr>
        <w:t xml:space="preserve">, </w:t>
      </w:r>
      <w:r w:rsidR="0044571E" w:rsidRPr="00615F05">
        <w:rPr>
          <w:color w:val="000000" w:themeColor="text1"/>
        </w:rPr>
        <w:t>desire for thinness and weight loss</w:t>
      </w:r>
      <w:r w:rsidR="00E8323F" w:rsidRPr="00615F05">
        <w:rPr>
          <w:color w:val="000000" w:themeColor="text1"/>
        </w:rPr>
        <w:t xml:space="preserve">, </w:t>
      </w:r>
      <w:r w:rsidR="0044571E" w:rsidRPr="00615F05">
        <w:rPr>
          <w:color w:val="000000" w:themeColor="text1"/>
        </w:rPr>
        <w:t>was measured with only three items</w:t>
      </w:r>
      <w:r w:rsidR="00E8323F" w:rsidRPr="00615F05">
        <w:rPr>
          <w:color w:val="000000" w:themeColor="text1"/>
        </w:rPr>
        <w:t xml:space="preserve"> reducing its conceptual coverage in comparison to the </w:t>
      </w:r>
      <w:r w:rsidR="00E8323F" w:rsidRPr="00615F05">
        <w:rPr>
          <w:color w:val="000000" w:themeColor="text1"/>
        </w:rPr>
        <w:lastRenderedPageBreak/>
        <w:t>other two subscales</w:t>
      </w:r>
      <w:r w:rsidR="0044571E" w:rsidRPr="00615F05">
        <w:rPr>
          <w:color w:val="000000" w:themeColor="text1"/>
        </w:rPr>
        <w:t xml:space="preserve">. </w:t>
      </w:r>
      <w:r w:rsidR="004C069A" w:rsidRPr="00615F05">
        <w:rPr>
          <w:color w:val="000000" w:themeColor="text1"/>
        </w:rPr>
        <w:t>Finally, exploratory structural equation modelling (ESEM) offer</w:t>
      </w:r>
      <w:r w:rsidR="00716DBD" w:rsidRPr="00615F05">
        <w:rPr>
          <w:color w:val="000000" w:themeColor="text1"/>
        </w:rPr>
        <w:t>s</w:t>
      </w:r>
      <w:r w:rsidR="004C069A" w:rsidRPr="00615F05">
        <w:rPr>
          <w:color w:val="000000" w:themeColor="text1"/>
        </w:rPr>
        <w:t xml:space="preserve"> a method of </w:t>
      </w:r>
      <w:r w:rsidR="00716DBD" w:rsidRPr="00615F05">
        <w:rPr>
          <w:color w:val="000000" w:themeColor="text1"/>
        </w:rPr>
        <w:t>estimating</w:t>
      </w:r>
      <w:r w:rsidR="004C069A" w:rsidRPr="00615F05">
        <w:rPr>
          <w:color w:val="000000" w:themeColor="text1"/>
        </w:rPr>
        <w:t xml:space="preserve"> the CFEAB’s factor structure </w:t>
      </w:r>
      <w:r w:rsidR="00716DBD" w:rsidRPr="00615F05">
        <w:rPr>
          <w:color w:val="000000" w:themeColor="text1"/>
        </w:rPr>
        <w:t>addressing</w:t>
      </w:r>
      <w:r w:rsidR="004C069A" w:rsidRPr="00615F05">
        <w:rPr>
          <w:color w:val="000000" w:themeColor="text1"/>
        </w:rPr>
        <w:t xml:space="preserve"> the limitations of </w:t>
      </w:r>
      <w:proofErr w:type="spellStart"/>
      <w:r w:rsidR="004C069A" w:rsidRPr="00615F05">
        <w:rPr>
          <w:color w:val="000000" w:themeColor="text1"/>
        </w:rPr>
        <w:t>Randlesome</w:t>
      </w:r>
      <w:proofErr w:type="spellEnd"/>
      <w:r w:rsidR="004C069A" w:rsidRPr="00615F05">
        <w:rPr>
          <w:color w:val="000000" w:themeColor="text1"/>
        </w:rPr>
        <w:t xml:space="preserve"> et al. (2013). In this case, ESEM combines the advantages of exploratory factor analysis (e.g., allows for </w:t>
      </w:r>
      <w:r w:rsidR="007D7DBD" w:rsidRPr="00615F05">
        <w:rPr>
          <w:color w:val="000000" w:themeColor="text1"/>
        </w:rPr>
        <w:t xml:space="preserve">unrestricted intercorrelation between items and factors) and confirmatory factor analysis (e.g., estimation of model fit) therefore enabling researchers to determine redundancy in the item set and possible improvements in model fit (Vaughan &amp; Laborde, 2018). </w:t>
      </w:r>
    </w:p>
    <w:p w14:paraId="3DBDF97D" w14:textId="64DDD4CF" w:rsidR="00587D89" w:rsidRPr="00615F05" w:rsidRDefault="005B5D57" w:rsidP="005067C6">
      <w:pPr>
        <w:spacing w:line="480" w:lineRule="auto"/>
        <w:ind w:firstLine="720"/>
        <w:rPr>
          <w:color w:val="000000" w:themeColor="text1"/>
        </w:rPr>
      </w:pPr>
      <w:r w:rsidRPr="00615F05">
        <w:rPr>
          <w:color w:val="000000" w:themeColor="text1"/>
        </w:rPr>
        <w:t xml:space="preserve">The aim of the current work was twofold; first to assess the internal consistency and factor structure of the CFEAB using state-of-the-art procedures, and two, to determine the </w:t>
      </w:r>
      <w:r w:rsidR="009C758F" w:rsidRPr="00615F05">
        <w:rPr>
          <w:color w:val="000000" w:themeColor="text1"/>
        </w:rPr>
        <w:t>criterion</w:t>
      </w:r>
      <w:r w:rsidRPr="00615F05">
        <w:rPr>
          <w:color w:val="000000" w:themeColor="text1"/>
        </w:rPr>
        <w:t xml:space="preserve"> validity of the CFEAB by assessing its relationship with existing related measures of mental health and disordered eating. We predict that support will be found for the CFEAB’s reliability and validity. </w:t>
      </w:r>
    </w:p>
    <w:p w14:paraId="1ACF8E0B" w14:textId="796C11EF" w:rsidR="00684A49" w:rsidRPr="00615F05" w:rsidRDefault="00684A49" w:rsidP="00AD05BF">
      <w:pPr>
        <w:spacing w:line="480" w:lineRule="auto"/>
        <w:jc w:val="center"/>
        <w:rPr>
          <w:b/>
          <w:color w:val="000000" w:themeColor="text1"/>
        </w:rPr>
      </w:pPr>
      <w:r w:rsidRPr="00615F05">
        <w:rPr>
          <w:b/>
          <w:color w:val="000000" w:themeColor="text1"/>
        </w:rPr>
        <w:t>Methods</w:t>
      </w:r>
    </w:p>
    <w:p w14:paraId="5AF62832" w14:textId="77777777" w:rsidR="00315034" w:rsidRPr="00615F05" w:rsidRDefault="005C21C3" w:rsidP="005C21C3">
      <w:pPr>
        <w:spacing w:line="480" w:lineRule="auto"/>
        <w:rPr>
          <w:b/>
          <w:bCs/>
          <w:color w:val="000000" w:themeColor="text1"/>
        </w:rPr>
      </w:pPr>
      <w:r w:rsidRPr="00615F05">
        <w:rPr>
          <w:b/>
          <w:bCs/>
          <w:color w:val="000000" w:themeColor="text1"/>
        </w:rPr>
        <w:t>Participants</w:t>
      </w:r>
    </w:p>
    <w:p w14:paraId="5842BC68" w14:textId="647CB5E3" w:rsidR="00480EC6" w:rsidRPr="00615F05" w:rsidRDefault="00DD5FCE" w:rsidP="00480EC6">
      <w:pPr>
        <w:spacing w:line="480" w:lineRule="auto"/>
        <w:ind w:firstLine="720"/>
        <w:rPr>
          <w:color w:val="000000" w:themeColor="text1"/>
        </w:rPr>
      </w:pPr>
      <w:r w:rsidRPr="00615F05">
        <w:rPr>
          <w:color w:val="000000" w:themeColor="text1"/>
        </w:rPr>
        <w:t>The sample consisted of 132 (</w:t>
      </w:r>
      <w:r w:rsidRPr="00615F05">
        <w:rPr>
          <w:i/>
          <w:iCs/>
          <w:color w:val="000000" w:themeColor="text1"/>
        </w:rPr>
        <w:t>M</w:t>
      </w:r>
      <w:r w:rsidRPr="00615F05">
        <w:rPr>
          <w:i/>
          <w:iCs/>
          <w:color w:val="000000" w:themeColor="text1"/>
          <w:vertAlign w:val="superscript"/>
        </w:rPr>
        <w:t>age</w:t>
      </w:r>
      <w:r w:rsidRPr="00615F05">
        <w:rPr>
          <w:color w:val="000000" w:themeColor="text1"/>
        </w:rPr>
        <w:t xml:space="preserve"> = 29.70, </w:t>
      </w:r>
      <w:r w:rsidRPr="00615F05">
        <w:rPr>
          <w:i/>
          <w:iCs/>
          <w:color w:val="000000" w:themeColor="text1"/>
        </w:rPr>
        <w:t>SD</w:t>
      </w:r>
      <w:r w:rsidRPr="00615F05">
        <w:rPr>
          <w:color w:val="000000" w:themeColor="text1"/>
        </w:rPr>
        <w:t xml:space="preserve"> = 9.19; </w:t>
      </w:r>
      <w:r w:rsidR="00C44374" w:rsidRPr="00615F05">
        <w:rPr>
          <w:color w:val="000000" w:themeColor="text1"/>
        </w:rPr>
        <w:t xml:space="preserve">66.7% female) </w:t>
      </w:r>
      <w:r w:rsidRPr="00615F05">
        <w:rPr>
          <w:color w:val="000000" w:themeColor="text1"/>
        </w:rPr>
        <w:t>adults with CF recruited through online CF support groups</w:t>
      </w:r>
      <w:r w:rsidR="00E60DF0" w:rsidRPr="00615F05">
        <w:rPr>
          <w:color w:val="000000" w:themeColor="text1"/>
        </w:rPr>
        <w:t xml:space="preserve"> ranging from 18 to 72 years old</w:t>
      </w:r>
      <w:r w:rsidRPr="00615F05">
        <w:rPr>
          <w:color w:val="000000" w:themeColor="text1"/>
        </w:rPr>
        <w:t xml:space="preserve">. </w:t>
      </w:r>
      <w:r w:rsidR="00480EC6" w:rsidRPr="00615F05">
        <w:rPr>
          <w:color w:val="000000" w:themeColor="text1"/>
        </w:rPr>
        <w:t xml:space="preserve">In this sample possible </w:t>
      </w:r>
      <w:r w:rsidR="00225FED" w:rsidRPr="00615F05">
        <w:rPr>
          <w:color w:val="000000" w:themeColor="text1"/>
        </w:rPr>
        <w:t>ED</w:t>
      </w:r>
      <w:r w:rsidR="00480EC6" w:rsidRPr="00615F05">
        <w:rPr>
          <w:color w:val="000000" w:themeColor="text1"/>
        </w:rPr>
        <w:t xml:space="preserve"> diagnosis was high with 91% prevalence for ‘Bulimia’, 86% prevalence for ‘Oral Control’, and 94% for ‘Dieting’ according to the EAT-26 criteria of scores over 20 (Garner et al., 1982).</w:t>
      </w:r>
    </w:p>
    <w:p w14:paraId="748017EA" w14:textId="345E2DD9" w:rsidR="005C21C3" w:rsidRPr="00615F05" w:rsidRDefault="00C44374" w:rsidP="00C44374">
      <w:pPr>
        <w:spacing w:line="480" w:lineRule="auto"/>
        <w:ind w:firstLine="720"/>
        <w:rPr>
          <w:color w:val="000000" w:themeColor="text1"/>
        </w:rPr>
      </w:pPr>
      <w:r w:rsidRPr="00615F05">
        <w:rPr>
          <w:color w:val="000000" w:themeColor="text1"/>
        </w:rPr>
        <w:t xml:space="preserve">General ‘rules of thumb’ regarding sample size for factor analysis </w:t>
      </w:r>
      <w:r w:rsidR="00030BF3" w:rsidRPr="00615F05">
        <w:rPr>
          <w:color w:val="000000" w:themeColor="text1"/>
        </w:rPr>
        <w:t>w</w:t>
      </w:r>
      <w:r w:rsidR="00187332" w:rsidRPr="00615F05">
        <w:rPr>
          <w:color w:val="000000" w:themeColor="text1"/>
        </w:rPr>
        <w:t>ere</w:t>
      </w:r>
      <w:r w:rsidR="00030BF3" w:rsidRPr="00615F05">
        <w:rPr>
          <w:color w:val="000000" w:themeColor="text1"/>
        </w:rPr>
        <w:t xml:space="preserve"> followed </w:t>
      </w:r>
      <w:r w:rsidRPr="00615F05">
        <w:rPr>
          <w:color w:val="000000" w:themeColor="text1"/>
        </w:rPr>
        <w:t xml:space="preserve">with 100 participants considered the minimum (MacCallum </w:t>
      </w:r>
      <w:r w:rsidR="005772DA" w:rsidRPr="00615F05">
        <w:rPr>
          <w:color w:val="000000" w:themeColor="text1"/>
        </w:rPr>
        <w:t>et al.</w:t>
      </w:r>
      <w:r w:rsidRPr="00615F05">
        <w:rPr>
          <w:color w:val="000000" w:themeColor="text1"/>
        </w:rPr>
        <w:t xml:space="preserve">, 2001). </w:t>
      </w:r>
      <w:r w:rsidR="003F21F4" w:rsidRPr="00615F05">
        <w:rPr>
          <w:color w:val="000000" w:themeColor="text1"/>
        </w:rPr>
        <w:t xml:space="preserve">Power analysis suggested that a sample of 107 participants was required for multiple regression modelling with a medium effect size (0.15 at </w:t>
      </w:r>
      <w:r w:rsidR="00A530F3" w:rsidRPr="00615F05">
        <w:rPr>
          <w:i/>
          <w:iCs/>
          <w:color w:val="000000" w:themeColor="text1"/>
        </w:rPr>
        <w:t>p</w:t>
      </w:r>
      <w:r w:rsidR="005E0691" w:rsidRPr="00615F05">
        <w:rPr>
          <w:color w:val="000000" w:themeColor="text1"/>
        </w:rPr>
        <w:t xml:space="preserve"> </w:t>
      </w:r>
      <w:r w:rsidR="00A530F3" w:rsidRPr="00615F05">
        <w:rPr>
          <w:color w:val="000000" w:themeColor="text1"/>
        </w:rPr>
        <w:t>&lt;</w:t>
      </w:r>
      <w:r w:rsidR="005E0691" w:rsidRPr="00615F05">
        <w:rPr>
          <w:color w:val="000000" w:themeColor="text1"/>
        </w:rPr>
        <w:t xml:space="preserve"> </w:t>
      </w:r>
      <w:r w:rsidR="00A530F3" w:rsidRPr="00615F05">
        <w:rPr>
          <w:color w:val="000000" w:themeColor="text1"/>
        </w:rPr>
        <w:t>0.05</w:t>
      </w:r>
      <w:r w:rsidR="00A530F3" w:rsidRPr="00615F05">
        <w:rPr>
          <w:b/>
          <w:color w:val="000000" w:themeColor="text1"/>
        </w:rPr>
        <w:t xml:space="preserve"> </w:t>
      </w:r>
      <w:r w:rsidR="003F21F4" w:rsidRPr="00615F05">
        <w:rPr>
          <w:color w:val="000000" w:themeColor="text1"/>
        </w:rPr>
        <w:t xml:space="preserve">with 0.80 power) for the </w:t>
      </w:r>
      <w:r w:rsidR="009C758F" w:rsidRPr="00615F05">
        <w:rPr>
          <w:color w:val="000000" w:themeColor="text1"/>
        </w:rPr>
        <w:t>criterion</w:t>
      </w:r>
      <w:r w:rsidR="003F21F4" w:rsidRPr="00615F05">
        <w:rPr>
          <w:color w:val="000000" w:themeColor="text1"/>
        </w:rPr>
        <w:t xml:space="preserve"> validity assessment (G*Power; </w:t>
      </w:r>
      <w:proofErr w:type="spellStart"/>
      <w:r w:rsidR="003F21F4" w:rsidRPr="00615F05">
        <w:rPr>
          <w:color w:val="000000" w:themeColor="text1"/>
        </w:rPr>
        <w:t>Faul</w:t>
      </w:r>
      <w:proofErr w:type="spellEnd"/>
      <w:r w:rsidR="003F21F4" w:rsidRPr="00615F05">
        <w:rPr>
          <w:color w:val="000000" w:themeColor="text1"/>
        </w:rPr>
        <w:t xml:space="preserve"> </w:t>
      </w:r>
      <w:r w:rsidR="005772DA" w:rsidRPr="00615F05">
        <w:rPr>
          <w:color w:val="000000" w:themeColor="text1"/>
        </w:rPr>
        <w:t>et al.</w:t>
      </w:r>
      <w:r w:rsidR="003F21F4" w:rsidRPr="00615F05">
        <w:rPr>
          <w:color w:val="000000" w:themeColor="text1"/>
        </w:rPr>
        <w:t>, 2007).</w:t>
      </w:r>
      <w:r w:rsidR="00000C5D" w:rsidRPr="00615F05">
        <w:rPr>
          <w:color w:val="000000" w:themeColor="text1"/>
        </w:rPr>
        <w:br/>
      </w:r>
    </w:p>
    <w:p w14:paraId="63C612D0" w14:textId="77777777" w:rsidR="00315034" w:rsidRPr="00615F05" w:rsidRDefault="005C21C3" w:rsidP="00315034">
      <w:pPr>
        <w:spacing w:line="480" w:lineRule="auto"/>
        <w:rPr>
          <w:b/>
          <w:bCs/>
          <w:color w:val="000000" w:themeColor="text1"/>
        </w:rPr>
      </w:pPr>
      <w:r w:rsidRPr="00615F05">
        <w:rPr>
          <w:b/>
          <w:bCs/>
          <w:color w:val="000000" w:themeColor="text1"/>
        </w:rPr>
        <w:lastRenderedPageBreak/>
        <w:t>Materials</w:t>
      </w:r>
    </w:p>
    <w:p w14:paraId="083F50CC" w14:textId="2BE1EAE2" w:rsidR="00474D23" w:rsidRPr="00615F05" w:rsidRDefault="005C21C3" w:rsidP="005C742E">
      <w:pPr>
        <w:spacing w:line="480" w:lineRule="auto"/>
        <w:ind w:firstLine="720"/>
        <w:rPr>
          <w:color w:val="000000" w:themeColor="text1"/>
        </w:rPr>
      </w:pPr>
      <w:r w:rsidRPr="00615F05">
        <w:rPr>
          <w:color w:val="000000" w:themeColor="text1"/>
        </w:rPr>
        <w:t xml:space="preserve">The </w:t>
      </w:r>
      <w:r w:rsidR="009D4035" w:rsidRPr="00615F05">
        <w:rPr>
          <w:color w:val="000000" w:themeColor="text1"/>
        </w:rPr>
        <w:t>CFEAB</w:t>
      </w:r>
      <w:r w:rsidR="00315034" w:rsidRPr="00615F05">
        <w:rPr>
          <w:color w:val="000000" w:themeColor="text1"/>
        </w:rPr>
        <w:t xml:space="preserve"> </w:t>
      </w:r>
      <w:r w:rsidRPr="00615F05">
        <w:rPr>
          <w:color w:val="000000" w:themeColor="text1"/>
        </w:rPr>
        <w:t>(</w:t>
      </w:r>
      <w:bookmarkStart w:id="2" w:name="_Hlk91010326"/>
      <w:proofErr w:type="spellStart"/>
      <w:r w:rsidRPr="00615F05">
        <w:rPr>
          <w:color w:val="000000" w:themeColor="text1"/>
        </w:rPr>
        <w:t>Randlesome</w:t>
      </w:r>
      <w:proofErr w:type="spellEnd"/>
      <w:r w:rsidR="00315034" w:rsidRPr="00615F05">
        <w:rPr>
          <w:color w:val="000000" w:themeColor="text1"/>
        </w:rPr>
        <w:t xml:space="preserve"> et al.</w:t>
      </w:r>
      <w:r w:rsidRPr="00615F05">
        <w:rPr>
          <w:color w:val="000000" w:themeColor="text1"/>
        </w:rPr>
        <w:t>, 2013</w:t>
      </w:r>
      <w:bookmarkEnd w:id="2"/>
      <w:r w:rsidRPr="00615F05">
        <w:rPr>
          <w:color w:val="000000" w:themeColor="text1"/>
        </w:rPr>
        <w:t xml:space="preserve">) is a 24-item self-report measure assessing eating attitudes and </w:t>
      </w:r>
      <w:proofErr w:type="spellStart"/>
      <w:r w:rsidRPr="00615F05">
        <w:rPr>
          <w:color w:val="000000" w:themeColor="text1"/>
        </w:rPr>
        <w:t>behaviours</w:t>
      </w:r>
      <w:proofErr w:type="spellEnd"/>
      <w:r w:rsidRPr="00615F05">
        <w:rPr>
          <w:color w:val="000000" w:themeColor="text1"/>
        </w:rPr>
        <w:t xml:space="preserve"> specific to a CF population. </w:t>
      </w:r>
      <w:r w:rsidR="009D4035" w:rsidRPr="00615F05">
        <w:rPr>
          <w:color w:val="000000" w:themeColor="text1"/>
        </w:rPr>
        <w:t xml:space="preserve">The scale captures three </w:t>
      </w:r>
      <w:proofErr w:type="gramStart"/>
      <w:r w:rsidR="009D4035" w:rsidRPr="00615F05">
        <w:rPr>
          <w:color w:val="000000" w:themeColor="text1"/>
        </w:rPr>
        <w:t>factors</w:t>
      </w:r>
      <w:r w:rsidR="00F82D6B" w:rsidRPr="00615F05">
        <w:rPr>
          <w:color w:val="000000" w:themeColor="text1"/>
        </w:rPr>
        <w:t>;</w:t>
      </w:r>
      <w:proofErr w:type="gramEnd"/>
      <w:r w:rsidR="009D4035" w:rsidRPr="00615F05">
        <w:rPr>
          <w:color w:val="000000" w:themeColor="text1"/>
        </w:rPr>
        <w:t xml:space="preserve"> Desire for Thinness</w:t>
      </w:r>
      <w:r w:rsidR="00F82D6B" w:rsidRPr="00615F05">
        <w:rPr>
          <w:color w:val="000000" w:themeColor="text1"/>
        </w:rPr>
        <w:t xml:space="preserve">, </w:t>
      </w:r>
      <w:r w:rsidR="009D4035" w:rsidRPr="00615F05">
        <w:rPr>
          <w:color w:val="000000" w:themeColor="text1"/>
        </w:rPr>
        <w:t>Appetite</w:t>
      </w:r>
      <w:r w:rsidR="00F82D6B" w:rsidRPr="00615F05">
        <w:rPr>
          <w:color w:val="000000" w:themeColor="text1"/>
        </w:rPr>
        <w:t xml:space="preserve"> </w:t>
      </w:r>
      <w:r w:rsidR="009D4035" w:rsidRPr="00615F05">
        <w:rPr>
          <w:color w:val="000000" w:themeColor="text1"/>
        </w:rPr>
        <w:t>and Disturbed E</w:t>
      </w:r>
      <w:r w:rsidR="00F2345C" w:rsidRPr="00615F05">
        <w:rPr>
          <w:color w:val="000000" w:themeColor="text1"/>
        </w:rPr>
        <w:t xml:space="preserve">ating Attitudes and </w:t>
      </w:r>
      <w:proofErr w:type="spellStart"/>
      <w:r w:rsidR="00F2345C" w:rsidRPr="00615F05">
        <w:rPr>
          <w:color w:val="000000" w:themeColor="text1"/>
        </w:rPr>
        <w:t>Behaviours</w:t>
      </w:r>
      <w:proofErr w:type="spellEnd"/>
      <w:r w:rsidR="00F82D6B" w:rsidRPr="00615F05">
        <w:rPr>
          <w:color w:val="000000" w:themeColor="text1"/>
        </w:rPr>
        <w:t xml:space="preserve">. </w:t>
      </w:r>
      <w:r w:rsidR="009D4035" w:rsidRPr="00615F05">
        <w:rPr>
          <w:color w:val="000000" w:themeColor="text1"/>
        </w:rPr>
        <w:t>Participants indicate agreement on a</w:t>
      </w:r>
      <w:r w:rsidRPr="00615F05">
        <w:rPr>
          <w:color w:val="000000" w:themeColor="text1"/>
        </w:rPr>
        <w:t xml:space="preserve"> five-point Likert scale </w:t>
      </w:r>
      <w:r w:rsidR="009D4035" w:rsidRPr="00615F05">
        <w:rPr>
          <w:color w:val="000000" w:themeColor="text1"/>
        </w:rPr>
        <w:t>(</w:t>
      </w:r>
      <w:r w:rsidRPr="00615F05">
        <w:rPr>
          <w:color w:val="000000" w:themeColor="text1"/>
        </w:rPr>
        <w:t>‘never’ to ‘always’</w:t>
      </w:r>
      <w:r w:rsidR="009D4035" w:rsidRPr="00615F05">
        <w:rPr>
          <w:color w:val="000000" w:themeColor="text1"/>
        </w:rPr>
        <w:t>) and h</w:t>
      </w:r>
      <w:r w:rsidRPr="00615F05">
        <w:rPr>
          <w:color w:val="000000" w:themeColor="text1"/>
        </w:rPr>
        <w:t xml:space="preserve">igher scores indicate more problematic eating attitudes and </w:t>
      </w:r>
      <w:proofErr w:type="spellStart"/>
      <w:r w:rsidRPr="00615F05">
        <w:rPr>
          <w:color w:val="000000" w:themeColor="text1"/>
        </w:rPr>
        <w:t>behaviours</w:t>
      </w:r>
      <w:proofErr w:type="spellEnd"/>
      <w:r w:rsidRPr="00615F05">
        <w:rPr>
          <w:color w:val="000000" w:themeColor="text1"/>
        </w:rPr>
        <w:t>.</w:t>
      </w:r>
    </w:p>
    <w:p w14:paraId="00AE714D" w14:textId="1F692C3D" w:rsidR="00474D23" w:rsidRPr="00615F05" w:rsidRDefault="005C21C3" w:rsidP="005C742E">
      <w:pPr>
        <w:spacing w:line="480" w:lineRule="auto"/>
        <w:ind w:firstLine="720"/>
        <w:rPr>
          <w:color w:val="000000" w:themeColor="text1"/>
        </w:rPr>
      </w:pPr>
      <w:r w:rsidRPr="00615F05">
        <w:rPr>
          <w:color w:val="000000" w:themeColor="text1"/>
        </w:rPr>
        <w:t xml:space="preserve">The GAD-7 (Spitzer </w:t>
      </w:r>
      <w:r w:rsidR="005772DA" w:rsidRPr="00615F05">
        <w:rPr>
          <w:color w:val="000000" w:themeColor="text1"/>
        </w:rPr>
        <w:t>et al.</w:t>
      </w:r>
      <w:r w:rsidRPr="00615F05">
        <w:rPr>
          <w:color w:val="000000" w:themeColor="text1"/>
        </w:rPr>
        <w:t xml:space="preserve">, 2006) </w:t>
      </w:r>
      <w:r w:rsidR="005C742E" w:rsidRPr="00615F05">
        <w:rPr>
          <w:color w:val="000000" w:themeColor="text1"/>
        </w:rPr>
        <w:t xml:space="preserve">is a 7-item self-report measure assessing anxiety symptoms over the last two weeks. </w:t>
      </w:r>
      <w:r w:rsidR="00474D23" w:rsidRPr="00615F05">
        <w:rPr>
          <w:color w:val="000000" w:themeColor="text1"/>
        </w:rPr>
        <w:t xml:space="preserve">Participants </w:t>
      </w:r>
      <w:r w:rsidR="00F82D6B" w:rsidRPr="00615F05">
        <w:rPr>
          <w:color w:val="000000" w:themeColor="text1"/>
        </w:rPr>
        <w:t xml:space="preserve">respond on a four-point Likert scale </w:t>
      </w:r>
      <w:r w:rsidR="003A0DDA" w:rsidRPr="00615F05">
        <w:rPr>
          <w:color w:val="000000" w:themeColor="text1"/>
        </w:rPr>
        <w:t>ranging</w:t>
      </w:r>
      <w:r w:rsidR="00474D23" w:rsidRPr="00615F05">
        <w:rPr>
          <w:color w:val="000000" w:themeColor="text1"/>
        </w:rPr>
        <w:t xml:space="preserve"> from ‘not at all,’ ‘several days,’ ‘more than half the days’ and ‘nearly every day’</w:t>
      </w:r>
      <w:r w:rsidR="00A10034" w:rsidRPr="00615F05">
        <w:rPr>
          <w:color w:val="000000" w:themeColor="text1"/>
        </w:rPr>
        <w:t xml:space="preserve"> with higher scores indicating higher anxiety (Spitzer et al., 2006). Research supports the internal consistency of the ‘GAD-7’ (α = 0.89; Lowe et al., 2008).</w:t>
      </w:r>
    </w:p>
    <w:p w14:paraId="6872549E" w14:textId="6DBB7441" w:rsidR="005C21C3" w:rsidRPr="00615F05" w:rsidRDefault="005C742E" w:rsidP="005C742E">
      <w:pPr>
        <w:spacing w:line="480" w:lineRule="auto"/>
        <w:ind w:firstLine="720"/>
        <w:rPr>
          <w:color w:val="000000" w:themeColor="text1"/>
          <w:shd w:val="clear" w:color="auto" w:fill="FFFFFF"/>
        </w:rPr>
      </w:pPr>
      <w:r w:rsidRPr="00615F05">
        <w:rPr>
          <w:color w:val="000000" w:themeColor="text1"/>
        </w:rPr>
        <w:t>T</w:t>
      </w:r>
      <w:r w:rsidR="005C21C3" w:rsidRPr="00615F05">
        <w:rPr>
          <w:color w:val="000000" w:themeColor="text1"/>
        </w:rPr>
        <w:t xml:space="preserve">he PHQ-9 (Kroenke, Spitzer &amp; Williams, 2001) </w:t>
      </w:r>
      <w:r w:rsidRPr="00615F05">
        <w:rPr>
          <w:color w:val="000000" w:themeColor="text1"/>
        </w:rPr>
        <w:t>is a 9-item measure of</w:t>
      </w:r>
      <w:r w:rsidR="005C21C3" w:rsidRPr="00615F05">
        <w:rPr>
          <w:color w:val="000000" w:themeColor="text1"/>
        </w:rPr>
        <w:t xml:space="preserve"> depressi</w:t>
      </w:r>
      <w:r w:rsidRPr="00615F05">
        <w:rPr>
          <w:color w:val="000000" w:themeColor="text1"/>
        </w:rPr>
        <w:t>ve symptoms</w:t>
      </w:r>
      <w:r w:rsidR="005C21C3" w:rsidRPr="00615F05">
        <w:rPr>
          <w:color w:val="000000" w:themeColor="text1"/>
        </w:rPr>
        <w:t xml:space="preserve"> </w:t>
      </w:r>
      <w:r w:rsidRPr="00615F05">
        <w:rPr>
          <w:color w:val="000000" w:themeColor="text1"/>
        </w:rPr>
        <w:t xml:space="preserve">over the last two weeks. </w:t>
      </w:r>
      <w:r w:rsidR="00A10034" w:rsidRPr="00615F05">
        <w:rPr>
          <w:color w:val="000000" w:themeColor="text1"/>
        </w:rPr>
        <w:t xml:space="preserve">Participants </w:t>
      </w:r>
      <w:r w:rsidR="00F82D6B" w:rsidRPr="00615F05">
        <w:rPr>
          <w:color w:val="000000" w:themeColor="text1"/>
        </w:rPr>
        <w:t>respond</w:t>
      </w:r>
      <w:r w:rsidR="00A10034" w:rsidRPr="00615F05">
        <w:rPr>
          <w:color w:val="000000" w:themeColor="text1"/>
        </w:rPr>
        <w:t xml:space="preserve"> on a</w:t>
      </w:r>
      <w:r w:rsidR="00F82D6B" w:rsidRPr="00615F05">
        <w:rPr>
          <w:color w:val="000000" w:themeColor="text1"/>
        </w:rPr>
        <w:t xml:space="preserve"> four-point Likert scale ranging </w:t>
      </w:r>
      <w:r w:rsidR="00A10034" w:rsidRPr="00615F05">
        <w:rPr>
          <w:color w:val="000000" w:themeColor="text1"/>
        </w:rPr>
        <w:t xml:space="preserve">from ‘not at all,’ ‘several days,’ ‘more than half the days’ and ‘nearly every day’ with higher scores indicating higher depression (Kroenke et al., 2001). Research supports the internal consistency (α = 0.89) and test-retest reliability </w:t>
      </w:r>
      <w:r w:rsidR="005C21C3" w:rsidRPr="00615F05">
        <w:rPr>
          <w:color w:val="000000" w:themeColor="text1"/>
          <w:shd w:val="clear" w:color="auto" w:fill="FFFFFF"/>
        </w:rPr>
        <w:t xml:space="preserve">of the PHQ-9 (Kroenke et al., 2001). </w:t>
      </w:r>
    </w:p>
    <w:p w14:paraId="299ACADC" w14:textId="764E9FA4" w:rsidR="00312091" w:rsidRPr="00615F05" w:rsidRDefault="00312091" w:rsidP="00F82D6B">
      <w:pPr>
        <w:spacing w:line="480" w:lineRule="auto"/>
        <w:ind w:firstLine="720"/>
        <w:rPr>
          <w:color w:val="000000" w:themeColor="text1"/>
        </w:rPr>
      </w:pPr>
      <w:r w:rsidRPr="00615F05">
        <w:rPr>
          <w:color w:val="000000" w:themeColor="text1"/>
        </w:rPr>
        <w:t xml:space="preserve">The EAT-26 is a </w:t>
      </w:r>
      <w:r w:rsidR="003868B9" w:rsidRPr="00615F05">
        <w:rPr>
          <w:color w:val="000000" w:themeColor="text1"/>
        </w:rPr>
        <w:t>26-item</w:t>
      </w:r>
      <w:r w:rsidRPr="00615F05">
        <w:rPr>
          <w:color w:val="000000" w:themeColor="text1"/>
        </w:rPr>
        <w:t xml:space="preserve"> scale (Garner et al., 1982) measuring eating attitudes in the general population. Three </w:t>
      </w:r>
      <w:r w:rsidR="003868B9" w:rsidRPr="00615F05">
        <w:rPr>
          <w:color w:val="000000" w:themeColor="text1"/>
        </w:rPr>
        <w:t>sub</w:t>
      </w:r>
      <w:r w:rsidRPr="00615F05">
        <w:rPr>
          <w:color w:val="000000" w:themeColor="text1"/>
        </w:rPr>
        <w:t>scales measure dieting</w:t>
      </w:r>
      <w:r w:rsidR="00F82D6B" w:rsidRPr="00615F05">
        <w:rPr>
          <w:color w:val="000000" w:themeColor="text1"/>
        </w:rPr>
        <w:t xml:space="preserve">, </w:t>
      </w:r>
      <w:r w:rsidRPr="00615F05">
        <w:rPr>
          <w:color w:val="000000" w:themeColor="text1"/>
        </w:rPr>
        <w:t>bulimia symptoms</w:t>
      </w:r>
      <w:r w:rsidR="003868B9" w:rsidRPr="00615F05">
        <w:rPr>
          <w:color w:val="000000" w:themeColor="text1"/>
        </w:rPr>
        <w:t xml:space="preserve"> </w:t>
      </w:r>
      <w:r w:rsidR="005C742E" w:rsidRPr="00615F05">
        <w:rPr>
          <w:color w:val="000000" w:themeColor="text1"/>
        </w:rPr>
        <w:t>and</w:t>
      </w:r>
      <w:r w:rsidRPr="00615F05">
        <w:rPr>
          <w:color w:val="000000" w:themeColor="text1"/>
        </w:rPr>
        <w:t xml:space="preserve"> food preoccupation and oral control</w:t>
      </w:r>
      <w:r w:rsidR="00F82D6B" w:rsidRPr="00615F05">
        <w:rPr>
          <w:color w:val="000000" w:themeColor="text1"/>
        </w:rPr>
        <w:t xml:space="preserve">. </w:t>
      </w:r>
      <w:r w:rsidR="003868B9" w:rsidRPr="00615F05">
        <w:rPr>
          <w:color w:val="000000" w:themeColor="text1"/>
        </w:rPr>
        <w:t xml:space="preserve">Participants respond to </w:t>
      </w:r>
      <w:r w:rsidR="005067C6" w:rsidRPr="00615F05">
        <w:rPr>
          <w:color w:val="000000" w:themeColor="text1"/>
        </w:rPr>
        <w:t>a 6-point Likert scale ranging from</w:t>
      </w:r>
      <w:r w:rsidR="005C742E" w:rsidRPr="00615F05">
        <w:rPr>
          <w:color w:val="000000" w:themeColor="text1"/>
        </w:rPr>
        <w:t xml:space="preserve"> ‘Never’ to ‘Always,’ w</w:t>
      </w:r>
      <w:r w:rsidR="003868B9" w:rsidRPr="00615F05">
        <w:rPr>
          <w:color w:val="000000" w:themeColor="text1"/>
        </w:rPr>
        <w:t>ith h</w:t>
      </w:r>
      <w:r w:rsidRPr="00615F05">
        <w:rPr>
          <w:color w:val="000000" w:themeColor="text1"/>
        </w:rPr>
        <w:t>igher total scores indicat</w:t>
      </w:r>
      <w:r w:rsidR="0096568B" w:rsidRPr="00615F05">
        <w:rPr>
          <w:color w:val="000000" w:themeColor="text1"/>
        </w:rPr>
        <w:t>ing</w:t>
      </w:r>
      <w:r w:rsidRPr="00615F05">
        <w:rPr>
          <w:color w:val="000000" w:themeColor="text1"/>
        </w:rPr>
        <w:t xml:space="preserve"> higher problematic eating. </w:t>
      </w:r>
      <w:r w:rsidR="0096568B" w:rsidRPr="00615F05">
        <w:rPr>
          <w:color w:val="000000" w:themeColor="text1"/>
        </w:rPr>
        <w:t>Individuals scoring</w:t>
      </w:r>
      <w:r w:rsidRPr="00615F05">
        <w:rPr>
          <w:color w:val="000000" w:themeColor="text1"/>
        </w:rPr>
        <w:t xml:space="preserve"> over 20 are advised to seek consultation from a medical professional.</w:t>
      </w:r>
      <w:r w:rsidR="004C228A" w:rsidRPr="00615F05">
        <w:rPr>
          <w:color w:val="000000" w:themeColor="text1"/>
        </w:rPr>
        <w:t xml:space="preserve"> </w:t>
      </w:r>
      <w:r w:rsidR="003868B9" w:rsidRPr="00615F05">
        <w:rPr>
          <w:color w:val="000000" w:themeColor="text1"/>
        </w:rPr>
        <w:t>Previous work supports the three-factor structure and internal consistency of the scale (e.g., α = 0.90; Garner et al., 1982).</w:t>
      </w:r>
      <w:r w:rsidR="00E60DF0" w:rsidRPr="00615F05">
        <w:rPr>
          <w:color w:val="000000" w:themeColor="text1"/>
        </w:rPr>
        <w:t xml:space="preserve"> </w:t>
      </w:r>
    </w:p>
    <w:p w14:paraId="6D7A994D" w14:textId="326522D4" w:rsidR="00AC0737" w:rsidRPr="00615F05" w:rsidRDefault="005C21C3" w:rsidP="00474D23">
      <w:pPr>
        <w:spacing w:line="480" w:lineRule="auto"/>
        <w:rPr>
          <w:b/>
          <w:bCs/>
          <w:color w:val="000000" w:themeColor="text1"/>
        </w:rPr>
      </w:pPr>
      <w:r w:rsidRPr="00615F05">
        <w:rPr>
          <w:b/>
          <w:bCs/>
          <w:color w:val="000000" w:themeColor="text1"/>
        </w:rPr>
        <w:t>Procedure</w:t>
      </w:r>
    </w:p>
    <w:p w14:paraId="437F295A" w14:textId="748DF572" w:rsidR="00C65C54" w:rsidRPr="00615F05" w:rsidRDefault="00C65C54" w:rsidP="00474D23">
      <w:pPr>
        <w:spacing w:line="480" w:lineRule="auto"/>
        <w:rPr>
          <w:color w:val="000000" w:themeColor="text1"/>
        </w:rPr>
      </w:pPr>
      <w:r w:rsidRPr="00615F05">
        <w:rPr>
          <w:color w:val="000000" w:themeColor="text1"/>
        </w:rPr>
        <w:lastRenderedPageBreak/>
        <w:tab/>
        <w:t>Eth</w:t>
      </w:r>
      <w:r w:rsidR="00E60DF0" w:rsidRPr="00615F05">
        <w:rPr>
          <w:color w:val="000000" w:themeColor="text1"/>
        </w:rPr>
        <w:t>ical approval was granted from</w:t>
      </w:r>
      <w:r w:rsidR="009C758F" w:rsidRPr="00615F05">
        <w:rPr>
          <w:color w:val="000000" w:themeColor="text1"/>
        </w:rPr>
        <w:t xml:space="preserve"> the ethics committee at</w:t>
      </w:r>
      <w:r w:rsidR="00E60DF0" w:rsidRPr="00615F05">
        <w:rPr>
          <w:color w:val="000000" w:themeColor="text1"/>
        </w:rPr>
        <w:t xml:space="preserve"> Ulster U</w:t>
      </w:r>
      <w:r w:rsidRPr="00615F05">
        <w:rPr>
          <w:color w:val="000000" w:themeColor="text1"/>
        </w:rPr>
        <w:t>niversity</w:t>
      </w:r>
      <w:r w:rsidR="00E60DF0" w:rsidRPr="00615F05">
        <w:rPr>
          <w:color w:val="000000" w:themeColor="text1"/>
        </w:rPr>
        <w:t xml:space="preserve"> (Northern Ireland)</w:t>
      </w:r>
      <w:r w:rsidRPr="00615F05">
        <w:rPr>
          <w:color w:val="000000" w:themeColor="text1"/>
        </w:rPr>
        <w:t>. Data were collected online via Qualtrics. Gatekeepers to CF</w:t>
      </w:r>
      <w:r w:rsidR="00C17C88" w:rsidRPr="00615F05">
        <w:rPr>
          <w:color w:val="000000" w:themeColor="text1"/>
        </w:rPr>
        <w:t xml:space="preserve"> </w:t>
      </w:r>
      <w:r w:rsidRPr="00615F05">
        <w:rPr>
          <w:color w:val="000000" w:themeColor="text1"/>
        </w:rPr>
        <w:t xml:space="preserve">groups were emailed and asked to distribute the survey link to CF </w:t>
      </w:r>
      <w:r w:rsidR="009C758F" w:rsidRPr="00615F05">
        <w:rPr>
          <w:color w:val="000000" w:themeColor="text1"/>
        </w:rPr>
        <w:t>people</w:t>
      </w:r>
      <w:r w:rsidRPr="00615F05">
        <w:rPr>
          <w:color w:val="000000" w:themeColor="text1"/>
        </w:rPr>
        <w:t xml:space="preserve"> within their network. Participants were briefed prior to data collection, informed of their ethical rights</w:t>
      </w:r>
      <w:r w:rsidR="00F82D6B" w:rsidRPr="00615F05">
        <w:rPr>
          <w:color w:val="000000" w:themeColor="text1"/>
        </w:rPr>
        <w:t>, and provided informed consent.</w:t>
      </w:r>
      <w:r w:rsidRPr="00615F05">
        <w:rPr>
          <w:color w:val="000000" w:themeColor="text1"/>
        </w:rPr>
        <w:t xml:space="preserve"> </w:t>
      </w:r>
      <w:r w:rsidR="005E0691" w:rsidRPr="00615F05">
        <w:rPr>
          <w:color w:val="000000" w:themeColor="text1"/>
        </w:rPr>
        <w:t xml:space="preserve">Participants then completed all scales in a random order. Finally, participants read debriefs and were thanked for their participation. </w:t>
      </w:r>
      <w:r w:rsidRPr="00615F05">
        <w:rPr>
          <w:color w:val="000000" w:themeColor="text1"/>
        </w:rPr>
        <w:t xml:space="preserve">Data were first entered onto SPSSv26 for preliminary analyses and then </w:t>
      </w:r>
      <w:proofErr w:type="spellStart"/>
      <w:r w:rsidRPr="00615F05">
        <w:rPr>
          <w:color w:val="000000" w:themeColor="text1"/>
        </w:rPr>
        <w:t>Mplus</w:t>
      </w:r>
      <w:proofErr w:type="spellEnd"/>
      <w:r w:rsidRPr="00615F05">
        <w:rPr>
          <w:color w:val="000000" w:themeColor="text1"/>
        </w:rPr>
        <w:t xml:space="preserve"> 7.8 for model testing (</w:t>
      </w:r>
      <w:proofErr w:type="spellStart"/>
      <w:r w:rsidRPr="00615F05">
        <w:rPr>
          <w:color w:val="000000" w:themeColor="text1"/>
        </w:rPr>
        <w:t>Muthen</w:t>
      </w:r>
      <w:proofErr w:type="spellEnd"/>
      <w:r w:rsidRPr="00615F05">
        <w:rPr>
          <w:color w:val="000000" w:themeColor="text1"/>
        </w:rPr>
        <w:t xml:space="preserve"> &amp; </w:t>
      </w:r>
      <w:proofErr w:type="spellStart"/>
      <w:r w:rsidRPr="00615F05">
        <w:rPr>
          <w:color w:val="000000" w:themeColor="text1"/>
        </w:rPr>
        <w:t>Muthen</w:t>
      </w:r>
      <w:proofErr w:type="spellEnd"/>
      <w:r w:rsidRPr="00615F05">
        <w:rPr>
          <w:color w:val="000000" w:themeColor="text1"/>
        </w:rPr>
        <w:t>, 2017).</w:t>
      </w:r>
      <w:r w:rsidR="005772DA" w:rsidRPr="00615F05">
        <w:rPr>
          <w:color w:val="000000" w:themeColor="text1"/>
        </w:rPr>
        <w:t xml:space="preserve"> Data and study materials were made available on the Open Science Framework (</w:t>
      </w:r>
      <w:hyperlink r:id="rId13" w:history="1">
        <w:r w:rsidR="00372DAB" w:rsidRPr="00615F05">
          <w:rPr>
            <w:rStyle w:val="Hyperlink"/>
            <w:color w:val="000000" w:themeColor="text1"/>
          </w:rPr>
          <w:t>https://osf.io/3jbvw/</w:t>
        </w:r>
      </w:hyperlink>
      <w:r w:rsidR="005772DA" w:rsidRPr="00615F05">
        <w:rPr>
          <w:color w:val="000000" w:themeColor="text1"/>
        </w:rPr>
        <w:t>)</w:t>
      </w:r>
      <w:r w:rsidR="00372DAB" w:rsidRPr="00615F05">
        <w:rPr>
          <w:color w:val="000000" w:themeColor="text1"/>
        </w:rPr>
        <w:t xml:space="preserve"> and the unpublished manuscript was made available as a pre-print via </w:t>
      </w:r>
      <w:proofErr w:type="spellStart"/>
      <w:r w:rsidR="00372DAB" w:rsidRPr="00615F05">
        <w:rPr>
          <w:color w:val="000000" w:themeColor="text1"/>
        </w:rPr>
        <w:t>PsyArXiv</w:t>
      </w:r>
      <w:proofErr w:type="spellEnd"/>
      <w:r w:rsidR="00372DAB" w:rsidRPr="00615F05">
        <w:rPr>
          <w:color w:val="000000" w:themeColor="text1"/>
        </w:rPr>
        <w:t xml:space="preserve"> (</w:t>
      </w:r>
      <w:r w:rsidR="002B7005" w:rsidRPr="00615F05">
        <w:rPr>
          <w:color w:val="000000" w:themeColor="text1"/>
        </w:rPr>
        <w:t>Mc Hugh et al., 2022</w:t>
      </w:r>
      <w:r w:rsidR="00372DAB" w:rsidRPr="00615F05">
        <w:rPr>
          <w:color w:val="000000" w:themeColor="text1"/>
        </w:rPr>
        <w:t>)</w:t>
      </w:r>
      <w:r w:rsidR="004A60E6" w:rsidRPr="00615F05">
        <w:rPr>
          <w:color w:val="000000" w:themeColor="text1"/>
        </w:rPr>
        <w:t>.</w:t>
      </w:r>
    </w:p>
    <w:p w14:paraId="5F729E31" w14:textId="12541F42" w:rsidR="0006022A" w:rsidRPr="00615F05" w:rsidRDefault="005C21C3" w:rsidP="005C21C3">
      <w:pPr>
        <w:spacing w:line="480" w:lineRule="auto"/>
        <w:rPr>
          <w:b/>
          <w:bCs/>
          <w:color w:val="000000" w:themeColor="text1"/>
        </w:rPr>
      </w:pPr>
      <w:r w:rsidRPr="00615F05">
        <w:rPr>
          <w:b/>
          <w:bCs/>
          <w:color w:val="000000" w:themeColor="text1"/>
        </w:rPr>
        <w:t xml:space="preserve">Design and </w:t>
      </w:r>
      <w:r w:rsidR="00C65C54" w:rsidRPr="00615F05">
        <w:rPr>
          <w:b/>
          <w:bCs/>
          <w:color w:val="000000" w:themeColor="text1"/>
        </w:rPr>
        <w:t>Data Screening</w:t>
      </w:r>
    </w:p>
    <w:p w14:paraId="65D93B64" w14:textId="282EF007" w:rsidR="00C65C54" w:rsidRPr="00615F05" w:rsidRDefault="00030BF3" w:rsidP="00C65C54">
      <w:pPr>
        <w:spacing w:line="480" w:lineRule="auto"/>
        <w:ind w:firstLine="720"/>
        <w:rPr>
          <w:color w:val="000000" w:themeColor="text1"/>
        </w:rPr>
      </w:pPr>
      <w:r w:rsidRPr="00615F05">
        <w:rPr>
          <w:color w:val="000000" w:themeColor="text1"/>
        </w:rPr>
        <w:t>A</w:t>
      </w:r>
      <w:r w:rsidR="00C65C54" w:rsidRPr="00615F05">
        <w:rPr>
          <w:color w:val="000000" w:themeColor="text1"/>
        </w:rPr>
        <w:t xml:space="preserve"> cross-sectional design with </w:t>
      </w:r>
      <w:r w:rsidR="002720CE" w:rsidRPr="00615F05">
        <w:rPr>
          <w:color w:val="000000" w:themeColor="text1"/>
        </w:rPr>
        <w:t xml:space="preserve">random </w:t>
      </w:r>
      <w:r w:rsidR="00C65C54" w:rsidRPr="00615F05">
        <w:rPr>
          <w:color w:val="000000" w:themeColor="text1"/>
        </w:rPr>
        <w:t>sampling</w:t>
      </w:r>
      <w:r w:rsidRPr="00615F05">
        <w:rPr>
          <w:color w:val="000000" w:themeColor="text1"/>
        </w:rPr>
        <w:t xml:space="preserve"> was adopted</w:t>
      </w:r>
      <w:r w:rsidR="00C65C54" w:rsidRPr="00615F05">
        <w:rPr>
          <w:color w:val="000000" w:themeColor="text1"/>
        </w:rPr>
        <w:t xml:space="preserve">. A small amount of data </w:t>
      </w:r>
      <w:r w:rsidR="00977570" w:rsidRPr="00615F05">
        <w:rPr>
          <w:color w:val="000000" w:themeColor="text1"/>
        </w:rPr>
        <w:t>was</w:t>
      </w:r>
      <w:r w:rsidR="00C65C54" w:rsidRPr="00615F05">
        <w:rPr>
          <w:color w:val="000000" w:themeColor="text1"/>
        </w:rPr>
        <w:t xml:space="preserve"> missing (</w:t>
      </w:r>
      <w:r w:rsidR="00DC7E5B" w:rsidRPr="00615F05">
        <w:rPr>
          <w:color w:val="000000" w:themeColor="text1"/>
        </w:rPr>
        <w:t>2%</w:t>
      </w:r>
      <w:r w:rsidR="00C65C54" w:rsidRPr="00615F05">
        <w:rPr>
          <w:color w:val="000000" w:themeColor="text1"/>
        </w:rPr>
        <w:t>). Following recommendations (</w:t>
      </w:r>
      <w:proofErr w:type="spellStart"/>
      <w:r w:rsidR="00C65C54" w:rsidRPr="00615F05">
        <w:rPr>
          <w:color w:val="000000" w:themeColor="text1"/>
        </w:rPr>
        <w:t>Tabachnick</w:t>
      </w:r>
      <w:proofErr w:type="spellEnd"/>
      <w:r w:rsidR="00C65C54" w:rsidRPr="00615F05">
        <w:rPr>
          <w:color w:val="000000" w:themeColor="text1"/>
        </w:rPr>
        <w:t xml:space="preserve"> </w:t>
      </w:r>
      <w:r w:rsidR="00F717A1" w:rsidRPr="00615F05">
        <w:rPr>
          <w:color w:val="000000" w:themeColor="text1"/>
        </w:rPr>
        <w:t>&amp;</w:t>
      </w:r>
      <w:r w:rsidR="00C65C54" w:rsidRPr="00615F05">
        <w:rPr>
          <w:color w:val="000000" w:themeColor="text1"/>
        </w:rPr>
        <w:t xml:space="preserve"> </w:t>
      </w:r>
      <w:proofErr w:type="spellStart"/>
      <w:r w:rsidR="00C65C54" w:rsidRPr="00615F05">
        <w:rPr>
          <w:color w:val="000000" w:themeColor="text1"/>
        </w:rPr>
        <w:t>Fiddell</w:t>
      </w:r>
      <w:proofErr w:type="spellEnd"/>
      <w:r w:rsidR="00C65C54" w:rsidRPr="00615F05">
        <w:rPr>
          <w:color w:val="000000" w:themeColor="text1"/>
        </w:rPr>
        <w:t xml:space="preserve">, 2007), we used </w:t>
      </w:r>
      <w:proofErr w:type="spellStart"/>
      <w:r w:rsidR="00000C5D" w:rsidRPr="00615F05">
        <w:rPr>
          <w:color w:val="000000" w:themeColor="text1"/>
        </w:rPr>
        <w:t>ipstatized</w:t>
      </w:r>
      <w:proofErr w:type="spellEnd"/>
      <w:r w:rsidR="00000C5D" w:rsidRPr="00615F05">
        <w:rPr>
          <w:color w:val="000000" w:themeColor="text1"/>
        </w:rPr>
        <w:t xml:space="preserve"> estimation of relevan</w:t>
      </w:r>
      <w:r w:rsidR="00C65C54" w:rsidRPr="00615F05">
        <w:rPr>
          <w:color w:val="000000" w:themeColor="text1"/>
        </w:rPr>
        <w:t>t cases</w:t>
      </w:r>
      <w:r w:rsidR="005373C6" w:rsidRPr="00615F05">
        <w:rPr>
          <w:color w:val="000000" w:themeColor="text1"/>
        </w:rPr>
        <w:t xml:space="preserve"> to replace missing values</w:t>
      </w:r>
      <w:r w:rsidR="00C65C54" w:rsidRPr="00615F05">
        <w:rPr>
          <w:color w:val="000000" w:themeColor="text1"/>
        </w:rPr>
        <w:t>. Multivariate skewness (</w:t>
      </w:r>
      <w:r w:rsidR="00DC7E5B" w:rsidRPr="00615F05">
        <w:rPr>
          <w:color w:val="000000" w:themeColor="text1"/>
        </w:rPr>
        <w:t>.906</w:t>
      </w:r>
      <w:r w:rsidR="00C65C54" w:rsidRPr="00615F05">
        <w:rPr>
          <w:color w:val="000000" w:themeColor="text1"/>
        </w:rPr>
        <w:t xml:space="preserve">, </w:t>
      </w:r>
      <w:r w:rsidR="00C65C54" w:rsidRPr="00615F05">
        <w:rPr>
          <w:i/>
          <w:iCs/>
          <w:color w:val="000000" w:themeColor="text1"/>
        </w:rPr>
        <w:t>p</w:t>
      </w:r>
      <w:r w:rsidR="00C65C54" w:rsidRPr="00615F05">
        <w:rPr>
          <w:color w:val="000000" w:themeColor="text1"/>
        </w:rPr>
        <w:t xml:space="preserve"> &gt; .05) and kurtosis (</w:t>
      </w:r>
      <w:r w:rsidR="00DC7E5B" w:rsidRPr="00615F05">
        <w:rPr>
          <w:color w:val="000000" w:themeColor="text1"/>
        </w:rPr>
        <w:t>.241</w:t>
      </w:r>
      <w:r w:rsidR="00C65C54" w:rsidRPr="00615F05">
        <w:rPr>
          <w:color w:val="000000" w:themeColor="text1"/>
        </w:rPr>
        <w:t xml:space="preserve">, </w:t>
      </w:r>
      <w:r w:rsidR="00C65C54" w:rsidRPr="00615F05">
        <w:rPr>
          <w:i/>
          <w:iCs/>
          <w:color w:val="000000" w:themeColor="text1"/>
        </w:rPr>
        <w:t>p</w:t>
      </w:r>
      <w:r w:rsidR="00C65C54" w:rsidRPr="00615F05">
        <w:rPr>
          <w:color w:val="000000" w:themeColor="text1"/>
        </w:rPr>
        <w:t xml:space="preserve"> &gt; .05) coefficients indicated no departure from normality (</w:t>
      </w:r>
      <w:proofErr w:type="spellStart"/>
      <w:r w:rsidR="00C65C54" w:rsidRPr="00615F05">
        <w:rPr>
          <w:color w:val="000000" w:themeColor="text1"/>
        </w:rPr>
        <w:t>Muthén</w:t>
      </w:r>
      <w:proofErr w:type="spellEnd"/>
      <w:r w:rsidR="00C65C54" w:rsidRPr="00615F05">
        <w:rPr>
          <w:color w:val="000000" w:themeColor="text1"/>
        </w:rPr>
        <w:t xml:space="preserve"> </w:t>
      </w:r>
      <w:r w:rsidR="00F717A1" w:rsidRPr="00615F05">
        <w:rPr>
          <w:color w:val="000000" w:themeColor="text1"/>
        </w:rPr>
        <w:t>&amp;</w:t>
      </w:r>
      <w:r w:rsidR="00C65C54" w:rsidRPr="00615F05">
        <w:rPr>
          <w:color w:val="000000" w:themeColor="text1"/>
        </w:rPr>
        <w:t xml:space="preserve"> </w:t>
      </w:r>
      <w:proofErr w:type="spellStart"/>
      <w:r w:rsidR="00C65C54" w:rsidRPr="00615F05">
        <w:rPr>
          <w:color w:val="000000" w:themeColor="text1"/>
        </w:rPr>
        <w:t>Muthén</w:t>
      </w:r>
      <w:proofErr w:type="spellEnd"/>
      <w:r w:rsidR="00C65C54" w:rsidRPr="00615F05">
        <w:rPr>
          <w:color w:val="000000" w:themeColor="text1"/>
        </w:rPr>
        <w:t>, 2017)</w:t>
      </w:r>
      <w:r w:rsidR="00F717A1" w:rsidRPr="00615F05">
        <w:rPr>
          <w:color w:val="000000" w:themeColor="text1"/>
        </w:rPr>
        <w:t>.</w:t>
      </w:r>
    </w:p>
    <w:p w14:paraId="662D7A03" w14:textId="3C85A1DF" w:rsidR="00F717A1" w:rsidRPr="00615F05" w:rsidRDefault="00F717A1" w:rsidP="00F717A1">
      <w:pPr>
        <w:spacing w:line="480" w:lineRule="auto"/>
        <w:rPr>
          <w:b/>
          <w:bCs/>
          <w:color w:val="000000" w:themeColor="text1"/>
        </w:rPr>
      </w:pPr>
      <w:r w:rsidRPr="00615F05">
        <w:rPr>
          <w:b/>
          <w:bCs/>
          <w:color w:val="000000" w:themeColor="text1"/>
        </w:rPr>
        <w:t>Analytic Strategy</w:t>
      </w:r>
    </w:p>
    <w:p w14:paraId="79AEAC90" w14:textId="12C61162" w:rsidR="00F717A1" w:rsidRPr="00615F05" w:rsidRDefault="00F82D6B" w:rsidP="00F717A1">
      <w:pPr>
        <w:spacing w:line="480" w:lineRule="auto"/>
        <w:ind w:firstLine="720"/>
        <w:rPr>
          <w:rFonts w:eastAsia="Times New Roman"/>
          <w:color w:val="000000" w:themeColor="text1"/>
        </w:rPr>
      </w:pPr>
      <w:r w:rsidRPr="00615F05">
        <w:rPr>
          <w:rFonts w:eastAsia="Times New Roman"/>
          <w:color w:val="000000" w:themeColor="text1"/>
        </w:rPr>
        <w:t xml:space="preserve">First, </w:t>
      </w:r>
      <w:r w:rsidR="00E30141" w:rsidRPr="00615F05">
        <w:rPr>
          <w:rFonts w:eastAsia="Times New Roman"/>
          <w:color w:val="000000" w:themeColor="text1"/>
        </w:rPr>
        <w:t>descriptive statistics</w:t>
      </w:r>
      <w:r w:rsidR="00F717A1" w:rsidRPr="00615F05">
        <w:rPr>
          <w:rFonts w:eastAsia="Times New Roman"/>
          <w:color w:val="000000" w:themeColor="text1"/>
        </w:rPr>
        <w:t xml:space="preserve"> and internal consistency </w:t>
      </w:r>
      <w:r w:rsidRPr="00615F05">
        <w:rPr>
          <w:rFonts w:eastAsia="Times New Roman"/>
          <w:color w:val="000000" w:themeColor="text1"/>
        </w:rPr>
        <w:t xml:space="preserve">was completed </w:t>
      </w:r>
      <w:r w:rsidR="00F717A1" w:rsidRPr="00615F05">
        <w:rPr>
          <w:rFonts w:eastAsia="Times New Roman"/>
          <w:color w:val="000000" w:themeColor="text1"/>
        </w:rPr>
        <w:t xml:space="preserve">for </w:t>
      </w:r>
      <w:r w:rsidR="00E30141" w:rsidRPr="00615F05">
        <w:rPr>
          <w:rFonts w:eastAsia="Times New Roman"/>
          <w:color w:val="000000" w:themeColor="text1"/>
        </w:rPr>
        <w:t>the</w:t>
      </w:r>
      <w:r w:rsidR="00F717A1" w:rsidRPr="00615F05">
        <w:rPr>
          <w:rFonts w:eastAsia="Times New Roman"/>
          <w:color w:val="000000" w:themeColor="text1"/>
        </w:rPr>
        <w:t xml:space="preserve"> CFEAB. </w:t>
      </w:r>
      <w:r w:rsidR="00036128" w:rsidRPr="00615F05">
        <w:rPr>
          <w:rFonts w:eastAsia="Times New Roman"/>
          <w:color w:val="000000" w:themeColor="text1"/>
        </w:rPr>
        <w:t xml:space="preserve">Omega was used to test internal consistency due to previous research suggesting it outperforms alpha making more realistic assumptions (e.g., tau-equivalence) and less risk of overestimating or underestimating reliability in multifactorial scales (Dunn et al., 2014). </w:t>
      </w:r>
      <w:r w:rsidR="00F717A1" w:rsidRPr="00615F05">
        <w:rPr>
          <w:rFonts w:eastAsia="Times New Roman"/>
          <w:color w:val="000000" w:themeColor="text1"/>
        </w:rPr>
        <w:t>Next, we tested a three-factor model using ESEM</w:t>
      </w:r>
      <w:r w:rsidR="00E30141" w:rsidRPr="00615F05">
        <w:rPr>
          <w:rFonts w:eastAsia="Times New Roman"/>
          <w:color w:val="000000" w:themeColor="text1"/>
        </w:rPr>
        <w:t xml:space="preserve"> for all 24 items proposed by </w:t>
      </w:r>
      <w:proofErr w:type="spellStart"/>
      <w:r w:rsidR="00E30141" w:rsidRPr="00615F05">
        <w:rPr>
          <w:color w:val="000000" w:themeColor="text1"/>
        </w:rPr>
        <w:t>Randlesome</w:t>
      </w:r>
      <w:proofErr w:type="spellEnd"/>
      <w:r w:rsidR="00E30141" w:rsidRPr="00615F05">
        <w:rPr>
          <w:color w:val="000000" w:themeColor="text1"/>
        </w:rPr>
        <w:t xml:space="preserve"> et al. (2013)</w:t>
      </w:r>
      <w:r w:rsidR="00F717A1" w:rsidRPr="00615F05">
        <w:rPr>
          <w:rFonts w:eastAsia="Times New Roman"/>
          <w:color w:val="000000" w:themeColor="text1"/>
        </w:rPr>
        <w:t xml:space="preserve">. </w:t>
      </w:r>
      <w:r w:rsidR="00E60DF0" w:rsidRPr="00615F05">
        <w:rPr>
          <w:color w:val="000000" w:themeColor="text1"/>
        </w:rPr>
        <w:t xml:space="preserve">Factor loadings &lt;.32 were considered </w:t>
      </w:r>
      <w:r w:rsidR="00B40710" w:rsidRPr="00615F05">
        <w:rPr>
          <w:color w:val="000000" w:themeColor="text1"/>
        </w:rPr>
        <w:t>non-significant</w:t>
      </w:r>
      <w:r w:rsidR="00E60DF0" w:rsidRPr="00615F05">
        <w:rPr>
          <w:color w:val="000000" w:themeColor="text1"/>
        </w:rPr>
        <w:t>.</w:t>
      </w:r>
      <w:r w:rsidR="00E60DF0" w:rsidRPr="00615F05">
        <w:rPr>
          <w:b/>
          <w:color w:val="000000" w:themeColor="text1"/>
        </w:rPr>
        <w:t xml:space="preserve"> </w:t>
      </w:r>
      <w:r w:rsidR="00B551E3" w:rsidRPr="00615F05">
        <w:rPr>
          <w:rFonts w:eastAsia="Times New Roman"/>
          <w:color w:val="000000" w:themeColor="text1"/>
        </w:rPr>
        <w:t>We also provided scale purification by proposing a shortened more economical 12-item CFEAB – the short</w:t>
      </w:r>
      <w:r w:rsidR="00F80FA2" w:rsidRPr="00615F05">
        <w:rPr>
          <w:rFonts w:eastAsia="Times New Roman"/>
          <w:color w:val="000000" w:themeColor="text1"/>
        </w:rPr>
        <w:t>-</w:t>
      </w:r>
      <w:r w:rsidR="00B551E3" w:rsidRPr="00615F05">
        <w:rPr>
          <w:rFonts w:eastAsia="Times New Roman"/>
          <w:color w:val="000000" w:themeColor="text1"/>
        </w:rPr>
        <w:t xml:space="preserve">CFEAB. </w:t>
      </w:r>
      <w:r w:rsidR="00F717A1" w:rsidRPr="00615F05">
        <w:rPr>
          <w:rFonts w:eastAsia="Times New Roman"/>
          <w:color w:val="000000" w:themeColor="text1"/>
        </w:rPr>
        <w:t xml:space="preserve">For these analyses, we used the robust maximum likelihood estimator </w:t>
      </w:r>
      <w:r w:rsidR="002D59C7" w:rsidRPr="00615F05">
        <w:rPr>
          <w:rFonts w:eastAsia="Times New Roman"/>
          <w:color w:val="000000" w:themeColor="text1"/>
        </w:rPr>
        <w:t xml:space="preserve">which </w:t>
      </w:r>
      <w:r w:rsidR="00F717A1" w:rsidRPr="00615F05">
        <w:rPr>
          <w:rFonts w:eastAsia="Times New Roman"/>
          <w:color w:val="000000" w:themeColor="text1"/>
        </w:rPr>
        <w:t xml:space="preserve">can handle </w:t>
      </w:r>
      <w:r w:rsidR="00F717A1" w:rsidRPr="00615F05">
        <w:rPr>
          <w:rFonts w:eastAsia="Times New Roman"/>
          <w:color w:val="000000" w:themeColor="text1"/>
        </w:rPr>
        <w:lastRenderedPageBreak/>
        <w:t xml:space="preserve">instances of missing data, non-normality, </w:t>
      </w:r>
      <w:r w:rsidR="002D59C7" w:rsidRPr="00615F05">
        <w:rPr>
          <w:rFonts w:eastAsia="Times New Roman"/>
          <w:color w:val="000000" w:themeColor="text1"/>
        </w:rPr>
        <w:t xml:space="preserve">and </w:t>
      </w:r>
      <w:r w:rsidR="00F717A1" w:rsidRPr="00615F05">
        <w:rPr>
          <w:rFonts w:eastAsia="Times New Roman"/>
          <w:color w:val="000000" w:themeColor="text1"/>
        </w:rPr>
        <w:t xml:space="preserve">categorical variables </w:t>
      </w:r>
      <w:r w:rsidR="002D59C7" w:rsidRPr="00615F05">
        <w:rPr>
          <w:rFonts w:eastAsia="Times New Roman"/>
          <w:color w:val="000000" w:themeColor="text1"/>
        </w:rPr>
        <w:t xml:space="preserve">with </w:t>
      </w:r>
      <w:r w:rsidR="00F717A1" w:rsidRPr="00615F05">
        <w:rPr>
          <w:rFonts w:eastAsia="Times New Roman"/>
          <w:color w:val="000000" w:themeColor="text1"/>
        </w:rPr>
        <w:t>at least five response categories (</w:t>
      </w:r>
      <w:proofErr w:type="spellStart"/>
      <w:r w:rsidR="002D59C7" w:rsidRPr="00615F05">
        <w:rPr>
          <w:rFonts w:eastAsia="Times New Roman"/>
          <w:color w:val="000000" w:themeColor="text1"/>
        </w:rPr>
        <w:t>Muthen</w:t>
      </w:r>
      <w:proofErr w:type="spellEnd"/>
      <w:r w:rsidR="002D59C7" w:rsidRPr="00615F05">
        <w:rPr>
          <w:rFonts w:eastAsia="Times New Roman"/>
          <w:color w:val="000000" w:themeColor="text1"/>
        </w:rPr>
        <w:t xml:space="preserve"> &amp; </w:t>
      </w:r>
      <w:proofErr w:type="spellStart"/>
      <w:r w:rsidR="002D59C7" w:rsidRPr="00615F05">
        <w:rPr>
          <w:rFonts w:eastAsia="Times New Roman"/>
          <w:color w:val="000000" w:themeColor="text1"/>
        </w:rPr>
        <w:t>Muthen</w:t>
      </w:r>
      <w:proofErr w:type="spellEnd"/>
      <w:r w:rsidR="002D59C7" w:rsidRPr="00615F05">
        <w:rPr>
          <w:rFonts w:eastAsia="Times New Roman"/>
          <w:color w:val="000000" w:themeColor="text1"/>
        </w:rPr>
        <w:t>, 2017</w:t>
      </w:r>
      <w:r w:rsidR="00F717A1" w:rsidRPr="00615F05">
        <w:rPr>
          <w:rFonts w:eastAsia="Times New Roman"/>
          <w:color w:val="000000" w:themeColor="text1"/>
        </w:rPr>
        <w:t xml:space="preserve">). </w:t>
      </w:r>
    </w:p>
    <w:p w14:paraId="3D1F0A99" w14:textId="0B5B0F00" w:rsidR="00F717A1" w:rsidRPr="00615F05" w:rsidRDefault="002D59C7" w:rsidP="00F717A1">
      <w:pPr>
        <w:spacing w:line="480" w:lineRule="auto"/>
        <w:ind w:firstLine="720"/>
        <w:rPr>
          <w:color w:val="000000" w:themeColor="text1"/>
        </w:rPr>
      </w:pPr>
      <w:r w:rsidRPr="00615F05">
        <w:rPr>
          <w:rFonts w:eastAsia="Times New Roman"/>
          <w:color w:val="000000" w:themeColor="text1"/>
        </w:rPr>
        <w:t>We used an</w:t>
      </w:r>
      <w:r w:rsidR="00F717A1" w:rsidRPr="00615F05">
        <w:rPr>
          <w:rFonts w:eastAsia="Times New Roman"/>
          <w:color w:val="000000" w:themeColor="text1"/>
        </w:rPr>
        <w:t xml:space="preserve"> oblique target rotation to estimate how the 24</w:t>
      </w:r>
      <w:r w:rsidR="00E214C8" w:rsidRPr="00615F05">
        <w:rPr>
          <w:rFonts w:eastAsia="Times New Roman"/>
          <w:color w:val="000000" w:themeColor="text1"/>
        </w:rPr>
        <w:t xml:space="preserve"> </w:t>
      </w:r>
      <w:r w:rsidR="00F717A1" w:rsidRPr="00615F05">
        <w:rPr>
          <w:rFonts w:eastAsia="Times New Roman"/>
          <w:color w:val="000000" w:themeColor="text1"/>
        </w:rPr>
        <w:t xml:space="preserve">items and subsequent latent factors of the CFEAB were interrelated for the ESEM. An epsilon value of .55 was adopted to enable as many items as possible to be optimally identified within one component while </w:t>
      </w:r>
      <w:proofErr w:type="spellStart"/>
      <w:r w:rsidR="00F717A1" w:rsidRPr="00615F05">
        <w:rPr>
          <w:rFonts w:eastAsia="Times New Roman"/>
          <w:color w:val="000000" w:themeColor="text1"/>
        </w:rPr>
        <w:t>minimising</w:t>
      </w:r>
      <w:proofErr w:type="spellEnd"/>
      <w:r w:rsidR="00F717A1" w:rsidRPr="00615F05">
        <w:rPr>
          <w:rFonts w:eastAsia="Times New Roman"/>
          <w:color w:val="000000" w:themeColor="text1"/>
        </w:rPr>
        <w:t xml:space="preserve"> the potential number</w:t>
      </w:r>
      <w:r w:rsidR="009644B5" w:rsidRPr="00615F05">
        <w:rPr>
          <w:rFonts w:eastAsia="Times New Roman"/>
          <w:color w:val="000000" w:themeColor="text1"/>
        </w:rPr>
        <w:t xml:space="preserve"> of doublets (</w:t>
      </w:r>
      <w:proofErr w:type="spellStart"/>
      <w:r w:rsidR="009644B5" w:rsidRPr="00615F05">
        <w:rPr>
          <w:rFonts w:eastAsia="Times New Roman"/>
          <w:color w:val="000000" w:themeColor="text1"/>
        </w:rPr>
        <w:t>Comrey</w:t>
      </w:r>
      <w:proofErr w:type="spellEnd"/>
      <w:r w:rsidR="009644B5" w:rsidRPr="00615F05">
        <w:rPr>
          <w:rFonts w:eastAsia="Times New Roman"/>
          <w:color w:val="000000" w:themeColor="text1"/>
        </w:rPr>
        <w:t xml:space="preserve"> &amp; Lee, 2013</w:t>
      </w:r>
      <w:r w:rsidR="00F717A1" w:rsidRPr="00615F05">
        <w:rPr>
          <w:rFonts w:eastAsia="Times New Roman"/>
          <w:color w:val="000000" w:themeColor="text1"/>
        </w:rPr>
        <w:t xml:space="preserve">). </w:t>
      </w:r>
      <w:r w:rsidR="00F717A1" w:rsidRPr="00615F05">
        <w:rPr>
          <w:color w:val="000000" w:themeColor="text1"/>
        </w:rPr>
        <w:t>To evaluate model fit, we examined the χ</w:t>
      </w:r>
      <w:r w:rsidR="00F717A1" w:rsidRPr="00615F05">
        <w:rPr>
          <w:color w:val="000000" w:themeColor="text1"/>
          <w:vertAlign w:val="superscript"/>
        </w:rPr>
        <w:t>2</w:t>
      </w:r>
      <w:r w:rsidR="00F717A1" w:rsidRPr="00615F05">
        <w:rPr>
          <w:color w:val="000000" w:themeColor="text1"/>
        </w:rPr>
        <w:t xml:space="preserve"> statistic, comparative fit index (CFI), Tucker–Lewis Index (TLI), Root Mean Square Error of Approximation (RMSEA) with 95% Confidence Intervals (CI), and </w:t>
      </w:r>
      <w:proofErr w:type="spellStart"/>
      <w:r w:rsidR="00F717A1" w:rsidRPr="00615F05">
        <w:rPr>
          <w:color w:val="000000" w:themeColor="text1"/>
        </w:rPr>
        <w:t>Standardised</w:t>
      </w:r>
      <w:proofErr w:type="spellEnd"/>
      <w:r w:rsidR="00F717A1" w:rsidRPr="00615F05">
        <w:rPr>
          <w:color w:val="000000" w:themeColor="text1"/>
        </w:rPr>
        <w:t xml:space="preserve"> Root Mean Square Residual (SRMR) using the following criteria: </w:t>
      </w:r>
      <w:r w:rsidR="00F717A1" w:rsidRPr="00615F05">
        <w:rPr>
          <w:i/>
          <w:color w:val="000000" w:themeColor="text1"/>
        </w:rPr>
        <w:t>CFI</w:t>
      </w:r>
      <w:r w:rsidR="00F717A1" w:rsidRPr="00615F05">
        <w:rPr>
          <w:color w:val="000000" w:themeColor="text1"/>
        </w:rPr>
        <w:t xml:space="preserve"> &gt; 0.90, </w:t>
      </w:r>
      <w:r w:rsidR="00F717A1" w:rsidRPr="00615F05">
        <w:rPr>
          <w:i/>
          <w:color w:val="000000" w:themeColor="text1"/>
        </w:rPr>
        <w:t>TLI</w:t>
      </w:r>
      <w:r w:rsidR="00F717A1" w:rsidRPr="00615F05">
        <w:rPr>
          <w:color w:val="000000" w:themeColor="text1"/>
        </w:rPr>
        <w:t xml:space="preserve"> &gt; 0.90, </w:t>
      </w:r>
      <w:r w:rsidR="00F717A1" w:rsidRPr="00615F05">
        <w:rPr>
          <w:i/>
          <w:color w:val="000000" w:themeColor="text1"/>
        </w:rPr>
        <w:t>RMSEA</w:t>
      </w:r>
      <w:r w:rsidR="00F717A1" w:rsidRPr="00615F05">
        <w:rPr>
          <w:color w:val="000000" w:themeColor="text1"/>
        </w:rPr>
        <w:t xml:space="preserve"> &lt; 0.06, </w:t>
      </w:r>
      <w:r w:rsidR="00F717A1" w:rsidRPr="00615F05">
        <w:rPr>
          <w:i/>
          <w:color w:val="000000" w:themeColor="text1"/>
        </w:rPr>
        <w:t>SRMR</w:t>
      </w:r>
      <w:r w:rsidR="00F717A1" w:rsidRPr="00615F05">
        <w:rPr>
          <w:color w:val="000000" w:themeColor="text1"/>
        </w:rPr>
        <w:t xml:space="preserve"> &lt; 0.06 (Marsh, </w:t>
      </w:r>
      <w:proofErr w:type="spellStart"/>
      <w:r w:rsidR="00F717A1" w:rsidRPr="00615F05">
        <w:rPr>
          <w:color w:val="000000" w:themeColor="text1"/>
        </w:rPr>
        <w:t>Hau</w:t>
      </w:r>
      <w:proofErr w:type="spellEnd"/>
      <w:r w:rsidR="00F717A1" w:rsidRPr="00615F05">
        <w:rPr>
          <w:color w:val="000000" w:themeColor="text1"/>
        </w:rPr>
        <w:t xml:space="preserve">, </w:t>
      </w:r>
      <w:r w:rsidR="004B1B9A" w:rsidRPr="00615F05">
        <w:rPr>
          <w:color w:val="000000" w:themeColor="text1"/>
        </w:rPr>
        <w:t>&amp;</w:t>
      </w:r>
      <w:r w:rsidR="00F717A1" w:rsidRPr="00615F05">
        <w:rPr>
          <w:color w:val="000000" w:themeColor="text1"/>
        </w:rPr>
        <w:t xml:space="preserve"> Wen, 2004). </w:t>
      </w:r>
    </w:p>
    <w:p w14:paraId="6AE653D7" w14:textId="66DEA240" w:rsidR="00F717A1" w:rsidRPr="00615F05" w:rsidRDefault="00F717A1" w:rsidP="00F717A1">
      <w:pPr>
        <w:spacing w:line="480" w:lineRule="auto"/>
        <w:ind w:firstLine="720"/>
        <w:rPr>
          <w:rFonts w:eastAsia="Times New Roman"/>
          <w:color w:val="000000" w:themeColor="text1"/>
        </w:rPr>
      </w:pPr>
      <w:proofErr w:type="gramStart"/>
      <w:r w:rsidRPr="00615F05">
        <w:rPr>
          <w:rFonts w:eastAsia="Times New Roman"/>
          <w:color w:val="000000" w:themeColor="text1"/>
        </w:rPr>
        <w:t>In order to</w:t>
      </w:r>
      <w:proofErr w:type="gramEnd"/>
      <w:r w:rsidRPr="00615F05">
        <w:rPr>
          <w:rFonts w:eastAsia="Times New Roman"/>
          <w:color w:val="000000" w:themeColor="text1"/>
        </w:rPr>
        <w:t xml:space="preserve"> select the most parsimonious model, the Bayes Information Criterion (BIC) and Akaike’s Information Criterion (AIC) were used to compare models. The AIC and BIC assign a greater penalty to model complexity and therefore have a better propensity t</w:t>
      </w:r>
      <w:r w:rsidR="00F82D6B" w:rsidRPr="00615F05">
        <w:rPr>
          <w:rFonts w:eastAsia="Times New Roman"/>
          <w:color w:val="000000" w:themeColor="text1"/>
        </w:rPr>
        <w:t xml:space="preserve">o select more efficient models. </w:t>
      </w:r>
      <w:proofErr w:type="spellStart"/>
      <w:r w:rsidR="00F82D6B" w:rsidRPr="00615F05">
        <w:rPr>
          <w:rFonts w:eastAsia="Times New Roman"/>
          <w:color w:val="000000" w:themeColor="text1"/>
        </w:rPr>
        <w:t>S</w:t>
      </w:r>
      <w:r w:rsidRPr="00615F05">
        <w:rPr>
          <w:rFonts w:eastAsia="Times New Roman"/>
          <w:color w:val="000000" w:themeColor="text1"/>
        </w:rPr>
        <w:t>tandardised</w:t>
      </w:r>
      <w:proofErr w:type="spellEnd"/>
      <w:r w:rsidRPr="00615F05">
        <w:rPr>
          <w:rFonts w:eastAsia="Times New Roman"/>
          <w:color w:val="000000" w:themeColor="text1"/>
        </w:rPr>
        <w:t xml:space="preserve"> solutions were examined to evaluate the significance and strength of parameter estimates. The following criteria were used to evaluate the </w:t>
      </w:r>
      <w:proofErr w:type="spellStart"/>
      <w:r w:rsidRPr="00615F05">
        <w:rPr>
          <w:rFonts w:eastAsia="Times New Roman"/>
          <w:color w:val="000000" w:themeColor="text1"/>
        </w:rPr>
        <w:t>standardised</w:t>
      </w:r>
      <w:proofErr w:type="spellEnd"/>
      <w:r w:rsidRPr="00615F05">
        <w:rPr>
          <w:rFonts w:eastAsia="Times New Roman"/>
          <w:color w:val="000000" w:themeColor="text1"/>
        </w:rPr>
        <w:t xml:space="preserve"> factor loadings (&gt; .71 = excellent, &gt; .63 = very good, &gt; .55 = good, &gt; .45 = fair, &gt; .32 = poor; </w:t>
      </w:r>
      <w:proofErr w:type="spellStart"/>
      <w:r w:rsidRPr="00615F05">
        <w:rPr>
          <w:rFonts w:eastAsia="Times New Roman"/>
          <w:color w:val="000000" w:themeColor="text1"/>
        </w:rPr>
        <w:t>Comrey</w:t>
      </w:r>
      <w:proofErr w:type="spellEnd"/>
      <w:r w:rsidRPr="00615F05">
        <w:rPr>
          <w:rFonts w:eastAsia="Times New Roman"/>
          <w:color w:val="000000" w:themeColor="text1"/>
        </w:rPr>
        <w:t xml:space="preserve"> </w:t>
      </w:r>
      <w:r w:rsidR="004B1B9A" w:rsidRPr="00615F05">
        <w:rPr>
          <w:rFonts w:eastAsia="Times New Roman"/>
          <w:color w:val="000000" w:themeColor="text1"/>
        </w:rPr>
        <w:t>&amp;</w:t>
      </w:r>
      <w:r w:rsidR="009644B5" w:rsidRPr="00615F05">
        <w:rPr>
          <w:rFonts w:eastAsia="Times New Roman"/>
          <w:color w:val="000000" w:themeColor="text1"/>
        </w:rPr>
        <w:t xml:space="preserve"> Lee, 2013</w:t>
      </w:r>
      <w:r w:rsidRPr="00615F05">
        <w:rPr>
          <w:rFonts w:eastAsia="Times New Roman"/>
          <w:color w:val="000000" w:themeColor="text1"/>
        </w:rPr>
        <w:t xml:space="preserve">). </w:t>
      </w:r>
    </w:p>
    <w:p w14:paraId="0238217F" w14:textId="0D839197" w:rsidR="00A643A4" w:rsidRPr="00615F05" w:rsidRDefault="00F717A1" w:rsidP="001835F4">
      <w:pPr>
        <w:spacing w:line="480" w:lineRule="auto"/>
        <w:ind w:firstLine="720"/>
        <w:rPr>
          <w:rFonts w:eastAsia="Times New Roman"/>
          <w:color w:val="000000" w:themeColor="text1"/>
        </w:rPr>
      </w:pPr>
      <w:r w:rsidRPr="00615F05">
        <w:rPr>
          <w:rFonts w:eastAsia="Times New Roman"/>
          <w:color w:val="000000" w:themeColor="text1"/>
        </w:rPr>
        <w:t xml:space="preserve">Finally, we used multiple linear regression with the </w:t>
      </w:r>
      <w:r w:rsidR="004B1B9A" w:rsidRPr="00615F05">
        <w:rPr>
          <w:rFonts w:eastAsia="Times New Roman"/>
          <w:color w:val="000000" w:themeColor="text1"/>
        </w:rPr>
        <w:t xml:space="preserve">CFEAB subscales </w:t>
      </w:r>
      <w:r w:rsidRPr="00615F05">
        <w:rPr>
          <w:rFonts w:eastAsia="Times New Roman"/>
          <w:color w:val="000000" w:themeColor="text1"/>
        </w:rPr>
        <w:t xml:space="preserve">as predictors to examine their influence on the </w:t>
      </w:r>
      <w:r w:rsidR="004B1B9A" w:rsidRPr="00615F05">
        <w:rPr>
          <w:rFonts w:eastAsia="Times New Roman"/>
          <w:color w:val="000000" w:themeColor="text1"/>
        </w:rPr>
        <w:t>mental health and disordered eating</w:t>
      </w:r>
      <w:r w:rsidRPr="00615F05">
        <w:rPr>
          <w:rFonts w:eastAsia="Times New Roman"/>
          <w:color w:val="000000" w:themeColor="text1"/>
        </w:rPr>
        <w:t xml:space="preserve"> as outcome variables. </w:t>
      </w:r>
      <w:r w:rsidR="005373C6" w:rsidRPr="00615F05">
        <w:rPr>
          <w:rFonts w:eastAsia="Times New Roman"/>
          <w:color w:val="000000" w:themeColor="text1"/>
        </w:rPr>
        <w:t xml:space="preserve">Age and gender were not entered as covariates as they did not correlate with the outcome variables. </w:t>
      </w:r>
      <w:r w:rsidRPr="00615F05">
        <w:rPr>
          <w:rFonts w:eastAsia="Times New Roman"/>
          <w:color w:val="000000" w:themeColor="text1"/>
        </w:rPr>
        <w:t xml:space="preserve">Positive associations with similar concepts support </w:t>
      </w:r>
      <w:r w:rsidR="005373C6" w:rsidRPr="00615F05">
        <w:rPr>
          <w:rFonts w:eastAsia="Times New Roman"/>
          <w:color w:val="000000" w:themeColor="text1"/>
        </w:rPr>
        <w:t>criterion</w:t>
      </w:r>
      <w:r w:rsidRPr="00615F05">
        <w:rPr>
          <w:rFonts w:eastAsia="Times New Roman"/>
          <w:color w:val="000000" w:themeColor="text1"/>
        </w:rPr>
        <w:t xml:space="preserve"> validity. </w:t>
      </w:r>
    </w:p>
    <w:p w14:paraId="30B474A4" w14:textId="0E127891" w:rsidR="00CF2083" w:rsidRPr="00615F05" w:rsidRDefault="00CF2083" w:rsidP="00CF2083">
      <w:pPr>
        <w:jc w:val="center"/>
        <w:rPr>
          <w:b/>
          <w:bCs/>
          <w:color w:val="000000" w:themeColor="text1"/>
        </w:rPr>
      </w:pPr>
      <w:r w:rsidRPr="00615F05">
        <w:rPr>
          <w:b/>
          <w:bCs/>
          <w:color w:val="000000" w:themeColor="text1"/>
        </w:rPr>
        <w:t>Results</w:t>
      </w:r>
      <w:r w:rsidR="00E44E48" w:rsidRPr="00615F05">
        <w:rPr>
          <w:b/>
          <w:bCs/>
          <w:color w:val="000000" w:themeColor="text1"/>
        </w:rPr>
        <w:br/>
      </w:r>
    </w:p>
    <w:p w14:paraId="28C0E0D0" w14:textId="638B1B84" w:rsidR="00E82771" w:rsidRPr="00615F05" w:rsidRDefault="00E82771" w:rsidP="00B551E3">
      <w:pPr>
        <w:tabs>
          <w:tab w:val="center" w:pos="4513"/>
        </w:tabs>
        <w:spacing w:line="480" w:lineRule="auto"/>
        <w:ind w:firstLine="720"/>
        <w:rPr>
          <w:color w:val="000000" w:themeColor="text1"/>
        </w:rPr>
      </w:pPr>
      <w:r w:rsidRPr="00615F05">
        <w:rPr>
          <w:color w:val="000000" w:themeColor="text1"/>
        </w:rPr>
        <w:t xml:space="preserve">Means, standard deviations, </w:t>
      </w:r>
      <w:r w:rsidR="007668FB" w:rsidRPr="00615F05">
        <w:rPr>
          <w:color w:val="000000" w:themeColor="text1"/>
        </w:rPr>
        <w:t xml:space="preserve">and </w:t>
      </w:r>
      <w:r w:rsidRPr="00615F05">
        <w:rPr>
          <w:color w:val="000000" w:themeColor="text1"/>
        </w:rPr>
        <w:t xml:space="preserve">internal consistency are displayed in Table 1. Results indicate support for the </w:t>
      </w:r>
      <w:r w:rsidR="00F80FA2" w:rsidRPr="00615F05">
        <w:rPr>
          <w:color w:val="000000" w:themeColor="text1"/>
        </w:rPr>
        <w:t>‘</w:t>
      </w:r>
      <w:r w:rsidRPr="00615F05">
        <w:rPr>
          <w:color w:val="000000" w:themeColor="text1"/>
        </w:rPr>
        <w:t>short</w:t>
      </w:r>
      <w:r w:rsidR="00F80FA2" w:rsidRPr="00615F05">
        <w:rPr>
          <w:color w:val="000000" w:themeColor="text1"/>
        </w:rPr>
        <w:t>-</w:t>
      </w:r>
      <w:r w:rsidRPr="00615F05">
        <w:rPr>
          <w:color w:val="000000" w:themeColor="text1"/>
        </w:rPr>
        <w:t>CFEAB</w:t>
      </w:r>
      <w:r w:rsidR="001835F4" w:rsidRPr="00615F05">
        <w:rPr>
          <w:color w:val="000000" w:themeColor="text1"/>
        </w:rPr>
        <w:t>’</w:t>
      </w:r>
      <w:r w:rsidRPr="00615F05">
        <w:rPr>
          <w:color w:val="000000" w:themeColor="text1"/>
        </w:rPr>
        <w:t xml:space="preserve"> over the 24-item version</w:t>
      </w:r>
      <w:r w:rsidR="007C0661" w:rsidRPr="00615F05">
        <w:rPr>
          <w:color w:val="000000" w:themeColor="text1"/>
        </w:rPr>
        <w:t xml:space="preserve"> regarding internal consistency</w:t>
      </w:r>
      <w:r w:rsidRPr="00615F05">
        <w:rPr>
          <w:color w:val="000000" w:themeColor="text1"/>
        </w:rPr>
        <w:t>.</w:t>
      </w:r>
    </w:p>
    <w:p w14:paraId="4D65291D" w14:textId="6FAF6F7B" w:rsidR="00CC49C7" w:rsidRPr="00615F05" w:rsidRDefault="00336D78" w:rsidP="00336D78">
      <w:pPr>
        <w:tabs>
          <w:tab w:val="center" w:pos="4513"/>
        </w:tabs>
        <w:spacing w:line="480" w:lineRule="auto"/>
        <w:jc w:val="center"/>
        <w:rPr>
          <w:b/>
          <w:color w:val="000000" w:themeColor="text1"/>
        </w:rPr>
      </w:pPr>
      <w:r w:rsidRPr="00615F05">
        <w:rPr>
          <w:b/>
          <w:color w:val="000000" w:themeColor="text1"/>
        </w:rPr>
        <w:lastRenderedPageBreak/>
        <w:t>Insert Table 1 here</w:t>
      </w:r>
    </w:p>
    <w:p w14:paraId="5D0E6E96" w14:textId="5D7AF332" w:rsidR="0046041A" w:rsidRPr="00615F05" w:rsidRDefault="00CC49C7" w:rsidP="00B551E3">
      <w:pPr>
        <w:tabs>
          <w:tab w:val="center" w:pos="4513"/>
        </w:tabs>
        <w:spacing w:line="480" w:lineRule="auto"/>
        <w:ind w:firstLine="720"/>
        <w:rPr>
          <w:color w:val="000000" w:themeColor="text1"/>
        </w:rPr>
      </w:pPr>
      <w:r w:rsidRPr="00615F05">
        <w:rPr>
          <w:color w:val="000000" w:themeColor="text1"/>
        </w:rPr>
        <w:t>Next</w:t>
      </w:r>
      <w:r w:rsidR="0046041A" w:rsidRPr="00615F05">
        <w:rPr>
          <w:color w:val="000000" w:themeColor="text1"/>
        </w:rPr>
        <w:t>,</w:t>
      </w:r>
      <w:r w:rsidRPr="00615F05">
        <w:rPr>
          <w:color w:val="000000" w:themeColor="text1"/>
        </w:rPr>
        <w:t xml:space="preserve"> we assessed the factor structure of the 24</w:t>
      </w:r>
      <w:r w:rsidR="00E214C8" w:rsidRPr="00615F05">
        <w:rPr>
          <w:color w:val="000000" w:themeColor="text1"/>
        </w:rPr>
        <w:t>-</w:t>
      </w:r>
      <w:r w:rsidRPr="00615F05">
        <w:rPr>
          <w:color w:val="000000" w:themeColor="text1"/>
        </w:rPr>
        <w:t xml:space="preserve">item CFEAB. </w:t>
      </w:r>
      <w:r w:rsidR="00BE12E8" w:rsidRPr="00615F05">
        <w:rPr>
          <w:color w:val="000000" w:themeColor="text1"/>
        </w:rPr>
        <w:t xml:space="preserve">Results suggested good fit to the data </w:t>
      </w:r>
      <w:bookmarkStart w:id="3" w:name="_Hlk91012498"/>
      <w:r w:rsidR="00BE12E8" w:rsidRPr="00615F05">
        <w:rPr>
          <w:color w:val="000000" w:themeColor="text1"/>
        </w:rPr>
        <w:t>(χ</w:t>
      </w:r>
      <w:r w:rsidR="00BE12E8" w:rsidRPr="00615F05">
        <w:rPr>
          <w:color w:val="000000" w:themeColor="text1"/>
          <w:vertAlign w:val="superscript"/>
        </w:rPr>
        <w:t>2</w:t>
      </w:r>
      <w:r w:rsidR="00BE12E8" w:rsidRPr="00615F05">
        <w:rPr>
          <w:color w:val="000000" w:themeColor="text1"/>
        </w:rPr>
        <w:t xml:space="preserve"> [207] = 289.254, p &lt; .001; RMSEA = .055 [.</w:t>
      </w:r>
      <w:r w:rsidR="00DC7E5B" w:rsidRPr="00615F05">
        <w:rPr>
          <w:color w:val="000000" w:themeColor="text1"/>
        </w:rPr>
        <w:t>447</w:t>
      </w:r>
      <w:r w:rsidR="00BE12E8" w:rsidRPr="00615F05">
        <w:rPr>
          <w:color w:val="000000" w:themeColor="text1"/>
        </w:rPr>
        <w:t>-.0</w:t>
      </w:r>
      <w:r w:rsidR="00DC7E5B" w:rsidRPr="00615F05">
        <w:rPr>
          <w:color w:val="000000" w:themeColor="text1"/>
        </w:rPr>
        <w:t>14</w:t>
      </w:r>
      <w:r w:rsidR="00BE12E8" w:rsidRPr="00615F05">
        <w:rPr>
          <w:color w:val="000000" w:themeColor="text1"/>
        </w:rPr>
        <w:t>]; SRM</w:t>
      </w:r>
      <w:r w:rsidR="00113786" w:rsidRPr="00615F05">
        <w:rPr>
          <w:color w:val="000000" w:themeColor="text1"/>
        </w:rPr>
        <w:t>R = .033; TLI = .948; CFI = .961</w:t>
      </w:r>
      <w:r w:rsidR="00BE12E8" w:rsidRPr="00615F05">
        <w:rPr>
          <w:color w:val="000000" w:themeColor="text1"/>
        </w:rPr>
        <w:t xml:space="preserve">; AIC = </w:t>
      </w:r>
      <w:r w:rsidR="00113786" w:rsidRPr="00615F05">
        <w:rPr>
          <w:color w:val="000000" w:themeColor="text1"/>
        </w:rPr>
        <w:t>7676.563</w:t>
      </w:r>
      <w:r w:rsidR="00BE12E8" w:rsidRPr="00615F05">
        <w:rPr>
          <w:color w:val="000000" w:themeColor="text1"/>
        </w:rPr>
        <w:t xml:space="preserve">; BIC = </w:t>
      </w:r>
      <w:r w:rsidR="00113786" w:rsidRPr="00615F05">
        <w:rPr>
          <w:color w:val="000000" w:themeColor="text1"/>
        </w:rPr>
        <w:t>8013.851</w:t>
      </w:r>
      <w:r w:rsidR="00BE12E8" w:rsidRPr="00615F05">
        <w:rPr>
          <w:color w:val="000000" w:themeColor="text1"/>
        </w:rPr>
        <w:t xml:space="preserve">). </w:t>
      </w:r>
      <w:bookmarkEnd w:id="3"/>
      <w:r w:rsidR="0046041A" w:rsidRPr="00615F05">
        <w:rPr>
          <w:color w:val="000000" w:themeColor="text1"/>
        </w:rPr>
        <w:t>However, the 12-item version indicated superior fit (χ</w:t>
      </w:r>
      <w:r w:rsidR="0046041A" w:rsidRPr="00615F05">
        <w:rPr>
          <w:color w:val="000000" w:themeColor="text1"/>
          <w:vertAlign w:val="superscript"/>
        </w:rPr>
        <w:t>2</w:t>
      </w:r>
      <w:r w:rsidR="0046041A" w:rsidRPr="00615F05">
        <w:rPr>
          <w:color w:val="000000" w:themeColor="text1"/>
        </w:rPr>
        <w:t xml:space="preserve"> [33] = 44.161, p &lt; .001; RMSEA = .051 [.</w:t>
      </w:r>
      <w:r w:rsidR="00DC7E5B" w:rsidRPr="00615F05">
        <w:rPr>
          <w:color w:val="000000" w:themeColor="text1"/>
        </w:rPr>
        <w:t>246</w:t>
      </w:r>
      <w:r w:rsidR="0046041A" w:rsidRPr="00615F05">
        <w:rPr>
          <w:color w:val="000000" w:themeColor="text1"/>
        </w:rPr>
        <w:t>-.</w:t>
      </w:r>
      <w:r w:rsidR="00DC7E5B" w:rsidRPr="00615F05">
        <w:rPr>
          <w:color w:val="000000" w:themeColor="text1"/>
        </w:rPr>
        <w:t>735</w:t>
      </w:r>
      <w:r w:rsidR="0046041A" w:rsidRPr="00615F05">
        <w:rPr>
          <w:color w:val="000000" w:themeColor="text1"/>
        </w:rPr>
        <w:t>]; SRMR = .019; TLI =</w:t>
      </w:r>
      <w:r w:rsidR="00113786" w:rsidRPr="00615F05">
        <w:rPr>
          <w:color w:val="000000" w:themeColor="text1"/>
        </w:rPr>
        <w:t xml:space="preserve"> .972; CFI = .986; AIC = 3994.903</w:t>
      </w:r>
      <w:r w:rsidR="0046041A" w:rsidRPr="00615F05">
        <w:rPr>
          <w:color w:val="000000" w:themeColor="text1"/>
        </w:rPr>
        <w:t xml:space="preserve">; BIC = </w:t>
      </w:r>
      <w:r w:rsidR="00113786" w:rsidRPr="00615F05">
        <w:rPr>
          <w:color w:val="000000" w:themeColor="text1"/>
        </w:rPr>
        <w:t>4159.223</w:t>
      </w:r>
      <w:r w:rsidR="0046041A" w:rsidRPr="00615F05">
        <w:rPr>
          <w:color w:val="000000" w:themeColor="text1"/>
        </w:rPr>
        <w:t xml:space="preserve">). Reductions in AIC and BIC values </w:t>
      </w:r>
      <w:proofErr w:type="spellStart"/>
      <w:r w:rsidR="0046041A" w:rsidRPr="00615F05">
        <w:rPr>
          <w:color w:val="000000" w:themeColor="text1"/>
        </w:rPr>
        <w:t>favouring</w:t>
      </w:r>
      <w:proofErr w:type="spellEnd"/>
      <w:r w:rsidR="0046041A" w:rsidRPr="00615F05">
        <w:rPr>
          <w:color w:val="000000" w:themeColor="text1"/>
        </w:rPr>
        <w:t xml:space="preserve"> the 12-item version supports this assumption. </w:t>
      </w:r>
    </w:p>
    <w:p w14:paraId="50B62E4A" w14:textId="2EBF78EF" w:rsidR="00C26BC4" w:rsidRPr="00DD39BB" w:rsidRDefault="00C26BC4" w:rsidP="00B551E3">
      <w:pPr>
        <w:tabs>
          <w:tab w:val="center" w:pos="4513"/>
        </w:tabs>
        <w:spacing w:line="480" w:lineRule="auto"/>
        <w:ind w:firstLine="720"/>
      </w:pPr>
      <w:r w:rsidRPr="00DD39BB">
        <w:t>Inspection of the factor loadings of the 24</w:t>
      </w:r>
      <w:r w:rsidR="00E214C8" w:rsidRPr="00DD39BB">
        <w:t>-</w:t>
      </w:r>
      <w:r w:rsidRPr="00DD39BB">
        <w:t>item CFEAB shows comparability with previous work (</w:t>
      </w:r>
      <w:proofErr w:type="spellStart"/>
      <w:r w:rsidRPr="00DD39BB">
        <w:t>Melhuish</w:t>
      </w:r>
      <w:proofErr w:type="spellEnd"/>
      <w:r w:rsidRPr="00DD39BB">
        <w:t>, 201</w:t>
      </w:r>
      <w:r w:rsidR="00EB0591" w:rsidRPr="00DD39BB">
        <w:t>3</w:t>
      </w:r>
      <w:r w:rsidR="00B52023" w:rsidRPr="00DD39BB">
        <w:t>;</w:t>
      </w:r>
      <w:r w:rsidRPr="00DD39BB">
        <w:t xml:space="preserve"> </w:t>
      </w:r>
      <w:proofErr w:type="spellStart"/>
      <w:r w:rsidRPr="00DD39BB">
        <w:t>Randlesome</w:t>
      </w:r>
      <w:proofErr w:type="spellEnd"/>
      <w:r w:rsidR="007B4373" w:rsidRPr="00DD39BB">
        <w:t xml:space="preserve"> et al., </w:t>
      </w:r>
      <w:r w:rsidRPr="00DD39BB">
        <w:t xml:space="preserve">2013). The original study suggested that the items measure three factors </w:t>
      </w:r>
      <w:r w:rsidR="00B36469" w:rsidRPr="00DD39BB">
        <w:t>of</w:t>
      </w:r>
      <w:r w:rsidRPr="00DD39BB">
        <w:t xml:space="preserve"> ‘Desire for thinness (items 2, 3, 6, 14, 15, 17, 18, 19, 21, 22)’, ‘Disturbed EABs’ (items 8, 10, 11, 12, 16, 20, 23, 24)’, and ‘Appetite’ (Items 1, 9, 13)</w:t>
      </w:r>
      <w:r w:rsidR="00B36469" w:rsidRPr="00DD39BB">
        <w:t xml:space="preserve"> after </w:t>
      </w:r>
      <w:proofErr w:type="spellStart"/>
      <w:r w:rsidRPr="00DD39BB">
        <w:t>Randlesome</w:t>
      </w:r>
      <w:proofErr w:type="spellEnd"/>
      <w:r w:rsidRPr="00DD39BB">
        <w:t xml:space="preserve"> et al. removed 3 items (Items 4, 5, 7)</w:t>
      </w:r>
      <w:r w:rsidR="00B52023" w:rsidRPr="00DD39BB">
        <w:t xml:space="preserve">. The </w:t>
      </w:r>
      <w:r w:rsidR="00B36469" w:rsidRPr="00DD39BB">
        <w:t>current</w:t>
      </w:r>
      <w:r w:rsidR="00B52023" w:rsidRPr="00DD39BB">
        <w:t xml:space="preserve"> factor solution </w:t>
      </w:r>
      <w:r w:rsidR="00B36469" w:rsidRPr="00DD39BB">
        <w:t xml:space="preserve">largely supports this structure </w:t>
      </w:r>
      <w:r w:rsidRPr="00DD39BB">
        <w:t xml:space="preserve">with </w:t>
      </w:r>
      <w:r w:rsidR="006F1106" w:rsidRPr="00DD39BB">
        <w:t>good</w:t>
      </w:r>
      <w:r w:rsidRPr="00DD39BB">
        <w:t xml:space="preserve"> factor loadings </w:t>
      </w:r>
      <w:r w:rsidR="007B4373" w:rsidRPr="00DD39BB">
        <w:t>(</w:t>
      </w:r>
      <w:r w:rsidR="006F1106" w:rsidRPr="00DD39BB">
        <w:t xml:space="preserve">i.e., &gt; 0.42; </w:t>
      </w:r>
      <w:r w:rsidR="007B4373" w:rsidRPr="00DD39BB">
        <w:t>see Table 2)</w:t>
      </w:r>
      <w:r w:rsidR="001F270D" w:rsidRPr="00DD39BB">
        <w:t>. For example,</w:t>
      </w:r>
      <w:r w:rsidR="005307F7" w:rsidRPr="00DD39BB">
        <w:t xml:space="preserve"> </w:t>
      </w:r>
      <w:r w:rsidR="001F270D" w:rsidRPr="00DD39BB">
        <w:t>i</w:t>
      </w:r>
      <w:r w:rsidR="006F1106" w:rsidRPr="00DD39BB">
        <w:t>tems</w:t>
      </w:r>
      <w:r w:rsidR="004940C3" w:rsidRPr="00DD39BB">
        <w:t xml:space="preserve"> </w:t>
      </w:r>
      <w:r w:rsidR="00B36469" w:rsidRPr="00DD39BB">
        <w:t xml:space="preserve">2, </w:t>
      </w:r>
      <w:r w:rsidR="004940C3" w:rsidRPr="00DD39BB">
        <w:t xml:space="preserve">3, </w:t>
      </w:r>
      <w:r w:rsidR="00B36469" w:rsidRPr="00DD39BB">
        <w:t xml:space="preserve">6, </w:t>
      </w:r>
      <w:r w:rsidR="004940C3" w:rsidRPr="00DD39BB">
        <w:t xml:space="preserve">14, </w:t>
      </w:r>
      <w:r w:rsidR="00B36469" w:rsidRPr="00DD39BB">
        <w:t xml:space="preserve">15, </w:t>
      </w:r>
      <w:r w:rsidR="004940C3" w:rsidRPr="00DD39BB">
        <w:t>17, 18</w:t>
      </w:r>
      <w:r w:rsidR="001F270D" w:rsidRPr="00DD39BB">
        <w:t>, 21, and 22 of ‘Desire for thinness’</w:t>
      </w:r>
      <w:r w:rsidR="004940C3" w:rsidRPr="00DD39BB">
        <w:t xml:space="preserve">, </w:t>
      </w:r>
      <w:r w:rsidR="001F270D" w:rsidRPr="00DD39BB">
        <w:t xml:space="preserve">and items 8 and 20 of </w:t>
      </w:r>
      <w:r w:rsidR="004940C3" w:rsidRPr="00DD39BB">
        <w:t>‘Disturbed EABs’ (Items 12, 16, 19, 24</w:t>
      </w:r>
      <w:r w:rsidR="00614FEB" w:rsidRPr="00DD39BB">
        <w:t>)</w:t>
      </w:r>
      <w:r w:rsidR="001F270D" w:rsidRPr="00DD39BB">
        <w:t xml:space="preserve"> produced the highest loading on their target factor</w:t>
      </w:r>
      <w:r w:rsidR="00614FEB" w:rsidRPr="00DD39BB">
        <w:t xml:space="preserve">. </w:t>
      </w:r>
      <w:r w:rsidR="00E13755" w:rsidRPr="00DD39BB">
        <w:t>The latent factor correlations indicated moderate correlations between the CFEAB subscales</w:t>
      </w:r>
      <w:r w:rsidR="001F270D" w:rsidRPr="00DD39BB">
        <w:t xml:space="preserve"> supporting the subscales independence</w:t>
      </w:r>
      <w:r w:rsidR="00E13755" w:rsidRPr="00DD39BB">
        <w:t xml:space="preserve">.  </w:t>
      </w:r>
    </w:p>
    <w:p w14:paraId="448FFA76" w14:textId="62884C3E" w:rsidR="00336D78" w:rsidRPr="00DD39BB" w:rsidRDefault="00336D78" w:rsidP="00336D78">
      <w:pPr>
        <w:spacing w:line="480" w:lineRule="auto"/>
        <w:jc w:val="center"/>
        <w:rPr>
          <w:b/>
        </w:rPr>
      </w:pPr>
      <w:r w:rsidRPr="00DD39BB">
        <w:rPr>
          <w:b/>
        </w:rPr>
        <w:t>Insert Table 2 here</w:t>
      </w:r>
    </w:p>
    <w:p w14:paraId="2AFF0074" w14:textId="3E293F06" w:rsidR="00CF2083" w:rsidRPr="00DD39BB" w:rsidRDefault="00E50735" w:rsidP="00D604F2">
      <w:pPr>
        <w:spacing w:line="480" w:lineRule="auto"/>
        <w:ind w:firstLine="720"/>
      </w:pPr>
      <w:r w:rsidRPr="00DD39BB">
        <w:t xml:space="preserve">Nonetheless, </w:t>
      </w:r>
      <w:r w:rsidR="001F270D" w:rsidRPr="00DD39BB">
        <w:t xml:space="preserve">no </w:t>
      </w:r>
      <w:r w:rsidR="00DC7B7B" w:rsidRPr="00DD39BB">
        <w:t>items</w:t>
      </w:r>
      <w:r w:rsidR="001F270D" w:rsidRPr="00DD39BB">
        <w:t xml:space="preserve"> loaded on the ‘Appetite’ factor</w:t>
      </w:r>
      <w:r w:rsidR="00DC7B7B" w:rsidRPr="00DD39BB">
        <w:t xml:space="preserve"> questioning the factorial validity of the 24-item CFEAB</w:t>
      </w:r>
      <w:r w:rsidR="001F270D" w:rsidRPr="00DD39BB">
        <w:t xml:space="preserve">. Moreover, </w:t>
      </w:r>
      <w:r w:rsidRPr="00DD39BB">
        <w:t>nine items cross</w:t>
      </w:r>
      <w:r w:rsidR="00DC7B7B" w:rsidRPr="00DD39BB">
        <w:t>-</w:t>
      </w:r>
      <w:r w:rsidRPr="00DD39BB">
        <w:t>loaded between factors indicating distortion in the factor solution</w:t>
      </w:r>
      <w:r w:rsidR="00DC7B7B" w:rsidRPr="00DD39BB">
        <w:t>,</w:t>
      </w:r>
      <w:r w:rsidRPr="00DD39BB">
        <w:t xml:space="preserve"> and some factor loadings exceeded 1.00 indicating redundancy in the item set therefore supporting assessment of a shortened scale. </w:t>
      </w:r>
      <w:r w:rsidR="00B52023" w:rsidRPr="00DD39BB">
        <w:t xml:space="preserve">We removed excess loadings, cross-loadings, and items that scored lower than </w:t>
      </w:r>
      <w:r w:rsidR="00B40710" w:rsidRPr="00DD39BB">
        <w:t xml:space="preserve">the </w:t>
      </w:r>
      <w:r w:rsidR="00B52023" w:rsidRPr="00DD39BB">
        <w:t xml:space="preserve">0.32 cut-off (see Table 3). </w:t>
      </w:r>
      <w:r w:rsidR="00DC7B7B" w:rsidRPr="00DD39BB">
        <w:t xml:space="preserve">Specifically, the ‘Desire for Thinness’ subscale was reduced, the ‘Appetite’ subscale included item 5 which was dropped by </w:t>
      </w:r>
      <w:proofErr w:type="spellStart"/>
      <w:r w:rsidR="00DC7B7B" w:rsidRPr="00DD39BB">
        <w:t>Randlesome</w:t>
      </w:r>
      <w:proofErr w:type="spellEnd"/>
      <w:r w:rsidR="00DC7B7B" w:rsidRPr="00DD39BB">
        <w:t xml:space="preserve"> et al., and the ‘Disturbed EABs’ subscale </w:t>
      </w:r>
      <w:r w:rsidR="00DC7B7B" w:rsidRPr="00DD39BB">
        <w:lastRenderedPageBreak/>
        <w:t xml:space="preserve">included item 19, which was originally in the ‘Desire for Thinness’ subscale. Thus, the scale was reduced from 24, down to 12-items. </w:t>
      </w:r>
      <w:r w:rsidR="00CF2083" w:rsidRPr="00DD39BB">
        <w:t>Th</w:t>
      </w:r>
      <w:r w:rsidR="00B52023" w:rsidRPr="00DD39BB">
        <w:t>is produced a</w:t>
      </w:r>
      <w:r w:rsidR="00CF2083" w:rsidRPr="00DD39BB">
        <w:t xml:space="preserve"> </w:t>
      </w:r>
      <w:r w:rsidR="000F2321" w:rsidRPr="00DD39BB">
        <w:t>12-item</w:t>
      </w:r>
      <w:r w:rsidR="00CF2083" w:rsidRPr="00DD39BB">
        <w:t xml:space="preserve"> scale </w:t>
      </w:r>
      <w:r w:rsidR="00B52023" w:rsidRPr="00DD39BB">
        <w:t xml:space="preserve">with </w:t>
      </w:r>
      <w:r w:rsidR="00CF2083" w:rsidRPr="00DD39BB">
        <w:t>‘</w:t>
      </w:r>
      <w:bookmarkStart w:id="4" w:name="_Hlk120898889"/>
      <w:r w:rsidR="00CF2083" w:rsidRPr="00DD39BB">
        <w:t>Desire for Thinness</w:t>
      </w:r>
      <w:bookmarkEnd w:id="4"/>
      <w:r w:rsidR="00CF2083" w:rsidRPr="00DD39BB">
        <w:t>’ (</w:t>
      </w:r>
      <w:r w:rsidR="00B52023" w:rsidRPr="00DD39BB">
        <w:t>i</w:t>
      </w:r>
      <w:r w:rsidR="00CF2083" w:rsidRPr="00DD39BB">
        <w:t>tems 3,</w:t>
      </w:r>
      <w:r w:rsidR="00B52023" w:rsidRPr="00DD39BB">
        <w:t xml:space="preserve"> </w:t>
      </w:r>
      <w:r w:rsidR="00CF2083" w:rsidRPr="00DD39BB">
        <w:t>14,</w:t>
      </w:r>
      <w:r w:rsidR="00B52023" w:rsidRPr="00DD39BB">
        <w:t xml:space="preserve"> </w:t>
      </w:r>
      <w:r w:rsidR="00CF2083" w:rsidRPr="00DD39BB">
        <w:t>17,</w:t>
      </w:r>
      <w:r w:rsidR="00B52023" w:rsidRPr="00DD39BB">
        <w:t xml:space="preserve"> </w:t>
      </w:r>
      <w:r w:rsidR="00CF2083" w:rsidRPr="00DD39BB">
        <w:t>18), ‘</w:t>
      </w:r>
      <w:bookmarkStart w:id="5" w:name="_Hlk120898919"/>
      <w:r w:rsidR="00CF2083" w:rsidRPr="00DD39BB">
        <w:t>Appetite</w:t>
      </w:r>
      <w:bookmarkEnd w:id="5"/>
      <w:r w:rsidR="00CF2083" w:rsidRPr="00DD39BB">
        <w:t>’ (</w:t>
      </w:r>
      <w:r w:rsidR="00B52023" w:rsidRPr="00DD39BB">
        <w:t>i</w:t>
      </w:r>
      <w:r w:rsidR="00CF2083" w:rsidRPr="00DD39BB">
        <w:t>tems 5,</w:t>
      </w:r>
      <w:r w:rsidR="00B52023" w:rsidRPr="00DD39BB">
        <w:t xml:space="preserve"> </w:t>
      </w:r>
      <w:r w:rsidR="00CF2083" w:rsidRPr="00DD39BB">
        <w:t>8,</w:t>
      </w:r>
      <w:r w:rsidR="00B52023" w:rsidRPr="00DD39BB">
        <w:t xml:space="preserve"> </w:t>
      </w:r>
      <w:r w:rsidR="00CF2083" w:rsidRPr="00DD39BB">
        <w:t>13,</w:t>
      </w:r>
      <w:r w:rsidR="00B52023" w:rsidRPr="00DD39BB">
        <w:t xml:space="preserve"> </w:t>
      </w:r>
      <w:r w:rsidR="00CF2083" w:rsidRPr="00DD39BB">
        <w:t>20) and ‘</w:t>
      </w:r>
      <w:bookmarkStart w:id="6" w:name="_Hlk120898937"/>
      <w:r w:rsidR="00CF2083" w:rsidRPr="00DD39BB">
        <w:t>Disturbed EABs</w:t>
      </w:r>
      <w:bookmarkEnd w:id="6"/>
      <w:r w:rsidR="00CF2083" w:rsidRPr="00DD39BB">
        <w:t>’ (</w:t>
      </w:r>
      <w:r w:rsidR="00B52023" w:rsidRPr="00DD39BB">
        <w:t>i</w:t>
      </w:r>
      <w:r w:rsidR="00CF2083" w:rsidRPr="00DD39BB">
        <w:t>tems 12,</w:t>
      </w:r>
      <w:r w:rsidR="00B52023" w:rsidRPr="00DD39BB">
        <w:t xml:space="preserve"> </w:t>
      </w:r>
      <w:r w:rsidR="00CF2083" w:rsidRPr="00DD39BB">
        <w:t>16,</w:t>
      </w:r>
      <w:r w:rsidR="00B52023" w:rsidRPr="00DD39BB">
        <w:t xml:space="preserve"> </w:t>
      </w:r>
      <w:r w:rsidR="00CF2083" w:rsidRPr="00DD39BB">
        <w:t>19,</w:t>
      </w:r>
      <w:r w:rsidR="00B52023" w:rsidRPr="00DD39BB">
        <w:t xml:space="preserve"> </w:t>
      </w:r>
      <w:r w:rsidR="00CF2083" w:rsidRPr="00DD39BB">
        <w:t>24).</w:t>
      </w:r>
      <w:r w:rsidR="00E13755" w:rsidRPr="00DD39BB">
        <w:t xml:space="preserve"> </w:t>
      </w:r>
      <w:bookmarkStart w:id="7" w:name="_Hlk91014549"/>
      <w:r w:rsidR="00E13755" w:rsidRPr="00DD39BB">
        <w:t xml:space="preserve">The latent factor correlations indicated strong correlations between the CFEAB subscales.  </w:t>
      </w:r>
      <w:bookmarkEnd w:id="7"/>
      <w:r w:rsidR="00E13755" w:rsidRPr="00DD39BB">
        <w:t xml:space="preserve">Inspection of the 12-item </w:t>
      </w:r>
      <w:r w:rsidR="00DC7B7B" w:rsidRPr="00DD39BB">
        <w:t>solution</w:t>
      </w:r>
      <w:r w:rsidR="00E13755" w:rsidRPr="00DD39BB">
        <w:t xml:space="preserve"> indicated less misspecification in the structure, improved fit, and higher internal consistency suggesting </w:t>
      </w:r>
      <w:r w:rsidR="005373C6" w:rsidRPr="00DD39BB">
        <w:t>improved</w:t>
      </w:r>
      <w:r w:rsidR="00E13755" w:rsidRPr="00DD39BB">
        <w:t xml:space="preserve"> performance </w:t>
      </w:r>
      <w:r w:rsidR="005373C6" w:rsidRPr="00DD39BB">
        <w:t>against</w:t>
      </w:r>
      <w:r w:rsidR="00E13755" w:rsidRPr="00DD39BB">
        <w:t xml:space="preserve"> the 24-item scale.</w:t>
      </w:r>
    </w:p>
    <w:p w14:paraId="0D9656BD" w14:textId="61900DF4" w:rsidR="00336D78" w:rsidRPr="00DD39BB" w:rsidRDefault="00336D78" w:rsidP="00336D78">
      <w:pPr>
        <w:widowControl w:val="0"/>
        <w:autoSpaceDE w:val="0"/>
        <w:autoSpaceDN w:val="0"/>
        <w:adjustRightInd w:val="0"/>
        <w:spacing w:line="480" w:lineRule="auto"/>
        <w:jc w:val="center"/>
        <w:rPr>
          <w:b/>
        </w:rPr>
      </w:pPr>
      <w:r w:rsidRPr="00DD39BB">
        <w:rPr>
          <w:b/>
        </w:rPr>
        <w:t>Insert Table 3 here</w:t>
      </w:r>
    </w:p>
    <w:p w14:paraId="6E8886E5" w14:textId="1CDF3C4C" w:rsidR="00CF2083" w:rsidRPr="00615F05" w:rsidRDefault="007C0661" w:rsidP="007C0661">
      <w:pPr>
        <w:widowControl w:val="0"/>
        <w:autoSpaceDE w:val="0"/>
        <w:autoSpaceDN w:val="0"/>
        <w:adjustRightInd w:val="0"/>
        <w:spacing w:line="480" w:lineRule="auto"/>
        <w:ind w:firstLine="720"/>
        <w:rPr>
          <w:color w:val="000000" w:themeColor="text1"/>
        </w:rPr>
      </w:pPr>
      <w:r w:rsidRPr="00615F05">
        <w:rPr>
          <w:color w:val="000000" w:themeColor="text1"/>
        </w:rPr>
        <w:t xml:space="preserve">Finally, we assessed the </w:t>
      </w:r>
      <w:r w:rsidR="00840F76" w:rsidRPr="00615F05">
        <w:rPr>
          <w:color w:val="000000" w:themeColor="text1"/>
        </w:rPr>
        <w:t xml:space="preserve">criterion validity </w:t>
      </w:r>
      <w:r w:rsidRPr="00615F05">
        <w:rPr>
          <w:color w:val="000000" w:themeColor="text1"/>
        </w:rPr>
        <w:t>of th</w:t>
      </w:r>
      <w:r w:rsidR="00DC7E5B" w:rsidRPr="00615F05">
        <w:rPr>
          <w:color w:val="000000" w:themeColor="text1"/>
        </w:rPr>
        <w:t xml:space="preserve">e </w:t>
      </w:r>
      <w:r w:rsidRPr="00615F05">
        <w:rPr>
          <w:color w:val="000000" w:themeColor="text1"/>
        </w:rPr>
        <w:t>12</w:t>
      </w:r>
      <w:r w:rsidR="000F2321" w:rsidRPr="00615F05">
        <w:rPr>
          <w:color w:val="000000" w:themeColor="text1"/>
        </w:rPr>
        <w:t>-</w:t>
      </w:r>
      <w:r w:rsidRPr="00615F05">
        <w:rPr>
          <w:color w:val="000000" w:themeColor="text1"/>
        </w:rPr>
        <w:t>item CFEAB. Mu</w:t>
      </w:r>
      <w:r w:rsidR="00CF2083" w:rsidRPr="00615F05">
        <w:rPr>
          <w:color w:val="000000" w:themeColor="text1"/>
        </w:rPr>
        <w:t xml:space="preserve">ltiple linear regression with the </w:t>
      </w:r>
      <w:r w:rsidRPr="00615F05">
        <w:rPr>
          <w:color w:val="000000" w:themeColor="text1"/>
        </w:rPr>
        <w:t xml:space="preserve">three </w:t>
      </w:r>
      <w:r w:rsidR="00CF2083" w:rsidRPr="00615F05">
        <w:rPr>
          <w:color w:val="000000" w:themeColor="text1"/>
        </w:rPr>
        <w:t>new factors as predictors was performed to examine their influence on experiences of a</w:t>
      </w:r>
      <w:r w:rsidR="008F3CF5" w:rsidRPr="00615F05">
        <w:rPr>
          <w:color w:val="000000" w:themeColor="text1"/>
        </w:rPr>
        <w:t>nxiety,</w:t>
      </w:r>
      <w:r w:rsidR="00CF2083" w:rsidRPr="00615F05">
        <w:rPr>
          <w:color w:val="000000" w:themeColor="text1"/>
        </w:rPr>
        <w:t xml:space="preserve"> depression</w:t>
      </w:r>
      <w:r w:rsidR="00977570" w:rsidRPr="00615F05">
        <w:rPr>
          <w:color w:val="000000" w:themeColor="text1"/>
        </w:rPr>
        <w:t>,</w:t>
      </w:r>
      <w:r w:rsidR="008F3CF5" w:rsidRPr="00615F05">
        <w:rPr>
          <w:color w:val="000000" w:themeColor="text1"/>
        </w:rPr>
        <w:t xml:space="preserve"> and disordered eating</w:t>
      </w:r>
      <w:r w:rsidR="00CF2083" w:rsidRPr="00615F05">
        <w:rPr>
          <w:color w:val="000000" w:themeColor="text1"/>
        </w:rPr>
        <w:t xml:space="preserve"> measures as outcome variables. </w:t>
      </w:r>
      <w:r w:rsidRPr="00615F05">
        <w:rPr>
          <w:color w:val="000000" w:themeColor="text1"/>
        </w:rPr>
        <w:t xml:space="preserve">Results indicated that the three subscales </w:t>
      </w:r>
      <w:r w:rsidR="005373C6" w:rsidRPr="00615F05">
        <w:rPr>
          <w:color w:val="000000" w:themeColor="text1"/>
        </w:rPr>
        <w:t>of</w:t>
      </w:r>
      <w:r w:rsidRPr="00615F05">
        <w:rPr>
          <w:color w:val="000000" w:themeColor="text1"/>
        </w:rPr>
        <w:t xml:space="preserve"> the short</w:t>
      </w:r>
      <w:r w:rsidR="002849C5" w:rsidRPr="00615F05">
        <w:rPr>
          <w:color w:val="000000" w:themeColor="text1"/>
        </w:rPr>
        <w:t>-</w:t>
      </w:r>
      <w:r w:rsidRPr="00615F05">
        <w:rPr>
          <w:color w:val="000000" w:themeColor="text1"/>
        </w:rPr>
        <w:t>CFEAB predicted significant amounts of anxiety</w:t>
      </w:r>
      <w:r w:rsidR="00730FF3" w:rsidRPr="00615F05">
        <w:rPr>
          <w:color w:val="000000" w:themeColor="text1"/>
        </w:rPr>
        <w:t xml:space="preserve"> </w:t>
      </w:r>
      <w:bookmarkStart w:id="8" w:name="_Hlk91015267"/>
      <w:r w:rsidR="008F3CF5" w:rsidRPr="00615F05">
        <w:rPr>
          <w:color w:val="000000" w:themeColor="text1"/>
        </w:rPr>
        <w:t>(</w:t>
      </w:r>
      <w:r w:rsidR="008F3CF5" w:rsidRPr="00615F05">
        <w:rPr>
          <w:i/>
          <w:iCs/>
          <w:color w:val="000000" w:themeColor="text1"/>
        </w:rPr>
        <w:t>r</w:t>
      </w:r>
      <w:r w:rsidR="008F3CF5" w:rsidRPr="00615F05">
        <w:rPr>
          <w:i/>
          <w:iCs/>
          <w:color w:val="000000" w:themeColor="text1"/>
          <w:vertAlign w:val="superscript"/>
        </w:rPr>
        <w:t>2</w:t>
      </w:r>
      <w:r w:rsidR="008F3CF5" w:rsidRPr="00615F05">
        <w:rPr>
          <w:color w:val="000000" w:themeColor="text1"/>
        </w:rPr>
        <w:t xml:space="preserve"> = .271</w:t>
      </w:r>
      <w:r w:rsidR="00730FF3" w:rsidRPr="00615F05">
        <w:rPr>
          <w:color w:val="000000" w:themeColor="text1"/>
        </w:rPr>
        <w:t>)</w:t>
      </w:r>
      <w:bookmarkEnd w:id="8"/>
      <w:r w:rsidRPr="00615F05">
        <w:rPr>
          <w:color w:val="000000" w:themeColor="text1"/>
        </w:rPr>
        <w:t>, depression</w:t>
      </w:r>
      <w:r w:rsidR="008F3CF5" w:rsidRPr="00615F05">
        <w:rPr>
          <w:color w:val="000000" w:themeColor="text1"/>
        </w:rPr>
        <w:t xml:space="preserve"> (</w:t>
      </w:r>
      <w:r w:rsidR="008F3CF5" w:rsidRPr="00615F05">
        <w:rPr>
          <w:i/>
          <w:iCs/>
          <w:color w:val="000000" w:themeColor="text1"/>
        </w:rPr>
        <w:t>r</w:t>
      </w:r>
      <w:r w:rsidR="008F3CF5" w:rsidRPr="00615F05">
        <w:rPr>
          <w:i/>
          <w:iCs/>
          <w:color w:val="000000" w:themeColor="text1"/>
          <w:vertAlign w:val="superscript"/>
        </w:rPr>
        <w:t>2</w:t>
      </w:r>
      <w:r w:rsidR="008F3CF5" w:rsidRPr="00615F05">
        <w:rPr>
          <w:color w:val="000000" w:themeColor="text1"/>
        </w:rPr>
        <w:t xml:space="preserve"> = .205</w:t>
      </w:r>
      <w:r w:rsidR="00730FF3" w:rsidRPr="00615F05">
        <w:rPr>
          <w:color w:val="000000" w:themeColor="text1"/>
        </w:rPr>
        <w:t>)</w:t>
      </w:r>
      <w:r w:rsidRPr="00615F05">
        <w:rPr>
          <w:color w:val="000000" w:themeColor="text1"/>
        </w:rPr>
        <w:t>, and disordered eating</w:t>
      </w:r>
      <w:r w:rsidR="008F3CF5" w:rsidRPr="00615F05">
        <w:rPr>
          <w:color w:val="000000" w:themeColor="text1"/>
        </w:rPr>
        <w:t xml:space="preserve"> (</w:t>
      </w:r>
      <w:r w:rsidR="008F3CF5" w:rsidRPr="00615F05">
        <w:rPr>
          <w:i/>
          <w:iCs/>
          <w:color w:val="000000" w:themeColor="text1"/>
        </w:rPr>
        <w:t>r</w:t>
      </w:r>
      <w:r w:rsidR="008F3CF5" w:rsidRPr="00615F05">
        <w:rPr>
          <w:i/>
          <w:iCs/>
          <w:color w:val="000000" w:themeColor="text1"/>
          <w:vertAlign w:val="superscript"/>
        </w:rPr>
        <w:t>2</w:t>
      </w:r>
      <w:r w:rsidR="008F3CF5" w:rsidRPr="00615F05">
        <w:rPr>
          <w:color w:val="000000" w:themeColor="text1"/>
        </w:rPr>
        <w:t xml:space="preserve"> = .665</w:t>
      </w:r>
      <w:r w:rsidR="00730FF3" w:rsidRPr="00615F05">
        <w:rPr>
          <w:color w:val="000000" w:themeColor="text1"/>
        </w:rPr>
        <w:t>). Summary of multiple linear regressions for anxiety, depression, and disordered eating</w:t>
      </w:r>
      <w:r w:rsidR="00A643A4" w:rsidRPr="00615F05">
        <w:rPr>
          <w:color w:val="000000" w:themeColor="text1"/>
        </w:rPr>
        <w:t xml:space="preserve"> are presented below in Table 4.</w:t>
      </w:r>
    </w:p>
    <w:p w14:paraId="7FF283CA" w14:textId="15B6CB6E" w:rsidR="00336D78" w:rsidRPr="00615F05" w:rsidRDefault="00336D78" w:rsidP="00B40710">
      <w:pPr>
        <w:widowControl w:val="0"/>
        <w:autoSpaceDE w:val="0"/>
        <w:autoSpaceDN w:val="0"/>
        <w:adjustRightInd w:val="0"/>
        <w:spacing w:line="480" w:lineRule="auto"/>
        <w:jc w:val="center"/>
        <w:rPr>
          <w:b/>
          <w:color w:val="000000" w:themeColor="text1"/>
        </w:rPr>
      </w:pPr>
      <w:r w:rsidRPr="00615F05">
        <w:rPr>
          <w:b/>
          <w:color w:val="000000" w:themeColor="text1"/>
        </w:rPr>
        <w:t>Insert Table 4 here</w:t>
      </w:r>
    </w:p>
    <w:p w14:paraId="39375DA3" w14:textId="5D8B10C1" w:rsidR="006005CE" w:rsidRPr="00615F05" w:rsidRDefault="006005CE" w:rsidP="005C21C3">
      <w:pPr>
        <w:autoSpaceDE w:val="0"/>
        <w:autoSpaceDN w:val="0"/>
        <w:adjustRightInd w:val="0"/>
        <w:spacing w:line="480" w:lineRule="auto"/>
        <w:jc w:val="center"/>
        <w:rPr>
          <w:b/>
          <w:color w:val="000000" w:themeColor="text1"/>
        </w:rPr>
      </w:pPr>
      <w:r w:rsidRPr="00615F05">
        <w:rPr>
          <w:b/>
          <w:color w:val="000000" w:themeColor="text1"/>
        </w:rPr>
        <w:t>Discussion</w:t>
      </w:r>
    </w:p>
    <w:p w14:paraId="1C101A9F" w14:textId="47365E90" w:rsidR="006005CE" w:rsidRPr="00A87960" w:rsidRDefault="004C228A" w:rsidP="004C228A">
      <w:pPr>
        <w:spacing w:line="480" w:lineRule="auto"/>
        <w:ind w:firstLine="720"/>
        <w:rPr>
          <w:color w:val="FF0000"/>
        </w:rPr>
      </w:pPr>
      <w:r w:rsidRPr="00615F05">
        <w:rPr>
          <w:color w:val="000000" w:themeColor="text1"/>
        </w:rPr>
        <w:t xml:space="preserve">The aim of the current study was to </w:t>
      </w:r>
      <w:r w:rsidR="005373C6" w:rsidRPr="00615F05">
        <w:rPr>
          <w:color w:val="000000" w:themeColor="text1"/>
        </w:rPr>
        <w:t xml:space="preserve">first </w:t>
      </w:r>
      <w:r w:rsidRPr="00615F05">
        <w:rPr>
          <w:color w:val="000000" w:themeColor="text1"/>
        </w:rPr>
        <w:t>assess the internal consistency and factor structure of the CFEAB using stat</w:t>
      </w:r>
      <w:r w:rsidR="00F82D6B" w:rsidRPr="00615F05">
        <w:rPr>
          <w:color w:val="000000" w:themeColor="text1"/>
        </w:rPr>
        <w:t>e-of-the-art procedures, and</w:t>
      </w:r>
      <w:r w:rsidR="00036BDA" w:rsidRPr="00615F05">
        <w:rPr>
          <w:color w:val="000000" w:themeColor="text1"/>
        </w:rPr>
        <w:t xml:space="preserve"> second, to</w:t>
      </w:r>
      <w:r w:rsidRPr="00615F05">
        <w:rPr>
          <w:color w:val="000000" w:themeColor="text1"/>
        </w:rPr>
        <w:t xml:space="preserve"> determine the </w:t>
      </w:r>
      <w:r w:rsidR="005373C6" w:rsidRPr="00615F05">
        <w:rPr>
          <w:color w:val="000000" w:themeColor="text1"/>
        </w:rPr>
        <w:t>criterion</w:t>
      </w:r>
      <w:r w:rsidRPr="00615F05">
        <w:rPr>
          <w:color w:val="000000" w:themeColor="text1"/>
        </w:rPr>
        <w:t xml:space="preserve"> validity of the CFEAB by assessing its relationship with existing related measures of mental health and disordered eating. </w:t>
      </w:r>
      <w:r w:rsidR="00E625DC" w:rsidRPr="00615F05">
        <w:rPr>
          <w:color w:val="000000" w:themeColor="text1"/>
        </w:rPr>
        <w:t>Results supported the three-factor structure with the 24</w:t>
      </w:r>
      <w:r w:rsidR="00DB0913" w:rsidRPr="00615F05">
        <w:rPr>
          <w:color w:val="000000" w:themeColor="text1"/>
        </w:rPr>
        <w:t>-</w:t>
      </w:r>
      <w:r w:rsidR="00E625DC" w:rsidRPr="00615F05">
        <w:rPr>
          <w:color w:val="000000" w:themeColor="text1"/>
        </w:rPr>
        <w:t xml:space="preserve">item </w:t>
      </w:r>
      <w:proofErr w:type="gramStart"/>
      <w:r w:rsidR="00E625DC" w:rsidRPr="00615F05">
        <w:rPr>
          <w:color w:val="000000" w:themeColor="text1"/>
        </w:rPr>
        <w:t>CFEAB</w:t>
      </w:r>
      <w:r w:rsidR="003B5B3A" w:rsidRPr="00615F05">
        <w:rPr>
          <w:color w:val="000000" w:themeColor="text1"/>
        </w:rPr>
        <w:t>,</w:t>
      </w:r>
      <w:proofErr w:type="gramEnd"/>
      <w:r w:rsidR="003B5B3A" w:rsidRPr="00615F05">
        <w:rPr>
          <w:color w:val="000000" w:themeColor="text1"/>
        </w:rPr>
        <w:t xml:space="preserve"> </w:t>
      </w:r>
      <w:r w:rsidR="00E625DC" w:rsidRPr="00615F05">
        <w:rPr>
          <w:color w:val="000000" w:themeColor="text1"/>
        </w:rPr>
        <w:t>however a large degree of misspecification was found in the factor structure</w:t>
      </w:r>
      <w:r w:rsidR="005373C6" w:rsidRPr="00615F05">
        <w:rPr>
          <w:color w:val="000000" w:themeColor="text1"/>
        </w:rPr>
        <w:t>.</w:t>
      </w:r>
      <w:r w:rsidR="00E625DC" w:rsidRPr="00615F05">
        <w:rPr>
          <w:color w:val="000000" w:themeColor="text1"/>
        </w:rPr>
        <w:t xml:space="preserve"> </w:t>
      </w:r>
      <w:r w:rsidR="005373C6" w:rsidRPr="00615F05">
        <w:rPr>
          <w:color w:val="000000" w:themeColor="text1"/>
        </w:rPr>
        <w:t>T</w:t>
      </w:r>
      <w:r w:rsidR="00E625DC" w:rsidRPr="00615F05">
        <w:rPr>
          <w:color w:val="000000" w:themeColor="text1"/>
        </w:rPr>
        <w:t>herefore</w:t>
      </w:r>
      <w:r w:rsidR="005373C6" w:rsidRPr="00615F05">
        <w:rPr>
          <w:color w:val="000000" w:themeColor="text1"/>
        </w:rPr>
        <w:t>,</w:t>
      </w:r>
      <w:r w:rsidR="00E625DC" w:rsidRPr="00615F05">
        <w:rPr>
          <w:color w:val="000000" w:themeColor="text1"/>
        </w:rPr>
        <w:t xml:space="preserve"> a 12-item was investigated and indicated superior fit. Scores for the three subscales predicted significant amounts of anxiety, depression, and disordered eating </w:t>
      </w:r>
      <w:r w:rsidR="00E625DC" w:rsidRPr="00615F05">
        <w:rPr>
          <w:color w:val="000000" w:themeColor="text1"/>
        </w:rPr>
        <w:lastRenderedPageBreak/>
        <w:t xml:space="preserve">variance indicting good </w:t>
      </w:r>
      <w:r w:rsidR="005373C6" w:rsidRPr="00615F05">
        <w:rPr>
          <w:color w:val="000000" w:themeColor="text1"/>
        </w:rPr>
        <w:t>criterion</w:t>
      </w:r>
      <w:r w:rsidR="00E625DC" w:rsidRPr="00615F05">
        <w:rPr>
          <w:color w:val="000000" w:themeColor="text1"/>
        </w:rPr>
        <w:t xml:space="preserve"> </w:t>
      </w:r>
      <w:r w:rsidR="00A87960">
        <w:rPr>
          <w:color w:val="000000" w:themeColor="text1"/>
        </w:rPr>
        <w:t>validity</w:t>
      </w:r>
      <w:r w:rsidR="00A87960">
        <w:rPr>
          <w:color w:val="FF0000"/>
        </w:rPr>
        <w:t xml:space="preserve">, which varied depending on different eating </w:t>
      </w:r>
      <w:proofErr w:type="spellStart"/>
      <w:r w:rsidR="00A87960">
        <w:rPr>
          <w:color w:val="FF0000"/>
        </w:rPr>
        <w:t>behaviours</w:t>
      </w:r>
      <w:proofErr w:type="spellEnd"/>
      <w:r w:rsidR="00A87960">
        <w:rPr>
          <w:color w:val="FF0000"/>
        </w:rPr>
        <w:t>.</w:t>
      </w:r>
    </w:p>
    <w:p w14:paraId="3785D073" w14:textId="0B04FC0C" w:rsidR="006005CE" w:rsidRPr="00615F05" w:rsidRDefault="006005CE" w:rsidP="00AD05BF">
      <w:pPr>
        <w:autoSpaceDE w:val="0"/>
        <w:autoSpaceDN w:val="0"/>
        <w:adjustRightInd w:val="0"/>
        <w:spacing w:line="480" w:lineRule="auto"/>
        <w:ind w:firstLine="720"/>
        <w:rPr>
          <w:color w:val="000000" w:themeColor="text1"/>
        </w:rPr>
      </w:pPr>
      <w:r w:rsidRPr="00615F05">
        <w:rPr>
          <w:color w:val="000000" w:themeColor="text1"/>
          <w:lang w:eastAsia="en-GB"/>
        </w:rPr>
        <w:t>The findings</w:t>
      </w:r>
      <w:r w:rsidRPr="00615F05">
        <w:rPr>
          <w:color w:val="000000" w:themeColor="text1"/>
        </w:rPr>
        <w:t xml:space="preserve"> of this study corroborate research which suggest that </w:t>
      </w:r>
      <w:r w:rsidR="00B36A93" w:rsidRPr="00615F05">
        <w:rPr>
          <w:color w:val="000000" w:themeColor="text1"/>
        </w:rPr>
        <w:t xml:space="preserve">disordered </w:t>
      </w:r>
      <w:r w:rsidR="00FD272D" w:rsidRPr="00615F05">
        <w:rPr>
          <w:color w:val="000000" w:themeColor="text1"/>
        </w:rPr>
        <w:t xml:space="preserve">eating </w:t>
      </w:r>
      <w:proofErr w:type="spellStart"/>
      <w:r w:rsidR="00FD272D" w:rsidRPr="00615F05">
        <w:rPr>
          <w:color w:val="000000" w:themeColor="text1"/>
        </w:rPr>
        <w:t>behaviour</w:t>
      </w:r>
      <w:proofErr w:type="spellEnd"/>
      <w:r w:rsidR="00FD272D" w:rsidRPr="00615F05">
        <w:rPr>
          <w:color w:val="000000" w:themeColor="text1"/>
        </w:rPr>
        <w:t xml:space="preserve"> is</w:t>
      </w:r>
      <w:r w:rsidRPr="00615F05">
        <w:rPr>
          <w:color w:val="000000" w:themeColor="text1"/>
        </w:rPr>
        <w:t xml:space="preserve"> evident in</w:t>
      </w:r>
      <w:r w:rsidR="006E0217" w:rsidRPr="00615F05">
        <w:rPr>
          <w:color w:val="000000" w:themeColor="text1"/>
        </w:rPr>
        <w:t xml:space="preserve"> </w:t>
      </w:r>
      <w:r w:rsidRPr="00615F05">
        <w:rPr>
          <w:color w:val="000000" w:themeColor="text1"/>
        </w:rPr>
        <w:t>the CF population (</w:t>
      </w:r>
      <w:proofErr w:type="spellStart"/>
      <w:r w:rsidR="00E834FD" w:rsidRPr="00615F05">
        <w:rPr>
          <w:color w:val="000000" w:themeColor="text1"/>
        </w:rPr>
        <w:t>Linkson</w:t>
      </w:r>
      <w:proofErr w:type="spellEnd"/>
      <w:r w:rsidR="00E834FD" w:rsidRPr="00615F05">
        <w:rPr>
          <w:color w:val="000000" w:themeColor="text1"/>
        </w:rPr>
        <w:t xml:space="preserve"> et al, 2018</w:t>
      </w:r>
      <w:r w:rsidR="004C228A" w:rsidRPr="00615F05">
        <w:rPr>
          <w:color w:val="000000" w:themeColor="text1"/>
        </w:rPr>
        <w:t>)</w:t>
      </w:r>
      <w:r w:rsidRPr="00615F05">
        <w:rPr>
          <w:color w:val="000000" w:themeColor="text1"/>
        </w:rPr>
        <w:t xml:space="preserve">. The higher prevalence of </w:t>
      </w:r>
      <w:r w:rsidR="002716C8" w:rsidRPr="00615F05">
        <w:rPr>
          <w:color w:val="000000" w:themeColor="text1"/>
        </w:rPr>
        <w:t xml:space="preserve">disturbed eating attitudes and </w:t>
      </w:r>
      <w:proofErr w:type="spellStart"/>
      <w:r w:rsidR="002716C8" w:rsidRPr="00615F05">
        <w:rPr>
          <w:color w:val="000000" w:themeColor="text1"/>
        </w:rPr>
        <w:t>behaviours</w:t>
      </w:r>
      <w:proofErr w:type="spellEnd"/>
      <w:r w:rsidRPr="00615F05">
        <w:rPr>
          <w:color w:val="000000" w:themeColor="text1"/>
        </w:rPr>
        <w:t xml:space="preserve"> found within this CF sample is higher than the low prevalence of </w:t>
      </w:r>
      <w:r w:rsidR="00225FED" w:rsidRPr="00615F05">
        <w:rPr>
          <w:color w:val="000000" w:themeColor="text1"/>
        </w:rPr>
        <w:t>ED</w:t>
      </w:r>
      <w:r w:rsidR="002716C8" w:rsidRPr="00615F05">
        <w:rPr>
          <w:color w:val="000000" w:themeColor="text1"/>
        </w:rPr>
        <w:t xml:space="preserve"> </w:t>
      </w:r>
      <w:r w:rsidR="00DD0013" w:rsidRPr="00615F05">
        <w:rPr>
          <w:color w:val="000000" w:themeColor="text1"/>
        </w:rPr>
        <w:t>and</w:t>
      </w:r>
      <w:r w:rsidRPr="00615F05">
        <w:rPr>
          <w:color w:val="000000" w:themeColor="text1"/>
        </w:rPr>
        <w:t xml:space="preserve"> </w:t>
      </w:r>
      <w:r w:rsidR="002716C8" w:rsidRPr="00615F05">
        <w:rPr>
          <w:color w:val="000000" w:themeColor="text1"/>
        </w:rPr>
        <w:t xml:space="preserve">disturbed eating attitudes and </w:t>
      </w:r>
      <w:proofErr w:type="spellStart"/>
      <w:r w:rsidR="002716C8" w:rsidRPr="00615F05">
        <w:rPr>
          <w:color w:val="000000" w:themeColor="text1"/>
        </w:rPr>
        <w:t>behaviours</w:t>
      </w:r>
      <w:proofErr w:type="spellEnd"/>
      <w:r w:rsidRPr="00615F05">
        <w:rPr>
          <w:color w:val="000000" w:themeColor="text1"/>
        </w:rPr>
        <w:t xml:space="preserve"> found in previous CF studies (Byron et al., 2008, </w:t>
      </w:r>
      <w:proofErr w:type="spellStart"/>
      <w:r w:rsidRPr="00615F05">
        <w:rPr>
          <w:color w:val="000000" w:themeColor="text1"/>
        </w:rPr>
        <w:t>Truby</w:t>
      </w:r>
      <w:proofErr w:type="spellEnd"/>
      <w:r w:rsidRPr="00615F05">
        <w:rPr>
          <w:color w:val="000000" w:themeColor="text1"/>
        </w:rPr>
        <w:t xml:space="preserve"> &amp; Paxton, 2001, Abbott et al., 2000, 2007). </w:t>
      </w:r>
      <w:r w:rsidR="00DD0013" w:rsidRPr="00615F05">
        <w:rPr>
          <w:color w:val="000000" w:themeColor="text1"/>
        </w:rPr>
        <w:t>As p</w:t>
      </w:r>
      <w:r w:rsidRPr="00615F05">
        <w:rPr>
          <w:color w:val="000000" w:themeColor="text1"/>
        </w:rPr>
        <w:t>revious research has suggested that individuals with CF did not meet the criteria for anorexia nervosa or bulimia nervosa (Raymond</w:t>
      </w:r>
      <w:r w:rsidR="00DD0013" w:rsidRPr="00615F05">
        <w:rPr>
          <w:color w:val="000000" w:themeColor="text1"/>
        </w:rPr>
        <w:t>, 2000) and report</w:t>
      </w:r>
      <w:r w:rsidR="00B36A93" w:rsidRPr="00615F05">
        <w:rPr>
          <w:color w:val="000000" w:themeColor="text1"/>
        </w:rPr>
        <w:t>ed</w:t>
      </w:r>
      <w:r w:rsidR="00DD0013" w:rsidRPr="00615F05">
        <w:rPr>
          <w:color w:val="000000" w:themeColor="text1"/>
        </w:rPr>
        <w:t xml:space="preserve"> </w:t>
      </w:r>
      <w:r w:rsidR="00486566" w:rsidRPr="00615F05">
        <w:rPr>
          <w:color w:val="000000" w:themeColor="text1"/>
        </w:rPr>
        <w:t>no indication of</w:t>
      </w:r>
      <w:r w:rsidRPr="00615F05">
        <w:rPr>
          <w:color w:val="000000" w:themeColor="text1"/>
        </w:rPr>
        <w:t xml:space="preserve"> increased diagnostic </w:t>
      </w:r>
      <w:r w:rsidR="00225FED" w:rsidRPr="00615F05">
        <w:rPr>
          <w:color w:val="000000" w:themeColor="text1"/>
        </w:rPr>
        <w:t>ED</w:t>
      </w:r>
      <w:r w:rsidR="002716C8" w:rsidRPr="00615F05">
        <w:rPr>
          <w:color w:val="000000" w:themeColor="text1"/>
        </w:rPr>
        <w:t xml:space="preserve"> </w:t>
      </w:r>
      <w:r w:rsidRPr="00615F05">
        <w:rPr>
          <w:color w:val="000000" w:themeColor="text1"/>
        </w:rPr>
        <w:t>in the CF population (</w:t>
      </w:r>
      <w:proofErr w:type="spellStart"/>
      <w:r w:rsidRPr="00615F05">
        <w:rPr>
          <w:color w:val="000000" w:themeColor="text1"/>
        </w:rPr>
        <w:t>Melhuish</w:t>
      </w:r>
      <w:proofErr w:type="spellEnd"/>
      <w:r w:rsidRPr="00615F05">
        <w:rPr>
          <w:color w:val="000000" w:themeColor="text1"/>
        </w:rPr>
        <w:t>, 2013), these findings offer an alternative viewpoint</w:t>
      </w:r>
      <w:r w:rsidR="005373C6" w:rsidRPr="00615F05">
        <w:rPr>
          <w:color w:val="000000" w:themeColor="text1"/>
        </w:rPr>
        <w:t xml:space="preserve"> highlighting the need for additional research</w:t>
      </w:r>
      <w:r w:rsidRPr="00615F05">
        <w:rPr>
          <w:color w:val="000000" w:themeColor="text1"/>
        </w:rPr>
        <w:t>.</w:t>
      </w:r>
    </w:p>
    <w:p w14:paraId="7B5C5FF3" w14:textId="2C0802C9" w:rsidR="006005CE" w:rsidRPr="00615F05" w:rsidRDefault="006005CE">
      <w:pPr>
        <w:spacing w:line="480" w:lineRule="auto"/>
        <w:ind w:firstLine="720"/>
        <w:rPr>
          <w:color w:val="000000" w:themeColor="text1"/>
        </w:rPr>
      </w:pPr>
      <w:r w:rsidRPr="00615F05">
        <w:rPr>
          <w:color w:val="000000" w:themeColor="text1"/>
        </w:rPr>
        <w:t xml:space="preserve">The original study suggested that </w:t>
      </w:r>
      <w:r w:rsidR="00DE6C32" w:rsidRPr="00615F05">
        <w:rPr>
          <w:color w:val="000000" w:themeColor="text1"/>
        </w:rPr>
        <w:t>24-</w:t>
      </w:r>
      <w:r w:rsidRPr="00615F05">
        <w:rPr>
          <w:color w:val="000000" w:themeColor="text1"/>
        </w:rPr>
        <w:t>items measure</w:t>
      </w:r>
      <w:r w:rsidR="00DE6C32" w:rsidRPr="00615F05">
        <w:rPr>
          <w:color w:val="000000" w:themeColor="text1"/>
        </w:rPr>
        <w:t>d</w:t>
      </w:r>
      <w:r w:rsidRPr="00615F05">
        <w:rPr>
          <w:color w:val="000000" w:themeColor="text1"/>
        </w:rPr>
        <w:t xml:space="preserve"> three </w:t>
      </w:r>
      <w:r w:rsidR="00DE6C32" w:rsidRPr="00615F05">
        <w:rPr>
          <w:color w:val="000000" w:themeColor="text1"/>
        </w:rPr>
        <w:t>factors:</w:t>
      </w:r>
      <w:r w:rsidRPr="00615F05">
        <w:rPr>
          <w:color w:val="000000" w:themeColor="text1"/>
        </w:rPr>
        <w:t xml:space="preserve"> ‘Desire for thinness (10</w:t>
      </w:r>
      <w:r w:rsidR="00DB0913" w:rsidRPr="00615F05">
        <w:rPr>
          <w:color w:val="000000" w:themeColor="text1"/>
        </w:rPr>
        <w:t>-</w:t>
      </w:r>
      <w:r w:rsidRPr="00615F05">
        <w:rPr>
          <w:color w:val="000000" w:themeColor="text1"/>
        </w:rPr>
        <w:t>items)’, ‘</w:t>
      </w:r>
      <w:r w:rsidR="002716C8" w:rsidRPr="00615F05">
        <w:rPr>
          <w:color w:val="000000" w:themeColor="text1"/>
        </w:rPr>
        <w:t>Disturbed EABs</w:t>
      </w:r>
      <w:r w:rsidR="00C060AD" w:rsidRPr="00615F05">
        <w:rPr>
          <w:color w:val="000000" w:themeColor="text1"/>
        </w:rPr>
        <w:t>’</w:t>
      </w:r>
      <w:r w:rsidR="005265AD" w:rsidRPr="00615F05">
        <w:rPr>
          <w:color w:val="000000" w:themeColor="text1"/>
        </w:rPr>
        <w:t xml:space="preserve"> (8</w:t>
      </w:r>
      <w:r w:rsidR="00DB0913" w:rsidRPr="00615F05">
        <w:rPr>
          <w:color w:val="000000" w:themeColor="text1"/>
        </w:rPr>
        <w:t>-</w:t>
      </w:r>
      <w:r w:rsidR="005265AD" w:rsidRPr="00615F05">
        <w:rPr>
          <w:color w:val="000000" w:themeColor="text1"/>
        </w:rPr>
        <w:t>items)</w:t>
      </w:r>
      <w:r w:rsidRPr="00615F05">
        <w:rPr>
          <w:color w:val="000000" w:themeColor="text1"/>
        </w:rPr>
        <w:t>, and ‘Appetite’ (3</w:t>
      </w:r>
      <w:r w:rsidR="00DB0913" w:rsidRPr="00615F05">
        <w:rPr>
          <w:color w:val="000000" w:themeColor="text1"/>
        </w:rPr>
        <w:t>-</w:t>
      </w:r>
      <w:r w:rsidRPr="00615F05">
        <w:rPr>
          <w:color w:val="000000" w:themeColor="text1"/>
        </w:rPr>
        <w:t xml:space="preserve">items). In this study, </w:t>
      </w:r>
      <w:r w:rsidR="005373C6" w:rsidRPr="00615F05">
        <w:rPr>
          <w:color w:val="000000" w:themeColor="text1"/>
        </w:rPr>
        <w:t xml:space="preserve">we </w:t>
      </w:r>
      <w:r w:rsidRPr="00615F05">
        <w:rPr>
          <w:color w:val="000000" w:themeColor="text1"/>
        </w:rPr>
        <w:t xml:space="preserve">interpreted </w:t>
      </w:r>
      <w:r w:rsidR="005373C6" w:rsidRPr="00615F05">
        <w:rPr>
          <w:color w:val="000000" w:themeColor="text1"/>
        </w:rPr>
        <w:t xml:space="preserve">this </w:t>
      </w:r>
      <w:r w:rsidRPr="00615F05">
        <w:rPr>
          <w:color w:val="000000" w:themeColor="text1"/>
        </w:rPr>
        <w:t>as</w:t>
      </w:r>
      <w:r w:rsidR="004C228A" w:rsidRPr="00615F05">
        <w:rPr>
          <w:color w:val="000000" w:themeColor="text1"/>
        </w:rPr>
        <w:t xml:space="preserve"> a new 12</w:t>
      </w:r>
      <w:r w:rsidR="00DE6C32" w:rsidRPr="00615F05">
        <w:rPr>
          <w:color w:val="000000" w:themeColor="text1"/>
        </w:rPr>
        <w:t>-</w:t>
      </w:r>
      <w:r w:rsidR="004C228A" w:rsidRPr="00615F05">
        <w:rPr>
          <w:color w:val="000000" w:themeColor="text1"/>
        </w:rPr>
        <w:t>item scale</w:t>
      </w:r>
      <w:r w:rsidR="00DE6C32" w:rsidRPr="00615F05">
        <w:rPr>
          <w:color w:val="000000" w:themeColor="text1"/>
        </w:rPr>
        <w:t>:</w:t>
      </w:r>
      <w:r w:rsidRPr="00615F05">
        <w:rPr>
          <w:color w:val="000000" w:themeColor="text1"/>
        </w:rPr>
        <w:t xml:space="preserve"> ‘Desire for thinness</w:t>
      </w:r>
      <w:r w:rsidR="004C228A" w:rsidRPr="00615F05">
        <w:rPr>
          <w:color w:val="000000" w:themeColor="text1"/>
        </w:rPr>
        <w:t>’ (4</w:t>
      </w:r>
      <w:r w:rsidR="00DB0913" w:rsidRPr="00615F05">
        <w:rPr>
          <w:color w:val="000000" w:themeColor="text1"/>
        </w:rPr>
        <w:t>-</w:t>
      </w:r>
      <w:r w:rsidR="00C060AD" w:rsidRPr="00615F05">
        <w:rPr>
          <w:color w:val="000000" w:themeColor="text1"/>
        </w:rPr>
        <w:t>items), ‘</w:t>
      </w:r>
      <w:r w:rsidR="002716C8" w:rsidRPr="00615F05">
        <w:rPr>
          <w:color w:val="000000" w:themeColor="text1"/>
        </w:rPr>
        <w:t>Disturbed EAB</w:t>
      </w:r>
      <w:r w:rsidR="00180630" w:rsidRPr="00615F05">
        <w:rPr>
          <w:color w:val="000000" w:themeColor="text1"/>
        </w:rPr>
        <w:t>s</w:t>
      </w:r>
      <w:r w:rsidR="004C228A" w:rsidRPr="00615F05">
        <w:rPr>
          <w:color w:val="000000" w:themeColor="text1"/>
        </w:rPr>
        <w:t>’ (4</w:t>
      </w:r>
      <w:r w:rsidR="00DB0913" w:rsidRPr="00615F05">
        <w:rPr>
          <w:color w:val="000000" w:themeColor="text1"/>
        </w:rPr>
        <w:t>-</w:t>
      </w:r>
      <w:r w:rsidR="004C228A" w:rsidRPr="00615F05">
        <w:rPr>
          <w:color w:val="000000" w:themeColor="text1"/>
        </w:rPr>
        <w:t>items) and ‘Appetite’ (4</w:t>
      </w:r>
      <w:r w:rsidR="00DB0913" w:rsidRPr="00615F05">
        <w:rPr>
          <w:color w:val="000000" w:themeColor="text1"/>
        </w:rPr>
        <w:t>-</w:t>
      </w:r>
      <w:r w:rsidRPr="00615F05">
        <w:rPr>
          <w:color w:val="000000" w:themeColor="text1"/>
        </w:rPr>
        <w:t xml:space="preserve">items). </w:t>
      </w:r>
      <w:r w:rsidR="009004AC" w:rsidRPr="00615F05">
        <w:rPr>
          <w:color w:val="000000" w:themeColor="text1"/>
        </w:rPr>
        <w:t>The 12-item short</w:t>
      </w:r>
      <w:r w:rsidR="002849C5" w:rsidRPr="00615F05">
        <w:rPr>
          <w:color w:val="000000" w:themeColor="text1"/>
        </w:rPr>
        <w:t>-</w:t>
      </w:r>
      <w:r w:rsidR="009004AC" w:rsidRPr="00615F05">
        <w:rPr>
          <w:color w:val="000000" w:themeColor="text1"/>
        </w:rPr>
        <w:t>CFEAB indicated superior model fit and improved internal consistency suggesting less redundancy in the item set (</w:t>
      </w:r>
      <w:r w:rsidR="002849C5" w:rsidRPr="00615F05">
        <w:rPr>
          <w:color w:val="000000" w:themeColor="text1"/>
        </w:rPr>
        <w:t>McC</w:t>
      </w:r>
      <w:r w:rsidR="00F24C25" w:rsidRPr="00615F05">
        <w:rPr>
          <w:color w:val="000000" w:themeColor="text1"/>
        </w:rPr>
        <w:t>r</w:t>
      </w:r>
      <w:r w:rsidR="002849C5" w:rsidRPr="00615F05">
        <w:rPr>
          <w:color w:val="000000" w:themeColor="text1"/>
        </w:rPr>
        <w:t>ae</w:t>
      </w:r>
      <w:r w:rsidR="00F16CB4" w:rsidRPr="00615F05">
        <w:rPr>
          <w:color w:val="000000" w:themeColor="text1"/>
        </w:rPr>
        <w:t xml:space="preserve"> et al.</w:t>
      </w:r>
      <w:r w:rsidR="002849C5" w:rsidRPr="00615F05">
        <w:rPr>
          <w:color w:val="000000" w:themeColor="text1"/>
        </w:rPr>
        <w:t>, 2011</w:t>
      </w:r>
      <w:r w:rsidR="009004AC" w:rsidRPr="00615F05">
        <w:rPr>
          <w:color w:val="000000" w:themeColor="text1"/>
        </w:rPr>
        <w:t xml:space="preserve">). </w:t>
      </w:r>
      <w:r w:rsidR="00DE6C32" w:rsidRPr="00615F05">
        <w:rPr>
          <w:color w:val="000000" w:themeColor="text1"/>
        </w:rPr>
        <w:t xml:space="preserve">Discrepancy between our </w:t>
      </w:r>
      <w:r w:rsidR="005373C6" w:rsidRPr="00615F05">
        <w:rPr>
          <w:color w:val="000000" w:themeColor="text1"/>
        </w:rPr>
        <w:t xml:space="preserve">findings and </w:t>
      </w:r>
      <w:r w:rsidR="009004AC" w:rsidRPr="00615F05">
        <w:rPr>
          <w:color w:val="000000" w:themeColor="text1"/>
        </w:rPr>
        <w:t>previous work</w:t>
      </w:r>
      <w:r w:rsidR="00DE6C32" w:rsidRPr="00615F05">
        <w:rPr>
          <w:color w:val="000000" w:themeColor="text1"/>
        </w:rPr>
        <w:t xml:space="preserve"> may be due </w:t>
      </w:r>
      <w:r w:rsidR="003B5B3A" w:rsidRPr="00615F05">
        <w:rPr>
          <w:color w:val="000000" w:themeColor="text1"/>
        </w:rPr>
        <w:t xml:space="preserve">to </w:t>
      </w:r>
      <w:r w:rsidR="009004AC" w:rsidRPr="00615F05">
        <w:rPr>
          <w:color w:val="000000" w:themeColor="text1"/>
        </w:rPr>
        <w:t>individual</w:t>
      </w:r>
      <w:r w:rsidR="00DE6C32" w:rsidRPr="00615F05">
        <w:rPr>
          <w:color w:val="000000" w:themeColor="text1"/>
        </w:rPr>
        <w:t xml:space="preserve"> differences in sampling</w:t>
      </w:r>
      <w:r w:rsidR="00F16CB4" w:rsidRPr="00615F05">
        <w:rPr>
          <w:color w:val="000000" w:themeColor="text1"/>
        </w:rPr>
        <w:t>.</w:t>
      </w:r>
      <w:r w:rsidR="00DE6C32" w:rsidRPr="00615F05">
        <w:rPr>
          <w:color w:val="000000" w:themeColor="text1"/>
        </w:rPr>
        <w:t xml:space="preserve"> </w:t>
      </w:r>
      <w:r w:rsidR="00F16CB4" w:rsidRPr="00615F05">
        <w:rPr>
          <w:color w:val="000000" w:themeColor="text1"/>
        </w:rPr>
        <w:t>For example,</w:t>
      </w:r>
      <w:r w:rsidR="00DE6C32" w:rsidRPr="00615F05">
        <w:rPr>
          <w:color w:val="000000" w:themeColor="text1"/>
        </w:rPr>
        <w:t xml:space="preserve"> </w:t>
      </w:r>
      <w:proofErr w:type="spellStart"/>
      <w:r w:rsidR="00DE6C32" w:rsidRPr="00615F05">
        <w:rPr>
          <w:color w:val="000000" w:themeColor="text1"/>
        </w:rPr>
        <w:t>Randlesome</w:t>
      </w:r>
      <w:proofErr w:type="spellEnd"/>
      <w:r w:rsidR="00DE6C32" w:rsidRPr="00615F05">
        <w:rPr>
          <w:color w:val="000000" w:themeColor="text1"/>
        </w:rPr>
        <w:t xml:space="preserve"> et al. </w:t>
      </w:r>
      <w:r w:rsidR="00F16CB4" w:rsidRPr="00615F05">
        <w:rPr>
          <w:color w:val="000000" w:themeColor="text1"/>
        </w:rPr>
        <w:t>(</w:t>
      </w:r>
      <w:r w:rsidR="009004AC" w:rsidRPr="00615F05">
        <w:rPr>
          <w:color w:val="000000" w:themeColor="text1"/>
        </w:rPr>
        <w:t>2013</w:t>
      </w:r>
      <w:r w:rsidR="00F16CB4" w:rsidRPr="00615F05">
        <w:rPr>
          <w:color w:val="000000" w:themeColor="text1"/>
        </w:rPr>
        <w:t>)</w:t>
      </w:r>
      <w:r w:rsidR="009004AC" w:rsidRPr="00615F05">
        <w:rPr>
          <w:color w:val="000000" w:themeColor="text1"/>
        </w:rPr>
        <w:t xml:space="preserve"> </w:t>
      </w:r>
      <w:r w:rsidR="00DE6C32" w:rsidRPr="00615F05">
        <w:rPr>
          <w:color w:val="000000" w:themeColor="text1"/>
        </w:rPr>
        <w:t xml:space="preserve">included </w:t>
      </w:r>
      <w:r w:rsidRPr="00615F05">
        <w:rPr>
          <w:color w:val="000000" w:themeColor="text1"/>
          <w:shd w:val="clear" w:color="auto" w:fill="FFFFFF"/>
        </w:rPr>
        <w:t xml:space="preserve">two </w:t>
      </w:r>
      <w:r w:rsidR="006B0D6A" w:rsidRPr="00615F05">
        <w:rPr>
          <w:color w:val="000000" w:themeColor="text1"/>
          <w:shd w:val="clear" w:color="auto" w:fill="FFFFFF"/>
        </w:rPr>
        <w:t>pediatric</w:t>
      </w:r>
      <w:r w:rsidRPr="00615F05">
        <w:rPr>
          <w:color w:val="000000" w:themeColor="text1"/>
          <w:shd w:val="clear" w:color="auto" w:fill="FFFFFF"/>
        </w:rPr>
        <w:t xml:space="preserve"> clinics, and one adult</w:t>
      </w:r>
      <w:r w:rsidR="00B50DFB" w:rsidRPr="00615F05">
        <w:rPr>
          <w:color w:val="000000" w:themeColor="text1"/>
          <w:shd w:val="clear" w:color="auto" w:fill="FFFFFF"/>
        </w:rPr>
        <w:t xml:space="preserve"> clinic</w:t>
      </w:r>
      <w:r w:rsidRPr="00615F05">
        <w:rPr>
          <w:color w:val="000000" w:themeColor="text1"/>
          <w:shd w:val="clear" w:color="auto" w:fill="FFFFFF"/>
        </w:rPr>
        <w:t xml:space="preserve">, </w:t>
      </w:r>
      <w:r w:rsidR="00DE6C32" w:rsidRPr="00615F05">
        <w:rPr>
          <w:color w:val="000000" w:themeColor="text1"/>
          <w:shd w:val="clear" w:color="auto" w:fill="FFFFFF"/>
        </w:rPr>
        <w:t>whereas the current</w:t>
      </w:r>
      <w:r w:rsidRPr="00615F05">
        <w:rPr>
          <w:color w:val="000000" w:themeColor="text1"/>
          <w:shd w:val="clear" w:color="auto" w:fill="FFFFFF"/>
        </w:rPr>
        <w:t xml:space="preserve"> sample consisted of adults</w:t>
      </w:r>
      <w:r w:rsidR="00DE6C32" w:rsidRPr="00615F05">
        <w:rPr>
          <w:color w:val="000000" w:themeColor="text1"/>
          <w:shd w:val="clear" w:color="auto" w:fill="FFFFFF"/>
        </w:rPr>
        <w:t xml:space="preserve"> only</w:t>
      </w:r>
      <w:r w:rsidRPr="00615F05">
        <w:rPr>
          <w:color w:val="000000" w:themeColor="text1"/>
          <w:shd w:val="clear" w:color="auto" w:fill="FFFFFF"/>
        </w:rPr>
        <w:t xml:space="preserve">. </w:t>
      </w:r>
      <w:r w:rsidR="00DE6C32" w:rsidRPr="00615F05">
        <w:rPr>
          <w:color w:val="000000" w:themeColor="text1"/>
          <w:shd w:val="clear" w:color="auto" w:fill="FFFFFF"/>
        </w:rPr>
        <w:t xml:space="preserve">It is likely that disordered eating may be more ingrained in adulthood compared to adolescence therefore </w:t>
      </w:r>
      <w:r w:rsidR="009004AC" w:rsidRPr="00615F05">
        <w:rPr>
          <w:color w:val="000000" w:themeColor="text1"/>
          <w:shd w:val="clear" w:color="auto" w:fill="FFFFFF"/>
        </w:rPr>
        <w:t xml:space="preserve">future work should examine invariance of the CFEAB </w:t>
      </w:r>
      <w:r w:rsidR="00F16CB4" w:rsidRPr="00615F05">
        <w:rPr>
          <w:color w:val="000000" w:themeColor="text1"/>
          <w:shd w:val="clear" w:color="auto" w:fill="FFFFFF"/>
        </w:rPr>
        <w:t xml:space="preserve">across different age groups </w:t>
      </w:r>
      <w:r w:rsidR="009004AC" w:rsidRPr="00615F05">
        <w:rPr>
          <w:color w:val="000000" w:themeColor="text1"/>
          <w:shd w:val="clear" w:color="auto" w:fill="FFFFFF"/>
        </w:rPr>
        <w:t xml:space="preserve">to test this equivalence theory </w:t>
      </w:r>
      <w:r w:rsidR="009004AC" w:rsidRPr="00615F05">
        <w:rPr>
          <w:color w:val="000000" w:themeColor="text1"/>
        </w:rPr>
        <w:t>(Johnston et al., 2019; Quick et al., 201</w:t>
      </w:r>
      <w:r w:rsidR="000F3BB3" w:rsidRPr="00615F05">
        <w:rPr>
          <w:color w:val="000000" w:themeColor="text1"/>
        </w:rPr>
        <w:t>2</w:t>
      </w:r>
      <w:r w:rsidR="009004AC" w:rsidRPr="00615F05">
        <w:rPr>
          <w:color w:val="000000" w:themeColor="text1"/>
        </w:rPr>
        <w:t>)</w:t>
      </w:r>
      <w:r w:rsidR="009004AC" w:rsidRPr="00615F05">
        <w:rPr>
          <w:color w:val="000000" w:themeColor="text1"/>
          <w:shd w:val="clear" w:color="auto" w:fill="FFFFFF"/>
        </w:rPr>
        <w:t xml:space="preserve">. </w:t>
      </w:r>
      <w:r w:rsidR="002F1DB7" w:rsidRPr="00615F05">
        <w:rPr>
          <w:color w:val="000000" w:themeColor="text1"/>
        </w:rPr>
        <w:br/>
      </w:r>
      <w:r w:rsidRPr="00615F05">
        <w:rPr>
          <w:b/>
          <w:color w:val="000000" w:themeColor="text1"/>
        </w:rPr>
        <w:t>Contribution and Implications</w:t>
      </w:r>
    </w:p>
    <w:p w14:paraId="21D9D5F4" w14:textId="6C9339AB" w:rsidR="006005CE" w:rsidRPr="000C354D" w:rsidRDefault="006005CE" w:rsidP="000C354D">
      <w:pPr>
        <w:autoSpaceDE w:val="0"/>
        <w:autoSpaceDN w:val="0"/>
        <w:adjustRightInd w:val="0"/>
        <w:spacing w:line="480" w:lineRule="auto"/>
        <w:ind w:firstLine="720"/>
        <w:rPr>
          <w:color w:val="000000" w:themeColor="text1"/>
        </w:rPr>
      </w:pPr>
      <w:r w:rsidRPr="00615F05">
        <w:rPr>
          <w:color w:val="000000" w:themeColor="text1"/>
        </w:rPr>
        <w:t xml:space="preserve">Previous studies determining the link between </w:t>
      </w:r>
      <w:r w:rsidR="00225FED" w:rsidRPr="00615F05">
        <w:rPr>
          <w:color w:val="000000" w:themeColor="text1"/>
        </w:rPr>
        <w:t>ED</w:t>
      </w:r>
      <w:r w:rsidRPr="00615F05">
        <w:rPr>
          <w:color w:val="000000" w:themeColor="text1"/>
        </w:rPr>
        <w:t xml:space="preserve"> and CF have often used measures developed for the general population, </w:t>
      </w:r>
      <w:r w:rsidRPr="000C354D">
        <w:rPr>
          <w:color w:val="000000" w:themeColor="text1"/>
        </w:rPr>
        <w:t xml:space="preserve">which are not validated or applicable to the CF </w:t>
      </w:r>
      <w:r w:rsidRPr="000C354D">
        <w:rPr>
          <w:color w:val="000000" w:themeColor="text1"/>
        </w:rPr>
        <w:lastRenderedPageBreak/>
        <w:t xml:space="preserve">population. This means there is the potential for misclassification of </w:t>
      </w:r>
      <w:proofErr w:type="spellStart"/>
      <w:r w:rsidRPr="000C354D">
        <w:rPr>
          <w:color w:val="000000" w:themeColor="text1"/>
        </w:rPr>
        <w:t>behaviours</w:t>
      </w:r>
      <w:proofErr w:type="spellEnd"/>
      <w:r w:rsidRPr="000C354D">
        <w:rPr>
          <w:color w:val="000000" w:themeColor="text1"/>
        </w:rPr>
        <w:t xml:space="preserve"> and attitudes reflecting eating disturbances. </w:t>
      </w:r>
      <w:r w:rsidR="00F80FA2" w:rsidRPr="000C354D">
        <w:rPr>
          <w:color w:val="000000" w:themeColor="text1"/>
        </w:rPr>
        <w:t>For example, t</w:t>
      </w:r>
      <w:r w:rsidRPr="000C354D">
        <w:rPr>
          <w:color w:val="000000" w:themeColor="text1"/>
        </w:rPr>
        <w:t xml:space="preserve">hese may reflect skills and attitudes learned as part of self-care within </w:t>
      </w:r>
      <w:r w:rsidR="00F43EDE" w:rsidRPr="000C354D">
        <w:rPr>
          <w:color w:val="000000" w:themeColor="text1"/>
        </w:rPr>
        <w:t>CF management (</w:t>
      </w:r>
      <w:proofErr w:type="spellStart"/>
      <w:r w:rsidR="00F43EDE" w:rsidRPr="000C354D">
        <w:rPr>
          <w:color w:val="000000" w:themeColor="text1"/>
        </w:rPr>
        <w:t>Melhuish</w:t>
      </w:r>
      <w:proofErr w:type="spellEnd"/>
      <w:r w:rsidR="00F43EDE" w:rsidRPr="000C354D">
        <w:rPr>
          <w:color w:val="000000" w:themeColor="text1"/>
        </w:rPr>
        <w:t xml:space="preserve">, 2013, </w:t>
      </w:r>
      <w:r w:rsidR="003F01AF" w:rsidRPr="000C354D">
        <w:rPr>
          <w:color w:val="000000" w:themeColor="text1"/>
        </w:rPr>
        <w:t>Abbott et al., 2007</w:t>
      </w:r>
      <w:r w:rsidR="00EF4E9E" w:rsidRPr="000C354D">
        <w:rPr>
          <w:color w:val="000000" w:themeColor="text1"/>
        </w:rPr>
        <w:t xml:space="preserve">, </w:t>
      </w:r>
      <w:proofErr w:type="spellStart"/>
      <w:r w:rsidR="00EF4E9E" w:rsidRPr="000C354D">
        <w:rPr>
          <w:color w:val="000000" w:themeColor="text1"/>
        </w:rPr>
        <w:t>Pumariega</w:t>
      </w:r>
      <w:proofErr w:type="spellEnd"/>
      <w:r w:rsidR="00EF4E9E" w:rsidRPr="000C354D">
        <w:rPr>
          <w:color w:val="000000" w:themeColor="text1"/>
        </w:rPr>
        <w:t xml:space="preserve"> et al., 1986). A CF-</w:t>
      </w:r>
      <w:r w:rsidRPr="000C354D">
        <w:rPr>
          <w:color w:val="000000" w:themeColor="text1"/>
        </w:rPr>
        <w:t xml:space="preserve">specific measure is </w:t>
      </w:r>
      <w:r w:rsidR="002849C5" w:rsidRPr="000C354D">
        <w:rPr>
          <w:color w:val="000000" w:themeColor="text1"/>
        </w:rPr>
        <w:t>therefore</w:t>
      </w:r>
      <w:r w:rsidRPr="000C354D">
        <w:rPr>
          <w:color w:val="000000" w:themeColor="text1"/>
        </w:rPr>
        <w:t xml:space="preserve"> important to deter</w:t>
      </w:r>
      <w:r w:rsidR="00EF4E9E" w:rsidRPr="000C354D">
        <w:rPr>
          <w:color w:val="000000" w:themeColor="text1"/>
        </w:rPr>
        <w:t>mine the differences between CF-</w:t>
      </w:r>
      <w:r w:rsidRPr="000C354D">
        <w:rPr>
          <w:color w:val="000000" w:themeColor="text1"/>
        </w:rPr>
        <w:t xml:space="preserve">related eating issues and disordered </w:t>
      </w:r>
      <w:r w:rsidR="00D668C3" w:rsidRPr="000C354D">
        <w:rPr>
          <w:color w:val="000000" w:themeColor="text1"/>
        </w:rPr>
        <w:t xml:space="preserve">eating </w:t>
      </w:r>
      <w:r w:rsidRPr="000C354D">
        <w:rPr>
          <w:color w:val="000000" w:themeColor="text1"/>
        </w:rPr>
        <w:t>psychopathology</w:t>
      </w:r>
      <w:r w:rsidR="00F80FA2" w:rsidRPr="000C354D">
        <w:rPr>
          <w:color w:val="000000" w:themeColor="text1"/>
        </w:rPr>
        <w:t>. T</w:t>
      </w:r>
      <w:r w:rsidR="002849C5" w:rsidRPr="000C354D">
        <w:rPr>
          <w:color w:val="000000" w:themeColor="text1"/>
        </w:rPr>
        <w:t xml:space="preserve">he short-CFEAB </w:t>
      </w:r>
      <w:r w:rsidR="00F80FA2" w:rsidRPr="000C354D">
        <w:rPr>
          <w:color w:val="000000" w:themeColor="text1"/>
        </w:rPr>
        <w:t xml:space="preserve">also </w:t>
      </w:r>
      <w:r w:rsidR="002849C5" w:rsidRPr="000C354D">
        <w:rPr>
          <w:color w:val="000000" w:themeColor="text1"/>
        </w:rPr>
        <w:t>offers a more clinical efficient assessment with improved reliability and validity in comparison to the original version</w:t>
      </w:r>
      <w:r w:rsidRPr="000C354D">
        <w:rPr>
          <w:color w:val="000000" w:themeColor="text1"/>
        </w:rPr>
        <w:t xml:space="preserve">. </w:t>
      </w:r>
    </w:p>
    <w:p w14:paraId="1C4FEAA0" w14:textId="5FF8B8DE" w:rsidR="006005CE" w:rsidRPr="000C354D" w:rsidRDefault="006005CE" w:rsidP="000C354D">
      <w:pPr>
        <w:autoSpaceDE w:val="0"/>
        <w:autoSpaceDN w:val="0"/>
        <w:adjustRightInd w:val="0"/>
        <w:spacing w:line="480" w:lineRule="auto"/>
        <w:ind w:firstLine="720"/>
        <w:rPr>
          <w:b/>
          <w:color w:val="000000" w:themeColor="text1"/>
        </w:rPr>
      </w:pPr>
      <w:r w:rsidRPr="000C354D">
        <w:rPr>
          <w:color w:val="000000" w:themeColor="text1"/>
        </w:rPr>
        <w:t xml:space="preserve">The sample in this study was sourced </w:t>
      </w:r>
      <w:r w:rsidR="00FD272D" w:rsidRPr="000C354D">
        <w:rPr>
          <w:color w:val="000000" w:themeColor="text1"/>
        </w:rPr>
        <w:t>online, and a</w:t>
      </w:r>
      <w:r w:rsidR="005265AD" w:rsidRPr="000C354D">
        <w:rPr>
          <w:color w:val="000000" w:themeColor="text1"/>
        </w:rPr>
        <w:t>n</w:t>
      </w:r>
      <w:r w:rsidRPr="000C354D">
        <w:rPr>
          <w:color w:val="000000" w:themeColor="text1"/>
        </w:rPr>
        <w:t xml:space="preserve"> important aspect of this sample was the vast age range for this group</w:t>
      </w:r>
      <w:r w:rsidR="00036BDA" w:rsidRPr="000C354D">
        <w:rPr>
          <w:color w:val="000000" w:themeColor="text1"/>
        </w:rPr>
        <w:t xml:space="preserve">, ranging </w:t>
      </w:r>
      <w:r w:rsidRPr="000C354D">
        <w:rPr>
          <w:color w:val="000000" w:themeColor="text1"/>
        </w:rPr>
        <w:t>from 18 to 72 years old</w:t>
      </w:r>
      <w:r w:rsidR="00180630" w:rsidRPr="000C354D">
        <w:rPr>
          <w:color w:val="000000" w:themeColor="text1"/>
        </w:rPr>
        <w:t>.</w:t>
      </w:r>
      <w:r w:rsidR="00F43EDE" w:rsidRPr="000C354D">
        <w:rPr>
          <w:color w:val="000000" w:themeColor="text1"/>
        </w:rPr>
        <w:t xml:space="preserve"> </w:t>
      </w:r>
      <w:r w:rsidRPr="000C354D">
        <w:rPr>
          <w:color w:val="000000" w:themeColor="text1"/>
        </w:rPr>
        <w:t xml:space="preserve">A plan forward could be the introduction of screening for </w:t>
      </w:r>
      <w:r w:rsidR="002716C8" w:rsidRPr="000C354D">
        <w:rPr>
          <w:color w:val="000000" w:themeColor="text1"/>
        </w:rPr>
        <w:t xml:space="preserve">disturbed eating attitudes and </w:t>
      </w:r>
      <w:proofErr w:type="spellStart"/>
      <w:r w:rsidR="002716C8" w:rsidRPr="000C354D">
        <w:rPr>
          <w:color w:val="000000" w:themeColor="text1"/>
        </w:rPr>
        <w:t>behaviours</w:t>
      </w:r>
      <w:proofErr w:type="spellEnd"/>
      <w:r w:rsidRPr="000C354D">
        <w:rPr>
          <w:color w:val="000000" w:themeColor="text1"/>
        </w:rPr>
        <w:t xml:space="preserve"> at regular clinic visits using the</w:t>
      </w:r>
      <w:r w:rsidR="00FD272D" w:rsidRPr="000C354D">
        <w:rPr>
          <w:color w:val="000000" w:themeColor="text1"/>
        </w:rPr>
        <w:t xml:space="preserve"> revised </w:t>
      </w:r>
      <w:r w:rsidR="00C060AD" w:rsidRPr="000C354D">
        <w:rPr>
          <w:color w:val="000000" w:themeColor="text1"/>
        </w:rPr>
        <w:t>‘</w:t>
      </w:r>
      <w:r w:rsidR="00340438" w:rsidRPr="000C354D">
        <w:rPr>
          <w:color w:val="000000" w:themeColor="text1"/>
        </w:rPr>
        <w:t>short-</w:t>
      </w:r>
      <w:r w:rsidRPr="000C354D">
        <w:rPr>
          <w:color w:val="000000" w:themeColor="text1"/>
        </w:rPr>
        <w:t>CFEAB</w:t>
      </w:r>
      <w:r w:rsidR="00C060AD" w:rsidRPr="000C354D">
        <w:rPr>
          <w:color w:val="000000" w:themeColor="text1"/>
        </w:rPr>
        <w:t>’</w:t>
      </w:r>
      <w:r w:rsidRPr="000C354D">
        <w:rPr>
          <w:color w:val="000000" w:themeColor="text1"/>
        </w:rPr>
        <w:t xml:space="preserve"> measure. Rather than simply focusing on calorie intake and weight gain, some authors have </w:t>
      </w:r>
      <w:r w:rsidR="00B62D35" w:rsidRPr="000C354D">
        <w:rPr>
          <w:color w:val="000000" w:themeColor="text1"/>
        </w:rPr>
        <w:t xml:space="preserve">also </w:t>
      </w:r>
      <w:r w:rsidRPr="000C354D">
        <w:rPr>
          <w:color w:val="000000" w:themeColor="text1"/>
        </w:rPr>
        <w:t>recommended interventio</w:t>
      </w:r>
      <w:r w:rsidR="00F43EDE" w:rsidRPr="000C354D">
        <w:rPr>
          <w:color w:val="000000" w:themeColor="text1"/>
        </w:rPr>
        <w:t xml:space="preserve">ns from clinical psychologists and </w:t>
      </w:r>
      <w:r w:rsidRPr="000C354D">
        <w:rPr>
          <w:color w:val="000000" w:themeColor="text1"/>
        </w:rPr>
        <w:t xml:space="preserve">team dieticians (Bryon et al. 2008). The identification of </w:t>
      </w:r>
      <w:r w:rsidR="00225FED" w:rsidRPr="000C354D">
        <w:rPr>
          <w:color w:val="000000" w:themeColor="text1"/>
        </w:rPr>
        <w:t>ED</w:t>
      </w:r>
      <w:r w:rsidR="002716C8" w:rsidRPr="000C354D">
        <w:rPr>
          <w:color w:val="000000" w:themeColor="text1"/>
        </w:rPr>
        <w:t xml:space="preserve"> </w:t>
      </w:r>
      <w:r w:rsidRPr="000C354D">
        <w:rPr>
          <w:color w:val="000000" w:themeColor="text1"/>
        </w:rPr>
        <w:t>can then be referred to specialists for appropriate help and guidance, which would ultimately improve the patient’s physical and mental health.</w:t>
      </w:r>
      <w:r w:rsidR="00F43EDE" w:rsidRPr="000C354D">
        <w:rPr>
          <w:color w:val="000000" w:themeColor="text1"/>
        </w:rPr>
        <w:t xml:space="preserve"> </w:t>
      </w:r>
      <w:r w:rsidR="00FD272D" w:rsidRPr="000C354D">
        <w:rPr>
          <w:color w:val="000000" w:themeColor="text1"/>
        </w:rPr>
        <w:t>Research indicates that h</w:t>
      </w:r>
      <w:r w:rsidR="00E834FD" w:rsidRPr="000C354D">
        <w:rPr>
          <w:color w:val="000000" w:themeColor="text1"/>
        </w:rPr>
        <w:t xml:space="preserve">ealth care providers </w:t>
      </w:r>
      <w:r w:rsidR="00FD272D" w:rsidRPr="000C354D">
        <w:rPr>
          <w:color w:val="000000" w:themeColor="text1"/>
          <w:shd w:val="clear" w:color="auto" w:fill="FFFFFF"/>
        </w:rPr>
        <w:t>believe</w:t>
      </w:r>
      <w:r w:rsidR="00E834FD" w:rsidRPr="000C354D">
        <w:rPr>
          <w:color w:val="000000" w:themeColor="text1"/>
          <w:shd w:val="clear" w:color="auto" w:fill="FFFFFF"/>
        </w:rPr>
        <w:t xml:space="preserve"> that the development of evidence-based guidelines for screening and treating disordered eating among </w:t>
      </w:r>
      <w:r w:rsidR="003D217B" w:rsidRPr="000C354D">
        <w:rPr>
          <w:color w:val="000000" w:themeColor="text1"/>
          <w:shd w:val="clear" w:color="auto" w:fill="FFFFFF"/>
        </w:rPr>
        <w:t>CF</w:t>
      </w:r>
      <w:r w:rsidR="00E834FD" w:rsidRPr="000C354D">
        <w:rPr>
          <w:color w:val="000000" w:themeColor="text1"/>
          <w:shd w:val="clear" w:color="auto" w:fill="FFFFFF"/>
        </w:rPr>
        <w:t xml:space="preserve"> patients is warranted</w:t>
      </w:r>
      <w:r w:rsidR="00FD272D" w:rsidRPr="000C354D">
        <w:rPr>
          <w:color w:val="000000" w:themeColor="text1"/>
          <w:shd w:val="clear" w:color="auto" w:fill="FFFFFF"/>
        </w:rPr>
        <w:t>,</w:t>
      </w:r>
      <w:r w:rsidR="00E834FD" w:rsidRPr="000C354D">
        <w:rPr>
          <w:color w:val="000000" w:themeColor="text1"/>
          <w:shd w:val="clear" w:color="auto" w:fill="FFFFFF"/>
        </w:rPr>
        <w:t xml:space="preserve"> including development of a </w:t>
      </w:r>
      <w:r w:rsidR="00F80FA2" w:rsidRPr="000C354D">
        <w:rPr>
          <w:color w:val="000000" w:themeColor="text1"/>
          <w:shd w:val="clear" w:color="auto" w:fill="FFFFFF"/>
        </w:rPr>
        <w:t>CF</w:t>
      </w:r>
      <w:r w:rsidR="00E834FD" w:rsidRPr="000C354D">
        <w:rPr>
          <w:color w:val="000000" w:themeColor="text1"/>
          <w:shd w:val="clear" w:color="auto" w:fill="FFFFFF"/>
        </w:rPr>
        <w:t>-specific d</w:t>
      </w:r>
      <w:r w:rsidR="00FD272D" w:rsidRPr="000C354D">
        <w:rPr>
          <w:color w:val="000000" w:themeColor="text1"/>
          <w:shd w:val="clear" w:color="auto" w:fill="FFFFFF"/>
        </w:rPr>
        <w:t>isordered eating screening tool (</w:t>
      </w:r>
      <w:r w:rsidR="00FD272D" w:rsidRPr="000C354D">
        <w:rPr>
          <w:color w:val="000000" w:themeColor="text1"/>
        </w:rPr>
        <w:t xml:space="preserve">Quick </w:t>
      </w:r>
      <w:r w:rsidR="00F80FA2" w:rsidRPr="000C354D">
        <w:rPr>
          <w:color w:val="000000" w:themeColor="text1"/>
        </w:rPr>
        <w:t>&amp;</w:t>
      </w:r>
      <w:r w:rsidR="00FD272D" w:rsidRPr="000C354D">
        <w:rPr>
          <w:color w:val="000000" w:themeColor="text1"/>
        </w:rPr>
        <w:t xml:space="preserve"> Chang, 2019)</w:t>
      </w:r>
      <w:r w:rsidR="00E834FD" w:rsidRPr="000C354D">
        <w:rPr>
          <w:color w:val="000000" w:themeColor="text1"/>
          <w:shd w:val="clear" w:color="auto" w:fill="FFFFFF"/>
        </w:rPr>
        <w:t xml:space="preserve">. </w:t>
      </w:r>
      <w:r w:rsidR="002F1DB7" w:rsidRPr="000C354D">
        <w:rPr>
          <w:color w:val="000000" w:themeColor="text1"/>
          <w:shd w:val="clear" w:color="auto" w:fill="FFFFFF"/>
        </w:rPr>
        <w:br/>
      </w:r>
      <w:r w:rsidRPr="000C354D">
        <w:rPr>
          <w:b/>
          <w:color w:val="000000" w:themeColor="text1"/>
        </w:rPr>
        <w:t>Limitations</w:t>
      </w:r>
      <w:r w:rsidR="005067C6" w:rsidRPr="000C354D">
        <w:rPr>
          <w:b/>
          <w:color w:val="000000" w:themeColor="text1"/>
        </w:rPr>
        <w:t xml:space="preserve"> &amp; Future Research</w:t>
      </w:r>
    </w:p>
    <w:p w14:paraId="593FD102" w14:textId="779E8097" w:rsidR="00800B01" w:rsidRPr="00DD39BB" w:rsidRDefault="00F82D6B" w:rsidP="000C354D">
      <w:pPr>
        <w:pStyle w:val="NormalWeb"/>
        <w:spacing w:before="0" w:beforeAutospacing="0" w:after="0" w:afterAutospacing="0" w:line="480" w:lineRule="auto"/>
        <w:rPr>
          <w:rFonts w:eastAsiaTheme="minorHAnsi"/>
        </w:rPr>
      </w:pPr>
      <w:r w:rsidRPr="000C354D">
        <w:rPr>
          <w:color w:val="000000" w:themeColor="text1"/>
        </w:rPr>
        <w:t>Those</w:t>
      </w:r>
      <w:r w:rsidR="006005CE" w:rsidRPr="000C354D">
        <w:rPr>
          <w:color w:val="000000" w:themeColor="text1"/>
        </w:rPr>
        <w:t xml:space="preserve"> who access online support are likely to be a specific subgroup of individuals with </w:t>
      </w:r>
      <w:proofErr w:type="gramStart"/>
      <w:r w:rsidR="006005CE" w:rsidRPr="000C354D">
        <w:rPr>
          <w:color w:val="000000" w:themeColor="text1"/>
        </w:rPr>
        <w:t>CF, and</w:t>
      </w:r>
      <w:proofErr w:type="gramEnd"/>
      <w:r w:rsidR="006005CE" w:rsidRPr="000C354D">
        <w:rPr>
          <w:color w:val="000000" w:themeColor="text1"/>
        </w:rPr>
        <w:t xml:space="preserve"> may not be fully representative of the wider CF </w:t>
      </w:r>
      <w:r w:rsidR="00306E6D" w:rsidRPr="000C354D">
        <w:rPr>
          <w:color w:val="000000" w:themeColor="text1"/>
        </w:rPr>
        <w:t>population</w:t>
      </w:r>
      <w:r w:rsidR="006005CE" w:rsidRPr="000C354D">
        <w:rPr>
          <w:color w:val="000000" w:themeColor="text1"/>
        </w:rPr>
        <w:t xml:space="preserve">. Given that the invitation to participate in the survey was posted on </w:t>
      </w:r>
      <w:r w:rsidR="003D217B" w:rsidRPr="000C354D">
        <w:rPr>
          <w:color w:val="000000" w:themeColor="text1"/>
        </w:rPr>
        <w:t>online</w:t>
      </w:r>
      <w:r w:rsidR="006005CE" w:rsidRPr="000C354D">
        <w:rPr>
          <w:color w:val="000000" w:themeColor="text1"/>
        </w:rPr>
        <w:t xml:space="preserve"> CF-related support websites, to which the researcher</w:t>
      </w:r>
      <w:r w:rsidR="00306E6D" w:rsidRPr="000C354D">
        <w:rPr>
          <w:color w:val="000000" w:themeColor="text1"/>
        </w:rPr>
        <w:t>s</w:t>
      </w:r>
      <w:r w:rsidR="006005CE" w:rsidRPr="000C354D">
        <w:rPr>
          <w:color w:val="000000" w:themeColor="text1"/>
        </w:rPr>
        <w:t xml:space="preserve"> had no control or responsibility for, no data was obtainable to ascertain how many people viewed the post in each gro</w:t>
      </w:r>
      <w:r w:rsidR="00AF5D2B" w:rsidRPr="000C354D">
        <w:rPr>
          <w:color w:val="000000" w:themeColor="text1"/>
        </w:rPr>
        <w:t>up or to determine the percentag</w:t>
      </w:r>
      <w:r w:rsidR="006005CE" w:rsidRPr="000C354D">
        <w:rPr>
          <w:color w:val="000000" w:themeColor="text1"/>
        </w:rPr>
        <w:t>e of users who responded</w:t>
      </w:r>
      <w:r w:rsidR="00300A68" w:rsidRPr="000C354D">
        <w:rPr>
          <w:color w:val="000000" w:themeColor="text1"/>
        </w:rPr>
        <w:t>.</w:t>
      </w:r>
      <w:r w:rsidR="00800B01" w:rsidRPr="000C354D">
        <w:rPr>
          <w:color w:val="000000" w:themeColor="text1"/>
        </w:rPr>
        <w:t xml:space="preserve"> </w:t>
      </w:r>
      <w:r w:rsidR="0022276F" w:rsidRPr="000C354D">
        <w:rPr>
          <w:color w:val="000000" w:themeColor="text1"/>
        </w:rPr>
        <w:t>The limitations of self-report data should also be considered</w:t>
      </w:r>
      <w:r w:rsidR="00AF5D2B" w:rsidRPr="000C354D">
        <w:rPr>
          <w:color w:val="000000" w:themeColor="text1"/>
        </w:rPr>
        <w:t xml:space="preserve">, and patients with </w:t>
      </w:r>
      <w:r w:rsidR="00AF5D2B" w:rsidRPr="000C354D">
        <w:rPr>
          <w:color w:val="000000" w:themeColor="text1"/>
        </w:rPr>
        <w:lastRenderedPageBreak/>
        <w:t xml:space="preserve">severe CF or mental health issues might not have chosen to participate in the study, introducing bias and further limiting the </w:t>
      </w:r>
      <w:proofErr w:type="spellStart"/>
      <w:r w:rsidR="00AF5D2B" w:rsidRPr="000C354D">
        <w:rPr>
          <w:color w:val="000000" w:themeColor="text1"/>
        </w:rPr>
        <w:t>generali</w:t>
      </w:r>
      <w:r w:rsidR="003D217B" w:rsidRPr="000C354D">
        <w:rPr>
          <w:color w:val="000000" w:themeColor="text1"/>
        </w:rPr>
        <w:t>s</w:t>
      </w:r>
      <w:r w:rsidR="00AF5D2B" w:rsidRPr="000C354D">
        <w:rPr>
          <w:color w:val="000000" w:themeColor="text1"/>
        </w:rPr>
        <w:t>ability</w:t>
      </w:r>
      <w:proofErr w:type="spellEnd"/>
      <w:r w:rsidR="00AF5D2B" w:rsidRPr="000C354D">
        <w:rPr>
          <w:color w:val="000000" w:themeColor="text1"/>
        </w:rPr>
        <w:t xml:space="preserve"> of the results</w:t>
      </w:r>
      <w:r w:rsidR="0022276F" w:rsidRPr="000C354D">
        <w:rPr>
          <w:color w:val="000000" w:themeColor="text1"/>
        </w:rPr>
        <w:t xml:space="preserve">. </w:t>
      </w:r>
      <w:r w:rsidR="006005CE" w:rsidRPr="000C354D">
        <w:rPr>
          <w:color w:val="000000" w:themeColor="text1"/>
        </w:rPr>
        <w:t>Due to the cross-sectional nature of the study, with no longitudinal data available</w:t>
      </w:r>
      <w:r w:rsidR="00300A68" w:rsidRPr="000C354D">
        <w:rPr>
          <w:color w:val="000000" w:themeColor="text1"/>
        </w:rPr>
        <w:t xml:space="preserve"> which is lacking in this area</w:t>
      </w:r>
      <w:r w:rsidR="006005CE" w:rsidRPr="000C354D">
        <w:rPr>
          <w:color w:val="000000" w:themeColor="text1"/>
        </w:rPr>
        <w:t xml:space="preserve">, it cannot be ascertained if disturbed eating </w:t>
      </w:r>
      <w:r w:rsidR="006005CE" w:rsidRPr="00DD39BB">
        <w:t xml:space="preserve">attitudes or </w:t>
      </w:r>
      <w:proofErr w:type="spellStart"/>
      <w:r w:rsidR="006005CE" w:rsidRPr="00DD39BB">
        <w:t>behaviours</w:t>
      </w:r>
      <w:proofErr w:type="spellEnd"/>
      <w:r w:rsidR="006005CE" w:rsidRPr="00DD39BB">
        <w:t xml:space="preserve"> precede anxiety and depressive </w:t>
      </w:r>
      <w:proofErr w:type="gramStart"/>
      <w:r w:rsidR="006005CE" w:rsidRPr="00DD39BB">
        <w:t>symptoms, or</w:t>
      </w:r>
      <w:proofErr w:type="gramEnd"/>
      <w:r w:rsidR="006005CE" w:rsidRPr="00DD39BB">
        <w:t xml:space="preserve"> note the</w:t>
      </w:r>
      <w:r w:rsidR="00D84198" w:rsidRPr="00DD39BB">
        <w:t xml:space="preserve"> impact of these. </w:t>
      </w:r>
      <w:r w:rsidR="00A87960" w:rsidRPr="00DD39BB">
        <w:t>The limitation of using anxiety a</w:t>
      </w:r>
      <w:r w:rsidR="00E44832" w:rsidRPr="00DD39BB">
        <w:t>nd depression scales for evidence</w:t>
      </w:r>
      <w:r w:rsidR="00A87960" w:rsidRPr="00DD39BB">
        <w:t xml:space="preserve"> of validity in this population.</w:t>
      </w:r>
      <w:r w:rsidR="000C354D" w:rsidRPr="00DD39BB">
        <w:t xml:space="preserve"> T</w:t>
      </w:r>
      <w:r w:rsidR="000C354D" w:rsidRPr="00DD39BB">
        <w:rPr>
          <w:rFonts w:eastAsiaTheme="minorHAnsi"/>
        </w:rPr>
        <w:t>here is a large degree of overlap between these scales therefore some relationship is to be expected (and why they were selected as criterion validity variables</w:t>
      </w:r>
      <w:r w:rsidR="00E44832" w:rsidRPr="00DD39BB">
        <w:rPr>
          <w:rFonts w:eastAsiaTheme="minorHAnsi"/>
        </w:rPr>
        <w:t xml:space="preserve">). </w:t>
      </w:r>
      <w:r w:rsidR="000C354D" w:rsidRPr="00DD39BB">
        <w:t xml:space="preserve">The results indicate that these are significant predictors but that the appetite subscale is the most important for these constructs. </w:t>
      </w:r>
      <w:r w:rsidR="00E44832" w:rsidRPr="00DD39BB">
        <w:t>T</w:t>
      </w:r>
      <w:r w:rsidR="00504823" w:rsidRPr="00DD39BB">
        <w:t xml:space="preserve">his may be </w:t>
      </w:r>
      <w:proofErr w:type="gramStart"/>
      <w:r w:rsidR="00504823" w:rsidRPr="00DD39BB">
        <w:t>due to the fact that</w:t>
      </w:r>
      <w:proofErr w:type="gramEnd"/>
      <w:r w:rsidR="00E44832" w:rsidRPr="00DD39BB">
        <w:t xml:space="preserve"> </w:t>
      </w:r>
      <w:r w:rsidR="001835B4" w:rsidRPr="00DD39BB">
        <w:t xml:space="preserve">appetite changes may overlap with other symptoms of CF, and </w:t>
      </w:r>
      <w:r w:rsidR="00E44832" w:rsidRPr="00DD39BB">
        <w:t>appetite</w:t>
      </w:r>
      <w:r w:rsidR="00504823" w:rsidRPr="00DD39BB">
        <w:t xml:space="preserve"> issues</w:t>
      </w:r>
      <w:r w:rsidR="00E44832" w:rsidRPr="00DD39BB">
        <w:t xml:space="preserve"> may </w:t>
      </w:r>
      <w:r w:rsidR="00504823" w:rsidRPr="00DD39BB">
        <w:t>be</w:t>
      </w:r>
      <w:r w:rsidR="001835B4" w:rsidRPr="00DD39BB">
        <w:t xml:space="preserve"> most</w:t>
      </w:r>
      <w:r w:rsidR="00504823" w:rsidRPr="00DD39BB">
        <w:t xml:space="preserve"> associated </w:t>
      </w:r>
      <w:r w:rsidR="001835B4" w:rsidRPr="00DD39BB">
        <w:t xml:space="preserve">with </w:t>
      </w:r>
      <w:r w:rsidR="00504823" w:rsidRPr="00DD39BB">
        <w:t>symptoms of CF.</w:t>
      </w:r>
    </w:p>
    <w:p w14:paraId="384181A5" w14:textId="6B404B22" w:rsidR="00AD05BF" w:rsidRPr="00615F05" w:rsidRDefault="00036BDA" w:rsidP="000C354D">
      <w:pPr>
        <w:spacing w:line="480" w:lineRule="auto"/>
        <w:ind w:firstLine="720"/>
        <w:rPr>
          <w:color w:val="000000" w:themeColor="text1"/>
        </w:rPr>
      </w:pPr>
      <w:r w:rsidRPr="000C354D">
        <w:rPr>
          <w:color w:val="000000" w:themeColor="text1"/>
        </w:rPr>
        <w:t xml:space="preserve">Previous studies </w:t>
      </w:r>
      <w:r w:rsidR="006005CE" w:rsidRPr="000C354D">
        <w:rPr>
          <w:color w:val="000000" w:themeColor="text1"/>
        </w:rPr>
        <w:t>reported that more males in CF report</w:t>
      </w:r>
      <w:r w:rsidR="006005CE" w:rsidRPr="000C354D">
        <w:rPr>
          <w:color w:val="000000" w:themeColor="text1"/>
          <w:shd w:val="clear" w:color="auto" w:fill="FFFFFF"/>
        </w:rPr>
        <w:t xml:space="preserve"> a desire to be heavier (Abbott et al., 2007, Tierney, 2012). </w:t>
      </w:r>
      <w:r w:rsidR="006005CE" w:rsidRPr="000C354D">
        <w:rPr>
          <w:color w:val="000000" w:themeColor="text1"/>
        </w:rPr>
        <w:t>Therefore, it would be beneficial to explore whether females with CF do not adhere to dietary recommendations or disrupt their treatment regimens to</w:t>
      </w:r>
      <w:r w:rsidR="00FD272D" w:rsidRPr="000C354D">
        <w:rPr>
          <w:color w:val="000000" w:themeColor="text1"/>
        </w:rPr>
        <w:t xml:space="preserve"> </w:t>
      </w:r>
      <w:r w:rsidR="006005CE" w:rsidRPr="000C354D">
        <w:rPr>
          <w:color w:val="000000" w:themeColor="text1"/>
        </w:rPr>
        <w:t xml:space="preserve">lose weight or due to being too ill to eat. </w:t>
      </w:r>
      <w:r w:rsidR="003D217B" w:rsidRPr="000C354D">
        <w:rPr>
          <w:color w:val="000000" w:themeColor="text1"/>
        </w:rPr>
        <w:t>As mentioned</w:t>
      </w:r>
      <w:r w:rsidR="00E87AB4" w:rsidRPr="000C354D">
        <w:rPr>
          <w:color w:val="000000" w:themeColor="text1"/>
        </w:rPr>
        <w:t xml:space="preserve">, future research should examine the measurement invariance of the scale to test its equivalence across </w:t>
      </w:r>
      <w:r w:rsidR="003D217B" w:rsidRPr="000C354D">
        <w:rPr>
          <w:color w:val="000000" w:themeColor="text1"/>
        </w:rPr>
        <w:t>important</w:t>
      </w:r>
      <w:r w:rsidR="00E87AB4" w:rsidRPr="000C354D">
        <w:rPr>
          <w:color w:val="000000" w:themeColor="text1"/>
        </w:rPr>
        <w:t xml:space="preserve"> groupings (e.g., youth vs adult samples). </w:t>
      </w:r>
      <w:r w:rsidR="006005CE" w:rsidRPr="000C354D">
        <w:rPr>
          <w:color w:val="000000" w:themeColor="text1"/>
        </w:rPr>
        <w:t>New considerations such</w:t>
      </w:r>
      <w:r w:rsidR="006005CE" w:rsidRPr="00615F05">
        <w:rPr>
          <w:color w:val="000000" w:themeColor="text1"/>
        </w:rPr>
        <w:t xml:space="preserve"> as the breakthrough drug</w:t>
      </w:r>
      <w:r w:rsidR="00E834FD" w:rsidRPr="00615F05">
        <w:rPr>
          <w:color w:val="000000" w:themeColor="text1"/>
        </w:rPr>
        <w:t>s ‘</w:t>
      </w:r>
      <w:r w:rsidR="00E60DF0" w:rsidRPr="00615F05">
        <w:rPr>
          <w:color w:val="000000" w:themeColor="text1"/>
        </w:rPr>
        <w:t>Ivacaftor,’ ‘Lumacaftor/Ivacaftor’</w:t>
      </w:r>
      <w:r w:rsidR="00E834FD" w:rsidRPr="00615F05">
        <w:rPr>
          <w:color w:val="000000" w:themeColor="text1"/>
        </w:rPr>
        <w:t xml:space="preserve"> and recently ‘</w:t>
      </w:r>
      <w:proofErr w:type="spellStart"/>
      <w:r w:rsidR="007A5536" w:rsidRPr="00615F05">
        <w:rPr>
          <w:rStyle w:val="hgkelc"/>
          <w:rFonts w:eastAsia="Times New Roman"/>
          <w:bCs/>
          <w:color w:val="000000" w:themeColor="text1"/>
          <w:lang w:val="en"/>
        </w:rPr>
        <w:t>Elexacaftor</w:t>
      </w:r>
      <w:proofErr w:type="spellEnd"/>
      <w:r w:rsidR="007A5536" w:rsidRPr="00615F05">
        <w:rPr>
          <w:rStyle w:val="hgkelc"/>
          <w:rFonts w:eastAsia="Times New Roman"/>
          <w:bCs/>
          <w:color w:val="000000" w:themeColor="text1"/>
          <w:lang w:val="en"/>
        </w:rPr>
        <w:t>/</w:t>
      </w:r>
      <w:proofErr w:type="spellStart"/>
      <w:r w:rsidR="007A5536" w:rsidRPr="00615F05">
        <w:rPr>
          <w:rStyle w:val="hgkelc"/>
          <w:rFonts w:eastAsia="Times New Roman"/>
          <w:bCs/>
          <w:color w:val="000000" w:themeColor="text1"/>
          <w:lang w:val="en"/>
        </w:rPr>
        <w:t>Tezacaftor</w:t>
      </w:r>
      <w:proofErr w:type="spellEnd"/>
      <w:r w:rsidR="007A5536" w:rsidRPr="00615F05">
        <w:rPr>
          <w:rStyle w:val="hgkelc"/>
          <w:rFonts w:eastAsia="Times New Roman"/>
          <w:bCs/>
          <w:color w:val="000000" w:themeColor="text1"/>
          <w:lang w:val="en"/>
        </w:rPr>
        <w:t>/Ivacaftor</w:t>
      </w:r>
      <w:r w:rsidR="00E834FD" w:rsidRPr="00615F05">
        <w:rPr>
          <w:color w:val="000000" w:themeColor="text1"/>
        </w:rPr>
        <w:t xml:space="preserve">’ </w:t>
      </w:r>
      <w:r w:rsidR="00F24C25" w:rsidRPr="00615F05">
        <w:rPr>
          <w:color w:val="000000" w:themeColor="text1"/>
        </w:rPr>
        <w:t>since</w:t>
      </w:r>
      <w:r w:rsidR="00E834FD" w:rsidRPr="00615F05">
        <w:rPr>
          <w:color w:val="000000" w:themeColor="text1"/>
        </w:rPr>
        <w:t xml:space="preserve"> 202</w:t>
      </w:r>
      <w:r w:rsidR="00F24C25" w:rsidRPr="00615F05">
        <w:rPr>
          <w:color w:val="000000" w:themeColor="text1"/>
        </w:rPr>
        <w:t>0</w:t>
      </w:r>
      <w:r w:rsidR="00E834FD" w:rsidRPr="00615F05">
        <w:rPr>
          <w:color w:val="000000" w:themeColor="text1"/>
        </w:rPr>
        <w:t xml:space="preserve"> </w:t>
      </w:r>
      <w:r w:rsidR="006005CE" w:rsidRPr="00615F05">
        <w:rPr>
          <w:color w:val="000000" w:themeColor="text1"/>
        </w:rPr>
        <w:t>for</w:t>
      </w:r>
      <w:r w:rsidR="00F81AA3" w:rsidRPr="00615F05">
        <w:rPr>
          <w:color w:val="000000" w:themeColor="text1"/>
        </w:rPr>
        <w:t xml:space="preserve"> people with CF</w:t>
      </w:r>
      <w:r w:rsidR="00180630" w:rsidRPr="00615F05">
        <w:rPr>
          <w:color w:val="000000" w:themeColor="text1"/>
        </w:rPr>
        <w:t xml:space="preserve">, </w:t>
      </w:r>
      <w:r w:rsidR="006005CE" w:rsidRPr="00615F05">
        <w:rPr>
          <w:color w:val="000000" w:themeColor="text1"/>
        </w:rPr>
        <w:t>with a main side effect of more efficient fat absorption is important, as is the impact of this for individuals who could not gain weight before</w:t>
      </w:r>
      <w:r w:rsidR="00180630" w:rsidRPr="00615F05">
        <w:rPr>
          <w:color w:val="000000" w:themeColor="text1"/>
        </w:rPr>
        <w:t xml:space="preserve"> (</w:t>
      </w:r>
      <w:proofErr w:type="spellStart"/>
      <w:r w:rsidR="00180630" w:rsidRPr="00615F05">
        <w:rPr>
          <w:color w:val="000000" w:themeColor="text1"/>
        </w:rPr>
        <w:t>Polenakovik</w:t>
      </w:r>
      <w:proofErr w:type="spellEnd"/>
      <w:r w:rsidR="00180630" w:rsidRPr="00615F05">
        <w:rPr>
          <w:color w:val="000000" w:themeColor="text1"/>
        </w:rPr>
        <w:t xml:space="preserve"> &amp; </w:t>
      </w:r>
      <w:proofErr w:type="spellStart"/>
      <w:r w:rsidR="00180630" w:rsidRPr="00615F05">
        <w:rPr>
          <w:color w:val="000000" w:themeColor="text1"/>
        </w:rPr>
        <w:t>Sanville</w:t>
      </w:r>
      <w:proofErr w:type="spellEnd"/>
      <w:r w:rsidR="00180630" w:rsidRPr="00615F05">
        <w:rPr>
          <w:color w:val="000000" w:themeColor="text1"/>
        </w:rPr>
        <w:t>, 2013)</w:t>
      </w:r>
      <w:r w:rsidR="006005CE" w:rsidRPr="00615F05">
        <w:rPr>
          <w:color w:val="000000" w:themeColor="text1"/>
        </w:rPr>
        <w:t xml:space="preserve">. </w:t>
      </w:r>
      <w:r w:rsidR="00DC4EB9" w:rsidRPr="00615F05">
        <w:rPr>
          <w:color w:val="000000" w:themeColor="text1"/>
        </w:rPr>
        <w:t xml:space="preserve"> </w:t>
      </w:r>
      <w:r w:rsidR="00047078" w:rsidRPr="00615F05">
        <w:rPr>
          <w:color w:val="000000" w:themeColor="text1"/>
        </w:rPr>
        <w:t xml:space="preserve">Research has been conducted on the biological and genetic impact of </w:t>
      </w:r>
      <w:r w:rsidR="00F81AA3" w:rsidRPr="00615F05">
        <w:rPr>
          <w:color w:val="000000" w:themeColor="text1"/>
        </w:rPr>
        <w:t>these drugs and weight gain, but not the psychological change</w:t>
      </w:r>
      <w:r w:rsidRPr="00615F05">
        <w:rPr>
          <w:color w:val="000000" w:themeColor="text1"/>
        </w:rPr>
        <w:t>s</w:t>
      </w:r>
      <w:r w:rsidR="00F81AA3" w:rsidRPr="00615F05">
        <w:rPr>
          <w:color w:val="000000" w:themeColor="text1"/>
        </w:rPr>
        <w:t xml:space="preserve"> </w:t>
      </w:r>
      <w:r w:rsidR="003E6569" w:rsidRPr="00615F05">
        <w:rPr>
          <w:color w:val="000000" w:themeColor="text1"/>
        </w:rPr>
        <w:t>or impac</w:t>
      </w:r>
      <w:r w:rsidR="00036128" w:rsidRPr="00615F05">
        <w:rPr>
          <w:color w:val="000000" w:themeColor="text1"/>
        </w:rPr>
        <w:t>t</w:t>
      </w:r>
      <w:r w:rsidR="00F81AA3" w:rsidRPr="00615F05">
        <w:rPr>
          <w:color w:val="000000" w:themeColor="text1"/>
        </w:rPr>
        <w:t xml:space="preserve">. </w:t>
      </w:r>
      <w:r w:rsidR="006005CE" w:rsidRPr="00615F05">
        <w:rPr>
          <w:color w:val="000000" w:themeColor="text1"/>
        </w:rPr>
        <w:t>It is important in a clinical sense to determine</w:t>
      </w:r>
      <w:r w:rsidR="00F2345C" w:rsidRPr="00615F05">
        <w:rPr>
          <w:color w:val="000000" w:themeColor="text1"/>
        </w:rPr>
        <w:t xml:space="preserve"> predictive validit</w:t>
      </w:r>
      <w:r w:rsidR="0064663A" w:rsidRPr="00615F05">
        <w:rPr>
          <w:color w:val="000000" w:themeColor="text1"/>
        </w:rPr>
        <w:t>y of this measure,</w:t>
      </w:r>
      <w:r w:rsidR="00F2345C" w:rsidRPr="00615F05">
        <w:rPr>
          <w:color w:val="000000" w:themeColor="text1"/>
        </w:rPr>
        <w:t xml:space="preserve"> </w:t>
      </w:r>
      <w:proofErr w:type="gramStart"/>
      <w:r w:rsidR="00F2345C" w:rsidRPr="00615F05">
        <w:rPr>
          <w:color w:val="000000" w:themeColor="text1"/>
        </w:rPr>
        <w:t>and also</w:t>
      </w:r>
      <w:proofErr w:type="gramEnd"/>
      <w:r w:rsidR="006005CE" w:rsidRPr="00615F05">
        <w:rPr>
          <w:color w:val="000000" w:themeColor="text1"/>
        </w:rPr>
        <w:t xml:space="preserve"> which individuals with CF are</w:t>
      </w:r>
      <w:r w:rsidR="002A6684" w:rsidRPr="00615F05">
        <w:rPr>
          <w:color w:val="000000" w:themeColor="text1"/>
        </w:rPr>
        <w:t xml:space="preserve"> at risk of developing an </w:t>
      </w:r>
      <w:r w:rsidR="00225FED" w:rsidRPr="00615F05">
        <w:rPr>
          <w:color w:val="000000" w:themeColor="text1"/>
        </w:rPr>
        <w:t>ED</w:t>
      </w:r>
      <w:r w:rsidR="006005CE" w:rsidRPr="00615F05">
        <w:rPr>
          <w:color w:val="000000" w:themeColor="text1"/>
        </w:rPr>
        <w:t xml:space="preserve">, and to develop and validate more CF-specific measures like the </w:t>
      </w:r>
      <w:r w:rsidR="006005CE" w:rsidRPr="00615F05">
        <w:rPr>
          <w:color w:val="000000" w:themeColor="text1"/>
        </w:rPr>
        <w:lastRenderedPageBreak/>
        <w:t xml:space="preserve">‘CFEAB’ to identify detrimental </w:t>
      </w:r>
      <w:proofErr w:type="spellStart"/>
      <w:r w:rsidR="006005CE" w:rsidRPr="00615F05">
        <w:rPr>
          <w:color w:val="000000" w:themeColor="text1"/>
        </w:rPr>
        <w:t>behaviours</w:t>
      </w:r>
      <w:proofErr w:type="spellEnd"/>
      <w:r w:rsidR="006005CE" w:rsidRPr="00615F05">
        <w:rPr>
          <w:color w:val="000000" w:themeColor="text1"/>
        </w:rPr>
        <w:t xml:space="preserve"> and attitudes. </w:t>
      </w:r>
      <w:r w:rsidR="00840F76" w:rsidRPr="00615F05">
        <w:rPr>
          <w:color w:val="000000" w:themeColor="text1"/>
        </w:rPr>
        <w:br/>
      </w:r>
      <w:r w:rsidR="006005CE" w:rsidRPr="00615F05">
        <w:rPr>
          <w:b/>
          <w:color w:val="000000" w:themeColor="text1"/>
        </w:rPr>
        <w:t>Conclusion</w:t>
      </w:r>
    </w:p>
    <w:p w14:paraId="658EF88F" w14:textId="50338B2F" w:rsidR="0033018B" w:rsidRPr="00615F05" w:rsidRDefault="001E2B07" w:rsidP="00875551">
      <w:pPr>
        <w:spacing w:line="480" w:lineRule="auto"/>
        <w:ind w:firstLine="720"/>
        <w:rPr>
          <w:color w:val="000000" w:themeColor="text1"/>
        </w:rPr>
      </w:pPr>
      <w:r w:rsidRPr="00615F05">
        <w:rPr>
          <w:color w:val="000000" w:themeColor="text1"/>
        </w:rPr>
        <w:t>This work supports the factor structure</w:t>
      </w:r>
      <w:r w:rsidR="00B81717" w:rsidRPr="00615F05">
        <w:rPr>
          <w:color w:val="000000" w:themeColor="text1"/>
        </w:rPr>
        <w:t>,</w:t>
      </w:r>
      <w:r w:rsidRPr="00615F05">
        <w:rPr>
          <w:color w:val="000000" w:themeColor="text1"/>
        </w:rPr>
        <w:t xml:space="preserve"> internal consistency</w:t>
      </w:r>
      <w:r w:rsidR="00B81717" w:rsidRPr="00615F05">
        <w:rPr>
          <w:color w:val="000000" w:themeColor="text1"/>
        </w:rPr>
        <w:t xml:space="preserve">, and </w:t>
      </w:r>
      <w:r w:rsidR="003D217B" w:rsidRPr="00615F05">
        <w:rPr>
          <w:color w:val="000000" w:themeColor="text1"/>
        </w:rPr>
        <w:t>criterion validity</w:t>
      </w:r>
      <w:r w:rsidR="00B81717" w:rsidRPr="00615F05">
        <w:rPr>
          <w:color w:val="000000" w:themeColor="text1"/>
        </w:rPr>
        <w:t xml:space="preserve"> </w:t>
      </w:r>
      <w:r w:rsidRPr="00615F05">
        <w:rPr>
          <w:color w:val="000000" w:themeColor="text1"/>
        </w:rPr>
        <w:t xml:space="preserve">of </w:t>
      </w:r>
      <w:r w:rsidR="003B2D75" w:rsidRPr="00615F05">
        <w:rPr>
          <w:color w:val="000000" w:themeColor="text1"/>
        </w:rPr>
        <w:t>th</w:t>
      </w:r>
      <w:r w:rsidR="00B81717" w:rsidRPr="00615F05">
        <w:rPr>
          <w:color w:val="000000" w:themeColor="text1"/>
        </w:rPr>
        <w:t>e short</w:t>
      </w:r>
      <w:r w:rsidR="00340438" w:rsidRPr="00615F05">
        <w:rPr>
          <w:color w:val="000000" w:themeColor="text1"/>
        </w:rPr>
        <w:t>-</w:t>
      </w:r>
      <w:r w:rsidR="00B81717" w:rsidRPr="00615F05">
        <w:rPr>
          <w:color w:val="000000" w:themeColor="text1"/>
        </w:rPr>
        <w:t>CFEAB - a</w:t>
      </w:r>
      <w:r w:rsidR="003B2D75" w:rsidRPr="00615F05">
        <w:rPr>
          <w:color w:val="000000" w:themeColor="text1"/>
        </w:rPr>
        <w:t xml:space="preserve"> </w:t>
      </w:r>
      <w:r w:rsidR="00B81717" w:rsidRPr="00615F05">
        <w:rPr>
          <w:color w:val="000000" w:themeColor="text1"/>
        </w:rPr>
        <w:t xml:space="preserve">12-item </w:t>
      </w:r>
      <w:r w:rsidR="003E6569" w:rsidRPr="00615F05">
        <w:rPr>
          <w:color w:val="000000" w:themeColor="text1"/>
        </w:rPr>
        <w:t xml:space="preserve">CF-specific measure. </w:t>
      </w:r>
      <w:r w:rsidR="00B81717" w:rsidRPr="00615F05">
        <w:rPr>
          <w:color w:val="000000" w:themeColor="text1"/>
        </w:rPr>
        <w:t>We hope that this shortened scale offers a viable method for researchers, practitioners, and health care providers interested in disordered eating in people with CF</w:t>
      </w:r>
      <w:r w:rsidR="003B2D75" w:rsidRPr="00615F05">
        <w:rPr>
          <w:color w:val="000000" w:themeColor="text1"/>
        </w:rPr>
        <w:t xml:space="preserve"> </w:t>
      </w:r>
      <w:r w:rsidR="00A24EC4" w:rsidRPr="00615F05">
        <w:rPr>
          <w:color w:val="000000" w:themeColor="text1"/>
        </w:rPr>
        <w:t>and increases interest in this under-researched area of CF patient care.</w:t>
      </w:r>
      <w:r w:rsidR="00000C5D" w:rsidRPr="00615F05">
        <w:rPr>
          <w:color w:val="000000" w:themeColor="text1"/>
        </w:rPr>
        <w:br/>
      </w:r>
    </w:p>
    <w:p w14:paraId="783E0A87" w14:textId="15CE1944" w:rsidR="00287B54" w:rsidRPr="00615F05" w:rsidRDefault="00287B54" w:rsidP="00AD05BF">
      <w:pPr>
        <w:spacing w:line="480" w:lineRule="auto"/>
        <w:jc w:val="center"/>
        <w:rPr>
          <w:b/>
          <w:color w:val="000000" w:themeColor="text1"/>
        </w:rPr>
      </w:pPr>
      <w:r w:rsidRPr="00615F05">
        <w:rPr>
          <w:b/>
          <w:color w:val="000000" w:themeColor="text1"/>
        </w:rPr>
        <w:t>References</w:t>
      </w:r>
    </w:p>
    <w:p w14:paraId="7F26DDFE" w14:textId="7A44D43E" w:rsidR="00287B54"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t xml:space="preserve">Abbott, J., Gee, L., Conway, S., Etherington, C., Morton, A., Fitzjohn, J., </w:t>
      </w:r>
      <w:r w:rsidR="00962318" w:rsidRPr="00615F05">
        <w:rPr>
          <w:color w:val="000000" w:themeColor="text1"/>
        </w:rPr>
        <w:t xml:space="preserve">&amp; </w:t>
      </w:r>
      <w:r w:rsidRPr="00615F05">
        <w:rPr>
          <w:color w:val="000000" w:themeColor="text1"/>
        </w:rPr>
        <w:t>Webb, A. K. (2000). Perceived body image and eating behavior in young adults with cystic fibrosis and their healthy peers.</w:t>
      </w:r>
      <w:r w:rsidRPr="00615F05">
        <w:rPr>
          <w:i/>
          <w:iCs/>
          <w:color w:val="000000" w:themeColor="text1"/>
        </w:rPr>
        <w:t xml:space="preserve"> Journal of Behavioral Medicine, </w:t>
      </w:r>
      <w:r w:rsidRPr="00615F05">
        <w:rPr>
          <w:iCs/>
          <w:color w:val="000000" w:themeColor="text1"/>
        </w:rPr>
        <w:t>23</w:t>
      </w:r>
      <w:r w:rsidRPr="00615F05">
        <w:rPr>
          <w:color w:val="000000" w:themeColor="text1"/>
        </w:rPr>
        <w:t xml:space="preserve">(6), 501-517. </w:t>
      </w:r>
    </w:p>
    <w:p w14:paraId="7873C930" w14:textId="4F343E99" w:rsidR="00287B54"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t>Abbott, J., Gee, L., Morton, A. M., Conway, S. P., Etherington, C., Musson, H.,</w:t>
      </w:r>
      <w:r w:rsidR="005E0691" w:rsidRPr="00615F05">
        <w:rPr>
          <w:color w:val="000000" w:themeColor="text1"/>
        </w:rPr>
        <w:t xml:space="preserve"> </w:t>
      </w:r>
      <w:r w:rsidR="00962318" w:rsidRPr="00615F05">
        <w:rPr>
          <w:color w:val="000000" w:themeColor="text1"/>
        </w:rPr>
        <w:t xml:space="preserve">&amp; </w:t>
      </w:r>
      <w:r w:rsidRPr="00615F05">
        <w:rPr>
          <w:color w:val="000000" w:themeColor="text1"/>
        </w:rPr>
        <w:t>Webb, A.</w:t>
      </w:r>
      <w:r w:rsidR="005E0691" w:rsidRPr="00615F05">
        <w:rPr>
          <w:color w:val="000000" w:themeColor="text1"/>
        </w:rPr>
        <w:t xml:space="preserve"> </w:t>
      </w:r>
      <w:r w:rsidRPr="00615F05">
        <w:rPr>
          <w:color w:val="000000" w:themeColor="text1"/>
        </w:rPr>
        <w:t xml:space="preserve">K. (2007). Nutritional status, perceived body image and eating </w:t>
      </w:r>
      <w:proofErr w:type="spellStart"/>
      <w:r w:rsidRPr="00615F05">
        <w:rPr>
          <w:color w:val="000000" w:themeColor="text1"/>
        </w:rPr>
        <w:t>behaviours</w:t>
      </w:r>
      <w:proofErr w:type="spellEnd"/>
      <w:r w:rsidRPr="00615F05">
        <w:rPr>
          <w:color w:val="000000" w:themeColor="text1"/>
        </w:rPr>
        <w:t xml:space="preserve"> in adults with cystic fibrosis.</w:t>
      </w:r>
      <w:r w:rsidRPr="00615F05">
        <w:rPr>
          <w:i/>
          <w:iCs/>
          <w:color w:val="000000" w:themeColor="text1"/>
        </w:rPr>
        <w:t xml:space="preserve"> Clinical Nutrition, </w:t>
      </w:r>
      <w:r w:rsidRPr="00615F05">
        <w:rPr>
          <w:iCs/>
          <w:color w:val="000000" w:themeColor="text1"/>
        </w:rPr>
        <w:t>26</w:t>
      </w:r>
      <w:r w:rsidRPr="00615F05">
        <w:rPr>
          <w:color w:val="000000" w:themeColor="text1"/>
        </w:rPr>
        <w:t xml:space="preserve">(1), 91-99. </w:t>
      </w:r>
    </w:p>
    <w:p w14:paraId="01F4CB57" w14:textId="47360717" w:rsidR="00570592" w:rsidRPr="00615F05" w:rsidRDefault="00570592" w:rsidP="00340438">
      <w:pPr>
        <w:widowControl w:val="0"/>
        <w:autoSpaceDE w:val="0"/>
        <w:autoSpaceDN w:val="0"/>
        <w:adjustRightInd w:val="0"/>
        <w:spacing w:line="480" w:lineRule="auto"/>
        <w:ind w:left="720" w:hanging="720"/>
        <w:rPr>
          <w:color w:val="000000" w:themeColor="text1"/>
        </w:rPr>
      </w:pPr>
      <w:r w:rsidRPr="00615F05">
        <w:rPr>
          <w:color w:val="000000" w:themeColor="text1"/>
        </w:rPr>
        <w:t>Bryon</w:t>
      </w:r>
      <w:r w:rsidR="009644B5" w:rsidRPr="00615F05">
        <w:rPr>
          <w:color w:val="000000" w:themeColor="text1"/>
        </w:rPr>
        <w:t>,</w:t>
      </w:r>
      <w:r w:rsidRPr="00615F05">
        <w:rPr>
          <w:color w:val="000000" w:themeColor="text1"/>
        </w:rPr>
        <w:t xml:space="preserve"> M. Summary to date of eating disorders in children and adults with cystic fibrosis. Presented at the 20th Annual North American Cystic Fibrosis Conference, Denver, CD; 2006.</w:t>
      </w:r>
    </w:p>
    <w:p w14:paraId="6DF36F37" w14:textId="1DBB2385" w:rsidR="00287B54"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t xml:space="preserve">Byron, M., Shearer, J., </w:t>
      </w:r>
      <w:r w:rsidR="00962318" w:rsidRPr="00615F05">
        <w:rPr>
          <w:color w:val="000000" w:themeColor="text1"/>
        </w:rPr>
        <w:t xml:space="preserve">&amp; </w:t>
      </w:r>
      <w:r w:rsidRPr="00615F05">
        <w:rPr>
          <w:color w:val="000000" w:themeColor="text1"/>
        </w:rPr>
        <w:t xml:space="preserve">Davies, H. (2008). Eating Disorders and disturbance in children and adolescents with cystic fibrosis. </w:t>
      </w:r>
      <w:r w:rsidRPr="00615F05">
        <w:rPr>
          <w:i/>
          <w:color w:val="000000" w:themeColor="text1"/>
        </w:rPr>
        <w:t xml:space="preserve">Child Health Care, </w:t>
      </w:r>
      <w:r w:rsidRPr="00615F05">
        <w:rPr>
          <w:color w:val="000000" w:themeColor="text1"/>
        </w:rPr>
        <w:t>37, 67-77.</w:t>
      </w:r>
    </w:p>
    <w:p w14:paraId="57B72561" w14:textId="5F3112B9" w:rsidR="00570592" w:rsidRPr="00615F05" w:rsidRDefault="00570592" w:rsidP="009644B5">
      <w:pPr>
        <w:spacing w:line="480" w:lineRule="auto"/>
        <w:rPr>
          <w:color w:val="000000" w:themeColor="text1"/>
        </w:rPr>
      </w:pPr>
      <w:proofErr w:type="spellStart"/>
      <w:r w:rsidRPr="00615F05">
        <w:rPr>
          <w:rFonts w:eastAsia="Times New Roman"/>
          <w:color w:val="000000" w:themeColor="text1"/>
        </w:rPr>
        <w:t>Comrey</w:t>
      </w:r>
      <w:proofErr w:type="spellEnd"/>
      <w:r w:rsidRPr="00615F05">
        <w:rPr>
          <w:rFonts w:eastAsia="Times New Roman"/>
          <w:color w:val="000000" w:themeColor="text1"/>
        </w:rPr>
        <w:t xml:space="preserve">, A. L., &amp; Lee, H. B. (2013). </w:t>
      </w:r>
      <w:r w:rsidRPr="00615F05">
        <w:rPr>
          <w:rFonts w:eastAsia="Times New Roman"/>
          <w:i/>
          <w:iCs/>
          <w:color w:val="000000" w:themeColor="text1"/>
        </w:rPr>
        <w:t>A first course in factor analysis</w:t>
      </w:r>
      <w:r w:rsidRPr="00615F05">
        <w:rPr>
          <w:rFonts w:eastAsia="Times New Roman"/>
          <w:color w:val="000000" w:themeColor="text1"/>
        </w:rPr>
        <w:t>. Psychology press.</w:t>
      </w:r>
    </w:p>
    <w:p w14:paraId="1AE51E54" w14:textId="512A0A74" w:rsidR="004039D7" w:rsidRPr="00615F05" w:rsidRDefault="004039D7" w:rsidP="009644B5">
      <w:pPr>
        <w:pStyle w:val="NormalWeb"/>
        <w:spacing w:before="0" w:beforeAutospacing="0" w:after="0" w:afterAutospacing="0" w:line="480" w:lineRule="auto"/>
        <w:ind w:left="720" w:hanging="720"/>
        <w:rPr>
          <w:color w:val="000000" w:themeColor="text1"/>
          <w:shd w:val="clear" w:color="auto" w:fill="FFFFFF"/>
        </w:rPr>
      </w:pPr>
      <w:proofErr w:type="spellStart"/>
      <w:r w:rsidRPr="00615F05">
        <w:rPr>
          <w:color w:val="000000" w:themeColor="text1"/>
          <w:shd w:val="clear" w:color="auto" w:fill="FFFFFF"/>
        </w:rPr>
        <w:t>Conviser</w:t>
      </w:r>
      <w:proofErr w:type="spellEnd"/>
      <w:r w:rsidRPr="00615F05">
        <w:rPr>
          <w:color w:val="000000" w:themeColor="text1"/>
          <w:shd w:val="clear" w:color="auto" w:fill="FFFFFF"/>
        </w:rPr>
        <w:t xml:space="preserve">, J. H., Fisher, S. D., &amp; </w:t>
      </w:r>
      <w:proofErr w:type="spellStart"/>
      <w:r w:rsidRPr="00615F05">
        <w:rPr>
          <w:color w:val="000000" w:themeColor="text1"/>
          <w:shd w:val="clear" w:color="auto" w:fill="FFFFFF"/>
        </w:rPr>
        <w:t>McColley</w:t>
      </w:r>
      <w:proofErr w:type="spellEnd"/>
      <w:r w:rsidRPr="00615F05">
        <w:rPr>
          <w:color w:val="000000" w:themeColor="text1"/>
          <w:shd w:val="clear" w:color="auto" w:fill="FFFFFF"/>
        </w:rPr>
        <w:t>, S. A. (2018). Are children with chronic illnesses requiring dietary therapy at risk for disordered eating or eating disorders? A systematic review. </w:t>
      </w:r>
      <w:r w:rsidRPr="00615F05">
        <w:rPr>
          <w:i/>
          <w:iCs/>
          <w:color w:val="000000" w:themeColor="text1"/>
          <w:shd w:val="clear" w:color="auto" w:fill="FFFFFF"/>
        </w:rPr>
        <w:t>International Journal of Eating Disorders</w:t>
      </w:r>
      <w:r w:rsidRPr="00615F05">
        <w:rPr>
          <w:color w:val="000000" w:themeColor="text1"/>
          <w:shd w:val="clear" w:color="auto" w:fill="FFFFFF"/>
        </w:rPr>
        <w:t>, </w:t>
      </w:r>
      <w:r w:rsidRPr="00615F05">
        <w:rPr>
          <w:i/>
          <w:iCs/>
          <w:color w:val="000000" w:themeColor="text1"/>
          <w:shd w:val="clear" w:color="auto" w:fill="FFFFFF"/>
        </w:rPr>
        <w:t>51</w:t>
      </w:r>
      <w:r w:rsidRPr="00615F05">
        <w:rPr>
          <w:color w:val="000000" w:themeColor="text1"/>
          <w:shd w:val="clear" w:color="auto" w:fill="FFFFFF"/>
        </w:rPr>
        <w:t>(3), 187-213.</w:t>
      </w:r>
    </w:p>
    <w:p w14:paraId="02ADD429" w14:textId="3B7C25FB" w:rsidR="009644B5" w:rsidRPr="00615F05" w:rsidRDefault="009644B5" w:rsidP="00193FF4">
      <w:pPr>
        <w:spacing w:line="480" w:lineRule="auto"/>
        <w:ind w:left="720" w:hanging="720"/>
        <w:rPr>
          <w:rFonts w:eastAsia="Times New Roman"/>
          <w:color w:val="000000" w:themeColor="text1"/>
        </w:rPr>
      </w:pPr>
      <w:r w:rsidRPr="00615F05">
        <w:rPr>
          <w:rFonts w:eastAsia="Times New Roman"/>
          <w:color w:val="000000" w:themeColor="text1"/>
        </w:rPr>
        <w:lastRenderedPageBreak/>
        <w:t xml:space="preserve">Dunn, T. J., Baguley, T., &amp; </w:t>
      </w:r>
      <w:proofErr w:type="spellStart"/>
      <w:r w:rsidRPr="00615F05">
        <w:rPr>
          <w:rFonts w:eastAsia="Times New Roman"/>
          <w:color w:val="000000" w:themeColor="text1"/>
        </w:rPr>
        <w:t>Brunsden</w:t>
      </w:r>
      <w:proofErr w:type="spellEnd"/>
      <w:r w:rsidRPr="00615F05">
        <w:rPr>
          <w:rFonts w:eastAsia="Times New Roman"/>
          <w:color w:val="000000" w:themeColor="text1"/>
        </w:rPr>
        <w:t xml:space="preserve">, V. (2014). From alpha to omega: A practical solution          to the pervasive problem of internal consistency estimation. </w:t>
      </w:r>
      <w:r w:rsidRPr="00615F05">
        <w:rPr>
          <w:rFonts w:eastAsia="Times New Roman"/>
          <w:i/>
          <w:iCs/>
          <w:color w:val="000000" w:themeColor="text1"/>
        </w:rPr>
        <w:t xml:space="preserve">British </w:t>
      </w:r>
      <w:r w:rsidR="00193FF4">
        <w:rPr>
          <w:rFonts w:eastAsia="Times New Roman"/>
          <w:i/>
          <w:iCs/>
          <w:color w:val="000000" w:themeColor="text1"/>
        </w:rPr>
        <w:t>J</w:t>
      </w:r>
      <w:r w:rsidRPr="00615F05">
        <w:rPr>
          <w:rFonts w:eastAsia="Times New Roman"/>
          <w:i/>
          <w:iCs/>
          <w:color w:val="000000" w:themeColor="text1"/>
        </w:rPr>
        <w:t xml:space="preserve">ournal of </w:t>
      </w:r>
      <w:r w:rsidR="00193FF4">
        <w:rPr>
          <w:rFonts w:eastAsia="Times New Roman"/>
          <w:i/>
          <w:iCs/>
          <w:color w:val="000000" w:themeColor="text1"/>
        </w:rPr>
        <w:t>P</w:t>
      </w:r>
      <w:r w:rsidRPr="00615F05">
        <w:rPr>
          <w:rFonts w:eastAsia="Times New Roman"/>
          <w:i/>
          <w:iCs/>
          <w:color w:val="000000" w:themeColor="text1"/>
        </w:rPr>
        <w:t>sychology</w:t>
      </w:r>
      <w:r w:rsidRPr="00615F05">
        <w:rPr>
          <w:rFonts w:eastAsia="Times New Roman"/>
          <w:color w:val="000000" w:themeColor="text1"/>
        </w:rPr>
        <w:t xml:space="preserve">, </w:t>
      </w:r>
      <w:r w:rsidRPr="00615F05">
        <w:rPr>
          <w:rFonts w:eastAsia="Times New Roman"/>
          <w:i/>
          <w:iCs/>
          <w:color w:val="000000" w:themeColor="text1"/>
        </w:rPr>
        <w:t>105</w:t>
      </w:r>
      <w:r w:rsidRPr="00615F05">
        <w:rPr>
          <w:rFonts w:eastAsia="Times New Roman"/>
          <w:color w:val="000000" w:themeColor="text1"/>
        </w:rPr>
        <w:t>(3), 399-412.</w:t>
      </w:r>
    </w:p>
    <w:p w14:paraId="77B91B1F" w14:textId="4D3927FF" w:rsidR="00570592" w:rsidRPr="00615F05" w:rsidRDefault="00570592" w:rsidP="009644B5">
      <w:pPr>
        <w:spacing w:line="480" w:lineRule="auto"/>
        <w:ind w:left="720" w:hanging="720"/>
        <w:rPr>
          <w:color w:val="000000" w:themeColor="text1"/>
        </w:rPr>
      </w:pPr>
      <w:proofErr w:type="spellStart"/>
      <w:r w:rsidRPr="00615F05">
        <w:rPr>
          <w:rFonts w:eastAsia="Times New Roman"/>
          <w:color w:val="000000" w:themeColor="text1"/>
        </w:rPr>
        <w:t>Faul</w:t>
      </w:r>
      <w:proofErr w:type="spellEnd"/>
      <w:r w:rsidRPr="00615F05">
        <w:rPr>
          <w:rFonts w:eastAsia="Times New Roman"/>
          <w:color w:val="000000" w:themeColor="text1"/>
        </w:rPr>
        <w:t xml:space="preserve">, F., </w:t>
      </w:r>
      <w:proofErr w:type="spellStart"/>
      <w:r w:rsidRPr="00615F05">
        <w:rPr>
          <w:rFonts w:eastAsia="Times New Roman"/>
          <w:color w:val="000000" w:themeColor="text1"/>
        </w:rPr>
        <w:t>Erdfelder</w:t>
      </w:r>
      <w:proofErr w:type="spellEnd"/>
      <w:r w:rsidRPr="00615F05">
        <w:rPr>
          <w:rFonts w:eastAsia="Times New Roman"/>
          <w:color w:val="000000" w:themeColor="text1"/>
        </w:rPr>
        <w:t xml:space="preserve">, E., Lang, A. G., &amp; Buchner, A. (2007). G* Power 3: A flexible statistical power analysis program for the social, behavioral, and biomedical sciences. </w:t>
      </w:r>
      <w:r w:rsidRPr="00615F05">
        <w:rPr>
          <w:rFonts w:eastAsia="Times New Roman"/>
          <w:i/>
          <w:iCs/>
          <w:color w:val="000000" w:themeColor="text1"/>
        </w:rPr>
        <w:t>Behavior research methods</w:t>
      </w:r>
      <w:r w:rsidRPr="00615F05">
        <w:rPr>
          <w:rFonts w:eastAsia="Times New Roman"/>
          <w:color w:val="000000" w:themeColor="text1"/>
        </w:rPr>
        <w:t xml:space="preserve">, </w:t>
      </w:r>
      <w:r w:rsidRPr="00615F05">
        <w:rPr>
          <w:rFonts w:eastAsia="Times New Roman"/>
          <w:i/>
          <w:iCs/>
          <w:color w:val="000000" w:themeColor="text1"/>
        </w:rPr>
        <w:t>39</w:t>
      </w:r>
      <w:r w:rsidRPr="00615F05">
        <w:rPr>
          <w:rFonts w:eastAsia="Times New Roman"/>
          <w:color w:val="000000" w:themeColor="text1"/>
        </w:rPr>
        <w:t>(2), 175-191.</w:t>
      </w:r>
    </w:p>
    <w:p w14:paraId="196D53EA" w14:textId="43A211ED" w:rsidR="00287B54"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t xml:space="preserve">Garner, D. M., Olmsted, M. P., Bohr, Y., </w:t>
      </w:r>
      <w:r w:rsidR="00962318" w:rsidRPr="00615F05">
        <w:rPr>
          <w:color w:val="000000" w:themeColor="text1"/>
        </w:rPr>
        <w:t xml:space="preserve">&amp; </w:t>
      </w:r>
      <w:r w:rsidRPr="00615F05">
        <w:rPr>
          <w:color w:val="000000" w:themeColor="text1"/>
        </w:rPr>
        <w:t xml:space="preserve">Garfinkel, P. E. (1982). The Eating Attitudes Test: psychometric features and clinical correlates. </w:t>
      </w:r>
      <w:r w:rsidRPr="00615F05">
        <w:rPr>
          <w:i/>
          <w:color w:val="000000" w:themeColor="text1"/>
        </w:rPr>
        <w:t xml:space="preserve">Psychological Medicine, </w:t>
      </w:r>
      <w:r w:rsidRPr="00615F05">
        <w:rPr>
          <w:color w:val="000000" w:themeColor="text1"/>
        </w:rPr>
        <w:t>12, 871-878.</w:t>
      </w:r>
    </w:p>
    <w:p w14:paraId="265B2FDB" w14:textId="076AB7E6" w:rsidR="00AD05BF"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t xml:space="preserve">Gilchrist, F. J., </w:t>
      </w:r>
      <w:r w:rsidR="00962318" w:rsidRPr="00615F05">
        <w:rPr>
          <w:color w:val="000000" w:themeColor="text1"/>
        </w:rPr>
        <w:t xml:space="preserve">&amp; </w:t>
      </w:r>
      <w:proofErr w:type="spellStart"/>
      <w:r w:rsidRPr="00615F05">
        <w:rPr>
          <w:color w:val="000000" w:themeColor="text1"/>
        </w:rPr>
        <w:t>Lenney</w:t>
      </w:r>
      <w:proofErr w:type="spellEnd"/>
      <w:r w:rsidRPr="00615F05">
        <w:rPr>
          <w:color w:val="000000" w:themeColor="text1"/>
        </w:rPr>
        <w:t>, W. (2008). Distorted body image and anorexia complicating cystic fibrosis in an adolescent.</w:t>
      </w:r>
      <w:r w:rsidRPr="00615F05">
        <w:rPr>
          <w:i/>
          <w:iCs/>
          <w:color w:val="000000" w:themeColor="text1"/>
        </w:rPr>
        <w:t xml:space="preserve"> Journal of Cystic Fibrosis, </w:t>
      </w:r>
      <w:r w:rsidRPr="00615F05">
        <w:rPr>
          <w:iCs/>
          <w:color w:val="000000" w:themeColor="text1"/>
        </w:rPr>
        <w:t>7</w:t>
      </w:r>
      <w:r w:rsidRPr="00615F05">
        <w:rPr>
          <w:color w:val="000000" w:themeColor="text1"/>
        </w:rPr>
        <w:t>(5), 437-439.</w:t>
      </w:r>
    </w:p>
    <w:p w14:paraId="27297A49" w14:textId="54E9B2FB" w:rsidR="00570592" w:rsidRPr="00615F05" w:rsidRDefault="00570592" w:rsidP="00340438">
      <w:pPr>
        <w:spacing w:line="480" w:lineRule="auto"/>
        <w:ind w:left="720" w:hanging="720"/>
        <w:rPr>
          <w:color w:val="000000" w:themeColor="text1"/>
        </w:rPr>
      </w:pPr>
      <w:r w:rsidRPr="00615F05">
        <w:rPr>
          <w:rFonts w:eastAsia="Times New Roman"/>
          <w:color w:val="000000" w:themeColor="text1"/>
        </w:rPr>
        <w:t xml:space="preserve">Johnston, M. C., Crilly, M., Black, C., Prescott, G. J., &amp; Mercer, S. W. (2019). Defining and measuring multimorbidity: a systematic review of systematic reviews. </w:t>
      </w:r>
      <w:r w:rsidRPr="00615F05">
        <w:rPr>
          <w:rFonts w:eastAsia="Times New Roman"/>
          <w:i/>
          <w:iCs/>
          <w:color w:val="000000" w:themeColor="text1"/>
        </w:rPr>
        <w:t xml:space="preserve">European </w:t>
      </w:r>
      <w:r w:rsidR="00340438" w:rsidRPr="00615F05">
        <w:rPr>
          <w:rFonts w:eastAsia="Times New Roman"/>
          <w:i/>
          <w:iCs/>
          <w:color w:val="000000" w:themeColor="text1"/>
        </w:rPr>
        <w:t>J</w:t>
      </w:r>
      <w:r w:rsidRPr="00615F05">
        <w:rPr>
          <w:rFonts w:eastAsia="Times New Roman"/>
          <w:i/>
          <w:iCs/>
          <w:color w:val="000000" w:themeColor="text1"/>
        </w:rPr>
        <w:t xml:space="preserve">ournal of </w:t>
      </w:r>
      <w:r w:rsidR="00340438" w:rsidRPr="00615F05">
        <w:rPr>
          <w:rFonts w:eastAsia="Times New Roman"/>
          <w:i/>
          <w:iCs/>
          <w:color w:val="000000" w:themeColor="text1"/>
        </w:rPr>
        <w:t>P</w:t>
      </w:r>
      <w:r w:rsidRPr="00615F05">
        <w:rPr>
          <w:rFonts w:eastAsia="Times New Roman"/>
          <w:i/>
          <w:iCs/>
          <w:color w:val="000000" w:themeColor="text1"/>
        </w:rPr>
        <w:t xml:space="preserve">ublic </w:t>
      </w:r>
      <w:r w:rsidR="00340438" w:rsidRPr="00615F05">
        <w:rPr>
          <w:rFonts w:eastAsia="Times New Roman"/>
          <w:i/>
          <w:iCs/>
          <w:color w:val="000000" w:themeColor="text1"/>
        </w:rPr>
        <w:t>H</w:t>
      </w:r>
      <w:r w:rsidRPr="00615F05">
        <w:rPr>
          <w:rFonts w:eastAsia="Times New Roman"/>
          <w:i/>
          <w:iCs/>
          <w:color w:val="000000" w:themeColor="text1"/>
        </w:rPr>
        <w:t>ealth</w:t>
      </w:r>
      <w:r w:rsidRPr="00615F05">
        <w:rPr>
          <w:rFonts w:eastAsia="Times New Roman"/>
          <w:color w:val="000000" w:themeColor="text1"/>
        </w:rPr>
        <w:t xml:space="preserve">, </w:t>
      </w:r>
      <w:r w:rsidRPr="00615F05">
        <w:rPr>
          <w:rFonts w:eastAsia="Times New Roman"/>
          <w:i/>
          <w:iCs/>
          <w:color w:val="000000" w:themeColor="text1"/>
        </w:rPr>
        <w:t>29</w:t>
      </w:r>
      <w:r w:rsidRPr="00615F05">
        <w:rPr>
          <w:rFonts w:eastAsia="Times New Roman"/>
          <w:color w:val="000000" w:themeColor="text1"/>
        </w:rPr>
        <w:t>(1), 182-189.</w:t>
      </w:r>
    </w:p>
    <w:p w14:paraId="5D8C4C30" w14:textId="55148A2D" w:rsidR="00AD05BF"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t xml:space="preserve">Kroenke, K, Spitzer, R. L., </w:t>
      </w:r>
      <w:r w:rsidR="00962318" w:rsidRPr="00615F05">
        <w:rPr>
          <w:color w:val="000000" w:themeColor="text1"/>
        </w:rPr>
        <w:t xml:space="preserve">&amp; </w:t>
      </w:r>
      <w:r w:rsidRPr="00615F05">
        <w:rPr>
          <w:color w:val="000000" w:themeColor="text1"/>
        </w:rPr>
        <w:t xml:space="preserve">Williams, J. B. (2001). The PHQ-9: validity of a brief depression severity measure. </w:t>
      </w:r>
      <w:r w:rsidRPr="00615F05">
        <w:rPr>
          <w:i/>
          <w:color w:val="000000" w:themeColor="text1"/>
        </w:rPr>
        <w:t>Journal of General Internal Medicine</w:t>
      </w:r>
      <w:r w:rsidRPr="00615F05">
        <w:rPr>
          <w:color w:val="000000" w:themeColor="text1"/>
        </w:rPr>
        <w:t>, 16(9), 606-613.</w:t>
      </w:r>
    </w:p>
    <w:p w14:paraId="3AAC193C" w14:textId="41045060" w:rsidR="00CB6AE6" w:rsidRPr="00615F05" w:rsidRDefault="00CB6AE6" w:rsidP="0084286E">
      <w:pPr>
        <w:pStyle w:val="NormalWeb"/>
        <w:spacing w:before="0" w:beforeAutospacing="0" w:after="0" w:afterAutospacing="0" w:line="480" w:lineRule="auto"/>
        <w:ind w:left="720" w:hanging="720"/>
        <w:rPr>
          <w:color w:val="000000" w:themeColor="text1"/>
        </w:rPr>
      </w:pPr>
      <w:proofErr w:type="spellStart"/>
      <w:r w:rsidRPr="00615F05">
        <w:rPr>
          <w:color w:val="000000" w:themeColor="text1"/>
          <w:shd w:val="clear" w:color="auto" w:fill="FFFFFF"/>
        </w:rPr>
        <w:t>Linkson</w:t>
      </w:r>
      <w:proofErr w:type="spellEnd"/>
      <w:r w:rsidRPr="00615F05">
        <w:rPr>
          <w:color w:val="000000" w:themeColor="text1"/>
          <w:shd w:val="clear" w:color="auto" w:fill="FFFFFF"/>
        </w:rPr>
        <w:t xml:space="preserve">, L., Macedo, P., Perrin, F. M., &amp; </w:t>
      </w:r>
      <w:proofErr w:type="spellStart"/>
      <w:r w:rsidRPr="00615F05">
        <w:rPr>
          <w:color w:val="000000" w:themeColor="text1"/>
          <w:shd w:val="clear" w:color="auto" w:fill="FFFFFF"/>
        </w:rPr>
        <w:t>Elston</w:t>
      </w:r>
      <w:proofErr w:type="spellEnd"/>
      <w:r w:rsidRPr="00615F05">
        <w:rPr>
          <w:color w:val="000000" w:themeColor="text1"/>
          <w:shd w:val="clear" w:color="auto" w:fill="FFFFFF"/>
        </w:rPr>
        <w:t xml:space="preserve">, C. M. (2018). </w:t>
      </w:r>
      <w:r w:rsidRPr="00615F05">
        <w:rPr>
          <w:color w:val="000000" w:themeColor="text1"/>
          <w:shd w:val="clear" w:color="auto" w:fill="FFFFFF"/>
          <w:lang w:val="it-IT"/>
        </w:rPr>
        <w:t>Anorexia nervosa in cystic fibrosis. </w:t>
      </w:r>
      <w:proofErr w:type="spellStart"/>
      <w:r w:rsidRPr="00615F05">
        <w:rPr>
          <w:i/>
          <w:iCs/>
          <w:color w:val="000000" w:themeColor="text1"/>
          <w:shd w:val="clear" w:color="auto" w:fill="FFFFFF"/>
        </w:rPr>
        <w:t>Paediatric</w:t>
      </w:r>
      <w:proofErr w:type="spellEnd"/>
      <w:r w:rsidRPr="00615F05">
        <w:rPr>
          <w:i/>
          <w:iCs/>
          <w:color w:val="000000" w:themeColor="text1"/>
          <w:shd w:val="clear" w:color="auto" w:fill="FFFFFF"/>
        </w:rPr>
        <w:t xml:space="preserve"> Respiratory Reviews</w:t>
      </w:r>
      <w:r w:rsidRPr="00615F05">
        <w:rPr>
          <w:color w:val="000000" w:themeColor="text1"/>
          <w:shd w:val="clear" w:color="auto" w:fill="FFFFFF"/>
        </w:rPr>
        <w:t>, </w:t>
      </w:r>
      <w:r w:rsidRPr="00615F05">
        <w:rPr>
          <w:i/>
          <w:iCs/>
          <w:color w:val="000000" w:themeColor="text1"/>
          <w:shd w:val="clear" w:color="auto" w:fill="FFFFFF"/>
        </w:rPr>
        <w:t>26</w:t>
      </w:r>
      <w:r w:rsidRPr="00615F05">
        <w:rPr>
          <w:color w:val="000000" w:themeColor="text1"/>
          <w:shd w:val="clear" w:color="auto" w:fill="FFFFFF"/>
        </w:rPr>
        <w:t>, 24-26.</w:t>
      </w:r>
    </w:p>
    <w:p w14:paraId="469777E2" w14:textId="2E7E3855" w:rsidR="00CB6AE6" w:rsidRPr="00615F05" w:rsidRDefault="00287B54">
      <w:pPr>
        <w:pStyle w:val="Heading1"/>
        <w:shd w:val="clear" w:color="auto" w:fill="FFFFFF"/>
        <w:spacing w:before="0" w:line="480" w:lineRule="auto"/>
        <w:ind w:left="720" w:hanging="720"/>
        <w:rPr>
          <w:rFonts w:ascii="Times New Roman" w:hAnsi="Times New Roman"/>
          <w:b w:val="0"/>
          <w:color w:val="000000" w:themeColor="text1"/>
          <w:szCs w:val="24"/>
        </w:rPr>
      </w:pPr>
      <w:r w:rsidRPr="00615F05">
        <w:rPr>
          <w:rFonts w:ascii="Times New Roman" w:hAnsi="Times New Roman"/>
          <w:b w:val="0"/>
          <w:color w:val="000000" w:themeColor="text1"/>
          <w:szCs w:val="24"/>
        </w:rPr>
        <w:t xml:space="preserve">Lowe, B., Decker, O., Muller, S., Brahler, E., </w:t>
      </w:r>
      <w:proofErr w:type="spellStart"/>
      <w:r w:rsidRPr="00615F05">
        <w:rPr>
          <w:rFonts w:ascii="Times New Roman" w:hAnsi="Times New Roman"/>
          <w:b w:val="0"/>
          <w:color w:val="000000" w:themeColor="text1"/>
          <w:szCs w:val="24"/>
        </w:rPr>
        <w:t>Schellberg</w:t>
      </w:r>
      <w:proofErr w:type="spellEnd"/>
      <w:r w:rsidRPr="00615F05">
        <w:rPr>
          <w:rFonts w:ascii="Times New Roman" w:hAnsi="Times New Roman"/>
          <w:b w:val="0"/>
          <w:color w:val="000000" w:themeColor="text1"/>
          <w:szCs w:val="24"/>
        </w:rPr>
        <w:t xml:space="preserve">, D., Herzog, W., </w:t>
      </w:r>
      <w:r w:rsidR="00962318" w:rsidRPr="00615F05">
        <w:rPr>
          <w:rFonts w:ascii="Times New Roman" w:hAnsi="Times New Roman"/>
          <w:b w:val="0"/>
          <w:color w:val="000000" w:themeColor="text1"/>
          <w:szCs w:val="24"/>
        </w:rPr>
        <w:t xml:space="preserve">&amp; </w:t>
      </w:r>
      <w:r w:rsidRPr="00615F05">
        <w:rPr>
          <w:rFonts w:ascii="Times New Roman" w:hAnsi="Times New Roman"/>
          <w:b w:val="0"/>
          <w:color w:val="000000" w:themeColor="text1"/>
          <w:szCs w:val="24"/>
        </w:rPr>
        <w:t xml:space="preserve">Herzberg, P.Y. (2008). Validation and standardization of the Generalized Anxiety Disorder Screener (GAD-7) in the general population. </w:t>
      </w:r>
      <w:r w:rsidRPr="00615F05">
        <w:rPr>
          <w:rFonts w:ascii="Times New Roman" w:hAnsi="Times New Roman"/>
          <w:b w:val="0"/>
          <w:i/>
          <w:color w:val="000000" w:themeColor="text1"/>
          <w:szCs w:val="24"/>
        </w:rPr>
        <w:t>Medical Care</w:t>
      </w:r>
      <w:r w:rsidRPr="00615F05">
        <w:rPr>
          <w:rFonts w:ascii="Times New Roman" w:hAnsi="Times New Roman"/>
          <w:b w:val="0"/>
          <w:color w:val="000000" w:themeColor="text1"/>
          <w:szCs w:val="24"/>
        </w:rPr>
        <w:t>, 46(3), 266-274.</w:t>
      </w:r>
    </w:p>
    <w:p w14:paraId="5182A0AE" w14:textId="5CE91C50" w:rsidR="00570592" w:rsidRPr="00615F05" w:rsidRDefault="00570592" w:rsidP="00340438">
      <w:pPr>
        <w:spacing w:line="480" w:lineRule="auto"/>
        <w:ind w:left="720" w:hanging="720"/>
        <w:rPr>
          <w:rFonts w:eastAsia="Times New Roman"/>
          <w:color w:val="000000" w:themeColor="text1"/>
        </w:rPr>
      </w:pPr>
      <w:r w:rsidRPr="00615F05">
        <w:rPr>
          <w:rFonts w:eastAsia="Times New Roman"/>
          <w:color w:val="000000" w:themeColor="text1"/>
        </w:rPr>
        <w:t xml:space="preserve">MacCallum, R. C., </w:t>
      </w:r>
      <w:proofErr w:type="spellStart"/>
      <w:r w:rsidRPr="00615F05">
        <w:rPr>
          <w:rFonts w:eastAsia="Times New Roman"/>
          <w:color w:val="000000" w:themeColor="text1"/>
        </w:rPr>
        <w:t>Widaman</w:t>
      </w:r>
      <w:proofErr w:type="spellEnd"/>
      <w:r w:rsidRPr="00615F05">
        <w:rPr>
          <w:rFonts w:eastAsia="Times New Roman"/>
          <w:color w:val="000000" w:themeColor="text1"/>
        </w:rPr>
        <w:t xml:space="preserve">, K. F., Preacher, K. J., &amp; Hong, S. (2001). Sample size in factor analysis: The role of model error. </w:t>
      </w:r>
      <w:r w:rsidRPr="00615F05">
        <w:rPr>
          <w:rFonts w:eastAsia="Times New Roman"/>
          <w:i/>
          <w:iCs/>
          <w:color w:val="000000" w:themeColor="text1"/>
        </w:rPr>
        <w:t>Multivariate behavioral research</w:t>
      </w:r>
      <w:r w:rsidRPr="00615F05">
        <w:rPr>
          <w:rFonts w:eastAsia="Times New Roman"/>
          <w:color w:val="000000" w:themeColor="text1"/>
        </w:rPr>
        <w:t xml:space="preserve">, </w:t>
      </w:r>
      <w:r w:rsidRPr="00615F05">
        <w:rPr>
          <w:rFonts w:eastAsia="Times New Roman"/>
          <w:i/>
          <w:iCs/>
          <w:color w:val="000000" w:themeColor="text1"/>
        </w:rPr>
        <w:t>36</w:t>
      </w:r>
      <w:r w:rsidRPr="00615F05">
        <w:rPr>
          <w:rFonts w:eastAsia="Times New Roman"/>
          <w:color w:val="000000" w:themeColor="text1"/>
        </w:rPr>
        <w:t>(4), 611-637.</w:t>
      </w:r>
    </w:p>
    <w:p w14:paraId="1B5B0F00" w14:textId="101FB076" w:rsidR="00570592" w:rsidRPr="00615F05" w:rsidRDefault="00570592" w:rsidP="002B7005">
      <w:pPr>
        <w:spacing w:line="480" w:lineRule="auto"/>
        <w:ind w:left="720" w:hanging="720"/>
        <w:rPr>
          <w:rFonts w:eastAsia="Times New Roman"/>
          <w:color w:val="000000" w:themeColor="text1"/>
          <w:lang w:val="it-IT"/>
        </w:rPr>
      </w:pPr>
      <w:r w:rsidRPr="00615F05">
        <w:rPr>
          <w:rFonts w:eastAsia="Times New Roman"/>
          <w:color w:val="000000" w:themeColor="text1"/>
        </w:rPr>
        <w:t xml:space="preserve">Marsh, H. W., </w:t>
      </w:r>
      <w:proofErr w:type="spellStart"/>
      <w:r w:rsidRPr="00615F05">
        <w:rPr>
          <w:rFonts w:eastAsia="Times New Roman"/>
          <w:color w:val="000000" w:themeColor="text1"/>
        </w:rPr>
        <w:t>Hau</w:t>
      </w:r>
      <w:proofErr w:type="spellEnd"/>
      <w:r w:rsidRPr="00615F05">
        <w:rPr>
          <w:rFonts w:eastAsia="Times New Roman"/>
          <w:color w:val="000000" w:themeColor="text1"/>
        </w:rPr>
        <w:t xml:space="preserve">, K. T., &amp; Wen, Z. (2004). In search of golden rules: Comment on hypothesis-testing approaches to setting cutoff values for fit indexes and dangers in </w:t>
      </w:r>
      <w:r w:rsidRPr="00615F05">
        <w:rPr>
          <w:rFonts w:eastAsia="Times New Roman"/>
          <w:color w:val="000000" w:themeColor="text1"/>
        </w:rPr>
        <w:lastRenderedPageBreak/>
        <w:t xml:space="preserve">overgeneralizing Hu and </w:t>
      </w:r>
      <w:proofErr w:type="spellStart"/>
      <w:r w:rsidRPr="00615F05">
        <w:rPr>
          <w:rFonts w:eastAsia="Times New Roman"/>
          <w:color w:val="000000" w:themeColor="text1"/>
        </w:rPr>
        <w:t>Bentler's</w:t>
      </w:r>
      <w:proofErr w:type="spellEnd"/>
      <w:r w:rsidRPr="00615F05">
        <w:rPr>
          <w:rFonts w:eastAsia="Times New Roman"/>
          <w:color w:val="000000" w:themeColor="text1"/>
        </w:rPr>
        <w:t xml:space="preserve"> (1999) findings. </w:t>
      </w:r>
      <w:r w:rsidRPr="00615F05">
        <w:rPr>
          <w:rFonts w:eastAsia="Times New Roman"/>
          <w:i/>
          <w:iCs/>
          <w:color w:val="000000" w:themeColor="text1"/>
          <w:lang w:val="it-IT"/>
        </w:rPr>
        <w:t xml:space="preserve">Structural </w:t>
      </w:r>
      <w:r w:rsidR="00340438" w:rsidRPr="00615F05">
        <w:rPr>
          <w:rFonts w:eastAsia="Times New Roman"/>
          <w:i/>
          <w:iCs/>
          <w:color w:val="000000" w:themeColor="text1"/>
          <w:lang w:val="it-IT"/>
        </w:rPr>
        <w:t>E</w:t>
      </w:r>
      <w:r w:rsidRPr="00615F05">
        <w:rPr>
          <w:rFonts w:eastAsia="Times New Roman"/>
          <w:i/>
          <w:iCs/>
          <w:color w:val="000000" w:themeColor="text1"/>
          <w:lang w:val="it-IT"/>
        </w:rPr>
        <w:t xml:space="preserve">quation </w:t>
      </w:r>
      <w:r w:rsidR="00340438" w:rsidRPr="00615F05">
        <w:rPr>
          <w:rFonts w:eastAsia="Times New Roman"/>
          <w:i/>
          <w:iCs/>
          <w:color w:val="000000" w:themeColor="text1"/>
          <w:lang w:val="it-IT"/>
        </w:rPr>
        <w:t>M</w:t>
      </w:r>
      <w:r w:rsidRPr="00615F05">
        <w:rPr>
          <w:rFonts w:eastAsia="Times New Roman"/>
          <w:i/>
          <w:iCs/>
          <w:color w:val="000000" w:themeColor="text1"/>
          <w:lang w:val="it-IT"/>
        </w:rPr>
        <w:t>odeling</w:t>
      </w:r>
      <w:r w:rsidRPr="00615F05">
        <w:rPr>
          <w:rFonts w:eastAsia="Times New Roman"/>
          <w:color w:val="000000" w:themeColor="text1"/>
          <w:lang w:val="it-IT"/>
        </w:rPr>
        <w:t xml:space="preserve">, </w:t>
      </w:r>
      <w:r w:rsidRPr="00615F05">
        <w:rPr>
          <w:rFonts w:eastAsia="Times New Roman"/>
          <w:i/>
          <w:iCs/>
          <w:color w:val="000000" w:themeColor="text1"/>
          <w:lang w:val="it-IT"/>
        </w:rPr>
        <w:t>11</w:t>
      </w:r>
      <w:r w:rsidRPr="00615F05">
        <w:rPr>
          <w:rFonts w:eastAsia="Times New Roman"/>
          <w:color w:val="000000" w:themeColor="text1"/>
          <w:lang w:val="it-IT"/>
        </w:rPr>
        <w:t>(3), 320-341.</w:t>
      </w:r>
    </w:p>
    <w:p w14:paraId="33B6FFFD" w14:textId="6A76FE46" w:rsidR="00570592" w:rsidRPr="00615F05" w:rsidRDefault="0084286E" w:rsidP="002B7005">
      <w:pPr>
        <w:spacing w:line="480" w:lineRule="auto"/>
        <w:ind w:left="720" w:hanging="720"/>
        <w:rPr>
          <w:rFonts w:eastAsia="Times New Roman"/>
          <w:color w:val="000000" w:themeColor="text1"/>
        </w:rPr>
      </w:pPr>
      <w:r w:rsidRPr="00615F05">
        <w:rPr>
          <w:rFonts w:eastAsia="Times New Roman"/>
          <w:color w:val="000000" w:themeColor="text1"/>
          <w:lang w:val="it-IT"/>
        </w:rPr>
        <w:t xml:space="preserve">McCrae, R. R., Kurtz, J. E., Yamagata, S., &amp; Terracciano, A. (2011). </w:t>
      </w:r>
      <w:r w:rsidRPr="00615F05">
        <w:rPr>
          <w:rFonts w:eastAsia="Times New Roman"/>
          <w:color w:val="000000" w:themeColor="text1"/>
        </w:rPr>
        <w:t xml:space="preserve">Internal consistency, retest reliability, and their implications for personality scale validity. </w:t>
      </w:r>
      <w:r w:rsidRPr="00615F05">
        <w:rPr>
          <w:rFonts w:eastAsia="Times New Roman"/>
          <w:i/>
          <w:iCs/>
          <w:color w:val="000000" w:themeColor="text1"/>
        </w:rPr>
        <w:t xml:space="preserve">Personality and </w:t>
      </w:r>
      <w:r w:rsidR="00340438" w:rsidRPr="00615F05">
        <w:rPr>
          <w:rFonts w:eastAsia="Times New Roman"/>
          <w:i/>
          <w:iCs/>
          <w:color w:val="000000" w:themeColor="text1"/>
        </w:rPr>
        <w:t>S</w:t>
      </w:r>
      <w:r w:rsidRPr="00615F05">
        <w:rPr>
          <w:rFonts w:eastAsia="Times New Roman"/>
          <w:i/>
          <w:iCs/>
          <w:color w:val="000000" w:themeColor="text1"/>
        </w:rPr>
        <w:t xml:space="preserve">ocial </w:t>
      </w:r>
      <w:r w:rsidR="00340438" w:rsidRPr="00615F05">
        <w:rPr>
          <w:rFonts w:eastAsia="Times New Roman"/>
          <w:i/>
          <w:iCs/>
          <w:color w:val="000000" w:themeColor="text1"/>
        </w:rPr>
        <w:t>P</w:t>
      </w:r>
      <w:r w:rsidRPr="00615F05">
        <w:rPr>
          <w:rFonts w:eastAsia="Times New Roman"/>
          <w:i/>
          <w:iCs/>
          <w:color w:val="000000" w:themeColor="text1"/>
        </w:rPr>
        <w:t xml:space="preserve">sychology </w:t>
      </w:r>
      <w:r w:rsidR="00340438" w:rsidRPr="00615F05">
        <w:rPr>
          <w:rFonts w:eastAsia="Times New Roman"/>
          <w:i/>
          <w:iCs/>
          <w:color w:val="000000" w:themeColor="text1"/>
        </w:rPr>
        <w:t>R</w:t>
      </w:r>
      <w:r w:rsidRPr="00615F05">
        <w:rPr>
          <w:rFonts w:eastAsia="Times New Roman"/>
          <w:i/>
          <w:iCs/>
          <w:color w:val="000000" w:themeColor="text1"/>
        </w:rPr>
        <w:t>eview</w:t>
      </w:r>
      <w:r w:rsidRPr="00615F05">
        <w:rPr>
          <w:rFonts w:eastAsia="Times New Roman"/>
          <w:color w:val="000000" w:themeColor="text1"/>
        </w:rPr>
        <w:t xml:space="preserve">, </w:t>
      </w:r>
      <w:r w:rsidRPr="00615F05">
        <w:rPr>
          <w:rFonts w:eastAsia="Times New Roman"/>
          <w:i/>
          <w:iCs/>
          <w:color w:val="000000" w:themeColor="text1"/>
        </w:rPr>
        <w:t>15</w:t>
      </w:r>
      <w:r w:rsidRPr="00615F05">
        <w:rPr>
          <w:rFonts w:eastAsia="Times New Roman"/>
          <w:color w:val="000000" w:themeColor="text1"/>
        </w:rPr>
        <w:t>(1), 28-50.</w:t>
      </w:r>
    </w:p>
    <w:p w14:paraId="7C8B300D" w14:textId="1401F1E7" w:rsidR="002B7005" w:rsidRPr="00615F05" w:rsidRDefault="002B7005" w:rsidP="002B7005">
      <w:pPr>
        <w:spacing w:line="480" w:lineRule="auto"/>
        <w:rPr>
          <w:rFonts w:eastAsia="Times New Roman"/>
          <w:color w:val="000000" w:themeColor="text1"/>
        </w:rPr>
      </w:pPr>
      <w:r w:rsidRPr="00615F05">
        <w:rPr>
          <w:rFonts w:eastAsia="Times New Roman"/>
          <w:color w:val="000000" w:themeColor="text1"/>
        </w:rPr>
        <w:t xml:space="preserve">Mc Hugh, R., Vaughan, R., Duarte, C., McDevitt-Petrovic, O., &amp; Kirby, K. (2022, March      </w:t>
      </w:r>
      <w:r w:rsidRPr="00615F05">
        <w:rPr>
          <w:rFonts w:eastAsia="Times New Roman"/>
          <w:color w:val="000000" w:themeColor="text1"/>
        </w:rPr>
        <w:br/>
        <w:t xml:space="preserve">            30). Psychometric Properties of the CFEAB. https://doi.org/10.31234/osf.io/7r4h9</w:t>
      </w:r>
    </w:p>
    <w:p w14:paraId="6671C5CC" w14:textId="49A9B2D1" w:rsidR="0084286E" w:rsidRPr="00615F05" w:rsidRDefault="00287B54" w:rsidP="002B7005">
      <w:pPr>
        <w:pStyle w:val="NormalWeb"/>
        <w:spacing w:before="0" w:beforeAutospacing="0" w:after="0" w:afterAutospacing="0" w:line="480" w:lineRule="auto"/>
        <w:ind w:left="720" w:hanging="720"/>
        <w:rPr>
          <w:color w:val="000000" w:themeColor="text1"/>
        </w:rPr>
      </w:pPr>
      <w:proofErr w:type="spellStart"/>
      <w:r w:rsidRPr="00615F05">
        <w:rPr>
          <w:color w:val="000000" w:themeColor="text1"/>
        </w:rPr>
        <w:t>Melhuish</w:t>
      </w:r>
      <w:proofErr w:type="spellEnd"/>
      <w:r w:rsidRPr="00615F05">
        <w:rPr>
          <w:color w:val="000000" w:themeColor="text1"/>
        </w:rPr>
        <w:t xml:space="preserve">, L. S., Pearce, A., </w:t>
      </w:r>
      <w:r w:rsidR="00962318" w:rsidRPr="00615F05">
        <w:rPr>
          <w:color w:val="000000" w:themeColor="text1"/>
        </w:rPr>
        <w:t xml:space="preserve">&amp; </w:t>
      </w:r>
      <w:r w:rsidRPr="00615F05">
        <w:rPr>
          <w:color w:val="000000" w:themeColor="text1"/>
        </w:rPr>
        <w:t xml:space="preserve">Brignell, C. (2013). Eating attitudes and </w:t>
      </w:r>
      <w:proofErr w:type="spellStart"/>
      <w:r w:rsidRPr="00615F05">
        <w:rPr>
          <w:color w:val="000000" w:themeColor="text1"/>
        </w:rPr>
        <w:t>behaviours</w:t>
      </w:r>
      <w:proofErr w:type="spellEnd"/>
      <w:r w:rsidRPr="00615F05">
        <w:rPr>
          <w:color w:val="000000" w:themeColor="text1"/>
        </w:rPr>
        <w:t xml:space="preserve"> in males and females with cystic fibrosis. The role of body image and coping styles.</w:t>
      </w:r>
      <w:r w:rsidRPr="00615F05">
        <w:rPr>
          <w:i/>
          <w:iCs/>
          <w:color w:val="000000" w:themeColor="text1"/>
        </w:rPr>
        <w:t xml:space="preserve"> Journal of Cystic Fibrosis, 12</w:t>
      </w:r>
      <w:r w:rsidRPr="00615F05">
        <w:rPr>
          <w:color w:val="000000" w:themeColor="text1"/>
        </w:rPr>
        <w:t xml:space="preserve">, 135. </w:t>
      </w:r>
    </w:p>
    <w:p w14:paraId="2A1BD6C5" w14:textId="181B90DC" w:rsidR="0084286E" w:rsidRPr="00615F05" w:rsidRDefault="0084286E" w:rsidP="00340438">
      <w:pPr>
        <w:spacing w:line="480" w:lineRule="auto"/>
        <w:rPr>
          <w:color w:val="000000" w:themeColor="text1"/>
        </w:rPr>
      </w:pPr>
      <w:proofErr w:type="spellStart"/>
      <w:r w:rsidRPr="00615F05">
        <w:rPr>
          <w:rFonts w:eastAsia="Times New Roman"/>
          <w:color w:val="000000" w:themeColor="text1"/>
          <w:lang w:val="fr-FR"/>
        </w:rPr>
        <w:t>Muthén</w:t>
      </w:r>
      <w:proofErr w:type="spellEnd"/>
      <w:r w:rsidRPr="00615F05">
        <w:rPr>
          <w:rFonts w:eastAsia="Times New Roman"/>
          <w:color w:val="000000" w:themeColor="text1"/>
          <w:lang w:val="fr-FR"/>
        </w:rPr>
        <w:t xml:space="preserve">, B., &amp; </w:t>
      </w:r>
      <w:proofErr w:type="spellStart"/>
      <w:r w:rsidRPr="00615F05">
        <w:rPr>
          <w:rFonts w:eastAsia="Times New Roman"/>
          <w:color w:val="000000" w:themeColor="text1"/>
          <w:lang w:val="fr-FR"/>
        </w:rPr>
        <w:t>Muthén</w:t>
      </w:r>
      <w:proofErr w:type="spellEnd"/>
      <w:r w:rsidRPr="00615F05">
        <w:rPr>
          <w:rFonts w:eastAsia="Times New Roman"/>
          <w:color w:val="000000" w:themeColor="text1"/>
          <w:lang w:val="fr-FR"/>
        </w:rPr>
        <w:t xml:space="preserve">, L. (2017). </w:t>
      </w:r>
      <w:proofErr w:type="spellStart"/>
      <w:r w:rsidRPr="00615F05">
        <w:rPr>
          <w:rFonts w:eastAsia="Times New Roman"/>
          <w:i/>
          <w:iCs/>
          <w:color w:val="000000" w:themeColor="text1"/>
          <w:lang w:val="fr-FR"/>
        </w:rPr>
        <w:t>Mplus</w:t>
      </w:r>
      <w:proofErr w:type="spellEnd"/>
      <w:r w:rsidRPr="00615F05">
        <w:rPr>
          <w:rFonts w:eastAsia="Times New Roman"/>
          <w:color w:val="000000" w:themeColor="text1"/>
          <w:lang w:val="fr-FR"/>
        </w:rPr>
        <w:t xml:space="preserve"> (pp. 507-518). </w:t>
      </w:r>
      <w:r w:rsidRPr="00615F05">
        <w:rPr>
          <w:rFonts w:eastAsia="Times New Roman"/>
          <w:color w:val="000000" w:themeColor="text1"/>
        </w:rPr>
        <w:t>Chapman and Hall/CRC.</w:t>
      </w:r>
    </w:p>
    <w:p w14:paraId="2E9559EE" w14:textId="51A3D4E7" w:rsidR="00287B54" w:rsidRPr="00615F05" w:rsidRDefault="00287B54" w:rsidP="0084286E">
      <w:pPr>
        <w:pStyle w:val="NormalWeb"/>
        <w:spacing w:before="0" w:beforeAutospacing="0" w:after="0" w:afterAutospacing="0" w:line="480" w:lineRule="auto"/>
        <w:ind w:left="720" w:hanging="720"/>
        <w:rPr>
          <w:color w:val="000000" w:themeColor="text1"/>
        </w:rPr>
      </w:pPr>
      <w:proofErr w:type="spellStart"/>
      <w:r w:rsidRPr="00615F05">
        <w:rPr>
          <w:color w:val="000000" w:themeColor="text1"/>
        </w:rPr>
        <w:t>Polenakovik</w:t>
      </w:r>
      <w:proofErr w:type="spellEnd"/>
      <w:r w:rsidRPr="00615F05">
        <w:rPr>
          <w:color w:val="000000" w:themeColor="text1"/>
        </w:rPr>
        <w:t xml:space="preserve">, H. M., </w:t>
      </w:r>
      <w:r w:rsidR="00962318" w:rsidRPr="00615F05">
        <w:rPr>
          <w:color w:val="000000" w:themeColor="text1"/>
        </w:rPr>
        <w:t xml:space="preserve">&amp; </w:t>
      </w:r>
      <w:proofErr w:type="spellStart"/>
      <w:r w:rsidRPr="00615F05">
        <w:rPr>
          <w:color w:val="000000" w:themeColor="text1"/>
        </w:rPr>
        <w:t>Sanville</w:t>
      </w:r>
      <w:proofErr w:type="spellEnd"/>
      <w:r w:rsidRPr="00615F05">
        <w:rPr>
          <w:color w:val="000000" w:themeColor="text1"/>
        </w:rPr>
        <w:t xml:space="preserve">, B. (2013). The use of ivacaftor in an adult with severe lung disease due to cystic fibrosis. </w:t>
      </w:r>
      <w:r w:rsidRPr="00615F05">
        <w:rPr>
          <w:i/>
          <w:color w:val="000000" w:themeColor="text1"/>
        </w:rPr>
        <w:t>Journal of Cystic Fibrosis,</w:t>
      </w:r>
      <w:r w:rsidRPr="00615F05">
        <w:rPr>
          <w:color w:val="000000" w:themeColor="text1"/>
        </w:rPr>
        <w:t xml:space="preserve"> 12, 530-531.</w:t>
      </w:r>
    </w:p>
    <w:p w14:paraId="32A7BD81" w14:textId="696207E2" w:rsidR="00287B54" w:rsidRPr="00615F05" w:rsidRDefault="00287B54" w:rsidP="0084286E">
      <w:pPr>
        <w:pStyle w:val="NormalWeb"/>
        <w:spacing w:before="0" w:beforeAutospacing="0" w:after="0" w:afterAutospacing="0" w:line="480" w:lineRule="auto"/>
        <w:ind w:left="720" w:hanging="720"/>
        <w:rPr>
          <w:color w:val="000000" w:themeColor="text1"/>
        </w:rPr>
      </w:pPr>
      <w:proofErr w:type="spellStart"/>
      <w:r w:rsidRPr="00615F05">
        <w:rPr>
          <w:color w:val="000000" w:themeColor="text1"/>
        </w:rPr>
        <w:t>Pumariega</w:t>
      </w:r>
      <w:proofErr w:type="spellEnd"/>
      <w:r w:rsidRPr="00615F05">
        <w:rPr>
          <w:color w:val="000000" w:themeColor="text1"/>
        </w:rPr>
        <w:t xml:space="preserve">, A. J., Pursell, J., Spock, A., </w:t>
      </w:r>
      <w:r w:rsidR="00962318" w:rsidRPr="00615F05">
        <w:rPr>
          <w:color w:val="000000" w:themeColor="text1"/>
        </w:rPr>
        <w:t xml:space="preserve">&amp; </w:t>
      </w:r>
      <w:r w:rsidRPr="00615F05">
        <w:rPr>
          <w:color w:val="000000" w:themeColor="text1"/>
        </w:rPr>
        <w:t>Jones, J. D. (1986). Eating disorders in adolescents with cystic fibrosis.</w:t>
      </w:r>
      <w:r w:rsidRPr="00615F05">
        <w:rPr>
          <w:i/>
          <w:iCs/>
          <w:color w:val="000000" w:themeColor="text1"/>
        </w:rPr>
        <w:t xml:space="preserve"> Journal of the American Academy of Child Psychiatry, </w:t>
      </w:r>
      <w:r w:rsidRPr="00615F05">
        <w:rPr>
          <w:iCs/>
          <w:color w:val="000000" w:themeColor="text1"/>
        </w:rPr>
        <w:t>25</w:t>
      </w:r>
      <w:r w:rsidRPr="00615F05">
        <w:rPr>
          <w:color w:val="000000" w:themeColor="text1"/>
        </w:rPr>
        <w:t xml:space="preserve">(2), 269-275. </w:t>
      </w:r>
    </w:p>
    <w:p w14:paraId="58738DE5" w14:textId="702A435F" w:rsidR="00287B54"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t xml:space="preserve">Quick, V. M., McWilliams, R., </w:t>
      </w:r>
      <w:r w:rsidR="00962318" w:rsidRPr="00615F05">
        <w:rPr>
          <w:color w:val="000000" w:themeColor="text1"/>
        </w:rPr>
        <w:t xml:space="preserve">&amp; </w:t>
      </w:r>
      <w:r w:rsidRPr="00615F05">
        <w:rPr>
          <w:color w:val="000000" w:themeColor="text1"/>
        </w:rPr>
        <w:t>Byrd-</w:t>
      </w:r>
      <w:proofErr w:type="spellStart"/>
      <w:r w:rsidRPr="00615F05">
        <w:rPr>
          <w:color w:val="000000" w:themeColor="text1"/>
        </w:rPr>
        <w:t>Bredbenner</w:t>
      </w:r>
      <w:proofErr w:type="spellEnd"/>
      <w:r w:rsidRPr="00615F05">
        <w:rPr>
          <w:color w:val="000000" w:themeColor="text1"/>
        </w:rPr>
        <w:t>, C. (201</w:t>
      </w:r>
      <w:r w:rsidR="000F3BB3" w:rsidRPr="00615F05">
        <w:rPr>
          <w:color w:val="000000" w:themeColor="text1"/>
        </w:rPr>
        <w:t>2</w:t>
      </w:r>
      <w:r w:rsidRPr="00615F05">
        <w:rPr>
          <w:color w:val="000000" w:themeColor="text1"/>
        </w:rPr>
        <w:t>). Case–control study of disturbed eating behaviors and related psychographic characteristics in young adults with and without diet-related chronic health conditions.</w:t>
      </w:r>
      <w:r w:rsidRPr="00615F05">
        <w:rPr>
          <w:i/>
          <w:iCs/>
          <w:color w:val="000000" w:themeColor="text1"/>
        </w:rPr>
        <w:t xml:space="preserve"> Eating Behaviors, </w:t>
      </w:r>
      <w:r w:rsidRPr="00615F05">
        <w:rPr>
          <w:iCs/>
          <w:color w:val="000000" w:themeColor="text1"/>
        </w:rPr>
        <w:t>13</w:t>
      </w:r>
      <w:r w:rsidRPr="00615F05">
        <w:rPr>
          <w:color w:val="000000" w:themeColor="text1"/>
        </w:rPr>
        <w:t xml:space="preserve">(3), 207-213. </w:t>
      </w:r>
    </w:p>
    <w:p w14:paraId="7712A656" w14:textId="206931B1" w:rsidR="00E834FD" w:rsidRPr="00615F05" w:rsidRDefault="00E834FD" w:rsidP="0084286E">
      <w:pPr>
        <w:pStyle w:val="NormalWeb"/>
        <w:spacing w:before="0" w:beforeAutospacing="0" w:after="0" w:afterAutospacing="0" w:line="480" w:lineRule="auto"/>
        <w:ind w:left="720" w:hanging="720"/>
        <w:rPr>
          <w:color w:val="000000" w:themeColor="text1"/>
        </w:rPr>
      </w:pPr>
      <w:r w:rsidRPr="00615F05">
        <w:rPr>
          <w:color w:val="000000" w:themeColor="text1"/>
          <w:shd w:val="clear" w:color="auto" w:fill="FFFFFF"/>
        </w:rPr>
        <w:t>Quick, V., &amp; Chang, G. (2019). Health care provider’s experiences, practices, and recommendations for interventions and screening of cystic fibrosis patients with disordered eating: A qualitative analysis. </w:t>
      </w:r>
      <w:r w:rsidRPr="00615F05">
        <w:rPr>
          <w:i/>
          <w:iCs/>
          <w:color w:val="000000" w:themeColor="text1"/>
          <w:shd w:val="clear" w:color="auto" w:fill="FFFFFF"/>
        </w:rPr>
        <w:t>Chronic Illness</w:t>
      </w:r>
      <w:r w:rsidRPr="00615F05">
        <w:rPr>
          <w:color w:val="000000" w:themeColor="text1"/>
          <w:shd w:val="clear" w:color="auto" w:fill="FFFFFF"/>
        </w:rPr>
        <w:t>, 1742395319881182.</w:t>
      </w:r>
    </w:p>
    <w:p w14:paraId="5977B700" w14:textId="03D26D19" w:rsidR="00287B54" w:rsidRPr="00615F05" w:rsidRDefault="00287B54" w:rsidP="0084286E">
      <w:pPr>
        <w:autoSpaceDE w:val="0"/>
        <w:autoSpaceDN w:val="0"/>
        <w:adjustRightInd w:val="0"/>
        <w:spacing w:line="480" w:lineRule="auto"/>
        <w:ind w:left="720" w:hanging="720"/>
        <w:rPr>
          <w:color w:val="000000" w:themeColor="text1"/>
        </w:rPr>
      </w:pPr>
      <w:proofErr w:type="spellStart"/>
      <w:r w:rsidRPr="00615F05">
        <w:rPr>
          <w:color w:val="000000" w:themeColor="text1"/>
        </w:rPr>
        <w:lastRenderedPageBreak/>
        <w:t>Randlesome</w:t>
      </w:r>
      <w:proofErr w:type="spellEnd"/>
      <w:r w:rsidRPr="00615F05">
        <w:rPr>
          <w:color w:val="000000" w:themeColor="text1"/>
        </w:rPr>
        <w:t xml:space="preserve">, K., </w:t>
      </w:r>
      <w:r w:rsidR="00962318" w:rsidRPr="00615F05">
        <w:rPr>
          <w:color w:val="000000" w:themeColor="text1"/>
        </w:rPr>
        <w:t xml:space="preserve">&amp; </w:t>
      </w:r>
      <w:r w:rsidRPr="00615F05">
        <w:rPr>
          <w:color w:val="000000" w:themeColor="text1"/>
        </w:rPr>
        <w:t xml:space="preserve">Bryon, M. (2011). </w:t>
      </w:r>
      <w:r w:rsidRPr="00615F05">
        <w:rPr>
          <w:i/>
          <w:iCs/>
          <w:color w:val="000000" w:themeColor="text1"/>
        </w:rPr>
        <w:t>Developing a measure of eating attitudes and</w:t>
      </w:r>
      <w:r w:rsidR="000F3BB3" w:rsidRPr="00615F05">
        <w:rPr>
          <w:i/>
          <w:iCs/>
          <w:color w:val="000000" w:themeColor="text1"/>
        </w:rPr>
        <w:t xml:space="preserve"> </w:t>
      </w:r>
      <w:proofErr w:type="spellStart"/>
      <w:r w:rsidRPr="00615F05">
        <w:rPr>
          <w:i/>
          <w:iCs/>
          <w:color w:val="000000" w:themeColor="text1"/>
        </w:rPr>
        <w:t>behaviours</w:t>
      </w:r>
      <w:proofErr w:type="spellEnd"/>
      <w:r w:rsidRPr="00615F05">
        <w:rPr>
          <w:i/>
          <w:iCs/>
          <w:color w:val="000000" w:themeColor="text1"/>
        </w:rPr>
        <w:t xml:space="preserve"> in cystic fibrosis. </w:t>
      </w:r>
      <w:r w:rsidRPr="00615F05">
        <w:rPr>
          <w:color w:val="000000" w:themeColor="text1"/>
        </w:rPr>
        <w:t>Unpublished doctoral dissertation. Royal Holloway, University of London, London, UK.</w:t>
      </w:r>
    </w:p>
    <w:p w14:paraId="3EAE67F9" w14:textId="55FE9F44" w:rsidR="00287B54" w:rsidRPr="00615F05" w:rsidRDefault="00287B54" w:rsidP="0084286E">
      <w:pPr>
        <w:pStyle w:val="NormalWeb"/>
        <w:spacing w:before="0" w:beforeAutospacing="0" w:after="0" w:afterAutospacing="0" w:line="480" w:lineRule="auto"/>
        <w:ind w:left="720" w:hanging="720"/>
        <w:rPr>
          <w:color w:val="000000" w:themeColor="text1"/>
        </w:rPr>
      </w:pPr>
      <w:proofErr w:type="spellStart"/>
      <w:r w:rsidRPr="00615F05">
        <w:rPr>
          <w:color w:val="000000" w:themeColor="text1"/>
        </w:rPr>
        <w:t>Randlesome</w:t>
      </w:r>
      <w:proofErr w:type="spellEnd"/>
      <w:r w:rsidRPr="00615F05">
        <w:rPr>
          <w:color w:val="000000" w:themeColor="text1"/>
        </w:rPr>
        <w:t xml:space="preserve">, K., Bryon, M., </w:t>
      </w:r>
      <w:r w:rsidR="00962318" w:rsidRPr="00615F05">
        <w:rPr>
          <w:color w:val="000000" w:themeColor="text1"/>
        </w:rPr>
        <w:t xml:space="preserve">&amp; </w:t>
      </w:r>
      <w:proofErr w:type="spellStart"/>
      <w:r w:rsidRPr="00615F05">
        <w:rPr>
          <w:color w:val="000000" w:themeColor="text1"/>
        </w:rPr>
        <w:t>Evangeli</w:t>
      </w:r>
      <w:proofErr w:type="spellEnd"/>
      <w:r w:rsidRPr="00615F05">
        <w:rPr>
          <w:color w:val="000000" w:themeColor="text1"/>
        </w:rPr>
        <w:t xml:space="preserve">, M. (2013). Developing a measure of eating attitudes </w:t>
      </w:r>
      <w:r w:rsidR="006B7D9D" w:rsidRPr="00615F05">
        <w:rPr>
          <w:color w:val="000000" w:themeColor="text1"/>
        </w:rPr>
        <w:t xml:space="preserve">and </w:t>
      </w:r>
      <w:proofErr w:type="spellStart"/>
      <w:r w:rsidR="006B7D9D" w:rsidRPr="00615F05">
        <w:rPr>
          <w:color w:val="000000" w:themeColor="text1"/>
        </w:rPr>
        <w:t>behaviours</w:t>
      </w:r>
      <w:proofErr w:type="spellEnd"/>
      <w:r w:rsidR="006B7D9D" w:rsidRPr="00615F05">
        <w:rPr>
          <w:color w:val="000000" w:themeColor="text1"/>
        </w:rPr>
        <w:t xml:space="preserve"> in cystic fibrosis. </w:t>
      </w:r>
      <w:r w:rsidR="006B7D9D" w:rsidRPr="00615F05">
        <w:rPr>
          <w:i/>
          <w:iCs/>
          <w:color w:val="000000" w:themeColor="text1"/>
        </w:rPr>
        <w:t>Journal of Cystic Fibrosis, 12</w:t>
      </w:r>
      <w:r w:rsidR="006B7D9D" w:rsidRPr="00615F05">
        <w:rPr>
          <w:color w:val="000000" w:themeColor="text1"/>
        </w:rPr>
        <w:t>(1), 15-21.</w:t>
      </w:r>
    </w:p>
    <w:p w14:paraId="1D2ACC0B" w14:textId="1DD4923A" w:rsidR="00570592" w:rsidRPr="00615F05" w:rsidRDefault="00570592" w:rsidP="00DA304C">
      <w:pPr>
        <w:spacing w:line="480" w:lineRule="auto"/>
        <w:ind w:left="720" w:hanging="720"/>
        <w:rPr>
          <w:rFonts w:eastAsia="Times New Roman"/>
          <w:color w:val="000000" w:themeColor="text1"/>
        </w:rPr>
      </w:pPr>
      <w:r w:rsidRPr="00615F05">
        <w:rPr>
          <w:rFonts w:eastAsia="Times New Roman"/>
          <w:color w:val="000000" w:themeColor="text1"/>
        </w:rPr>
        <w:t xml:space="preserve">Russell, D. W. (2002). In search of underlying dimensions: The use (and abuse) of factor analysis in Personality and Social Psychology Bulletin. </w:t>
      </w:r>
      <w:r w:rsidRPr="00615F05">
        <w:rPr>
          <w:rFonts w:eastAsia="Times New Roman"/>
          <w:i/>
          <w:iCs/>
          <w:color w:val="000000" w:themeColor="text1"/>
        </w:rPr>
        <w:t xml:space="preserve">Personality and </w:t>
      </w:r>
      <w:r w:rsidR="00340438" w:rsidRPr="00615F05">
        <w:rPr>
          <w:rFonts w:eastAsia="Times New Roman"/>
          <w:i/>
          <w:iCs/>
          <w:color w:val="000000" w:themeColor="text1"/>
        </w:rPr>
        <w:t>S</w:t>
      </w:r>
      <w:r w:rsidRPr="00615F05">
        <w:rPr>
          <w:rFonts w:eastAsia="Times New Roman"/>
          <w:i/>
          <w:iCs/>
          <w:color w:val="000000" w:themeColor="text1"/>
        </w:rPr>
        <w:t xml:space="preserve">ocial </w:t>
      </w:r>
      <w:r w:rsidR="00340438" w:rsidRPr="00615F05">
        <w:rPr>
          <w:rFonts w:eastAsia="Times New Roman"/>
          <w:i/>
          <w:iCs/>
          <w:color w:val="000000" w:themeColor="text1"/>
        </w:rPr>
        <w:t>P</w:t>
      </w:r>
      <w:r w:rsidRPr="00615F05">
        <w:rPr>
          <w:rFonts w:eastAsia="Times New Roman"/>
          <w:i/>
          <w:iCs/>
          <w:color w:val="000000" w:themeColor="text1"/>
        </w:rPr>
        <w:t xml:space="preserve">sychology </w:t>
      </w:r>
      <w:r w:rsidR="00340438" w:rsidRPr="00615F05">
        <w:rPr>
          <w:rFonts w:eastAsia="Times New Roman"/>
          <w:i/>
          <w:iCs/>
          <w:color w:val="000000" w:themeColor="text1"/>
        </w:rPr>
        <w:t>B</w:t>
      </w:r>
      <w:r w:rsidRPr="00615F05">
        <w:rPr>
          <w:rFonts w:eastAsia="Times New Roman"/>
          <w:i/>
          <w:iCs/>
          <w:color w:val="000000" w:themeColor="text1"/>
        </w:rPr>
        <w:t>ulletin</w:t>
      </w:r>
      <w:r w:rsidRPr="00615F05">
        <w:rPr>
          <w:rFonts w:eastAsia="Times New Roman"/>
          <w:color w:val="000000" w:themeColor="text1"/>
        </w:rPr>
        <w:t xml:space="preserve">, </w:t>
      </w:r>
      <w:r w:rsidRPr="00615F05">
        <w:rPr>
          <w:rFonts w:eastAsia="Times New Roman"/>
          <w:i/>
          <w:iCs/>
          <w:color w:val="000000" w:themeColor="text1"/>
        </w:rPr>
        <w:t>28</w:t>
      </w:r>
      <w:r w:rsidRPr="00615F05">
        <w:rPr>
          <w:rFonts w:eastAsia="Times New Roman"/>
          <w:color w:val="000000" w:themeColor="text1"/>
        </w:rPr>
        <w:t>(12), 1629-1646.</w:t>
      </w:r>
    </w:p>
    <w:p w14:paraId="5EABDB1A" w14:textId="4E3A433C" w:rsidR="00DA304C" w:rsidRPr="00615F05" w:rsidRDefault="00DA304C" w:rsidP="00306E6D">
      <w:pPr>
        <w:spacing w:line="480" w:lineRule="auto"/>
        <w:ind w:left="720" w:hanging="720"/>
        <w:rPr>
          <w:rFonts w:eastAsia="Times New Roman"/>
          <w:color w:val="000000" w:themeColor="text1"/>
        </w:rPr>
      </w:pPr>
      <w:r w:rsidRPr="00615F05">
        <w:rPr>
          <w:rFonts w:eastAsia="Times New Roman"/>
          <w:color w:val="000000" w:themeColor="text1"/>
        </w:rPr>
        <w:t xml:space="preserve">Raymond, N. C., Chang P. N., Crow, S. J., Mitchell, J. E., </w:t>
      </w:r>
      <w:proofErr w:type="spellStart"/>
      <w:r w:rsidRPr="00615F05">
        <w:rPr>
          <w:rFonts w:eastAsia="Times New Roman"/>
          <w:color w:val="000000" w:themeColor="text1"/>
        </w:rPr>
        <w:t>Dieperink</w:t>
      </w:r>
      <w:proofErr w:type="spellEnd"/>
      <w:r w:rsidRPr="00615F05">
        <w:rPr>
          <w:rFonts w:eastAsia="Times New Roman"/>
          <w:color w:val="000000" w:themeColor="text1"/>
        </w:rPr>
        <w:t xml:space="preserve">, B. S., </w:t>
      </w:r>
      <w:r w:rsidR="00962318" w:rsidRPr="00615F05">
        <w:rPr>
          <w:rFonts w:eastAsia="Times New Roman"/>
          <w:color w:val="000000" w:themeColor="text1"/>
        </w:rPr>
        <w:t>Beck</w:t>
      </w:r>
      <w:r w:rsidRPr="00615F05">
        <w:rPr>
          <w:rFonts w:eastAsia="Times New Roman"/>
          <w:color w:val="000000" w:themeColor="text1"/>
        </w:rPr>
        <w:t>, M. M.,</w:t>
      </w:r>
      <w:r w:rsidR="000F3BB3" w:rsidRPr="00615F05">
        <w:rPr>
          <w:rFonts w:eastAsia="Times New Roman"/>
          <w:color w:val="000000" w:themeColor="text1"/>
        </w:rPr>
        <w:t xml:space="preserve"> </w:t>
      </w:r>
      <w:r w:rsidR="00962318" w:rsidRPr="00615F05">
        <w:rPr>
          <w:rFonts w:eastAsia="Times New Roman"/>
          <w:color w:val="000000" w:themeColor="text1"/>
        </w:rPr>
        <w:t xml:space="preserve">&amp; </w:t>
      </w:r>
      <w:r w:rsidRPr="00615F05">
        <w:rPr>
          <w:rFonts w:eastAsia="Times New Roman"/>
          <w:color w:val="000000" w:themeColor="text1"/>
        </w:rPr>
        <w:t xml:space="preserve">Warwick, W. J. (2000). Eating disorders in patients with cystic fibrosis. </w:t>
      </w:r>
      <w:r w:rsidRPr="00615F05">
        <w:rPr>
          <w:rFonts w:eastAsia="Times New Roman"/>
          <w:i/>
          <w:iCs/>
          <w:color w:val="000000" w:themeColor="text1"/>
        </w:rPr>
        <w:t>Journal of</w:t>
      </w:r>
      <w:r w:rsidR="005427E3" w:rsidRPr="00615F05">
        <w:rPr>
          <w:rFonts w:eastAsia="Times New Roman"/>
          <w:i/>
          <w:iCs/>
          <w:color w:val="000000" w:themeColor="text1"/>
        </w:rPr>
        <w:t xml:space="preserve"> </w:t>
      </w:r>
      <w:r w:rsidRPr="00615F05">
        <w:rPr>
          <w:rFonts w:eastAsia="Times New Roman"/>
          <w:i/>
          <w:iCs/>
          <w:color w:val="000000" w:themeColor="text1"/>
        </w:rPr>
        <w:t>Adolescence</w:t>
      </w:r>
      <w:r w:rsidRPr="00615F05">
        <w:rPr>
          <w:rFonts w:eastAsia="Times New Roman"/>
          <w:color w:val="000000" w:themeColor="text1"/>
        </w:rPr>
        <w:t xml:space="preserve">, </w:t>
      </w:r>
      <w:r w:rsidRPr="00615F05">
        <w:rPr>
          <w:rFonts w:eastAsia="Times New Roman"/>
          <w:i/>
          <w:iCs/>
          <w:color w:val="000000" w:themeColor="text1"/>
        </w:rPr>
        <w:t>23</w:t>
      </w:r>
      <w:r w:rsidRPr="00615F05">
        <w:rPr>
          <w:rFonts w:eastAsia="Times New Roman"/>
          <w:color w:val="000000" w:themeColor="text1"/>
        </w:rPr>
        <w:t>(3), 359-363.</w:t>
      </w:r>
    </w:p>
    <w:p w14:paraId="43D798E5" w14:textId="4A3E27D5" w:rsidR="00287B54" w:rsidRPr="00615F05" w:rsidRDefault="00287B54" w:rsidP="00DA304C">
      <w:pPr>
        <w:pStyle w:val="NormalWeb"/>
        <w:spacing w:before="0" w:beforeAutospacing="0" w:after="0" w:afterAutospacing="0" w:line="480" w:lineRule="auto"/>
        <w:ind w:left="720" w:hanging="720"/>
        <w:rPr>
          <w:color w:val="000000" w:themeColor="text1"/>
        </w:rPr>
      </w:pPr>
      <w:r w:rsidRPr="00615F05">
        <w:rPr>
          <w:color w:val="000000" w:themeColor="text1"/>
        </w:rPr>
        <w:t xml:space="preserve">Sawicki, G. S., Sellers, D. E., </w:t>
      </w:r>
      <w:r w:rsidR="00962318" w:rsidRPr="00615F05">
        <w:rPr>
          <w:color w:val="000000" w:themeColor="text1"/>
        </w:rPr>
        <w:t xml:space="preserve">&amp; </w:t>
      </w:r>
      <w:r w:rsidRPr="00615F05">
        <w:rPr>
          <w:color w:val="000000" w:themeColor="text1"/>
        </w:rPr>
        <w:t xml:space="preserve">Robinson, W. M. (2011). </w:t>
      </w:r>
      <w:r w:rsidRPr="00615F05">
        <w:rPr>
          <w:iCs/>
          <w:color w:val="000000" w:themeColor="text1"/>
        </w:rPr>
        <w:t>Associations between illness perceptions and health-related quality of life in adults with cystic fibrosis</w:t>
      </w:r>
      <w:r w:rsidRPr="00615F05">
        <w:rPr>
          <w:color w:val="000000" w:themeColor="text1"/>
        </w:rPr>
        <w:t xml:space="preserve">. </w:t>
      </w:r>
      <w:r w:rsidRPr="00615F05">
        <w:rPr>
          <w:i/>
          <w:color w:val="000000" w:themeColor="text1"/>
        </w:rPr>
        <w:t>Journal of Psychosomatic Research,</w:t>
      </w:r>
      <w:r w:rsidRPr="00615F05">
        <w:rPr>
          <w:color w:val="000000" w:themeColor="text1"/>
        </w:rPr>
        <w:t xml:space="preserve"> 70, 161-167. </w:t>
      </w:r>
    </w:p>
    <w:p w14:paraId="5039BC4C" w14:textId="0EF910DD" w:rsidR="00287B54" w:rsidRPr="00615F05" w:rsidRDefault="00287B54" w:rsidP="0084286E">
      <w:pPr>
        <w:autoSpaceDE w:val="0"/>
        <w:autoSpaceDN w:val="0"/>
        <w:adjustRightInd w:val="0"/>
        <w:spacing w:line="480" w:lineRule="auto"/>
        <w:ind w:left="720" w:hanging="720"/>
        <w:rPr>
          <w:color w:val="000000" w:themeColor="text1"/>
        </w:rPr>
      </w:pPr>
      <w:r w:rsidRPr="00615F05">
        <w:rPr>
          <w:color w:val="000000" w:themeColor="text1"/>
        </w:rPr>
        <w:t xml:space="preserve">Shearer, J. E., </w:t>
      </w:r>
      <w:r w:rsidR="00962318" w:rsidRPr="00615F05">
        <w:rPr>
          <w:color w:val="000000" w:themeColor="text1"/>
        </w:rPr>
        <w:t xml:space="preserve">&amp; </w:t>
      </w:r>
      <w:r w:rsidRPr="00615F05">
        <w:rPr>
          <w:color w:val="000000" w:themeColor="text1"/>
        </w:rPr>
        <w:t>Byron, M. (2004). The nature and prevalence of eating disorders and eating disturbance in adolescents with cystic fibrosis.</w:t>
      </w:r>
      <w:r w:rsidRPr="00615F05">
        <w:rPr>
          <w:i/>
          <w:color w:val="000000" w:themeColor="text1"/>
        </w:rPr>
        <w:t xml:space="preserve"> Journal of the Royal Society of Medicine</w:t>
      </w:r>
      <w:r w:rsidRPr="00615F05">
        <w:rPr>
          <w:color w:val="000000" w:themeColor="text1"/>
        </w:rPr>
        <w:t>, 44(97), 36-42.</w:t>
      </w:r>
    </w:p>
    <w:p w14:paraId="6E0F2774" w14:textId="1A694DCB" w:rsidR="00287B54" w:rsidRPr="00615F05" w:rsidRDefault="00287B54" w:rsidP="0084286E">
      <w:pPr>
        <w:pStyle w:val="Heading1"/>
        <w:shd w:val="clear" w:color="auto" w:fill="FFFFFF"/>
        <w:spacing w:before="0" w:line="480" w:lineRule="auto"/>
        <w:ind w:left="720" w:hanging="720"/>
        <w:rPr>
          <w:rFonts w:ascii="Times New Roman" w:hAnsi="Times New Roman"/>
          <w:b w:val="0"/>
          <w:color w:val="000000" w:themeColor="text1"/>
          <w:szCs w:val="24"/>
        </w:rPr>
      </w:pPr>
      <w:r w:rsidRPr="00615F05">
        <w:rPr>
          <w:rFonts w:ascii="Times New Roman" w:hAnsi="Times New Roman"/>
          <w:b w:val="0"/>
          <w:color w:val="000000" w:themeColor="text1"/>
          <w:szCs w:val="24"/>
        </w:rPr>
        <w:t xml:space="preserve">Spitzer, R. L., Kroenke, K., Williams, J. B., </w:t>
      </w:r>
      <w:r w:rsidR="00A9740C" w:rsidRPr="00615F05">
        <w:rPr>
          <w:rFonts w:ascii="Times New Roman" w:hAnsi="Times New Roman"/>
          <w:b w:val="0"/>
          <w:color w:val="000000" w:themeColor="text1"/>
          <w:szCs w:val="24"/>
        </w:rPr>
        <w:t xml:space="preserve">&amp; </w:t>
      </w:r>
      <w:r w:rsidRPr="00615F05">
        <w:rPr>
          <w:rFonts w:ascii="Times New Roman" w:hAnsi="Times New Roman"/>
          <w:b w:val="0"/>
          <w:color w:val="000000" w:themeColor="text1"/>
          <w:szCs w:val="24"/>
        </w:rPr>
        <w:t xml:space="preserve">Lowe, B. (2006). A brief measure for assessing generalized anxiety disorder: the GAD-7. </w:t>
      </w:r>
      <w:r w:rsidRPr="00615F05">
        <w:rPr>
          <w:rFonts w:ascii="Times New Roman" w:hAnsi="Times New Roman"/>
          <w:b w:val="0"/>
          <w:i/>
          <w:color w:val="000000" w:themeColor="text1"/>
          <w:szCs w:val="24"/>
        </w:rPr>
        <w:t>Archives of Internal Medicine</w:t>
      </w:r>
      <w:r w:rsidRPr="00615F05">
        <w:rPr>
          <w:rFonts w:ascii="Times New Roman" w:hAnsi="Times New Roman"/>
          <w:b w:val="0"/>
          <w:color w:val="000000" w:themeColor="text1"/>
          <w:szCs w:val="24"/>
        </w:rPr>
        <w:t>, 166(10), 1092-1097.</w:t>
      </w:r>
    </w:p>
    <w:p w14:paraId="298E6415" w14:textId="20B95079" w:rsidR="00287B54" w:rsidRPr="00615F05" w:rsidRDefault="00287B54" w:rsidP="0084286E">
      <w:pPr>
        <w:pStyle w:val="NormalWeb"/>
        <w:spacing w:before="0" w:beforeAutospacing="0" w:after="0" w:afterAutospacing="0" w:line="480" w:lineRule="auto"/>
        <w:ind w:left="720" w:hanging="720"/>
        <w:rPr>
          <w:color w:val="000000" w:themeColor="text1"/>
        </w:rPr>
      </w:pPr>
      <w:proofErr w:type="spellStart"/>
      <w:r w:rsidRPr="00615F05">
        <w:rPr>
          <w:color w:val="000000" w:themeColor="text1"/>
        </w:rPr>
        <w:t>Szyndler</w:t>
      </w:r>
      <w:proofErr w:type="spellEnd"/>
      <w:r w:rsidRPr="00615F05">
        <w:rPr>
          <w:color w:val="000000" w:themeColor="text1"/>
        </w:rPr>
        <w:t xml:space="preserve">, J. E., Towns, S. J., van </w:t>
      </w:r>
      <w:proofErr w:type="spellStart"/>
      <w:r w:rsidRPr="00615F05">
        <w:rPr>
          <w:color w:val="000000" w:themeColor="text1"/>
        </w:rPr>
        <w:t>Asperen</w:t>
      </w:r>
      <w:proofErr w:type="spellEnd"/>
      <w:r w:rsidRPr="00615F05">
        <w:rPr>
          <w:color w:val="000000" w:themeColor="text1"/>
        </w:rPr>
        <w:t xml:space="preserve">, P.P., </w:t>
      </w:r>
      <w:r w:rsidR="00A9740C" w:rsidRPr="00615F05">
        <w:rPr>
          <w:color w:val="000000" w:themeColor="text1"/>
        </w:rPr>
        <w:t xml:space="preserve">&amp; </w:t>
      </w:r>
      <w:r w:rsidRPr="00615F05">
        <w:rPr>
          <w:color w:val="000000" w:themeColor="text1"/>
        </w:rPr>
        <w:t>McKay, K.O. (2005). Psychological and family functioning and quality of life in adolescents with cystic fibrosis.</w:t>
      </w:r>
      <w:r w:rsidRPr="00615F05">
        <w:rPr>
          <w:i/>
          <w:iCs/>
          <w:color w:val="000000" w:themeColor="text1"/>
        </w:rPr>
        <w:t xml:space="preserve"> Journal of Cystic Fibrosis, 4</w:t>
      </w:r>
      <w:r w:rsidRPr="00615F05">
        <w:rPr>
          <w:color w:val="000000" w:themeColor="text1"/>
        </w:rPr>
        <w:t xml:space="preserve">(2), 135-144. </w:t>
      </w:r>
    </w:p>
    <w:p w14:paraId="4ACD5F44" w14:textId="7825F1C3" w:rsidR="00570592" w:rsidRPr="00615F05" w:rsidRDefault="00570592" w:rsidP="00340438">
      <w:pPr>
        <w:spacing w:line="480" w:lineRule="auto"/>
        <w:ind w:left="720" w:hanging="720"/>
        <w:rPr>
          <w:color w:val="000000" w:themeColor="text1"/>
        </w:rPr>
      </w:pPr>
      <w:proofErr w:type="spellStart"/>
      <w:r w:rsidRPr="00615F05">
        <w:rPr>
          <w:rFonts w:eastAsia="Times New Roman"/>
          <w:color w:val="000000" w:themeColor="text1"/>
        </w:rPr>
        <w:t>Tabachnick</w:t>
      </w:r>
      <w:proofErr w:type="spellEnd"/>
      <w:r w:rsidRPr="00615F05">
        <w:rPr>
          <w:rFonts w:eastAsia="Times New Roman"/>
          <w:color w:val="000000" w:themeColor="text1"/>
        </w:rPr>
        <w:t xml:space="preserve">, B. G., </w:t>
      </w:r>
      <w:proofErr w:type="spellStart"/>
      <w:r w:rsidRPr="00615F05">
        <w:rPr>
          <w:rFonts w:eastAsia="Times New Roman"/>
          <w:color w:val="000000" w:themeColor="text1"/>
        </w:rPr>
        <w:t>Fidell</w:t>
      </w:r>
      <w:proofErr w:type="spellEnd"/>
      <w:r w:rsidRPr="00615F05">
        <w:rPr>
          <w:rFonts w:eastAsia="Times New Roman"/>
          <w:color w:val="000000" w:themeColor="text1"/>
        </w:rPr>
        <w:t xml:space="preserve">, L. S., &amp; Ullman, J. B. (2007). </w:t>
      </w:r>
      <w:r w:rsidRPr="00615F05">
        <w:rPr>
          <w:rFonts w:eastAsia="Times New Roman"/>
          <w:i/>
          <w:iCs/>
          <w:color w:val="000000" w:themeColor="text1"/>
        </w:rPr>
        <w:t>Using multivariate statistics</w:t>
      </w:r>
      <w:r w:rsidRPr="00615F05">
        <w:rPr>
          <w:rFonts w:eastAsia="Times New Roman"/>
          <w:color w:val="000000" w:themeColor="text1"/>
        </w:rPr>
        <w:t xml:space="preserve"> (Vol. 5, pp. 481-498). Boston, MA: </w:t>
      </w:r>
      <w:proofErr w:type="spellStart"/>
      <w:r w:rsidRPr="00615F05">
        <w:rPr>
          <w:rFonts w:eastAsia="Times New Roman"/>
          <w:color w:val="000000" w:themeColor="text1"/>
        </w:rPr>
        <w:t>pearson</w:t>
      </w:r>
      <w:proofErr w:type="spellEnd"/>
      <w:r w:rsidRPr="00615F05">
        <w:rPr>
          <w:rFonts w:eastAsia="Times New Roman"/>
          <w:color w:val="000000" w:themeColor="text1"/>
        </w:rPr>
        <w:t>.</w:t>
      </w:r>
    </w:p>
    <w:p w14:paraId="35A4E6C9" w14:textId="367BBC46" w:rsidR="00C01B7D" w:rsidRPr="00615F05" w:rsidRDefault="00287B54" w:rsidP="0084286E">
      <w:pPr>
        <w:pStyle w:val="NormalWeb"/>
        <w:spacing w:before="0" w:beforeAutospacing="0" w:after="0" w:afterAutospacing="0" w:line="480" w:lineRule="auto"/>
        <w:ind w:left="720" w:hanging="720"/>
        <w:rPr>
          <w:color w:val="000000" w:themeColor="text1"/>
        </w:rPr>
      </w:pPr>
      <w:r w:rsidRPr="00615F05">
        <w:rPr>
          <w:color w:val="000000" w:themeColor="text1"/>
        </w:rPr>
        <w:lastRenderedPageBreak/>
        <w:t xml:space="preserve">Tierney, S. (2012). </w:t>
      </w:r>
      <w:r w:rsidRPr="00615F05">
        <w:rPr>
          <w:iCs/>
          <w:color w:val="000000" w:themeColor="text1"/>
        </w:rPr>
        <w:t>Body image and cystic fibrosis: A critical review.</w:t>
      </w:r>
      <w:r w:rsidRPr="00615F05">
        <w:rPr>
          <w:color w:val="000000" w:themeColor="text1"/>
        </w:rPr>
        <w:t xml:space="preserve"> </w:t>
      </w:r>
      <w:r w:rsidRPr="00615F05">
        <w:rPr>
          <w:i/>
          <w:color w:val="000000" w:themeColor="text1"/>
        </w:rPr>
        <w:t>Body Image,</w:t>
      </w:r>
      <w:r w:rsidRPr="00615F05">
        <w:rPr>
          <w:color w:val="000000" w:themeColor="text1"/>
        </w:rPr>
        <w:t xml:space="preserve"> 9(1), 12-19</w:t>
      </w:r>
      <w:r w:rsidR="0084286E" w:rsidRPr="00615F05">
        <w:rPr>
          <w:color w:val="000000" w:themeColor="text1"/>
        </w:rPr>
        <w:t>.</w:t>
      </w:r>
    </w:p>
    <w:p w14:paraId="3A53B5B3" w14:textId="0E0B338D" w:rsidR="00570592" w:rsidRPr="00615F05" w:rsidRDefault="00287B54" w:rsidP="0084286E">
      <w:pPr>
        <w:autoSpaceDE w:val="0"/>
        <w:autoSpaceDN w:val="0"/>
        <w:adjustRightInd w:val="0"/>
        <w:spacing w:line="480" w:lineRule="auto"/>
        <w:ind w:left="720" w:hanging="720"/>
        <w:rPr>
          <w:color w:val="000000" w:themeColor="text1"/>
        </w:rPr>
      </w:pPr>
      <w:proofErr w:type="spellStart"/>
      <w:r w:rsidRPr="00615F05">
        <w:rPr>
          <w:color w:val="000000" w:themeColor="text1"/>
        </w:rPr>
        <w:t>Truby</w:t>
      </w:r>
      <w:proofErr w:type="spellEnd"/>
      <w:r w:rsidRPr="00615F05">
        <w:rPr>
          <w:color w:val="000000" w:themeColor="text1"/>
        </w:rPr>
        <w:t xml:space="preserve">, H., </w:t>
      </w:r>
      <w:r w:rsidR="00A9740C" w:rsidRPr="00615F05">
        <w:rPr>
          <w:color w:val="000000" w:themeColor="text1"/>
        </w:rPr>
        <w:t xml:space="preserve">&amp; </w:t>
      </w:r>
      <w:r w:rsidRPr="00615F05">
        <w:rPr>
          <w:color w:val="000000" w:themeColor="text1"/>
        </w:rPr>
        <w:t>Paxton, S. J. (2001). Body image and dieting behavior in cystic fibrosis.</w:t>
      </w:r>
      <w:r w:rsidR="007910E9" w:rsidRPr="00615F05">
        <w:rPr>
          <w:color w:val="000000" w:themeColor="text1"/>
        </w:rPr>
        <w:t xml:space="preserve"> </w:t>
      </w:r>
      <w:proofErr w:type="spellStart"/>
      <w:r w:rsidRPr="00615F05">
        <w:rPr>
          <w:i/>
          <w:color w:val="000000" w:themeColor="text1"/>
        </w:rPr>
        <w:t>Paediatrics</w:t>
      </w:r>
      <w:proofErr w:type="spellEnd"/>
      <w:r w:rsidRPr="00615F05">
        <w:rPr>
          <w:i/>
          <w:color w:val="000000" w:themeColor="text1"/>
        </w:rPr>
        <w:t>,</w:t>
      </w:r>
      <w:r w:rsidRPr="00615F05">
        <w:rPr>
          <w:color w:val="000000" w:themeColor="text1"/>
        </w:rPr>
        <w:t xml:space="preserve"> 107, 92.</w:t>
      </w:r>
    </w:p>
    <w:p w14:paraId="1FC0E392" w14:textId="00ED8754" w:rsidR="00570592" w:rsidRPr="00615F05" w:rsidRDefault="00570592" w:rsidP="00340438">
      <w:pPr>
        <w:spacing w:line="480" w:lineRule="auto"/>
        <w:ind w:left="720" w:hanging="720"/>
        <w:rPr>
          <w:rFonts w:eastAsia="Times New Roman"/>
          <w:color w:val="000000" w:themeColor="text1"/>
        </w:rPr>
      </w:pPr>
      <w:r w:rsidRPr="00615F05">
        <w:rPr>
          <w:rFonts w:eastAsia="Times New Roman"/>
          <w:color w:val="000000" w:themeColor="text1"/>
        </w:rPr>
        <w:t xml:space="preserve">Vaughan, R., &amp; Laborde, S. (2018). Psychometrics of the emotional intelligence scale in elite, amateur, and non-athletes. </w:t>
      </w:r>
      <w:r w:rsidRPr="00615F05">
        <w:rPr>
          <w:rFonts w:eastAsia="Times New Roman"/>
          <w:i/>
          <w:iCs/>
          <w:color w:val="000000" w:themeColor="text1"/>
        </w:rPr>
        <w:t>Measurement in Physical Education and Exercise Science</w:t>
      </w:r>
      <w:r w:rsidRPr="00615F05">
        <w:rPr>
          <w:rFonts w:eastAsia="Times New Roman"/>
          <w:color w:val="000000" w:themeColor="text1"/>
        </w:rPr>
        <w:t xml:space="preserve">, </w:t>
      </w:r>
      <w:r w:rsidRPr="00615F05">
        <w:rPr>
          <w:rFonts w:eastAsia="Times New Roman"/>
          <w:i/>
          <w:iCs/>
          <w:color w:val="000000" w:themeColor="text1"/>
        </w:rPr>
        <w:t>22</w:t>
      </w:r>
      <w:r w:rsidRPr="00615F05">
        <w:rPr>
          <w:rFonts w:eastAsia="Times New Roman"/>
          <w:color w:val="000000" w:themeColor="text1"/>
        </w:rPr>
        <w:t>(2), 177-189.</w:t>
      </w:r>
    </w:p>
    <w:p w14:paraId="2438C6AE" w14:textId="47B331A9" w:rsidR="00CE2CF8" w:rsidRDefault="00287B54" w:rsidP="00875551">
      <w:pPr>
        <w:spacing w:line="480" w:lineRule="auto"/>
        <w:ind w:left="720" w:hanging="720"/>
        <w:rPr>
          <w:color w:val="000000" w:themeColor="text1"/>
        </w:rPr>
      </w:pPr>
      <w:r w:rsidRPr="00615F05">
        <w:rPr>
          <w:color w:val="000000" w:themeColor="text1"/>
        </w:rPr>
        <w:t>UK</w:t>
      </w:r>
      <w:r w:rsidRPr="00615F05">
        <w:rPr>
          <w:i/>
          <w:color w:val="000000" w:themeColor="text1"/>
        </w:rPr>
        <w:t xml:space="preserve"> CF Registry Annual Data Report 2</w:t>
      </w:r>
      <w:r w:rsidR="00EB0591" w:rsidRPr="00615F05">
        <w:rPr>
          <w:i/>
          <w:color w:val="000000" w:themeColor="text1"/>
        </w:rPr>
        <w:t>020</w:t>
      </w:r>
      <w:r w:rsidRPr="00615F05">
        <w:rPr>
          <w:color w:val="000000" w:themeColor="text1"/>
        </w:rPr>
        <w:t xml:space="preserve">. Retrieved from the CF Trust Website: </w:t>
      </w:r>
      <w:hyperlink r:id="rId14" w:history="1">
        <w:r w:rsidR="00193FF4" w:rsidRPr="00125A1D">
          <w:rPr>
            <w:rStyle w:val="Hyperlink"/>
          </w:rPr>
          <w:t>www.cysticfibrosis.org.uk/registry</w:t>
        </w:r>
      </w:hyperlink>
      <w:r w:rsidRPr="00615F05">
        <w:rPr>
          <w:color w:val="000000" w:themeColor="text1"/>
        </w:rPr>
        <w:t>.</w:t>
      </w:r>
    </w:p>
    <w:p w14:paraId="569ED443" w14:textId="02CC555E" w:rsidR="00193FF4" w:rsidRDefault="00193FF4" w:rsidP="00875551">
      <w:pPr>
        <w:spacing w:line="480" w:lineRule="auto"/>
        <w:ind w:left="720" w:hanging="720"/>
        <w:rPr>
          <w:color w:val="000000" w:themeColor="text1"/>
        </w:rPr>
      </w:pPr>
    </w:p>
    <w:p w14:paraId="73F3A993" w14:textId="65BD4F9C" w:rsidR="00193FF4" w:rsidRDefault="00193FF4" w:rsidP="00875551">
      <w:pPr>
        <w:spacing w:line="480" w:lineRule="auto"/>
        <w:ind w:left="720" w:hanging="720"/>
        <w:rPr>
          <w:color w:val="000000" w:themeColor="text1"/>
        </w:rPr>
      </w:pPr>
    </w:p>
    <w:p w14:paraId="2AA3F11C" w14:textId="6E65860D" w:rsidR="00193FF4" w:rsidRDefault="00193FF4" w:rsidP="00875551">
      <w:pPr>
        <w:spacing w:line="480" w:lineRule="auto"/>
        <w:ind w:left="720" w:hanging="720"/>
        <w:rPr>
          <w:color w:val="000000" w:themeColor="text1"/>
        </w:rPr>
      </w:pPr>
    </w:p>
    <w:p w14:paraId="47D49A7B" w14:textId="423740F7" w:rsidR="00193FF4" w:rsidRDefault="00193FF4" w:rsidP="00875551">
      <w:pPr>
        <w:spacing w:line="480" w:lineRule="auto"/>
        <w:ind w:left="720" w:hanging="720"/>
        <w:rPr>
          <w:color w:val="000000" w:themeColor="text1"/>
        </w:rPr>
      </w:pPr>
    </w:p>
    <w:p w14:paraId="5CC42D3A" w14:textId="6D0800AE" w:rsidR="00193FF4" w:rsidRDefault="00193FF4" w:rsidP="00875551">
      <w:pPr>
        <w:spacing w:line="480" w:lineRule="auto"/>
        <w:ind w:left="720" w:hanging="720"/>
        <w:rPr>
          <w:color w:val="000000" w:themeColor="text1"/>
        </w:rPr>
      </w:pPr>
    </w:p>
    <w:p w14:paraId="670F01A7" w14:textId="45BF59FB" w:rsidR="00193FF4" w:rsidRDefault="00193FF4" w:rsidP="00875551">
      <w:pPr>
        <w:spacing w:line="480" w:lineRule="auto"/>
        <w:ind w:left="720" w:hanging="720"/>
        <w:rPr>
          <w:color w:val="000000" w:themeColor="text1"/>
        </w:rPr>
      </w:pPr>
    </w:p>
    <w:p w14:paraId="58EBC4C1" w14:textId="67E80065" w:rsidR="00193FF4" w:rsidRDefault="00193FF4" w:rsidP="00875551">
      <w:pPr>
        <w:spacing w:line="480" w:lineRule="auto"/>
        <w:ind w:left="720" w:hanging="720"/>
        <w:rPr>
          <w:color w:val="000000" w:themeColor="text1"/>
        </w:rPr>
      </w:pPr>
    </w:p>
    <w:p w14:paraId="4A640C31" w14:textId="7B34840C" w:rsidR="00193FF4" w:rsidRDefault="00193FF4" w:rsidP="00875551">
      <w:pPr>
        <w:spacing w:line="480" w:lineRule="auto"/>
        <w:ind w:left="720" w:hanging="720"/>
        <w:rPr>
          <w:color w:val="000000" w:themeColor="text1"/>
        </w:rPr>
      </w:pPr>
    </w:p>
    <w:p w14:paraId="28BAAECE" w14:textId="1CD0E4C9" w:rsidR="00193FF4" w:rsidRDefault="00193FF4" w:rsidP="00875551">
      <w:pPr>
        <w:spacing w:line="480" w:lineRule="auto"/>
        <w:ind w:left="720" w:hanging="720"/>
        <w:rPr>
          <w:color w:val="000000" w:themeColor="text1"/>
        </w:rPr>
      </w:pPr>
    </w:p>
    <w:p w14:paraId="14E5C598" w14:textId="4DDA1223" w:rsidR="00193FF4" w:rsidRDefault="00193FF4" w:rsidP="00875551">
      <w:pPr>
        <w:spacing w:line="480" w:lineRule="auto"/>
        <w:ind w:left="720" w:hanging="720"/>
        <w:rPr>
          <w:color w:val="000000" w:themeColor="text1"/>
        </w:rPr>
      </w:pPr>
    </w:p>
    <w:p w14:paraId="41F6B237" w14:textId="301FB83B" w:rsidR="00193FF4" w:rsidRDefault="00193FF4" w:rsidP="00875551">
      <w:pPr>
        <w:spacing w:line="480" w:lineRule="auto"/>
        <w:ind w:left="720" w:hanging="720"/>
        <w:rPr>
          <w:color w:val="000000" w:themeColor="text1"/>
        </w:rPr>
      </w:pPr>
    </w:p>
    <w:p w14:paraId="4BEB7784" w14:textId="2354D2C1" w:rsidR="00193FF4" w:rsidRDefault="00193FF4" w:rsidP="00875551">
      <w:pPr>
        <w:spacing w:line="480" w:lineRule="auto"/>
        <w:ind w:left="720" w:hanging="720"/>
        <w:rPr>
          <w:color w:val="000000" w:themeColor="text1"/>
        </w:rPr>
      </w:pPr>
    </w:p>
    <w:p w14:paraId="0825FAC0" w14:textId="341159EA" w:rsidR="00193FF4" w:rsidRDefault="00193FF4" w:rsidP="00875551">
      <w:pPr>
        <w:spacing w:line="480" w:lineRule="auto"/>
        <w:ind w:left="720" w:hanging="720"/>
        <w:rPr>
          <w:color w:val="000000" w:themeColor="text1"/>
        </w:rPr>
      </w:pPr>
    </w:p>
    <w:p w14:paraId="18B32866" w14:textId="2C2181FC" w:rsidR="00193FF4" w:rsidRDefault="00193FF4" w:rsidP="00875551">
      <w:pPr>
        <w:spacing w:line="480" w:lineRule="auto"/>
        <w:ind w:left="720" w:hanging="720"/>
        <w:rPr>
          <w:color w:val="000000" w:themeColor="text1"/>
        </w:rPr>
      </w:pPr>
    </w:p>
    <w:p w14:paraId="1C846B7A" w14:textId="77777777" w:rsidR="00193FF4" w:rsidRDefault="00193FF4" w:rsidP="00875551">
      <w:pPr>
        <w:spacing w:line="480" w:lineRule="auto"/>
        <w:ind w:left="720" w:hanging="720"/>
        <w:rPr>
          <w:color w:val="000000" w:themeColor="text1"/>
        </w:rPr>
      </w:pPr>
    </w:p>
    <w:p w14:paraId="2E6E078F" w14:textId="77777777" w:rsidR="00193FF4" w:rsidRDefault="00193FF4" w:rsidP="00193FF4">
      <w:pPr>
        <w:tabs>
          <w:tab w:val="center" w:pos="4513"/>
        </w:tabs>
        <w:spacing w:line="480" w:lineRule="auto"/>
      </w:pPr>
      <w:r>
        <w:lastRenderedPageBreak/>
        <w:t>Table 1: Means, Standard Deviations and Internal Consistency for 24- and 12-item CFEAB, EAT-26, GAD-</w:t>
      </w:r>
      <w:proofErr w:type="gramStart"/>
      <w:r>
        <w:t>7</w:t>
      </w:r>
      <w:proofErr w:type="gramEnd"/>
      <w:r>
        <w:t xml:space="preserve"> and PHQ-9.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77"/>
        <w:gridCol w:w="2500"/>
      </w:tblGrid>
      <w:tr w:rsidR="00193FF4" w14:paraId="24EEE7FC" w14:textId="77777777" w:rsidTr="004872B5">
        <w:tc>
          <w:tcPr>
            <w:tcW w:w="3539" w:type="dxa"/>
            <w:tcBorders>
              <w:top w:val="single" w:sz="4" w:space="0" w:color="auto"/>
              <w:bottom w:val="single" w:sz="4" w:space="0" w:color="auto"/>
            </w:tcBorders>
          </w:tcPr>
          <w:p w14:paraId="4E24B497" w14:textId="77777777" w:rsidR="00193FF4" w:rsidRDefault="00193FF4" w:rsidP="004872B5">
            <w:pPr>
              <w:tabs>
                <w:tab w:val="center" w:pos="4513"/>
              </w:tabs>
              <w:spacing w:line="480" w:lineRule="auto"/>
            </w:pPr>
            <w:r>
              <w:t>Factor</w:t>
            </w:r>
          </w:p>
        </w:tc>
        <w:tc>
          <w:tcPr>
            <w:tcW w:w="2977" w:type="dxa"/>
            <w:tcBorders>
              <w:top w:val="single" w:sz="4" w:space="0" w:color="auto"/>
              <w:bottom w:val="single" w:sz="4" w:space="0" w:color="auto"/>
            </w:tcBorders>
          </w:tcPr>
          <w:p w14:paraId="7130F52C" w14:textId="77777777" w:rsidR="00193FF4" w:rsidRDefault="00193FF4" w:rsidP="004872B5">
            <w:pPr>
              <w:tabs>
                <w:tab w:val="center" w:pos="4513"/>
              </w:tabs>
              <w:spacing w:line="480" w:lineRule="auto"/>
              <w:jc w:val="center"/>
            </w:pPr>
            <w:r>
              <w:t>M (SD)</w:t>
            </w:r>
          </w:p>
        </w:tc>
        <w:tc>
          <w:tcPr>
            <w:tcW w:w="2500" w:type="dxa"/>
            <w:tcBorders>
              <w:top w:val="single" w:sz="4" w:space="0" w:color="auto"/>
              <w:bottom w:val="single" w:sz="4" w:space="0" w:color="auto"/>
            </w:tcBorders>
          </w:tcPr>
          <w:p w14:paraId="7E3A7D89" w14:textId="77777777" w:rsidR="00193FF4" w:rsidRDefault="00193FF4" w:rsidP="004872B5">
            <w:pPr>
              <w:tabs>
                <w:tab w:val="center" w:pos="4513"/>
              </w:tabs>
              <w:spacing w:line="480" w:lineRule="auto"/>
              <w:jc w:val="center"/>
            </w:pPr>
            <w:r w:rsidRPr="00051806">
              <w:t>ω</w:t>
            </w:r>
          </w:p>
        </w:tc>
      </w:tr>
      <w:tr w:rsidR="00193FF4" w14:paraId="45E854A6" w14:textId="77777777" w:rsidTr="004872B5">
        <w:tc>
          <w:tcPr>
            <w:tcW w:w="3539" w:type="dxa"/>
            <w:tcBorders>
              <w:top w:val="single" w:sz="4" w:space="0" w:color="auto"/>
            </w:tcBorders>
          </w:tcPr>
          <w:p w14:paraId="7C4661B8" w14:textId="77777777" w:rsidR="00193FF4" w:rsidRDefault="00193FF4" w:rsidP="004872B5">
            <w:pPr>
              <w:tabs>
                <w:tab w:val="center" w:pos="4513"/>
              </w:tabs>
              <w:spacing w:line="480" w:lineRule="auto"/>
            </w:pPr>
            <w:r>
              <w:t>24-item version CFEAB</w:t>
            </w:r>
          </w:p>
        </w:tc>
        <w:tc>
          <w:tcPr>
            <w:tcW w:w="2977" w:type="dxa"/>
            <w:tcBorders>
              <w:top w:val="single" w:sz="4" w:space="0" w:color="auto"/>
            </w:tcBorders>
          </w:tcPr>
          <w:p w14:paraId="331FD25F" w14:textId="77777777" w:rsidR="00193FF4" w:rsidRDefault="00193FF4" w:rsidP="004872B5">
            <w:pPr>
              <w:tabs>
                <w:tab w:val="center" w:pos="4513"/>
              </w:tabs>
              <w:spacing w:line="480" w:lineRule="auto"/>
              <w:jc w:val="center"/>
            </w:pPr>
            <w:r>
              <w:t>54.7 (10.48)</w:t>
            </w:r>
          </w:p>
        </w:tc>
        <w:tc>
          <w:tcPr>
            <w:tcW w:w="2500" w:type="dxa"/>
            <w:tcBorders>
              <w:top w:val="single" w:sz="4" w:space="0" w:color="auto"/>
            </w:tcBorders>
          </w:tcPr>
          <w:p w14:paraId="66D64A2C" w14:textId="77777777" w:rsidR="00193FF4" w:rsidRDefault="00193FF4" w:rsidP="004872B5">
            <w:pPr>
              <w:tabs>
                <w:tab w:val="center" w:pos="4513"/>
              </w:tabs>
              <w:spacing w:line="480" w:lineRule="auto"/>
              <w:jc w:val="center"/>
            </w:pPr>
            <w:r>
              <w:t>0.731</w:t>
            </w:r>
          </w:p>
        </w:tc>
      </w:tr>
      <w:tr w:rsidR="00193FF4" w14:paraId="2183E405" w14:textId="77777777" w:rsidTr="004872B5">
        <w:tc>
          <w:tcPr>
            <w:tcW w:w="3539" w:type="dxa"/>
          </w:tcPr>
          <w:p w14:paraId="7D0435E6" w14:textId="77777777" w:rsidR="00193FF4" w:rsidRDefault="00193FF4" w:rsidP="004872B5">
            <w:pPr>
              <w:tabs>
                <w:tab w:val="center" w:pos="4513"/>
              </w:tabs>
              <w:spacing w:line="480" w:lineRule="auto"/>
            </w:pPr>
            <w:r>
              <w:t xml:space="preserve">   </w:t>
            </w:r>
            <w:r w:rsidRPr="005C21C3">
              <w:t>Desire for Thinness</w:t>
            </w:r>
          </w:p>
        </w:tc>
        <w:tc>
          <w:tcPr>
            <w:tcW w:w="2977" w:type="dxa"/>
          </w:tcPr>
          <w:p w14:paraId="2594B157" w14:textId="77777777" w:rsidR="00193FF4" w:rsidRDefault="00193FF4" w:rsidP="004872B5">
            <w:pPr>
              <w:tabs>
                <w:tab w:val="center" w:pos="4513"/>
              </w:tabs>
              <w:spacing w:line="480" w:lineRule="auto"/>
              <w:jc w:val="center"/>
            </w:pPr>
            <w:r>
              <w:t>21.2 (7.28)</w:t>
            </w:r>
          </w:p>
        </w:tc>
        <w:tc>
          <w:tcPr>
            <w:tcW w:w="2500" w:type="dxa"/>
          </w:tcPr>
          <w:p w14:paraId="546428F3" w14:textId="77777777" w:rsidR="00193FF4" w:rsidRDefault="00193FF4" w:rsidP="004872B5">
            <w:pPr>
              <w:tabs>
                <w:tab w:val="center" w:pos="4513"/>
              </w:tabs>
              <w:spacing w:line="480" w:lineRule="auto"/>
              <w:jc w:val="center"/>
            </w:pPr>
            <w:r w:rsidRPr="005C21C3">
              <w:t>0.6</w:t>
            </w:r>
            <w:r>
              <w:t>81</w:t>
            </w:r>
          </w:p>
        </w:tc>
      </w:tr>
      <w:tr w:rsidR="00193FF4" w14:paraId="293A63E7" w14:textId="77777777" w:rsidTr="004872B5">
        <w:tc>
          <w:tcPr>
            <w:tcW w:w="3539" w:type="dxa"/>
          </w:tcPr>
          <w:p w14:paraId="5BCF6350" w14:textId="77777777" w:rsidR="00193FF4" w:rsidRDefault="00193FF4" w:rsidP="004872B5">
            <w:pPr>
              <w:tabs>
                <w:tab w:val="center" w:pos="4513"/>
              </w:tabs>
              <w:spacing w:line="480" w:lineRule="auto"/>
            </w:pPr>
            <w:r>
              <w:t xml:space="preserve">   </w:t>
            </w:r>
            <w:r w:rsidRPr="005C21C3">
              <w:t>Appetite</w:t>
            </w:r>
          </w:p>
        </w:tc>
        <w:tc>
          <w:tcPr>
            <w:tcW w:w="2977" w:type="dxa"/>
          </w:tcPr>
          <w:p w14:paraId="3E21E98D" w14:textId="77777777" w:rsidR="00193FF4" w:rsidRDefault="00193FF4" w:rsidP="004872B5">
            <w:pPr>
              <w:tabs>
                <w:tab w:val="center" w:pos="4513"/>
              </w:tabs>
              <w:spacing w:line="480" w:lineRule="auto"/>
              <w:jc w:val="center"/>
            </w:pPr>
            <w:r>
              <w:t>10.7 (1.95)</w:t>
            </w:r>
          </w:p>
        </w:tc>
        <w:tc>
          <w:tcPr>
            <w:tcW w:w="2500" w:type="dxa"/>
          </w:tcPr>
          <w:p w14:paraId="360998DF" w14:textId="77777777" w:rsidR="00193FF4" w:rsidRDefault="00193FF4" w:rsidP="004872B5">
            <w:pPr>
              <w:tabs>
                <w:tab w:val="center" w:pos="4513"/>
              </w:tabs>
              <w:spacing w:line="480" w:lineRule="auto"/>
              <w:jc w:val="center"/>
            </w:pPr>
            <w:r w:rsidRPr="005C21C3">
              <w:t>0.</w:t>
            </w:r>
            <w:r>
              <w:t>692</w:t>
            </w:r>
          </w:p>
        </w:tc>
      </w:tr>
      <w:tr w:rsidR="00193FF4" w14:paraId="2A57CCCD" w14:textId="77777777" w:rsidTr="004872B5">
        <w:tc>
          <w:tcPr>
            <w:tcW w:w="3539" w:type="dxa"/>
          </w:tcPr>
          <w:p w14:paraId="401753EF" w14:textId="77777777" w:rsidR="00193FF4" w:rsidRDefault="00193FF4" w:rsidP="004872B5">
            <w:pPr>
              <w:tabs>
                <w:tab w:val="center" w:pos="4513"/>
              </w:tabs>
              <w:spacing w:line="480" w:lineRule="auto"/>
            </w:pPr>
            <w:r>
              <w:t xml:space="preserve">   </w:t>
            </w:r>
            <w:r w:rsidRPr="005C21C3">
              <w:t>Disturbed EABs</w:t>
            </w:r>
          </w:p>
        </w:tc>
        <w:tc>
          <w:tcPr>
            <w:tcW w:w="2977" w:type="dxa"/>
          </w:tcPr>
          <w:p w14:paraId="59FBC872" w14:textId="77777777" w:rsidR="00193FF4" w:rsidRDefault="00193FF4" w:rsidP="004872B5">
            <w:pPr>
              <w:tabs>
                <w:tab w:val="center" w:pos="4513"/>
              </w:tabs>
              <w:spacing w:line="480" w:lineRule="auto"/>
              <w:jc w:val="center"/>
            </w:pPr>
            <w:r>
              <w:t>16.4 (4.35)</w:t>
            </w:r>
          </w:p>
        </w:tc>
        <w:tc>
          <w:tcPr>
            <w:tcW w:w="2500" w:type="dxa"/>
          </w:tcPr>
          <w:p w14:paraId="2B45A857" w14:textId="77777777" w:rsidR="00193FF4" w:rsidRDefault="00193FF4" w:rsidP="004872B5">
            <w:pPr>
              <w:tabs>
                <w:tab w:val="center" w:pos="4513"/>
              </w:tabs>
              <w:spacing w:line="480" w:lineRule="auto"/>
              <w:jc w:val="center"/>
            </w:pPr>
            <w:r w:rsidRPr="005C21C3">
              <w:t>0.6</w:t>
            </w:r>
            <w:r>
              <w:t>14</w:t>
            </w:r>
          </w:p>
        </w:tc>
      </w:tr>
      <w:tr w:rsidR="00193FF4" w14:paraId="521E4ED9" w14:textId="77777777" w:rsidTr="004872B5">
        <w:tc>
          <w:tcPr>
            <w:tcW w:w="3539" w:type="dxa"/>
          </w:tcPr>
          <w:p w14:paraId="05589AFC" w14:textId="77777777" w:rsidR="00193FF4" w:rsidRDefault="00193FF4" w:rsidP="004872B5">
            <w:pPr>
              <w:tabs>
                <w:tab w:val="center" w:pos="4513"/>
              </w:tabs>
              <w:spacing w:line="480" w:lineRule="auto"/>
            </w:pPr>
            <w:r>
              <w:t>12-item version CFEAB</w:t>
            </w:r>
          </w:p>
        </w:tc>
        <w:tc>
          <w:tcPr>
            <w:tcW w:w="2977" w:type="dxa"/>
          </w:tcPr>
          <w:p w14:paraId="333E661A" w14:textId="77777777" w:rsidR="00193FF4" w:rsidRDefault="00193FF4" w:rsidP="004872B5">
            <w:pPr>
              <w:tabs>
                <w:tab w:val="center" w:pos="4513"/>
              </w:tabs>
              <w:spacing w:line="480" w:lineRule="auto"/>
              <w:jc w:val="center"/>
            </w:pPr>
            <w:r>
              <w:t>25.2 (8.68)</w:t>
            </w:r>
          </w:p>
        </w:tc>
        <w:tc>
          <w:tcPr>
            <w:tcW w:w="2500" w:type="dxa"/>
          </w:tcPr>
          <w:p w14:paraId="7BDFC1E4" w14:textId="77777777" w:rsidR="00193FF4" w:rsidRDefault="00193FF4" w:rsidP="004872B5">
            <w:pPr>
              <w:tabs>
                <w:tab w:val="center" w:pos="4513"/>
              </w:tabs>
              <w:spacing w:line="480" w:lineRule="auto"/>
              <w:jc w:val="center"/>
            </w:pPr>
            <w:r>
              <w:t>0.808</w:t>
            </w:r>
          </w:p>
        </w:tc>
      </w:tr>
      <w:tr w:rsidR="00193FF4" w14:paraId="00D343F5" w14:textId="77777777" w:rsidTr="004872B5">
        <w:tc>
          <w:tcPr>
            <w:tcW w:w="3539" w:type="dxa"/>
          </w:tcPr>
          <w:p w14:paraId="6FC3C0F5" w14:textId="77777777" w:rsidR="00193FF4" w:rsidRDefault="00193FF4" w:rsidP="004872B5">
            <w:pPr>
              <w:tabs>
                <w:tab w:val="center" w:pos="4513"/>
              </w:tabs>
              <w:spacing w:line="480" w:lineRule="auto"/>
            </w:pPr>
            <w:r>
              <w:t xml:space="preserve">   </w:t>
            </w:r>
            <w:r w:rsidRPr="005C21C3">
              <w:t>Desire for Thinness</w:t>
            </w:r>
          </w:p>
        </w:tc>
        <w:tc>
          <w:tcPr>
            <w:tcW w:w="2977" w:type="dxa"/>
          </w:tcPr>
          <w:p w14:paraId="43CE66F2" w14:textId="77777777" w:rsidR="00193FF4" w:rsidRDefault="00193FF4" w:rsidP="004872B5">
            <w:pPr>
              <w:tabs>
                <w:tab w:val="center" w:pos="4513"/>
              </w:tabs>
              <w:spacing w:line="480" w:lineRule="auto"/>
              <w:jc w:val="center"/>
            </w:pPr>
            <w:r w:rsidRPr="005C21C3">
              <w:t>8.0</w:t>
            </w:r>
            <w:r>
              <w:t xml:space="preserve"> (4.33)</w:t>
            </w:r>
          </w:p>
        </w:tc>
        <w:tc>
          <w:tcPr>
            <w:tcW w:w="2500" w:type="dxa"/>
          </w:tcPr>
          <w:p w14:paraId="60503A23" w14:textId="77777777" w:rsidR="00193FF4" w:rsidRDefault="00193FF4" w:rsidP="004872B5">
            <w:pPr>
              <w:tabs>
                <w:tab w:val="center" w:pos="4513"/>
              </w:tabs>
              <w:spacing w:line="480" w:lineRule="auto"/>
              <w:jc w:val="center"/>
            </w:pPr>
            <w:r w:rsidRPr="005C21C3">
              <w:t>0.</w:t>
            </w:r>
            <w:r>
              <w:t>753</w:t>
            </w:r>
          </w:p>
        </w:tc>
      </w:tr>
      <w:tr w:rsidR="00193FF4" w14:paraId="744E2CED" w14:textId="77777777" w:rsidTr="004872B5">
        <w:tc>
          <w:tcPr>
            <w:tcW w:w="3539" w:type="dxa"/>
          </w:tcPr>
          <w:p w14:paraId="43E2CF6B" w14:textId="77777777" w:rsidR="00193FF4" w:rsidRDefault="00193FF4" w:rsidP="004872B5">
            <w:pPr>
              <w:tabs>
                <w:tab w:val="center" w:pos="4513"/>
              </w:tabs>
              <w:spacing w:line="480" w:lineRule="auto"/>
            </w:pPr>
            <w:r>
              <w:t xml:space="preserve">   </w:t>
            </w:r>
            <w:r w:rsidRPr="005C21C3">
              <w:t>Appetite</w:t>
            </w:r>
          </w:p>
        </w:tc>
        <w:tc>
          <w:tcPr>
            <w:tcW w:w="2977" w:type="dxa"/>
          </w:tcPr>
          <w:p w14:paraId="6F3C054D" w14:textId="77777777" w:rsidR="00193FF4" w:rsidRDefault="00193FF4" w:rsidP="004872B5">
            <w:pPr>
              <w:tabs>
                <w:tab w:val="center" w:pos="4513"/>
              </w:tabs>
              <w:spacing w:line="480" w:lineRule="auto"/>
              <w:jc w:val="center"/>
            </w:pPr>
            <w:r w:rsidRPr="005C21C3">
              <w:t>10.7</w:t>
            </w:r>
            <w:r>
              <w:t xml:space="preserve"> (2.16)</w:t>
            </w:r>
          </w:p>
        </w:tc>
        <w:tc>
          <w:tcPr>
            <w:tcW w:w="2500" w:type="dxa"/>
          </w:tcPr>
          <w:p w14:paraId="6CA44093" w14:textId="77777777" w:rsidR="00193FF4" w:rsidRDefault="00193FF4" w:rsidP="004872B5">
            <w:pPr>
              <w:tabs>
                <w:tab w:val="center" w:pos="4513"/>
              </w:tabs>
              <w:spacing w:line="480" w:lineRule="auto"/>
              <w:jc w:val="center"/>
            </w:pPr>
            <w:r w:rsidRPr="005C21C3">
              <w:t>0.7</w:t>
            </w:r>
            <w:r>
              <w:t>29</w:t>
            </w:r>
          </w:p>
        </w:tc>
      </w:tr>
      <w:tr w:rsidR="00193FF4" w14:paraId="1E34AF05" w14:textId="77777777" w:rsidTr="004872B5">
        <w:tc>
          <w:tcPr>
            <w:tcW w:w="3539" w:type="dxa"/>
          </w:tcPr>
          <w:p w14:paraId="761E8518" w14:textId="77777777" w:rsidR="00193FF4" w:rsidRDefault="00193FF4" w:rsidP="004872B5">
            <w:pPr>
              <w:tabs>
                <w:tab w:val="center" w:pos="4513"/>
              </w:tabs>
              <w:spacing w:line="480" w:lineRule="auto"/>
            </w:pPr>
            <w:r>
              <w:t xml:space="preserve">   </w:t>
            </w:r>
            <w:r w:rsidRPr="005C21C3">
              <w:t>Disturbed EABs</w:t>
            </w:r>
          </w:p>
          <w:p w14:paraId="0BE4D372" w14:textId="77777777" w:rsidR="00193FF4" w:rsidRDefault="00193FF4" w:rsidP="004872B5">
            <w:pPr>
              <w:tabs>
                <w:tab w:val="center" w:pos="4513"/>
              </w:tabs>
              <w:spacing w:line="480" w:lineRule="auto"/>
            </w:pPr>
            <w:r>
              <w:t>EAT-26</w:t>
            </w:r>
          </w:p>
          <w:p w14:paraId="64907B47" w14:textId="77777777" w:rsidR="00193FF4" w:rsidRDefault="00193FF4" w:rsidP="004872B5">
            <w:pPr>
              <w:tabs>
                <w:tab w:val="center" w:pos="4513"/>
              </w:tabs>
              <w:spacing w:line="480" w:lineRule="auto"/>
            </w:pPr>
            <w:r>
              <w:t xml:space="preserve">    Dieting</w:t>
            </w:r>
          </w:p>
          <w:p w14:paraId="15D63BD8" w14:textId="77777777" w:rsidR="00193FF4" w:rsidRDefault="00193FF4" w:rsidP="004872B5">
            <w:pPr>
              <w:tabs>
                <w:tab w:val="center" w:pos="4513"/>
              </w:tabs>
              <w:spacing w:line="480" w:lineRule="auto"/>
            </w:pPr>
            <w:r>
              <w:t xml:space="preserve">    Bulimia</w:t>
            </w:r>
          </w:p>
          <w:p w14:paraId="56C29A45" w14:textId="77777777" w:rsidR="00193FF4" w:rsidRDefault="00193FF4" w:rsidP="004872B5">
            <w:pPr>
              <w:tabs>
                <w:tab w:val="center" w:pos="4513"/>
              </w:tabs>
              <w:spacing w:line="480" w:lineRule="auto"/>
            </w:pPr>
            <w:r>
              <w:t xml:space="preserve">    Oral Control</w:t>
            </w:r>
          </w:p>
          <w:p w14:paraId="02A529E1" w14:textId="77777777" w:rsidR="00193FF4" w:rsidRDefault="00193FF4" w:rsidP="004872B5">
            <w:pPr>
              <w:tabs>
                <w:tab w:val="center" w:pos="4513"/>
              </w:tabs>
              <w:spacing w:line="480" w:lineRule="auto"/>
            </w:pPr>
            <w:r>
              <w:t>GAD-7</w:t>
            </w:r>
          </w:p>
          <w:p w14:paraId="154443EE" w14:textId="77777777" w:rsidR="00193FF4" w:rsidRDefault="00193FF4" w:rsidP="004872B5">
            <w:pPr>
              <w:tabs>
                <w:tab w:val="center" w:pos="4513"/>
              </w:tabs>
              <w:spacing w:line="480" w:lineRule="auto"/>
            </w:pPr>
            <w:r>
              <w:t>PHQ-9</w:t>
            </w:r>
          </w:p>
        </w:tc>
        <w:tc>
          <w:tcPr>
            <w:tcW w:w="2977" w:type="dxa"/>
          </w:tcPr>
          <w:p w14:paraId="76EEB4DC" w14:textId="77777777" w:rsidR="00193FF4" w:rsidRDefault="00193FF4" w:rsidP="004872B5">
            <w:pPr>
              <w:tabs>
                <w:tab w:val="center" w:pos="4513"/>
              </w:tabs>
              <w:spacing w:line="480" w:lineRule="auto"/>
              <w:jc w:val="center"/>
            </w:pPr>
            <w:r w:rsidRPr="005C21C3">
              <w:t>6.5</w:t>
            </w:r>
            <w:r>
              <w:t>0 (3.80)</w:t>
            </w:r>
          </w:p>
          <w:p w14:paraId="3E9D63FE" w14:textId="77777777" w:rsidR="00193FF4" w:rsidRDefault="00193FF4" w:rsidP="004872B5">
            <w:pPr>
              <w:tabs>
                <w:tab w:val="center" w:pos="4513"/>
              </w:tabs>
              <w:spacing w:line="480" w:lineRule="auto"/>
              <w:jc w:val="center"/>
            </w:pPr>
          </w:p>
          <w:p w14:paraId="3711DBB8" w14:textId="77777777" w:rsidR="00193FF4" w:rsidRDefault="00193FF4" w:rsidP="004872B5">
            <w:pPr>
              <w:tabs>
                <w:tab w:val="center" w:pos="4513"/>
              </w:tabs>
              <w:spacing w:line="480" w:lineRule="auto"/>
              <w:jc w:val="center"/>
            </w:pPr>
            <w:r>
              <w:t>59.8 (14.6)</w:t>
            </w:r>
          </w:p>
          <w:p w14:paraId="4326F085" w14:textId="77777777" w:rsidR="00193FF4" w:rsidRDefault="00193FF4" w:rsidP="004872B5">
            <w:pPr>
              <w:tabs>
                <w:tab w:val="center" w:pos="4513"/>
              </w:tabs>
              <w:spacing w:line="480" w:lineRule="auto"/>
              <w:jc w:val="center"/>
            </w:pPr>
            <w:r>
              <w:t>29.6 (6.1)</w:t>
            </w:r>
          </w:p>
          <w:p w14:paraId="47E5ED84" w14:textId="77777777" w:rsidR="00193FF4" w:rsidRDefault="00193FF4" w:rsidP="004872B5">
            <w:pPr>
              <w:tabs>
                <w:tab w:val="center" w:pos="4513"/>
              </w:tabs>
              <w:spacing w:line="480" w:lineRule="auto"/>
              <w:jc w:val="center"/>
            </w:pPr>
            <w:r>
              <w:t>28.3 (13.7)</w:t>
            </w:r>
          </w:p>
          <w:p w14:paraId="5AD5BA91" w14:textId="77777777" w:rsidR="00193FF4" w:rsidRDefault="00193FF4" w:rsidP="004872B5">
            <w:pPr>
              <w:tabs>
                <w:tab w:val="center" w:pos="4513"/>
              </w:tabs>
              <w:spacing w:line="480" w:lineRule="auto"/>
              <w:jc w:val="center"/>
            </w:pPr>
            <w:r>
              <w:t>14.0 (6.2)</w:t>
            </w:r>
          </w:p>
          <w:p w14:paraId="54632FCE" w14:textId="77777777" w:rsidR="00193FF4" w:rsidRDefault="00193FF4" w:rsidP="004872B5">
            <w:pPr>
              <w:tabs>
                <w:tab w:val="center" w:pos="4513"/>
              </w:tabs>
              <w:spacing w:line="480" w:lineRule="auto"/>
              <w:jc w:val="center"/>
            </w:pPr>
            <w:r>
              <w:t>16.9 (6.4)</w:t>
            </w:r>
          </w:p>
        </w:tc>
        <w:tc>
          <w:tcPr>
            <w:tcW w:w="2500" w:type="dxa"/>
          </w:tcPr>
          <w:p w14:paraId="7C2DD796" w14:textId="77777777" w:rsidR="00193FF4" w:rsidRDefault="00193FF4" w:rsidP="004872B5">
            <w:pPr>
              <w:tabs>
                <w:tab w:val="center" w:pos="4513"/>
              </w:tabs>
              <w:spacing w:line="480" w:lineRule="auto"/>
              <w:jc w:val="center"/>
            </w:pPr>
            <w:r w:rsidRPr="005C21C3">
              <w:t>0.</w:t>
            </w:r>
            <w:r>
              <w:t>796</w:t>
            </w:r>
          </w:p>
          <w:p w14:paraId="05B488F6" w14:textId="77777777" w:rsidR="00193FF4" w:rsidRDefault="00193FF4" w:rsidP="004872B5">
            <w:pPr>
              <w:tabs>
                <w:tab w:val="center" w:pos="4513"/>
              </w:tabs>
              <w:spacing w:line="480" w:lineRule="auto"/>
              <w:jc w:val="center"/>
            </w:pPr>
          </w:p>
          <w:p w14:paraId="79F6F565" w14:textId="77777777" w:rsidR="00193FF4" w:rsidRDefault="00193FF4" w:rsidP="004872B5">
            <w:pPr>
              <w:tabs>
                <w:tab w:val="center" w:pos="4513"/>
              </w:tabs>
              <w:spacing w:line="480" w:lineRule="auto"/>
              <w:jc w:val="center"/>
            </w:pPr>
            <w:r>
              <w:t>0.878</w:t>
            </w:r>
          </w:p>
          <w:p w14:paraId="12310E18" w14:textId="77777777" w:rsidR="00193FF4" w:rsidRDefault="00193FF4" w:rsidP="004872B5">
            <w:pPr>
              <w:tabs>
                <w:tab w:val="center" w:pos="4513"/>
              </w:tabs>
              <w:spacing w:line="480" w:lineRule="auto"/>
              <w:jc w:val="center"/>
            </w:pPr>
            <w:r>
              <w:t>0.811</w:t>
            </w:r>
          </w:p>
          <w:p w14:paraId="7EF65F7E" w14:textId="77777777" w:rsidR="00193FF4" w:rsidRDefault="00193FF4" w:rsidP="004872B5">
            <w:pPr>
              <w:tabs>
                <w:tab w:val="center" w:pos="4513"/>
              </w:tabs>
              <w:spacing w:line="480" w:lineRule="auto"/>
              <w:jc w:val="center"/>
            </w:pPr>
            <w:r>
              <w:t>0.766</w:t>
            </w:r>
          </w:p>
          <w:p w14:paraId="4CBA6E7E" w14:textId="77777777" w:rsidR="00193FF4" w:rsidRDefault="00193FF4" w:rsidP="004872B5">
            <w:pPr>
              <w:tabs>
                <w:tab w:val="center" w:pos="4513"/>
              </w:tabs>
              <w:spacing w:line="480" w:lineRule="auto"/>
              <w:jc w:val="center"/>
            </w:pPr>
            <w:r>
              <w:t>0.931</w:t>
            </w:r>
          </w:p>
          <w:p w14:paraId="272DAC38" w14:textId="77777777" w:rsidR="00193FF4" w:rsidRDefault="00193FF4" w:rsidP="004872B5">
            <w:pPr>
              <w:tabs>
                <w:tab w:val="center" w:pos="4513"/>
              </w:tabs>
              <w:spacing w:line="480" w:lineRule="auto"/>
              <w:jc w:val="center"/>
            </w:pPr>
            <w:r>
              <w:t>0.887</w:t>
            </w:r>
          </w:p>
        </w:tc>
      </w:tr>
    </w:tbl>
    <w:p w14:paraId="662B2203" w14:textId="77777777" w:rsidR="00193FF4" w:rsidRDefault="00193FF4" w:rsidP="00193FF4">
      <w:pPr>
        <w:tabs>
          <w:tab w:val="center" w:pos="4513"/>
        </w:tabs>
        <w:spacing w:line="480" w:lineRule="auto"/>
      </w:pPr>
      <w:r>
        <w:t>N = 132.</w:t>
      </w:r>
    </w:p>
    <w:p w14:paraId="1FC4CD12" w14:textId="77777777" w:rsidR="00193FF4" w:rsidRDefault="00193FF4" w:rsidP="00193FF4"/>
    <w:p w14:paraId="5BFBE84E" w14:textId="77777777" w:rsidR="00193FF4" w:rsidRDefault="00193FF4" w:rsidP="00193FF4"/>
    <w:p w14:paraId="6A0BDE16" w14:textId="77777777" w:rsidR="00193FF4" w:rsidRDefault="00193FF4" w:rsidP="00193FF4"/>
    <w:p w14:paraId="6453E574" w14:textId="77777777" w:rsidR="00193FF4" w:rsidRDefault="00193FF4" w:rsidP="00193FF4"/>
    <w:p w14:paraId="01968FD3" w14:textId="77777777" w:rsidR="00193FF4" w:rsidRDefault="00193FF4" w:rsidP="00193FF4"/>
    <w:p w14:paraId="08184EB9" w14:textId="77777777" w:rsidR="00193FF4" w:rsidRDefault="00193FF4" w:rsidP="00193FF4"/>
    <w:p w14:paraId="2790C41C" w14:textId="77777777" w:rsidR="00193FF4" w:rsidRDefault="00193FF4" w:rsidP="00193FF4"/>
    <w:p w14:paraId="77C02E4A" w14:textId="77777777" w:rsidR="00193FF4" w:rsidRDefault="00193FF4" w:rsidP="00193FF4"/>
    <w:p w14:paraId="22BCB359" w14:textId="77777777" w:rsidR="00193FF4" w:rsidRDefault="00193FF4" w:rsidP="00193FF4"/>
    <w:p w14:paraId="3C393320" w14:textId="77777777" w:rsidR="00193FF4" w:rsidRDefault="00193FF4" w:rsidP="00193FF4"/>
    <w:p w14:paraId="796B2BA3" w14:textId="77777777" w:rsidR="00193FF4" w:rsidRDefault="00193FF4" w:rsidP="00193FF4"/>
    <w:p w14:paraId="1F760454" w14:textId="77777777" w:rsidR="00193FF4" w:rsidRDefault="00193FF4" w:rsidP="00193FF4"/>
    <w:p w14:paraId="0D90C497" w14:textId="77777777" w:rsidR="00193FF4" w:rsidRDefault="00193FF4" w:rsidP="00193FF4"/>
    <w:p w14:paraId="05D27F92" w14:textId="77777777" w:rsidR="00193FF4" w:rsidRDefault="00193FF4" w:rsidP="00193FF4"/>
    <w:p w14:paraId="5104F367" w14:textId="77777777" w:rsidR="00193FF4" w:rsidRDefault="00193FF4" w:rsidP="00193FF4"/>
    <w:p w14:paraId="45FAA589" w14:textId="77777777" w:rsidR="00193FF4" w:rsidRPr="00D604F2" w:rsidRDefault="00193FF4" w:rsidP="00193FF4">
      <w:pPr>
        <w:spacing w:line="480" w:lineRule="auto"/>
      </w:pPr>
      <w:r w:rsidRPr="00D604F2">
        <w:t xml:space="preserve">Table </w:t>
      </w:r>
      <w:r>
        <w:t>2:</w:t>
      </w:r>
      <w:r w:rsidRPr="00D604F2">
        <w:t xml:space="preserve"> Factor structure for 24</w:t>
      </w:r>
      <w:r>
        <w:t>-</w:t>
      </w:r>
      <w:r w:rsidRPr="00D604F2">
        <w:t>item CFEAB</w:t>
      </w:r>
      <w:r>
        <w:t>.</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2254"/>
        <w:gridCol w:w="2254"/>
        <w:gridCol w:w="2254"/>
        <w:gridCol w:w="2254"/>
      </w:tblGrid>
      <w:tr w:rsidR="00193FF4" w:rsidRPr="005C21C3" w14:paraId="48923389" w14:textId="77777777" w:rsidTr="00487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auto"/>
              <w:bottom w:val="single" w:sz="4" w:space="0" w:color="auto"/>
            </w:tcBorders>
          </w:tcPr>
          <w:p w14:paraId="3BAD60EC" w14:textId="77777777" w:rsidR="00193FF4" w:rsidRPr="000F2321" w:rsidRDefault="00193FF4" w:rsidP="004872B5">
            <w:pPr>
              <w:spacing w:line="480" w:lineRule="auto"/>
              <w:rPr>
                <w:b w:val="0"/>
                <w:bCs w:val="0"/>
              </w:rPr>
            </w:pPr>
            <w:r w:rsidRPr="000F2321">
              <w:rPr>
                <w:b w:val="0"/>
              </w:rPr>
              <w:t>Item</w:t>
            </w:r>
          </w:p>
        </w:tc>
        <w:tc>
          <w:tcPr>
            <w:tcW w:w="2254" w:type="dxa"/>
            <w:tcBorders>
              <w:top w:val="single" w:sz="4" w:space="0" w:color="auto"/>
              <w:bottom w:val="single" w:sz="4" w:space="0" w:color="auto"/>
            </w:tcBorders>
          </w:tcPr>
          <w:p w14:paraId="056C03A5" w14:textId="77777777" w:rsidR="00193FF4" w:rsidRPr="000F2321" w:rsidRDefault="00193FF4" w:rsidP="004872B5">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0F2321">
              <w:rPr>
                <w:b w:val="0"/>
              </w:rPr>
              <w:t>Factor 1</w:t>
            </w:r>
          </w:p>
        </w:tc>
        <w:tc>
          <w:tcPr>
            <w:tcW w:w="2254" w:type="dxa"/>
            <w:tcBorders>
              <w:top w:val="single" w:sz="4" w:space="0" w:color="auto"/>
              <w:bottom w:val="single" w:sz="4" w:space="0" w:color="auto"/>
            </w:tcBorders>
          </w:tcPr>
          <w:p w14:paraId="1BD4967A" w14:textId="77777777" w:rsidR="00193FF4" w:rsidRPr="000F2321" w:rsidRDefault="00193FF4" w:rsidP="004872B5">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0F2321">
              <w:rPr>
                <w:b w:val="0"/>
              </w:rPr>
              <w:t>Factor 2</w:t>
            </w:r>
          </w:p>
        </w:tc>
        <w:tc>
          <w:tcPr>
            <w:tcW w:w="2254" w:type="dxa"/>
            <w:tcBorders>
              <w:top w:val="single" w:sz="4" w:space="0" w:color="auto"/>
              <w:bottom w:val="single" w:sz="4" w:space="0" w:color="auto"/>
            </w:tcBorders>
          </w:tcPr>
          <w:p w14:paraId="459D8F60" w14:textId="77777777" w:rsidR="00193FF4" w:rsidRPr="000F2321" w:rsidRDefault="00193FF4" w:rsidP="004872B5">
            <w:pPr>
              <w:spacing w:line="480"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0F2321">
              <w:rPr>
                <w:b w:val="0"/>
              </w:rPr>
              <w:t>Factor 3</w:t>
            </w:r>
          </w:p>
        </w:tc>
      </w:tr>
      <w:tr w:rsidR="00193FF4" w:rsidRPr="005C21C3" w14:paraId="397DD9A7"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auto"/>
              <w:bottom w:val="none" w:sz="0" w:space="0" w:color="auto"/>
            </w:tcBorders>
          </w:tcPr>
          <w:p w14:paraId="2BCFEA8F" w14:textId="77777777" w:rsidR="00193FF4" w:rsidRPr="000F2321" w:rsidRDefault="00193FF4" w:rsidP="004872B5">
            <w:pPr>
              <w:spacing w:line="480" w:lineRule="auto"/>
              <w:rPr>
                <w:b w:val="0"/>
                <w:bCs w:val="0"/>
              </w:rPr>
            </w:pPr>
            <w:r>
              <w:rPr>
                <w:b w:val="0"/>
              </w:rPr>
              <w:t xml:space="preserve">  </w:t>
            </w:r>
            <w:r w:rsidRPr="000F2321">
              <w:rPr>
                <w:b w:val="0"/>
              </w:rPr>
              <w:t>1</w:t>
            </w:r>
          </w:p>
        </w:tc>
        <w:tc>
          <w:tcPr>
            <w:tcW w:w="2254" w:type="dxa"/>
            <w:tcBorders>
              <w:top w:val="single" w:sz="4" w:space="0" w:color="auto"/>
              <w:bottom w:val="none" w:sz="0" w:space="0" w:color="auto"/>
            </w:tcBorders>
          </w:tcPr>
          <w:p w14:paraId="626636FB"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0.027</w:t>
            </w:r>
          </w:p>
        </w:tc>
        <w:tc>
          <w:tcPr>
            <w:tcW w:w="2254" w:type="dxa"/>
            <w:tcBorders>
              <w:top w:val="single" w:sz="4" w:space="0" w:color="auto"/>
              <w:bottom w:val="none" w:sz="0" w:space="0" w:color="auto"/>
            </w:tcBorders>
          </w:tcPr>
          <w:p w14:paraId="06581C85"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1.011</w:t>
            </w:r>
          </w:p>
        </w:tc>
        <w:tc>
          <w:tcPr>
            <w:tcW w:w="2254" w:type="dxa"/>
            <w:tcBorders>
              <w:top w:val="single" w:sz="4" w:space="0" w:color="auto"/>
              <w:bottom w:val="none" w:sz="0" w:space="0" w:color="auto"/>
            </w:tcBorders>
          </w:tcPr>
          <w:p w14:paraId="7D4ACBEA"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0.014</w:t>
            </w:r>
          </w:p>
        </w:tc>
      </w:tr>
      <w:tr w:rsidR="00193FF4" w:rsidRPr="005C21C3" w14:paraId="5F6724BA"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2C13A912" w14:textId="77777777" w:rsidR="00193FF4" w:rsidRPr="000F2321" w:rsidRDefault="00193FF4" w:rsidP="004872B5">
            <w:pPr>
              <w:spacing w:line="480" w:lineRule="auto"/>
              <w:rPr>
                <w:b w:val="0"/>
                <w:bCs w:val="0"/>
              </w:rPr>
            </w:pPr>
            <w:r>
              <w:rPr>
                <w:b w:val="0"/>
              </w:rPr>
              <w:t xml:space="preserve">  </w:t>
            </w:r>
            <w:r w:rsidRPr="000F2321">
              <w:rPr>
                <w:b w:val="0"/>
              </w:rPr>
              <w:t>2</w:t>
            </w:r>
          </w:p>
        </w:tc>
        <w:tc>
          <w:tcPr>
            <w:tcW w:w="2254" w:type="dxa"/>
          </w:tcPr>
          <w:p w14:paraId="0949E35F"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1.086</w:t>
            </w:r>
          </w:p>
        </w:tc>
        <w:tc>
          <w:tcPr>
            <w:tcW w:w="2254" w:type="dxa"/>
          </w:tcPr>
          <w:p w14:paraId="72A46017"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0.037</w:t>
            </w:r>
          </w:p>
        </w:tc>
        <w:tc>
          <w:tcPr>
            <w:tcW w:w="2254" w:type="dxa"/>
          </w:tcPr>
          <w:p w14:paraId="2707557B" w14:textId="77777777" w:rsidR="00193FF4" w:rsidRPr="00D604F2"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sidRPr="00D604F2">
              <w:rPr>
                <w:i/>
              </w:rPr>
              <w:t>0.376</w:t>
            </w:r>
          </w:p>
        </w:tc>
      </w:tr>
      <w:tr w:rsidR="00193FF4" w:rsidRPr="005C21C3" w14:paraId="17DF1420" w14:textId="77777777" w:rsidTr="004872B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12F8D3A2" w14:textId="77777777" w:rsidR="00193FF4" w:rsidRPr="000F2321" w:rsidRDefault="00193FF4" w:rsidP="004872B5">
            <w:pPr>
              <w:spacing w:line="480" w:lineRule="auto"/>
              <w:rPr>
                <w:b w:val="0"/>
                <w:bCs w:val="0"/>
              </w:rPr>
            </w:pPr>
            <w:r>
              <w:rPr>
                <w:b w:val="0"/>
              </w:rPr>
              <w:t xml:space="preserve">  </w:t>
            </w:r>
            <w:r w:rsidRPr="000F2321">
              <w:rPr>
                <w:b w:val="0"/>
              </w:rPr>
              <w:t>3</w:t>
            </w:r>
          </w:p>
        </w:tc>
        <w:tc>
          <w:tcPr>
            <w:tcW w:w="2254" w:type="dxa"/>
            <w:tcBorders>
              <w:top w:val="none" w:sz="0" w:space="0" w:color="auto"/>
              <w:bottom w:val="none" w:sz="0" w:space="0" w:color="auto"/>
            </w:tcBorders>
          </w:tcPr>
          <w:p w14:paraId="6EDB9C14"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0.711</w:t>
            </w:r>
          </w:p>
        </w:tc>
        <w:tc>
          <w:tcPr>
            <w:tcW w:w="2254" w:type="dxa"/>
            <w:tcBorders>
              <w:top w:val="none" w:sz="0" w:space="0" w:color="auto"/>
              <w:bottom w:val="none" w:sz="0" w:space="0" w:color="auto"/>
            </w:tcBorders>
          </w:tcPr>
          <w:p w14:paraId="79FFAE3D"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0.000</w:t>
            </w:r>
          </w:p>
        </w:tc>
        <w:tc>
          <w:tcPr>
            <w:tcW w:w="2254" w:type="dxa"/>
            <w:tcBorders>
              <w:top w:val="none" w:sz="0" w:space="0" w:color="auto"/>
              <w:bottom w:val="none" w:sz="0" w:space="0" w:color="auto"/>
            </w:tcBorders>
          </w:tcPr>
          <w:p w14:paraId="60CC477B" w14:textId="77777777" w:rsidR="00193FF4" w:rsidRPr="00D604F2"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i/>
              </w:rPr>
            </w:pPr>
            <w:r w:rsidRPr="00D604F2">
              <w:rPr>
                <w:i/>
              </w:rPr>
              <w:t>0.446</w:t>
            </w:r>
          </w:p>
        </w:tc>
      </w:tr>
      <w:tr w:rsidR="00193FF4" w:rsidRPr="005C21C3" w14:paraId="577D874F"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6413CC51" w14:textId="77777777" w:rsidR="00193FF4" w:rsidRPr="000F2321" w:rsidRDefault="00193FF4" w:rsidP="004872B5">
            <w:pPr>
              <w:spacing w:line="480" w:lineRule="auto"/>
              <w:rPr>
                <w:b w:val="0"/>
                <w:bCs w:val="0"/>
              </w:rPr>
            </w:pPr>
            <w:r>
              <w:rPr>
                <w:b w:val="0"/>
              </w:rPr>
              <w:t xml:space="preserve">  </w:t>
            </w:r>
            <w:r w:rsidRPr="000F2321">
              <w:rPr>
                <w:b w:val="0"/>
              </w:rPr>
              <w:t>4</w:t>
            </w:r>
          </w:p>
        </w:tc>
        <w:tc>
          <w:tcPr>
            <w:tcW w:w="2254" w:type="dxa"/>
          </w:tcPr>
          <w:p w14:paraId="66921E35"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1.325</w:t>
            </w:r>
          </w:p>
        </w:tc>
        <w:tc>
          <w:tcPr>
            <w:tcW w:w="2254" w:type="dxa"/>
          </w:tcPr>
          <w:p w14:paraId="0E9DCED8"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0.071</w:t>
            </w:r>
          </w:p>
        </w:tc>
        <w:tc>
          <w:tcPr>
            <w:tcW w:w="2254" w:type="dxa"/>
          </w:tcPr>
          <w:p w14:paraId="5714E40C" w14:textId="77777777" w:rsidR="00193FF4" w:rsidRPr="00D604F2"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sidRPr="00D604F2">
              <w:rPr>
                <w:i/>
              </w:rPr>
              <w:t>0.399</w:t>
            </w:r>
          </w:p>
        </w:tc>
      </w:tr>
      <w:tr w:rsidR="00193FF4" w:rsidRPr="005C21C3" w14:paraId="01D54700"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05BCD192" w14:textId="77777777" w:rsidR="00193FF4" w:rsidRPr="000F2321" w:rsidRDefault="00193FF4" w:rsidP="004872B5">
            <w:pPr>
              <w:spacing w:line="480" w:lineRule="auto"/>
              <w:rPr>
                <w:b w:val="0"/>
                <w:bCs w:val="0"/>
              </w:rPr>
            </w:pPr>
            <w:r>
              <w:rPr>
                <w:b w:val="0"/>
              </w:rPr>
              <w:t xml:space="preserve">  </w:t>
            </w:r>
            <w:r w:rsidRPr="000F2321">
              <w:rPr>
                <w:b w:val="0"/>
              </w:rPr>
              <w:t>5</w:t>
            </w:r>
          </w:p>
        </w:tc>
        <w:tc>
          <w:tcPr>
            <w:tcW w:w="2254" w:type="dxa"/>
            <w:tcBorders>
              <w:top w:val="none" w:sz="0" w:space="0" w:color="auto"/>
              <w:bottom w:val="none" w:sz="0" w:space="0" w:color="auto"/>
            </w:tcBorders>
          </w:tcPr>
          <w:p w14:paraId="37C088C9"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0.227</w:t>
            </w:r>
          </w:p>
        </w:tc>
        <w:tc>
          <w:tcPr>
            <w:tcW w:w="2254" w:type="dxa"/>
            <w:tcBorders>
              <w:top w:val="none" w:sz="0" w:space="0" w:color="auto"/>
              <w:bottom w:val="none" w:sz="0" w:space="0" w:color="auto"/>
            </w:tcBorders>
          </w:tcPr>
          <w:p w14:paraId="704C4A14"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0.655</w:t>
            </w:r>
          </w:p>
        </w:tc>
        <w:tc>
          <w:tcPr>
            <w:tcW w:w="2254" w:type="dxa"/>
            <w:tcBorders>
              <w:top w:val="none" w:sz="0" w:space="0" w:color="auto"/>
              <w:bottom w:val="none" w:sz="0" w:space="0" w:color="auto"/>
            </w:tcBorders>
          </w:tcPr>
          <w:p w14:paraId="39C2D0E9"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0.317</w:t>
            </w:r>
          </w:p>
        </w:tc>
      </w:tr>
      <w:tr w:rsidR="00193FF4" w:rsidRPr="005C21C3" w14:paraId="78B82D13"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6E1181FF" w14:textId="77777777" w:rsidR="00193FF4" w:rsidRPr="000F2321" w:rsidRDefault="00193FF4" w:rsidP="004872B5">
            <w:pPr>
              <w:spacing w:line="480" w:lineRule="auto"/>
              <w:rPr>
                <w:b w:val="0"/>
                <w:bCs w:val="0"/>
              </w:rPr>
            </w:pPr>
            <w:r>
              <w:rPr>
                <w:b w:val="0"/>
              </w:rPr>
              <w:t xml:space="preserve">  </w:t>
            </w:r>
            <w:r w:rsidRPr="000F2321">
              <w:rPr>
                <w:b w:val="0"/>
              </w:rPr>
              <w:t>6</w:t>
            </w:r>
          </w:p>
        </w:tc>
        <w:tc>
          <w:tcPr>
            <w:tcW w:w="2254" w:type="dxa"/>
          </w:tcPr>
          <w:p w14:paraId="30B4F9EB"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1.053</w:t>
            </w:r>
          </w:p>
        </w:tc>
        <w:tc>
          <w:tcPr>
            <w:tcW w:w="2254" w:type="dxa"/>
          </w:tcPr>
          <w:p w14:paraId="29E47487"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0.294</w:t>
            </w:r>
          </w:p>
        </w:tc>
        <w:tc>
          <w:tcPr>
            <w:tcW w:w="2254" w:type="dxa"/>
          </w:tcPr>
          <w:p w14:paraId="3C5735CF"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0.298</w:t>
            </w:r>
          </w:p>
        </w:tc>
      </w:tr>
      <w:tr w:rsidR="00193FF4" w:rsidRPr="005C21C3" w14:paraId="5DA66FFB"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4CA61ACD" w14:textId="77777777" w:rsidR="00193FF4" w:rsidRPr="000F2321" w:rsidRDefault="00193FF4" w:rsidP="004872B5">
            <w:pPr>
              <w:spacing w:line="480" w:lineRule="auto"/>
              <w:rPr>
                <w:b w:val="0"/>
                <w:bCs w:val="0"/>
              </w:rPr>
            </w:pPr>
            <w:r>
              <w:rPr>
                <w:b w:val="0"/>
              </w:rPr>
              <w:t xml:space="preserve">  </w:t>
            </w:r>
            <w:r w:rsidRPr="000F2321">
              <w:rPr>
                <w:b w:val="0"/>
              </w:rPr>
              <w:t>7</w:t>
            </w:r>
          </w:p>
        </w:tc>
        <w:tc>
          <w:tcPr>
            <w:tcW w:w="2254" w:type="dxa"/>
            <w:tcBorders>
              <w:top w:val="none" w:sz="0" w:space="0" w:color="auto"/>
              <w:bottom w:val="none" w:sz="0" w:space="0" w:color="auto"/>
            </w:tcBorders>
          </w:tcPr>
          <w:p w14:paraId="1B5F0FB4"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0.060</w:t>
            </w:r>
          </w:p>
        </w:tc>
        <w:tc>
          <w:tcPr>
            <w:tcW w:w="2254" w:type="dxa"/>
            <w:tcBorders>
              <w:top w:val="none" w:sz="0" w:space="0" w:color="auto"/>
              <w:bottom w:val="none" w:sz="0" w:space="0" w:color="auto"/>
            </w:tcBorders>
          </w:tcPr>
          <w:p w14:paraId="28EA2F14"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0.454</w:t>
            </w:r>
          </w:p>
        </w:tc>
        <w:tc>
          <w:tcPr>
            <w:tcW w:w="2254" w:type="dxa"/>
            <w:tcBorders>
              <w:top w:val="none" w:sz="0" w:space="0" w:color="auto"/>
              <w:bottom w:val="none" w:sz="0" w:space="0" w:color="auto"/>
            </w:tcBorders>
          </w:tcPr>
          <w:p w14:paraId="3B1CDF11"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0.221</w:t>
            </w:r>
          </w:p>
        </w:tc>
      </w:tr>
      <w:tr w:rsidR="00193FF4" w:rsidRPr="005C21C3" w14:paraId="77686C01"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5522E419" w14:textId="77777777" w:rsidR="00193FF4" w:rsidRPr="000F2321" w:rsidRDefault="00193FF4" w:rsidP="004872B5">
            <w:pPr>
              <w:spacing w:line="480" w:lineRule="auto"/>
              <w:rPr>
                <w:b w:val="0"/>
                <w:bCs w:val="0"/>
              </w:rPr>
            </w:pPr>
            <w:r>
              <w:rPr>
                <w:b w:val="0"/>
              </w:rPr>
              <w:t xml:space="preserve">  </w:t>
            </w:r>
            <w:r w:rsidRPr="000F2321">
              <w:rPr>
                <w:b w:val="0"/>
              </w:rPr>
              <w:t>8</w:t>
            </w:r>
          </w:p>
        </w:tc>
        <w:tc>
          <w:tcPr>
            <w:tcW w:w="2254" w:type="dxa"/>
          </w:tcPr>
          <w:p w14:paraId="36956CD9"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0.075</w:t>
            </w:r>
          </w:p>
        </w:tc>
        <w:tc>
          <w:tcPr>
            <w:tcW w:w="2254" w:type="dxa"/>
          </w:tcPr>
          <w:p w14:paraId="1D7D8B8A"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0.447</w:t>
            </w:r>
          </w:p>
        </w:tc>
        <w:tc>
          <w:tcPr>
            <w:tcW w:w="2254" w:type="dxa"/>
          </w:tcPr>
          <w:p w14:paraId="745EE447"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i/>
                <w:iCs/>
              </w:rPr>
            </w:pPr>
            <w:r w:rsidRPr="005C21C3">
              <w:rPr>
                <w:i/>
                <w:iCs/>
              </w:rPr>
              <w:t>0.446</w:t>
            </w:r>
          </w:p>
        </w:tc>
      </w:tr>
      <w:tr w:rsidR="00193FF4" w:rsidRPr="005C21C3" w14:paraId="27CE1084"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7C045813" w14:textId="77777777" w:rsidR="00193FF4" w:rsidRPr="000F2321" w:rsidRDefault="00193FF4" w:rsidP="004872B5">
            <w:pPr>
              <w:spacing w:line="480" w:lineRule="auto"/>
              <w:rPr>
                <w:b w:val="0"/>
                <w:bCs w:val="0"/>
              </w:rPr>
            </w:pPr>
            <w:r>
              <w:rPr>
                <w:b w:val="0"/>
              </w:rPr>
              <w:t xml:space="preserve">  </w:t>
            </w:r>
            <w:r w:rsidRPr="000F2321">
              <w:rPr>
                <w:b w:val="0"/>
              </w:rPr>
              <w:t>9</w:t>
            </w:r>
          </w:p>
        </w:tc>
        <w:tc>
          <w:tcPr>
            <w:tcW w:w="2254" w:type="dxa"/>
            <w:tcBorders>
              <w:top w:val="none" w:sz="0" w:space="0" w:color="auto"/>
              <w:bottom w:val="none" w:sz="0" w:space="0" w:color="auto"/>
            </w:tcBorders>
          </w:tcPr>
          <w:p w14:paraId="4DB3B887"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0.160</w:t>
            </w:r>
          </w:p>
        </w:tc>
        <w:tc>
          <w:tcPr>
            <w:tcW w:w="2254" w:type="dxa"/>
            <w:tcBorders>
              <w:top w:val="none" w:sz="0" w:space="0" w:color="auto"/>
              <w:bottom w:val="none" w:sz="0" w:space="0" w:color="auto"/>
            </w:tcBorders>
          </w:tcPr>
          <w:p w14:paraId="02BAF4FA"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0.431</w:t>
            </w:r>
          </w:p>
        </w:tc>
        <w:tc>
          <w:tcPr>
            <w:tcW w:w="2254" w:type="dxa"/>
            <w:tcBorders>
              <w:top w:val="none" w:sz="0" w:space="0" w:color="auto"/>
              <w:bottom w:val="none" w:sz="0" w:space="0" w:color="auto"/>
            </w:tcBorders>
          </w:tcPr>
          <w:p w14:paraId="5954DDCE"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0.068</w:t>
            </w:r>
          </w:p>
        </w:tc>
      </w:tr>
      <w:tr w:rsidR="00193FF4" w:rsidRPr="005C21C3" w14:paraId="02DE93ED"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275C58EB" w14:textId="77777777" w:rsidR="00193FF4" w:rsidRPr="000F2321" w:rsidRDefault="00193FF4" w:rsidP="004872B5">
            <w:pPr>
              <w:spacing w:line="480" w:lineRule="auto"/>
              <w:rPr>
                <w:b w:val="0"/>
                <w:bCs w:val="0"/>
              </w:rPr>
            </w:pPr>
            <w:r>
              <w:rPr>
                <w:b w:val="0"/>
              </w:rPr>
              <w:t xml:space="preserve">  </w:t>
            </w:r>
            <w:r w:rsidRPr="000F2321">
              <w:rPr>
                <w:b w:val="0"/>
              </w:rPr>
              <w:t>10</w:t>
            </w:r>
          </w:p>
        </w:tc>
        <w:tc>
          <w:tcPr>
            <w:tcW w:w="2254" w:type="dxa"/>
          </w:tcPr>
          <w:p w14:paraId="1CCBF55B"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0.011</w:t>
            </w:r>
          </w:p>
        </w:tc>
        <w:tc>
          <w:tcPr>
            <w:tcW w:w="2254" w:type="dxa"/>
          </w:tcPr>
          <w:p w14:paraId="5790708F"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0.226</w:t>
            </w:r>
          </w:p>
        </w:tc>
        <w:tc>
          <w:tcPr>
            <w:tcW w:w="2254" w:type="dxa"/>
          </w:tcPr>
          <w:p w14:paraId="5B3B093F"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1.061</w:t>
            </w:r>
          </w:p>
        </w:tc>
      </w:tr>
      <w:tr w:rsidR="00193FF4" w:rsidRPr="005C21C3" w14:paraId="762F3B64"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2FDD9D00" w14:textId="77777777" w:rsidR="00193FF4" w:rsidRPr="000F2321" w:rsidRDefault="00193FF4" w:rsidP="004872B5">
            <w:pPr>
              <w:spacing w:line="480" w:lineRule="auto"/>
              <w:rPr>
                <w:b w:val="0"/>
                <w:bCs w:val="0"/>
              </w:rPr>
            </w:pPr>
            <w:r>
              <w:rPr>
                <w:b w:val="0"/>
              </w:rPr>
              <w:t xml:space="preserve">  </w:t>
            </w:r>
            <w:r w:rsidRPr="000F2321">
              <w:rPr>
                <w:b w:val="0"/>
              </w:rPr>
              <w:t>11</w:t>
            </w:r>
          </w:p>
        </w:tc>
        <w:tc>
          <w:tcPr>
            <w:tcW w:w="2254" w:type="dxa"/>
            <w:tcBorders>
              <w:top w:val="none" w:sz="0" w:space="0" w:color="auto"/>
              <w:bottom w:val="none" w:sz="0" w:space="0" w:color="auto"/>
            </w:tcBorders>
          </w:tcPr>
          <w:p w14:paraId="63DCE1CA"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0.010</w:t>
            </w:r>
          </w:p>
        </w:tc>
        <w:tc>
          <w:tcPr>
            <w:tcW w:w="2254" w:type="dxa"/>
            <w:tcBorders>
              <w:top w:val="none" w:sz="0" w:space="0" w:color="auto"/>
              <w:bottom w:val="none" w:sz="0" w:space="0" w:color="auto"/>
            </w:tcBorders>
          </w:tcPr>
          <w:p w14:paraId="2BCEFC98"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0.043</w:t>
            </w:r>
          </w:p>
        </w:tc>
        <w:tc>
          <w:tcPr>
            <w:tcW w:w="2254" w:type="dxa"/>
            <w:tcBorders>
              <w:top w:val="none" w:sz="0" w:space="0" w:color="auto"/>
              <w:bottom w:val="none" w:sz="0" w:space="0" w:color="auto"/>
            </w:tcBorders>
          </w:tcPr>
          <w:p w14:paraId="3EBD1083"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0.393</w:t>
            </w:r>
          </w:p>
        </w:tc>
      </w:tr>
      <w:tr w:rsidR="00193FF4" w:rsidRPr="005C21C3" w14:paraId="2FD1A3DD"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0D066850" w14:textId="77777777" w:rsidR="00193FF4" w:rsidRPr="000F2321" w:rsidRDefault="00193FF4" w:rsidP="004872B5">
            <w:pPr>
              <w:spacing w:line="480" w:lineRule="auto"/>
              <w:rPr>
                <w:b w:val="0"/>
                <w:bCs w:val="0"/>
              </w:rPr>
            </w:pPr>
            <w:r>
              <w:rPr>
                <w:b w:val="0"/>
              </w:rPr>
              <w:t xml:space="preserve">  </w:t>
            </w:r>
            <w:r w:rsidRPr="000F2321">
              <w:rPr>
                <w:b w:val="0"/>
              </w:rPr>
              <w:t>12</w:t>
            </w:r>
          </w:p>
        </w:tc>
        <w:tc>
          <w:tcPr>
            <w:tcW w:w="2254" w:type="dxa"/>
          </w:tcPr>
          <w:p w14:paraId="49DC77A4"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0.037</w:t>
            </w:r>
          </w:p>
        </w:tc>
        <w:tc>
          <w:tcPr>
            <w:tcW w:w="2254" w:type="dxa"/>
          </w:tcPr>
          <w:p w14:paraId="29E6995C"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0.005</w:t>
            </w:r>
          </w:p>
        </w:tc>
        <w:tc>
          <w:tcPr>
            <w:tcW w:w="2254" w:type="dxa"/>
          </w:tcPr>
          <w:p w14:paraId="0E961C8A"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0.932</w:t>
            </w:r>
          </w:p>
        </w:tc>
      </w:tr>
      <w:tr w:rsidR="00193FF4" w:rsidRPr="005C21C3" w14:paraId="61063DA3"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188824F0" w14:textId="77777777" w:rsidR="00193FF4" w:rsidRPr="000F2321" w:rsidRDefault="00193FF4" w:rsidP="004872B5">
            <w:pPr>
              <w:spacing w:line="480" w:lineRule="auto"/>
              <w:rPr>
                <w:b w:val="0"/>
                <w:bCs w:val="0"/>
              </w:rPr>
            </w:pPr>
            <w:r>
              <w:rPr>
                <w:b w:val="0"/>
              </w:rPr>
              <w:t xml:space="preserve">  </w:t>
            </w:r>
            <w:r w:rsidRPr="000F2321">
              <w:rPr>
                <w:b w:val="0"/>
              </w:rPr>
              <w:t>13</w:t>
            </w:r>
          </w:p>
        </w:tc>
        <w:tc>
          <w:tcPr>
            <w:tcW w:w="2254" w:type="dxa"/>
            <w:tcBorders>
              <w:top w:val="none" w:sz="0" w:space="0" w:color="auto"/>
              <w:bottom w:val="none" w:sz="0" w:space="0" w:color="auto"/>
            </w:tcBorders>
          </w:tcPr>
          <w:p w14:paraId="39FDC1E3"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0.172</w:t>
            </w:r>
          </w:p>
        </w:tc>
        <w:tc>
          <w:tcPr>
            <w:tcW w:w="2254" w:type="dxa"/>
            <w:tcBorders>
              <w:top w:val="none" w:sz="0" w:space="0" w:color="auto"/>
              <w:bottom w:val="none" w:sz="0" w:space="0" w:color="auto"/>
            </w:tcBorders>
          </w:tcPr>
          <w:p w14:paraId="5703EBDE"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0.974</w:t>
            </w:r>
          </w:p>
        </w:tc>
        <w:tc>
          <w:tcPr>
            <w:tcW w:w="2254" w:type="dxa"/>
            <w:tcBorders>
              <w:top w:val="none" w:sz="0" w:space="0" w:color="auto"/>
              <w:bottom w:val="none" w:sz="0" w:space="0" w:color="auto"/>
            </w:tcBorders>
          </w:tcPr>
          <w:p w14:paraId="4C7C8BA6"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0.011</w:t>
            </w:r>
          </w:p>
        </w:tc>
      </w:tr>
      <w:tr w:rsidR="00193FF4" w:rsidRPr="005C21C3" w14:paraId="7633B6A4"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47778A5B" w14:textId="77777777" w:rsidR="00193FF4" w:rsidRPr="000F2321" w:rsidRDefault="00193FF4" w:rsidP="004872B5">
            <w:pPr>
              <w:spacing w:line="480" w:lineRule="auto"/>
              <w:rPr>
                <w:b w:val="0"/>
                <w:bCs w:val="0"/>
              </w:rPr>
            </w:pPr>
            <w:r>
              <w:rPr>
                <w:b w:val="0"/>
              </w:rPr>
              <w:t xml:space="preserve">  </w:t>
            </w:r>
            <w:r w:rsidRPr="000F2321">
              <w:rPr>
                <w:b w:val="0"/>
              </w:rPr>
              <w:t>14</w:t>
            </w:r>
          </w:p>
        </w:tc>
        <w:tc>
          <w:tcPr>
            <w:tcW w:w="2254" w:type="dxa"/>
          </w:tcPr>
          <w:p w14:paraId="50038D5D"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0.949</w:t>
            </w:r>
          </w:p>
        </w:tc>
        <w:tc>
          <w:tcPr>
            <w:tcW w:w="2254" w:type="dxa"/>
          </w:tcPr>
          <w:p w14:paraId="33530D7D"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0.035</w:t>
            </w:r>
          </w:p>
        </w:tc>
        <w:tc>
          <w:tcPr>
            <w:tcW w:w="2254" w:type="dxa"/>
          </w:tcPr>
          <w:p w14:paraId="1439530C" w14:textId="77777777" w:rsidR="00193FF4" w:rsidRPr="00D604F2"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sidRPr="00D604F2">
              <w:rPr>
                <w:i/>
              </w:rPr>
              <w:t>0.348</w:t>
            </w:r>
          </w:p>
        </w:tc>
      </w:tr>
      <w:tr w:rsidR="00193FF4" w:rsidRPr="005C21C3" w14:paraId="24BC0696"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38F2B621" w14:textId="77777777" w:rsidR="00193FF4" w:rsidRPr="000F2321" w:rsidRDefault="00193FF4" w:rsidP="004872B5">
            <w:pPr>
              <w:spacing w:line="480" w:lineRule="auto"/>
              <w:rPr>
                <w:b w:val="0"/>
                <w:bCs w:val="0"/>
              </w:rPr>
            </w:pPr>
            <w:r>
              <w:rPr>
                <w:b w:val="0"/>
              </w:rPr>
              <w:t xml:space="preserve">  </w:t>
            </w:r>
            <w:r w:rsidRPr="000F2321">
              <w:rPr>
                <w:b w:val="0"/>
              </w:rPr>
              <w:t>15</w:t>
            </w:r>
          </w:p>
        </w:tc>
        <w:tc>
          <w:tcPr>
            <w:tcW w:w="2254" w:type="dxa"/>
            <w:tcBorders>
              <w:top w:val="none" w:sz="0" w:space="0" w:color="auto"/>
              <w:bottom w:val="none" w:sz="0" w:space="0" w:color="auto"/>
            </w:tcBorders>
          </w:tcPr>
          <w:p w14:paraId="5241CFE7"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1.147</w:t>
            </w:r>
          </w:p>
        </w:tc>
        <w:tc>
          <w:tcPr>
            <w:tcW w:w="2254" w:type="dxa"/>
            <w:tcBorders>
              <w:top w:val="none" w:sz="0" w:space="0" w:color="auto"/>
              <w:bottom w:val="none" w:sz="0" w:space="0" w:color="auto"/>
            </w:tcBorders>
          </w:tcPr>
          <w:p w14:paraId="41D1A86F"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0.007</w:t>
            </w:r>
          </w:p>
        </w:tc>
        <w:tc>
          <w:tcPr>
            <w:tcW w:w="2254" w:type="dxa"/>
            <w:tcBorders>
              <w:top w:val="none" w:sz="0" w:space="0" w:color="auto"/>
              <w:bottom w:val="none" w:sz="0" w:space="0" w:color="auto"/>
            </w:tcBorders>
          </w:tcPr>
          <w:p w14:paraId="23378A29"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0.025</w:t>
            </w:r>
          </w:p>
        </w:tc>
      </w:tr>
      <w:tr w:rsidR="00193FF4" w:rsidRPr="005C21C3" w14:paraId="4FEF1CB4"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5C556B1A" w14:textId="77777777" w:rsidR="00193FF4" w:rsidRPr="000F2321" w:rsidRDefault="00193FF4" w:rsidP="004872B5">
            <w:pPr>
              <w:spacing w:line="480" w:lineRule="auto"/>
              <w:rPr>
                <w:b w:val="0"/>
                <w:bCs w:val="0"/>
              </w:rPr>
            </w:pPr>
            <w:r>
              <w:rPr>
                <w:b w:val="0"/>
              </w:rPr>
              <w:t xml:space="preserve">  </w:t>
            </w:r>
            <w:r w:rsidRPr="000F2321">
              <w:rPr>
                <w:b w:val="0"/>
              </w:rPr>
              <w:t>16</w:t>
            </w:r>
          </w:p>
        </w:tc>
        <w:tc>
          <w:tcPr>
            <w:tcW w:w="2254" w:type="dxa"/>
          </w:tcPr>
          <w:p w14:paraId="53FAB0A4"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0.003</w:t>
            </w:r>
          </w:p>
        </w:tc>
        <w:tc>
          <w:tcPr>
            <w:tcW w:w="2254" w:type="dxa"/>
          </w:tcPr>
          <w:p w14:paraId="53576881"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0.031</w:t>
            </w:r>
          </w:p>
        </w:tc>
        <w:tc>
          <w:tcPr>
            <w:tcW w:w="2254" w:type="dxa"/>
          </w:tcPr>
          <w:p w14:paraId="5B511067"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0.596</w:t>
            </w:r>
          </w:p>
        </w:tc>
      </w:tr>
      <w:tr w:rsidR="00193FF4" w:rsidRPr="005C21C3" w14:paraId="637ED4CD"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232D04B4" w14:textId="77777777" w:rsidR="00193FF4" w:rsidRPr="000F2321" w:rsidRDefault="00193FF4" w:rsidP="004872B5">
            <w:pPr>
              <w:spacing w:line="480" w:lineRule="auto"/>
              <w:rPr>
                <w:b w:val="0"/>
                <w:bCs w:val="0"/>
              </w:rPr>
            </w:pPr>
            <w:r>
              <w:rPr>
                <w:b w:val="0"/>
              </w:rPr>
              <w:t xml:space="preserve">  </w:t>
            </w:r>
            <w:r w:rsidRPr="000F2321">
              <w:rPr>
                <w:b w:val="0"/>
              </w:rPr>
              <w:t>17</w:t>
            </w:r>
          </w:p>
        </w:tc>
        <w:tc>
          <w:tcPr>
            <w:tcW w:w="2254" w:type="dxa"/>
            <w:tcBorders>
              <w:top w:val="none" w:sz="0" w:space="0" w:color="auto"/>
              <w:bottom w:val="none" w:sz="0" w:space="0" w:color="auto"/>
            </w:tcBorders>
          </w:tcPr>
          <w:p w14:paraId="111A22AB"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0.798</w:t>
            </w:r>
          </w:p>
        </w:tc>
        <w:tc>
          <w:tcPr>
            <w:tcW w:w="2254" w:type="dxa"/>
            <w:tcBorders>
              <w:top w:val="none" w:sz="0" w:space="0" w:color="auto"/>
              <w:bottom w:val="none" w:sz="0" w:space="0" w:color="auto"/>
            </w:tcBorders>
          </w:tcPr>
          <w:p w14:paraId="32B0B338"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0.186</w:t>
            </w:r>
          </w:p>
        </w:tc>
        <w:tc>
          <w:tcPr>
            <w:tcW w:w="2254" w:type="dxa"/>
            <w:tcBorders>
              <w:top w:val="none" w:sz="0" w:space="0" w:color="auto"/>
              <w:bottom w:val="none" w:sz="0" w:space="0" w:color="auto"/>
            </w:tcBorders>
          </w:tcPr>
          <w:p w14:paraId="3FD82E8E" w14:textId="77777777" w:rsidR="00193FF4" w:rsidRPr="00D604F2"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i/>
              </w:rPr>
            </w:pPr>
            <w:r w:rsidRPr="00D604F2">
              <w:rPr>
                <w:i/>
              </w:rPr>
              <w:t>0.503</w:t>
            </w:r>
          </w:p>
        </w:tc>
      </w:tr>
      <w:tr w:rsidR="00193FF4" w:rsidRPr="005C21C3" w14:paraId="53184B30"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13B6A6CD" w14:textId="77777777" w:rsidR="00193FF4" w:rsidRPr="000F2321" w:rsidRDefault="00193FF4" w:rsidP="004872B5">
            <w:pPr>
              <w:spacing w:line="480" w:lineRule="auto"/>
              <w:rPr>
                <w:b w:val="0"/>
                <w:bCs w:val="0"/>
              </w:rPr>
            </w:pPr>
            <w:r>
              <w:rPr>
                <w:b w:val="0"/>
              </w:rPr>
              <w:t xml:space="preserve">  </w:t>
            </w:r>
            <w:r w:rsidRPr="000F2321">
              <w:rPr>
                <w:b w:val="0"/>
              </w:rPr>
              <w:t>18</w:t>
            </w:r>
          </w:p>
        </w:tc>
        <w:tc>
          <w:tcPr>
            <w:tcW w:w="2254" w:type="dxa"/>
          </w:tcPr>
          <w:p w14:paraId="6129B048"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0.702</w:t>
            </w:r>
          </w:p>
        </w:tc>
        <w:tc>
          <w:tcPr>
            <w:tcW w:w="2254" w:type="dxa"/>
          </w:tcPr>
          <w:p w14:paraId="175CA1A3"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0.023</w:t>
            </w:r>
          </w:p>
        </w:tc>
        <w:tc>
          <w:tcPr>
            <w:tcW w:w="2254" w:type="dxa"/>
          </w:tcPr>
          <w:p w14:paraId="57B197C5"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0.272</w:t>
            </w:r>
          </w:p>
        </w:tc>
      </w:tr>
      <w:tr w:rsidR="00193FF4" w:rsidRPr="005C21C3" w14:paraId="09D8F255"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66095C7B" w14:textId="77777777" w:rsidR="00193FF4" w:rsidRPr="000F2321" w:rsidRDefault="00193FF4" w:rsidP="004872B5">
            <w:pPr>
              <w:spacing w:line="480" w:lineRule="auto"/>
              <w:rPr>
                <w:b w:val="0"/>
                <w:bCs w:val="0"/>
              </w:rPr>
            </w:pPr>
            <w:r>
              <w:rPr>
                <w:b w:val="0"/>
              </w:rPr>
              <w:t xml:space="preserve">  </w:t>
            </w:r>
            <w:r w:rsidRPr="000F2321">
              <w:rPr>
                <w:b w:val="0"/>
              </w:rPr>
              <w:t>19</w:t>
            </w:r>
          </w:p>
        </w:tc>
        <w:tc>
          <w:tcPr>
            <w:tcW w:w="2254" w:type="dxa"/>
            <w:tcBorders>
              <w:top w:val="none" w:sz="0" w:space="0" w:color="auto"/>
              <w:bottom w:val="none" w:sz="0" w:space="0" w:color="auto"/>
            </w:tcBorders>
          </w:tcPr>
          <w:p w14:paraId="102DD80B"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i/>
                <w:iCs/>
              </w:rPr>
            </w:pPr>
            <w:r w:rsidRPr="005C21C3">
              <w:rPr>
                <w:i/>
                <w:iCs/>
              </w:rPr>
              <w:t>0.619</w:t>
            </w:r>
          </w:p>
        </w:tc>
        <w:tc>
          <w:tcPr>
            <w:tcW w:w="2254" w:type="dxa"/>
            <w:tcBorders>
              <w:top w:val="none" w:sz="0" w:space="0" w:color="auto"/>
              <w:bottom w:val="none" w:sz="0" w:space="0" w:color="auto"/>
            </w:tcBorders>
          </w:tcPr>
          <w:p w14:paraId="49C5CD0D"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0.095</w:t>
            </w:r>
          </w:p>
        </w:tc>
        <w:tc>
          <w:tcPr>
            <w:tcW w:w="2254" w:type="dxa"/>
            <w:tcBorders>
              <w:top w:val="none" w:sz="0" w:space="0" w:color="auto"/>
              <w:bottom w:val="none" w:sz="0" w:space="0" w:color="auto"/>
            </w:tcBorders>
          </w:tcPr>
          <w:p w14:paraId="44584842"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0.685</w:t>
            </w:r>
          </w:p>
        </w:tc>
      </w:tr>
      <w:tr w:rsidR="00193FF4" w:rsidRPr="005C21C3" w14:paraId="43B1D8DE"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62D55F00" w14:textId="77777777" w:rsidR="00193FF4" w:rsidRPr="000F2321" w:rsidRDefault="00193FF4" w:rsidP="004872B5">
            <w:pPr>
              <w:spacing w:line="480" w:lineRule="auto"/>
              <w:rPr>
                <w:b w:val="0"/>
                <w:bCs w:val="0"/>
              </w:rPr>
            </w:pPr>
            <w:r>
              <w:rPr>
                <w:b w:val="0"/>
              </w:rPr>
              <w:t xml:space="preserve">  </w:t>
            </w:r>
            <w:r w:rsidRPr="000F2321">
              <w:rPr>
                <w:b w:val="0"/>
              </w:rPr>
              <w:t>20</w:t>
            </w:r>
          </w:p>
        </w:tc>
        <w:tc>
          <w:tcPr>
            <w:tcW w:w="2254" w:type="dxa"/>
          </w:tcPr>
          <w:p w14:paraId="2EAA5EB7"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0.138</w:t>
            </w:r>
          </w:p>
        </w:tc>
        <w:tc>
          <w:tcPr>
            <w:tcW w:w="2254" w:type="dxa"/>
          </w:tcPr>
          <w:p w14:paraId="5900528B"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0.720</w:t>
            </w:r>
          </w:p>
        </w:tc>
        <w:tc>
          <w:tcPr>
            <w:tcW w:w="2254" w:type="dxa"/>
          </w:tcPr>
          <w:p w14:paraId="7C6B83F2"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0.128</w:t>
            </w:r>
          </w:p>
        </w:tc>
      </w:tr>
      <w:tr w:rsidR="00193FF4" w:rsidRPr="005C21C3" w14:paraId="3CF9B7D3"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18D9A387" w14:textId="77777777" w:rsidR="00193FF4" w:rsidRPr="000F2321" w:rsidRDefault="00193FF4" w:rsidP="004872B5">
            <w:pPr>
              <w:spacing w:line="480" w:lineRule="auto"/>
              <w:rPr>
                <w:b w:val="0"/>
                <w:bCs w:val="0"/>
              </w:rPr>
            </w:pPr>
            <w:r>
              <w:rPr>
                <w:b w:val="0"/>
              </w:rPr>
              <w:t xml:space="preserve">  </w:t>
            </w:r>
            <w:r w:rsidRPr="000F2321">
              <w:rPr>
                <w:b w:val="0"/>
              </w:rPr>
              <w:t>21</w:t>
            </w:r>
          </w:p>
        </w:tc>
        <w:tc>
          <w:tcPr>
            <w:tcW w:w="2254" w:type="dxa"/>
            <w:tcBorders>
              <w:top w:val="none" w:sz="0" w:space="0" w:color="auto"/>
              <w:bottom w:val="none" w:sz="0" w:space="0" w:color="auto"/>
            </w:tcBorders>
          </w:tcPr>
          <w:p w14:paraId="70633494"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1.206</w:t>
            </w:r>
          </w:p>
        </w:tc>
        <w:tc>
          <w:tcPr>
            <w:tcW w:w="2254" w:type="dxa"/>
            <w:tcBorders>
              <w:top w:val="none" w:sz="0" w:space="0" w:color="auto"/>
              <w:bottom w:val="none" w:sz="0" w:space="0" w:color="auto"/>
            </w:tcBorders>
          </w:tcPr>
          <w:p w14:paraId="28E4F6FF"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0.247</w:t>
            </w:r>
          </w:p>
        </w:tc>
        <w:tc>
          <w:tcPr>
            <w:tcW w:w="2254" w:type="dxa"/>
            <w:tcBorders>
              <w:top w:val="none" w:sz="0" w:space="0" w:color="auto"/>
              <w:bottom w:val="none" w:sz="0" w:space="0" w:color="auto"/>
            </w:tcBorders>
          </w:tcPr>
          <w:p w14:paraId="72E45765"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0.013</w:t>
            </w:r>
          </w:p>
        </w:tc>
      </w:tr>
      <w:tr w:rsidR="00193FF4" w:rsidRPr="005C21C3" w14:paraId="13917154"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530DF67D" w14:textId="77777777" w:rsidR="00193FF4" w:rsidRPr="000F2321" w:rsidRDefault="00193FF4" w:rsidP="004872B5">
            <w:pPr>
              <w:spacing w:line="480" w:lineRule="auto"/>
              <w:rPr>
                <w:b w:val="0"/>
                <w:bCs w:val="0"/>
              </w:rPr>
            </w:pPr>
            <w:r>
              <w:rPr>
                <w:b w:val="0"/>
              </w:rPr>
              <w:t xml:space="preserve">  </w:t>
            </w:r>
            <w:r w:rsidRPr="000F2321">
              <w:rPr>
                <w:b w:val="0"/>
              </w:rPr>
              <w:t>22</w:t>
            </w:r>
          </w:p>
        </w:tc>
        <w:tc>
          <w:tcPr>
            <w:tcW w:w="2254" w:type="dxa"/>
          </w:tcPr>
          <w:p w14:paraId="59B5F545"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0.596</w:t>
            </w:r>
          </w:p>
        </w:tc>
        <w:tc>
          <w:tcPr>
            <w:tcW w:w="2254" w:type="dxa"/>
          </w:tcPr>
          <w:p w14:paraId="348F4C6E"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0.099</w:t>
            </w:r>
          </w:p>
        </w:tc>
        <w:tc>
          <w:tcPr>
            <w:tcW w:w="2254" w:type="dxa"/>
          </w:tcPr>
          <w:p w14:paraId="7873F52B"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0.220</w:t>
            </w:r>
          </w:p>
        </w:tc>
      </w:tr>
      <w:tr w:rsidR="00193FF4" w:rsidRPr="005C21C3" w14:paraId="4863D396"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4DB55CFC" w14:textId="77777777" w:rsidR="00193FF4" w:rsidRPr="000F2321" w:rsidRDefault="00193FF4" w:rsidP="004872B5">
            <w:pPr>
              <w:spacing w:line="480" w:lineRule="auto"/>
              <w:rPr>
                <w:b w:val="0"/>
                <w:bCs w:val="0"/>
              </w:rPr>
            </w:pPr>
            <w:r>
              <w:rPr>
                <w:b w:val="0"/>
              </w:rPr>
              <w:lastRenderedPageBreak/>
              <w:t xml:space="preserve">  </w:t>
            </w:r>
            <w:r w:rsidRPr="000F2321">
              <w:rPr>
                <w:b w:val="0"/>
              </w:rPr>
              <w:t>23</w:t>
            </w:r>
          </w:p>
        </w:tc>
        <w:tc>
          <w:tcPr>
            <w:tcW w:w="2254" w:type="dxa"/>
            <w:tcBorders>
              <w:top w:val="none" w:sz="0" w:space="0" w:color="auto"/>
              <w:bottom w:val="none" w:sz="0" w:space="0" w:color="auto"/>
            </w:tcBorders>
          </w:tcPr>
          <w:p w14:paraId="41BD1599"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0.074</w:t>
            </w:r>
          </w:p>
        </w:tc>
        <w:tc>
          <w:tcPr>
            <w:tcW w:w="2254" w:type="dxa"/>
            <w:tcBorders>
              <w:top w:val="none" w:sz="0" w:space="0" w:color="auto"/>
              <w:bottom w:val="none" w:sz="0" w:space="0" w:color="auto"/>
            </w:tcBorders>
          </w:tcPr>
          <w:p w14:paraId="0DF2778F"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i/>
                <w:iCs/>
              </w:rPr>
            </w:pPr>
            <w:r w:rsidRPr="005C21C3">
              <w:rPr>
                <w:i/>
                <w:iCs/>
              </w:rPr>
              <w:t>0.405</w:t>
            </w:r>
          </w:p>
        </w:tc>
        <w:tc>
          <w:tcPr>
            <w:tcW w:w="2254" w:type="dxa"/>
            <w:tcBorders>
              <w:top w:val="none" w:sz="0" w:space="0" w:color="auto"/>
              <w:bottom w:val="none" w:sz="0" w:space="0" w:color="auto"/>
            </w:tcBorders>
          </w:tcPr>
          <w:p w14:paraId="29E16EC9"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r w:rsidRPr="005C21C3">
              <w:rPr>
                <w:b/>
                <w:bCs/>
              </w:rPr>
              <w:t>0.476</w:t>
            </w:r>
          </w:p>
        </w:tc>
      </w:tr>
      <w:tr w:rsidR="00193FF4" w:rsidRPr="005C21C3" w14:paraId="096A84BC"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38B8EEAB" w14:textId="77777777" w:rsidR="00193FF4" w:rsidRPr="000F2321" w:rsidRDefault="00193FF4" w:rsidP="004872B5">
            <w:pPr>
              <w:spacing w:line="480" w:lineRule="auto"/>
              <w:rPr>
                <w:b w:val="0"/>
                <w:bCs w:val="0"/>
              </w:rPr>
            </w:pPr>
            <w:r>
              <w:rPr>
                <w:b w:val="0"/>
              </w:rPr>
              <w:t xml:space="preserve">  </w:t>
            </w:r>
            <w:r w:rsidRPr="000F2321">
              <w:rPr>
                <w:b w:val="0"/>
              </w:rPr>
              <w:t>24</w:t>
            </w:r>
          </w:p>
        </w:tc>
        <w:tc>
          <w:tcPr>
            <w:tcW w:w="2254" w:type="dxa"/>
          </w:tcPr>
          <w:p w14:paraId="29A8F369" w14:textId="77777777" w:rsidR="00193FF4" w:rsidRPr="00D604F2"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i/>
              </w:rPr>
            </w:pPr>
            <w:r w:rsidRPr="00D604F2">
              <w:rPr>
                <w:i/>
              </w:rPr>
              <w:t>0.341</w:t>
            </w:r>
          </w:p>
        </w:tc>
        <w:tc>
          <w:tcPr>
            <w:tcW w:w="2254" w:type="dxa"/>
          </w:tcPr>
          <w:p w14:paraId="518EBC17"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0.071</w:t>
            </w:r>
          </w:p>
        </w:tc>
        <w:tc>
          <w:tcPr>
            <w:tcW w:w="2254" w:type="dxa"/>
          </w:tcPr>
          <w:p w14:paraId="6BD299FE"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b/>
                <w:bCs/>
              </w:rPr>
            </w:pPr>
            <w:r w:rsidRPr="005C21C3">
              <w:rPr>
                <w:b/>
                <w:bCs/>
              </w:rPr>
              <w:t>0.798</w:t>
            </w:r>
          </w:p>
        </w:tc>
      </w:tr>
      <w:tr w:rsidR="00193FF4" w:rsidRPr="005C21C3" w14:paraId="503A3793"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5672E3A8" w14:textId="77777777" w:rsidR="00193FF4" w:rsidRPr="000F2321" w:rsidRDefault="00193FF4" w:rsidP="004872B5">
            <w:pPr>
              <w:spacing w:line="480" w:lineRule="auto"/>
              <w:rPr>
                <w:b w:val="0"/>
                <w:bCs w:val="0"/>
              </w:rPr>
            </w:pPr>
            <w:r w:rsidRPr="000F2321">
              <w:rPr>
                <w:b w:val="0"/>
              </w:rPr>
              <w:t>Correlations</w:t>
            </w:r>
          </w:p>
        </w:tc>
        <w:tc>
          <w:tcPr>
            <w:tcW w:w="2254" w:type="dxa"/>
            <w:tcBorders>
              <w:top w:val="none" w:sz="0" w:space="0" w:color="auto"/>
              <w:bottom w:val="none" w:sz="0" w:space="0" w:color="auto"/>
            </w:tcBorders>
          </w:tcPr>
          <w:p w14:paraId="10948930"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i/>
                <w:iCs/>
              </w:rPr>
            </w:pPr>
          </w:p>
        </w:tc>
        <w:tc>
          <w:tcPr>
            <w:tcW w:w="2254" w:type="dxa"/>
            <w:tcBorders>
              <w:top w:val="none" w:sz="0" w:space="0" w:color="auto"/>
              <w:bottom w:val="none" w:sz="0" w:space="0" w:color="auto"/>
            </w:tcBorders>
          </w:tcPr>
          <w:p w14:paraId="2D5FB228"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2254" w:type="dxa"/>
            <w:tcBorders>
              <w:top w:val="none" w:sz="0" w:space="0" w:color="auto"/>
              <w:bottom w:val="none" w:sz="0" w:space="0" w:color="auto"/>
            </w:tcBorders>
          </w:tcPr>
          <w:p w14:paraId="4B427974"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b/>
                <w:bCs/>
              </w:rPr>
            </w:pPr>
          </w:p>
        </w:tc>
      </w:tr>
      <w:tr w:rsidR="00193FF4" w:rsidRPr="005C21C3" w14:paraId="47F4A124" w14:textId="77777777" w:rsidTr="004872B5">
        <w:tc>
          <w:tcPr>
            <w:cnfStyle w:val="001000000000" w:firstRow="0" w:lastRow="0" w:firstColumn="1" w:lastColumn="0" w:oddVBand="0" w:evenVBand="0" w:oddHBand="0" w:evenHBand="0" w:firstRowFirstColumn="0" w:firstRowLastColumn="0" w:lastRowFirstColumn="0" w:lastRowLastColumn="0"/>
            <w:tcW w:w="2254" w:type="dxa"/>
          </w:tcPr>
          <w:p w14:paraId="6472D379" w14:textId="77777777" w:rsidR="00193FF4" w:rsidRPr="000F2321" w:rsidRDefault="00193FF4" w:rsidP="004872B5">
            <w:pPr>
              <w:spacing w:line="480" w:lineRule="auto"/>
              <w:rPr>
                <w:b w:val="0"/>
                <w:bCs w:val="0"/>
              </w:rPr>
            </w:pPr>
            <w:r>
              <w:rPr>
                <w:b w:val="0"/>
              </w:rPr>
              <w:t xml:space="preserve">  </w:t>
            </w:r>
            <w:r w:rsidRPr="000F2321">
              <w:rPr>
                <w:b w:val="0"/>
              </w:rPr>
              <w:t>Factor 1</w:t>
            </w:r>
          </w:p>
        </w:tc>
        <w:tc>
          <w:tcPr>
            <w:tcW w:w="2254" w:type="dxa"/>
          </w:tcPr>
          <w:p w14:paraId="2427B754"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rPr>
                <w:i/>
                <w:iCs/>
              </w:rPr>
            </w:pPr>
          </w:p>
        </w:tc>
        <w:tc>
          <w:tcPr>
            <w:tcW w:w="2254" w:type="dxa"/>
          </w:tcPr>
          <w:p w14:paraId="22B0DA59"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0.230</w:t>
            </w:r>
          </w:p>
        </w:tc>
        <w:tc>
          <w:tcPr>
            <w:tcW w:w="2254" w:type="dxa"/>
          </w:tcPr>
          <w:p w14:paraId="75B55116" w14:textId="77777777" w:rsidR="00193FF4" w:rsidRPr="005C21C3" w:rsidRDefault="00193FF4" w:rsidP="004872B5">
            <w:pPr>
              <w:spacing w:line="480" w:lineRule="auto"/>
              <w:jc w:val="center"/>
              <w:cnfStyle w:val="000000000000" w:firstRow="0" w:lastRow="0" w:firstColumn="0" w:lastColumn="0" w:oddVBand="0" w:evenVBand="0" w:oddHBand="0" w:evenHBand="0" w:firstRowFirstColumn="0" w:firstRowLastColumn="0" w:lastRowFirstColumn="0" w:lastRowLastColumn="0"/>
            </w:pPr>
            <w:r w:rsidRPr="005C21C3">
              <w:t>0.388</w:t>
            </w:r>
          </w:p>
        </w:tc>
      </w:tr>
      <w:tr w:rsidR="00193FF4" w:rsidRPr="005C21C3" w14:paraId="09EFEA11" w14:textId="77777777" w:rsidTr="00487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none" w:sz="0" w:space="0" w:color="auto"/>
              <w:bottom w:val="none" w:sz="0" w:space="0" w:color="auto"/>
            </w:tcBorders>
          </w:tcPr>
          <w:p w14:paraId="0ED6CE81" w14:textId="77777777" w:rsidR="00193FF4" w:rsidRPr="000F2321" w:rsidRDefault="00193FF4" w:rsidP="004872B5">
            <w:pPr>
              <w:spacing w:line="480" w:lineRule="auto"/>
              <w:rPr>
                <w:b w:val="0"/>
                <w:bCs w:val="0"/>
              </w:rPr>
            </w:pPr>
            <w:r>
              <w:rPr>
                <w:b w:val="0"/>
              </w:rPr>
              <w:t xml:space="preserve">  </w:t>
            </w:r>
            <w:r w:rsidRPr="000F2321">
              <w:rPr>
                <w:b w:val="0"/>
              </w:rPr>
              <w:t>Factor 2</w:t>
            </w:r>
          </w:p>
        </w:tc>
        <w:tc>
          <w:tcPr>
            <w:tcW w:w="2254" w:type="dxa"/>
            <w:tcBorders>
              <w:top w:val="none" w:sz="0" w:space="0" w:color="auto"/>
              <w:bottom w:val="none" w:sz="0" w:space="0" w:color="auto"/>
            </w:tcBorders>
          </w:tcPr>
          <w:p w14:paraId="61BCD7F8"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rPr>
                <w:i/>
                <w:iCs/>
              </w:rPr>
            </w:pPr>
          </w:p>
        </w:tc>
        <w:tc>
          <w:tcPr>
            <w:tcW w:w="2254" w:type="dxa"/>
            <w:tcBorders>
              <w:top w:val="none" w:sz="0" w:space="0" w:color="auto"/>
              <w:bottom w:val="none" w:sz="0" w:space="0" w:color="auto"/>
            </w:tcBorders>
          </w:tcPr>
          <w:p w14:paraId="24B62C46"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p>
        </w:tc>
        <w:tc>
          <w:tcPr>
            <w:tcW w:w="2254" w:type="dxa"/>
            <w:tcBorders>
              <w:top w:val="none" w:sz="0" w:space="0" w:color="auto"/>
              <w:bottom w:val="none" w:sz="0" w:space="0" w:color="auto"/>
            </w:tcBorders>
          </w:tcPr>
          <w:p w14:paraId="7BCD3179" w14:textId="77777777" w:rsidR="00193FF4" w:rsidRPr="005C21C3" w:rsidRDefault="00193FF4" w:rsidP="004872B5">
            <w:pPr>
              <w:spacing w:line="480" w:lineRule="auto"/>
              <w:jc w:val="center"/>
              <w:cnfStyle w:val="000000100000" w:firstRow="0" w:lastRow="0" w:firstColumn="0" w:lastColumn="0" w:oddVBand="0" w:evenVBand="0" w:oddHBand="1" w:evenHBand="0" w:firstRowFirstColumn="0" w:firstRowLastColumn="0" w:lastRowFirstColumn="0" w:lastRowLastColumn="0"/>
            </w:pPr>
            <w:r w:rsidRPr="005C21C3">
              <w:t>0.478</w:t>
            </w:r>
          </w:p>
        </w:tc>
      </w:tr>
    </w:tbl>
    <w:p w14:paraId="53F3526F" w14:textId="77777777" w:rsidR="00193FF4" w:rsidRDefault="00193FF4" w:rsidP="00193FF4">
      <w:pPr>
        <w:spacing w:line="480" w:lineRule="auto"/>
        <w:sectPr w:rsidR="00193FF4" w:rsidSect="00193FF4">
          <w:type w:val="continuous"/>
          <w:pgSz w:w="11900" w:h="16840"/>
          <w:pgMar w:top="1440" w:right="1440" w:bottom="1440" w:left="1440" w:header="708" w:footer="708" w:gutter="0"/>
          <w:cols w:space="708"/>
          <w:docGrid w:linePitch="360"/>
        </w:sectPr>
      </w:pPr>
      <w:r w:rsidRPr="005C21C3">
        <w:t xml:space="preserve">Notes. Values in bold are highest loading; Values in italics represent cross loadings; Values below 0.32 </w:t>
      </w:r>
      <w:r>
        <w:t>are non-significant but maintained for completeness. N = 132.</w:t>
      </w:r>
    </w:p>
    <w:p w14:paraId="38AE585F" w14:textId="77777777" w:rsidR="00193FF4" w:rsidRPr="00D604F2" w:rsidRDefault="00193FF4" w:rsidP="00193FF4">
      <w:pPr>
        <w:spacing w:line="480" w:lineRule="auto"/>
      </w:pPr>
      <w:r w:rsidRPr="00D604F2">
        <w:lastRenderedPageBreak/>
        <w:t xml:space="preserve">Table </w:t>
      </w:r>
      <w:r>
        <w:t>3:</w:t>
      </w:r>
      <w:r w:rsidRPr="00D604F2">
        <w:t xml:space="preserve"> Factor structure for the 12</w:t>
      </w:r>
      <w:r>
        <w:t>-</w:t>
      </w:r>
      <w:r w:rsidRPr="00D604F2">
        <w:t>item CFEAB.</w:t>
      </w:r>
    </w:p>
    <w:tbl>
      <w:tblPr>
        <w:tblStyle w:val="TableGrid"/>
        <w:tblW w:w="138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9"/>
        <w:gridCol w:w="1739"/>
        <w:gridCol w:w="1518"/>
        <w:gridCol w:w="1650"/>
      </w:tblGrid>
      <w:tr w:rsidR="00193FF4" w:rsidRPr="005C21C3" w14:paraId="65D74427" w14:textId="77777777" w:rsidTr="004872B5">
        <w:trPr>
          <w:trHeight w:val="513"/>
        </w:trPr>
        <w:tc>
          <w:tcPr>
            <w:tcW w:w="8969" w:type="dxa"/>
            <w:tcBorders>
              <w:top w:val="single" w:sz="4" w:space="0" w:color="auto"/>
              <w:bottom w:val="single" w:sz="4" w:space="0" w:color="auto"/>
            </w:tcBorders>
          </w:tcPr>
          <w:p w14:paraId="13810B82" w14:textId="77777777" w:rsidR="00193FF4" w:rsidRPr="000F2321" w:rsidRDefault="00193FF4" w:rsidP="004872B5">
            <w:pPr>
              <w:spacing w:line="480" w:lineRule="auto"/>
              <w:rPr>
                <w:b/>
                <w:bCs/>
              </w:rPr>
            </w:pPr>
            <w:r w:rsidRPr="000F2321">
              <w:t>Item</w:t>
            </w:r>
          </w:p>
        </w:tc>
        <w:tc>
          <w:tcPr>
            <w:tcW w:w="1739" w:type="dxa"/>
            <w:tcBorders>
              <w:top w:val="single" w:sz="4" w:space="0" w:color="auto"/>
              <w:bottom w:val="single" w:sz="4" w:space="0" w:color="auto"/>
            </w:tcBorders>
          </w:tcPr>
          <w:p w14:paraId="58A32948" w14:textId="77777777" w:rsidR="00193FF4" w:rsidRPr="000F2321" w:rsidRDefault="00193FF4" w:rsidP="004872B5">
            <w:pPr>
              <w:spacing w:line="480" w:lineRule="auto"/>
              <w:jc w:val="center"/>
              <w:rPr>
                <w:b/>
                <w:bCs/>
              </w:rPr>
            </w:pPr>
            <w:r w:rsidRPr="000F2321">
              <w:t>Factor 1</w:t>
            </w:r>
          </w:p>
        </w:tc>
        <w:tc>
          <w:tcPr>
            <w:tcW w:w="1518" w:type="dxa"/>
            <w:tcBorders>
              <w:top w:val="single" w:sz="4" w:space="0" w:color="auto"/>
              <w:bottom w:val="single" w:sz="4" w:space="0" w:color="auto"/>
            </w:tcBorders>
          </w:tcPr>
          <w:p w14:paraId="06738BB2" w14:textId="77777777" w:rsidR="00193FF4" w:rsidRPr="000F2321" w:rsidRDefault="00193FF4" w:rsidP="004872B5">
            <w:pPr>
              <w:spacing w:line="480" w:lineRule="auto"/>
              <w:jc w:val="center"/>
              <w:rPr>
                <w:b/>
                <w:bCs/>
              </w:rPr>
            </w:pPr>
            <w:r w:rsidRPr="000F2321">
              <w:t>Factor 2</w:t>
            </w:r>
          </w:p>
        </w:tc>
        <w:tc>
          <w:tcPr>
            <w:tcW w:w="1650" w:type="dxa"/>
            <w:tcBorders>
              <w:top w:val="single" w:sz="4" w:space="0" w:color="auto"/>
              <w:bottom w:val="single" w:sz="4" w:space="0" w:color="auto"/>
            </w:tcBorders>
          </w:tcPr>
          <w:p w14:paraId="19C2EBA8" w14:textId="77777777" w:rsidR="00193FF4" w:rsidRPr="000F2321" w:rsidRDefault="00193FF4" w:rsidP="004872B5">
            <w:pPr>
              <w:spacing w:line="480" w:lineRule="auto"/>
              <w:jc w:val="center"/>
              <w:rPr>
                <w:b/>
                <w:bCs/>
              </w:rPr>
            </w:pPr>
            <w:r w:rsidRPr="000F2321">
              <w:t>Factor 3</w:t>
            </w:r>
          </w:p>
        </w:tc>
      </w:tr>
      <w:tr w:rsidR="00193FF4" w:rsidRPr="005C21C3" w14:paraId="6D656C8E" w14:textId="77777777" w:rsidTr="004872B5">
        <w:trPr>
          <w:trHeight w:val="513"/>
        </w:trPr>
        <w:tc>
          <w:tcPr>
            <w:tcW w:w="8969" w:type="dxa"/>
            <w:tcBorders>
              <w:top w:val="single" w:sz="4" w:space="0" w:color="auto"/>
            </w:tcBorders>
          </w:tcPr>
          <w:p w14:paraId="0E5E67E2" w14:textId="77777777" w:rsidR="00193FF4" w:rsidRPr="00C0128D" w:rsidRDefault="00193FF4" w:rsidP="004872B5">
            <w:pPr>
              <w:spacing w:line="480" w:lineRule="auto"/>
              <w:rPr>
                <w:b/>
                <w:bCs/>
              </w:rPr>
            </w:pPr>
            <w:r w:rsidRPr="00C0128D">
              <w:t>3. I cut down on food to lose weight.</w:t>
            </w:r>
          </w:p>
        </w:tc>
        <w:tc>
          <w:tcPr>
            <w:tcW w:w="1739" w:type="dxa"/>
            <w:tcBorders>
              <w:top w:val="single" w:sz="4" w:space="0" w:color="auto"/>
            </w:tcBorders>
          </w:tcPr>
          <w:p w14:paraId="56C4092A" w14:textId="77777777" w:rsidR="00193FF4" w:rsidRPr="005C21C3" w:rsidRDefault="00193FF4" w:rsidP="004872B5">
            <w:pPr>
              <w:spacing w:line="480" w:lineRule="auto"/>
              <w:jc w:val="center"/>
              <w:rPr>
                <w:b/>
              </w:rPr>
            </w:pPr>
            <w:r w:rsidRPr="005C21C3">
              <w:rPr>
                <w:b/>
              </w:rPr>
              <w:t>0.950</w:t>
            </w:r>
          </w:p>
        </w:tc>
        <w:tc>
          <w:tcPr>
            <w:tcW w:w="1518" w:type="dxa"/>
            <w:tcBorders>
              <w:top w:val="single" w:sz="4" w:space="0" w:color="auto"/>
            </w:tcBorders>
          </w:tcPr>
          <w:p w14:paraId="39A075B6" w14:textId="77777777" w:rsidR="00193FF4" w:rsidRPr="005C21C3" w:rsidRDefault="00193FF4" w:rsidP="004872B5">
            <w:pPr>
              <w:spacing w:line="480" w:lineRule="auto"/>
              <w:jc w:val="center"/>
              <w:rPr>
                <w:bCs/>
              </w:rPr>
            </w:pPr>
            <w:r w:rsidRPr="005C21C3">
              <w:rPr>
                <w:bCs/>
              </w:rPr>
              <w:t>0.028</w:t>
            </w:r>
          </w:p>
        </w:tc>
        <w:tc>
          <w:tcPr>
            <w:tcW w:w="1650" w:type="dxa"/>
            <w:tcBorders>
              <w:top w:val="single" w:sz="4" w:space="0" w:color="auto"/>
            </w:tcBorders>
          </w:tcPr>
          <w:p w14:paraId="5BD09EB5" w14:textId="77777777" w:rsidR="00193FF4" w:rsidRPr="005C21C3" w:rsidRDefault="00193FF4" w:rsidP="004872B5">
            <w:pPr>
              <w:spacing w:line="480" w:lineRule="auto"/>
              <w:jc w:val="center"/>
            </w:pPr>
            <w:r w:rsidRPr="005C21C3">
              <w:t>0.072</w:t>
            </w:r>
          </w:p>
        </w:tc>
      </w:tr>
      <w:tr w:rsidR="00193FF4" w:rsidRPr="005C21C3" w14:paraId="18209BBE" w14:textId="77777777" w:rsidTr="004872B5">
        <w:trPr>
          <w:trHeight w:val="377"/>
        </w:trPr>
        <w:tc>
          <w:tcPr>
            <w:tcW w:w="8969" w:type="dxa"/>
          </w:tcPr>
          <w:p w14:paraId="67026584" w14:textId="77777777" w:rsidR="00193FF4" w:rsidRPr="00C0128D" w:rsidRDefault="00193FF4" w:rsidP="004872B5">
            <w:pPr>
              <w:spacing w:line="480" w:lineRule="auto"/>
              <w:rPr>
                <w:b/>
                <w:bCs/>
              </w:rPr>
            </w:pPr>
            <w:r w:rsidRPr="00C0128D">
              <w:t>5. I don’t feel like eating when others tell me to eat.</w:t>
            </w:r>
          </w:p>
        </w:tc>
        <w:tc>
          <w:tcPr>
            <w:tcW w:w="1739" w:type="dxa"/>
          </w:tcPr>
          <w:p w14:paraId="61FD6260" w14:textId="77777777" w:rsidR="00193FF4" w:rsidRPr="005C21C3" w:rsidRDefault="00193FF4" w:rsidP="004872B5">
            <w:pPr>
              <w:spacing w:line="480" w:lineRule="auto"/>
              <w:jc w:val="center"/>
              <w:rPr>
                <w:bCs/>
                <w:i/>
              </w:rPr>
            </w:pPr>
            <w:r w:rsidRPr="005C21C3">
              <w:rPr>
                <w:bCs/>
                <w:i/>
              </w:rPr>
              <w:t>0.538</w:t>
            </w:r>
          </w:p>
        </w:tc>
        <w:tc>
          <w:tcPr>
            <w:tcW w:w="1518" w:type="dxa"/>
          </w:tcPr>
          <w:p w14:paraId="50B3EC84" w14:textId="77777777" w:rsidR="00193FF4" w:rsidRPr="005C21C3" w:rsidRDefault="00193FF4" w:rsidP="004872B5">
            <w:pPr>
              <w:spacing w:line="480" w:lineRule="auto"/>
              <w:jc w:val="center"/>
              <w:rPr>
                <w:b/>
              </w:rPr>
            </w:pPr>
            <w:r w:rsidRPr="005C21C3">
              <w:rPr>
                <w:b/>
              </w:rPr>
              <w:t>1.031</w:t>
            </w:r>
          </w:p>
        </w:tc>
        <w:tc>
          <w:tcPr>
            <w:tcW w:w="1650" w:type="dxa"/>
          </w:tcPr>
          <w:p w14:paraId="21857685" w14:textId="77777777" w:rsidR="00193FF4" w:rsidRPr="005C21C3" w:rsidRDefault="00193FF4" w:rsidP="004872B5">
            <w:pPr>
              <w:spacing w:line="480" w:lineRule="auto"/>
              <w:jc w:val="center"/>
              <w:rPr>
                <w:iCs/>
              </w:rPr>
            </w:pPr>
            <w:r w:rsidRPr="005C21C3">
              <w:rPr>
                <w:iCs/>
              </w:rPr>
              <w:t>0.057</w:t>
            </w:r>
          </w:p>
        </w:tc>
      </w:tr>
      <w:tr w:rsidR="00193FF4" w:rsidRPr="005C21C3" w14:paraId="7544D40A" w14:textId="77777777" w:rsidTr="004872B5">
        <w:trPr>
          <w:trHeight w:val="376"/>
        </w:trPr>
        <w:tc>
          <w:tcPr>
            <w:tcW w:w="8969" w:type="dxa"/>
          </w:tcPr>
          <w:p w14:paraId="3603902E" w14:textId="77777777" w:rsidR="00193FF4" w:rsidRPr="00C0128D" w:rsidRDefault="00193FF4" w:rsidP="004872B5">
            <w:pPr>
              <w:spacing w:line="480" w:lineRule="auto"/>
              <w:rPr>
                <w:b/>
                <w:bCs/>
              </w:rPr>
            </w:pPr>
            <w:r w:rsidRPr="00C0128D">
              <w:t>8. The thought of eating food makes me feel worried.</w:t>
            </w:r>
          </w:p>
        </w:tc>
        <w:tc>
          <w:tcPr>
            <w:tcW w:w="1739" w:type="dxa"/>
          </w:tcPr>
          <w:p w14:paraId="41BF0B7A" w14:textId="77777777" w:rsidR="00193FF4" w:rsidRPr="005C21C3" w:rsidRDefault="00193FF4" w:rsidP="004872B5">
            <w:pPr>
              <w:spacing w:line="480" w:lineRule="auto"/>
              <w:jc w:val="center"/>
              <w:rPr>
                <w:bCs/>
              </w:rPr>
            </w:pPr>
            <w:r w:rsidRPr="005C21C3">
              <w:rPr>
                <w:bCs/>
              </w:rPr>
              <w:t>0.046</w:t>
            </w:r>
          </w:p>
        </w:tc>
        <w:tc>
          <w:tcPr>
            <w:tcW w:w="1518" w:type="dxa"/>
          </w:tcPr>
          <w:p w14:paraId="59282E32" w14:textId="77777777" w:rsidR="00193FF4" w:rsidRPr="005C21C3" w:rsidRDefault="00193FF4" w:rsidP="004872B5">
            <w:pPr>
              <w:spacing w:line="480" w:lineRule="auto"/>
              <w:jc w:val="center"/>
              <w:rPr>
                <w:b/>
              </w:rPr>
            </w:pPr>
            <w:r w:rsidRPr="005C21C3">
              <w:rPr>
                <w:b/>
              </w:rPr>
              <w:t>0.693</w:t>
            </w:r>
          </w:p>
        </w:tc>
        <w:tc>
          <w:tcPr>
            <w:tcW w:w="1650" w:type="dxa"/>
          </w:tcPr>
          <w:p w14:paraId="75811D10" w14:textId="77777777" w:rsidR="00193FF4" w:rsidRPr="005C21C3" w:rsidRDefault="00193FF4" w:rsidP="004872B5">
            <w:pPr>
              <w:spacing w:line="480" w:lineRule="auto"/>
              <w:jc w:val="center"/>
              <w:rPr>
                <w:iCs/>
              </w:rPr>
            </w:pPr>
            <w:r w:rsidRPr="005C21C3">
              <w:rPr>
                <w:iCs/>
              </w:rPr>
              <w:t>0.163</w:t>
            </w:r>
          </w:p>
        </w:tc>
      </w:tr>
      <w:tr w:rsidR="00193FF4" w:rsidRPr="005C21C3" w14:paraId="2ED1A701" w14:textId="77777777" w:rsidTr="004872B5">
        <w:trPr>
          <w:trHeight w:val="513"/>
        </w:trPr>
        <w:tc>
          <w:tcPr>
            <w:tcW w:w="8969" w:type="dxa"/>
          </w:tcPr>
          <w:p w14:paraId="6C876CC1" w14:textId="77777777" w:rsidR="00193FF4" w:rsidRPr="00C0128D" w:rsidRDefault="00193FF4" w:rsidP="004872B5">
            <w:pPr>
              <w:spacing w:line="480" w:lineRule="auto"/>
              <w:rPr>
                <w:b/>
                <w:bCs/>
              </w:rPr>
            </w:pPr>
            <w:r w:rsidRPr="00C0128D">
              <w:t>12. So I won’t gain weight, I deliberately don’t take my extra feeds or supplements.</w:t>
            </w:r>
          </w:p>
        </w:tc>
        <w:tc>
          <w:tcPr>
            <w:tcW w:w="1739" w:type="dxa"/>
          </w:tcPr>
          <w:p w14:paraId="22642253" w14:textId="77777777" w:rsidR="00193FF4" w:rsidRPr="005C21C3" w:rsidRDefault="00193FF4" w:rsidP="004872B5">
            <w:pPr>
              <w:spacing w:line="480" w:lineRule="auto"/>
              <w:jc w:val="center"/>
              <w:rPr>
                <w:bCs/>
              </w:rPr>
            </w:pPr>
            <w:r w:rsidRPr="005C21C3">
              <w:rPr>
                <w:bCs/>
              </w:rPr>
              <w:t>0.027</w:t>
            </w:r>
          </w:p>
        </w:tc>
        <w:tc>
          <w:tcPr>
            <w:tcW w:w="1518" w:type="dxa"/>
          </w:tcPr>
          <w:p w14:paraId="76858784" w14:textId="77777777" w:rsidR="00193FF4" w:rsidRPr="005C21C3" w:rsidRDefault="00193FF4" w:rsidP="004872B5">
            <w:pPr>
              <w:spacing w:line="480" w:lineRule="auto"/>
              <w:jc w:val="center"/>
            </w:pPr>
            <w:r w:rsidRPr="005C21C3">
              <w:t>0.283</w:t>
            </w:r>
          </w:p>
        </w:tc>
        <w:tc>
          <w:tcPr>
            <w:tcW w:w="1650" w:type="dxa"/>
          </w:tcPr>
          <w:p w14:paraId="7BACCA16" w14:textId="77777777" w:rsidR="00193FF4" w:rsidRPr="005C21C3" w:rsidRDefault="00193FF4" w:rsidP="004872B5">
            <w:pPr>
              <w:spacing w:line="480" w:lineRule="auto"/>
              <w:jc w:val="center"/>
              <w:rPr>
                <w:b/>
                <w:iCs/>
              </w:rPr>
            </w:pPr>
            <w:r w:rsidRPr="005C21C3">
              <w:rPr>
                <w:b/>
                <w:iCs/>
              </w:rPr>
              <w:t>0.700</w:t>
            </w:r>
          </w:p>
        </w:tc>
      </w:tr>
      <w:tr w:rsidR="00193FF4" w:rsidRPr="005C21C3" w14:paraId="29AD9184" w14:textId="77777777" w:rsidTr="004872B5">
        <w:trPr>
          <w:trHeight w:val="534"/>
        </w:trPr>
        <w:tc>
          <w:tcPr>
            <w:tcW w:w="8969" w:type="dxa"/>
          </w:tcPr>
          <w:p w14:paraId="3C009254" w14:textId="77777777" w:rsidR="00193FF4" w:rsidRPr="00C0128D" w:rsidRDefault="00193FF4" w:rsidP="004872B5">
            <w:pPr>
              <w:spacing w:line="480" w:lineRule="auto"/>
              <w:rPr>
                <w:b/>
                <w:bCs/>
              </w:rPr>
            </w:pPr>
            <w:r w:rsidRPr="00C0128D">
              <w:t xml:space="preserve">13. I have a good appetite for </w:t>
            </w:r>
            <w:proofErr w:type="gramStart"/>
            <w:r w:rsidRPr="00C0128D">
              <w:t>food.*</w:t>
            </w:r>
            <w:proofErr w:type="gramEnd"/>
          </w:p>
        </w:tc>
        <w:tc>
          <w:tcPr>
            <w:tcW w:w="1739" w:type="dxa"/>
          </w:tcPr>
          <w:p w14:paraId="7CFA667F" w14:textId="77777777" w:rsidR="00193FF4" w:rsidRPr="005C21C3" w:rsidRDefault="00193FF4" w:rsidP="004872B5">
            <w:pPr>
              <w:spacing w:line="480" w:lineRule="auto"/>
              <w:jc w:val="center"/>
              <w:rPr>
                <w:i/>
              </w:rPr>
            </w:pPr>
            <w:r w:rsidRPr="005C21C3">
              <w:rPr>
                <w:i/>
              </w:rPr>
              <w:t>0.635</w:t>
            </w:r>
          </w:p>
        </w:tc>
        <w:tc>
          <w:tcPr>
            <w:tcW w:w="1518" w:type="dxa"/>
          </w:tcPr>
          <w:p w14:paraId="2D3B0901" w14:textId="77777777" w:rsidR="00193FF4" w:rsidRPr="005C21C3" w:rsidRDefault="00193FF4" w:rsidP="004872B5">
            <w:pPr>
              <w:spacing w:line="480" w:lineRule="auto"/>
              <w:jc w:val="center"/>
              <w:rPr>
                <w:b/>
                <w:bCs/>
              </w:rPr>
            </w:pPr>
            <w:r w:rsidRPr="005C21C3">
              <w:rPr>
                <w:b/>
                <w:bCs/>
              </w:rPr>
              <w:t>1.008</w:t>
            </w:r>
          </w:p>
        </w:tc>
        <w:tc>
          <w:tcPr>
            <w:tcW w:w="1650" w:type="dxa"/>
          </w:tcPr>
          <w:p w14:paraId="4CD5305F" w14:textId="77777777" w:rsidR="00193FF4" w:rsidRPr="005C21C3" w:rsidRDefault="00193FF4" w:rsidP="004872B5">
            <w:pPr>
              <w:spacing w:line="480" w:lineRule="auto"/>
              <w:jc w:val="center"/>
            </w:pPr>
            <w:r w:rsidRPr="005C21C3">
              <w:t>0.012</w:t>
            </w:r>
          </w:p>
        </w:tc>
      </w:tr>
      <w:tr w:rsidR="00193FF4" w:rsidRPr="005C21C3" w14:paraId="33CED7AF" w14:textId="77777777" w:rsidTr="004872B5">
        <w:trPr>
          <w:trHeight w:val="513"/>
        </w:trPr>
        <w:tc>
          <w:tcPr>
            <w:tcW w:w="8969" w:type="dxa"/>
          </w:tcPr>
          <w:p w14:paraId="02B4491A" w14:textId="77777777" w:rsidR="00193FF4" w:rsidRPr="00C0128D" w:rsidRDefault="00193FF4" w:rsidP="004872B5">
            <w:pPr>
              <w:spacing w:line="480" w:lineRule="auto"/>
              <w:rPr>
                <w:b/>
                <w:bCs/>
              </w:rPr>
            </w:pPr>
            <w:r w:rsidRPr="00C0128D">
              <w:t>14. I would like to eat less to lose weight.</w:t>
            </w:r>
          </w:p>
        </w:tc>
        <w:tc>
          <w:tcPr>
            <w:tcW w:w="1739" w:type="dxa"/>
          </w:tcPr>
          <w:p w14:paraId="59651D3F" w14:textId="77777777" w:rsidR="00193FF4" w:rsidRPr="005C21C3" w:rsidRDefault="00193FF4" w:rsidP="004872B5">
            <w:pPr>
              <w:spacing w:line="480" w:lineRule="auto"/>
              <w:jc w:val="center"/>
              <w:rPr>
                <w:b/>
                <w:bCs/>
              </w:rPr>
            </w:pPr>
            <w:r w:rsidRPr="005C21C3">
              <w:rPr>
                <w:b/>
                <w:bCs/>
              </w:rPr>
              <w:t>1.466</w:t>
            </w:r>
          </w:p>
        </w:tc>
        <w:tc>
          <w:tcPr>
            <w:tcW w:w="1518" w:type="dxa"/>
          </w:tcPr>
          <w:p w14:paraId="171FD993" w14:textId="77777777" w:rsidR="00193FF4" w:rsidRPr="005C21C3" w:rsidRDefault="00193FF4" w:rsidP="004872B5">
            <w:pPr>
              <w:spacing w:line="480" w:lineRule="auto"/>
              <w:jc w:val="center"/>
            </w:pPr>
            <w:r w:rsidRPr="005C21C3">
              <w:t>0.006</w:t>
            </w:r>
          </w:p>
        </w:tc>
        <w:tc>
          <w:tcPr>
            <w:tcW w:w="1650" w:type="dxa"/>
          </w:tcPr>
          <w:p w14:paraId="3BEAA529" w14:textId="77777777" w:rsidR="00193FF4" w:rsidRPr="00D604F2" w:rsidRDefault="00193FF4" w:rsidP="004872B5">
            <w:pPr>
              <w:spacing w:line="480" w:lineRule="auto"/>
              <w:jc w:val="center"/>
              <w:rPr>
                <w:i/>
                <w:iCs/>
              </w:rPr>
            </w:pPr>
            <w:r w:rsidRPr="00D604F2">
              <w:rPr>
                <w:i/>
                <w:iCs/>
              </w:rPr>
              <w:t>0.412</w:t>
            </w:r>
          </w:p>
        </w:tc>
      </w:tr>
      <w:tr w:rsidR="00193FF4" w:rsidRPr="005C21C3" w14:paraId="318C1116" w14:textId="77777777" w:rsidTr="004872B5">
        <w:trPr>
          <w:trHeight w:val="513"/>
        </w:trPr>
        <w:tc>
          <w:tcPr>
            <w:tcW w:w="8969" w:type="dxa"/>
          </w:tcPr>
          <w:p w14:paraId="21351A7C" w14:textId="77777777" w:rsidR="00193FF4" w:rsidRPr="00C0128D" w:rsidRDefault="00193FF4" w:rsidP="004872B5">
            <w:pPr>
              <w:spacing w:line="480" w:lineRule="auto"/>
              <w:rPr>
                <w:b/>
                <w:bCs/>
              </w:rPr>
            </w:pPr>
            <w:r w:rsidRPr="00C0128D">
              <w:t>16. I make myself vomit (sick) after I eat to control my weight.</w:t>
            </w:r>
          </w:p>
        </w:tc>
        <w:tc>
          <w:tcPr>
            <w:tcW w:w="1739" w:type="dxa"/>
          </w:tcPr>
          <w:p w14:paraId="0D45CC95" w14:textId="77777777" w:rsidR="00193FF4" w:rsidRPr="005C21C3" w:rsidRDefault="00193FF4" w:rsidP="004872B5">
            <w:pPr>
              <w:spacing w:line="480" w:lineRule="auto"/>
              <w:jc w:val="center"/>
            </w:pPr>
            <w:r w:rsidRPr="005C21C3">
              <w:t>0.020</w:t>
            </w:r>
          </w:p>
        </w:tc>
        <w:tc>
          <w:tcPr>
            <w:tcW w:w="1518" w:type="dxa"/>
          </w:tcPr>
          <w:p w14:paraId="49C6392F" w14:textId="77777777" w:rsidR="00193FF4" w:rsidRPr="005C21C3" w:rsidRDefault="00193FF4" w:rsidP="004872B5">
            <w:pPr>
              <w:spacing w:line="480" w:lineRule="auto"/>
              <w:jc w:val="center"/>
              <w:rPr>
                <w:bCs/>
              </w:rPr>
            </w:pPr>
            <w:r w:rsidRPr="005C21C3">
              <w:rPr>
                <w:bCs/>
              </w:rPr>
              <w:t>0.217</w:t>
            </w:r>
          </w:p>
        </w:tc>
        <w:tc>
          <w:tcPr>
            <w:tcW w:w="1650" w:type="dxa"/>
          </w:tcPr>
          <w:p w14:paraId="548C9DBC" w14:textId="77777777" w:rsidR="00193FF4" w:rsidRPr="005C21C3" w:rsidRDefault="00193FF4" w:rsidP="004872B5">
            <w:pPr>
              <w:spacing w:line="480" w:lineRule="auto"/>
              <w:jc w:val="center"/>
              <w:rPr>
                <w:b/>
              </w:rPr>
            </w:pPr>
            <w:r w:rsidRPr="005C21C3">
              <w:rPr>
                <w:b/>
              </w:rPr>
              <w:t>0.503</w:t>
            </w:r>
          </w:p>
        </w:tc>
      </w:tr>
      <w:tr w:rsidR="00193FF4" w:rsidRPr="005C21C3" w14:paraId="1E5077FA" w14:textId="77777777" w:rsidTr="004872B5">
        <w:trPr>
          <w:trHeight w:val="534"/>
        </w:trPr>
        <w:tc>
          <w:tcPr>
            <w:tcW w:w="8969" w:type="dxa"/>
          </w:tcPr>
          <w:p w14:paraId="65784006" w14:textId="77777777" w:rsidR="00193FF4" w:rsidRPr="00C0128D" w:rsidRDefault="00193FF4" w:rsidP="004872B5">
            <w:pPr>
              <w:spacing w:line="480" w:lineRule="auto"/>
              <w:rPr>
                <w:b/>
                <w:bCs/>
              </w:rPr>
            </w:pPr>
            <w:r w:rsidRPr="00C0128D">
              <w:t>17. I feel I am too fat.</w:t>
            </w:r>
          </w:p>
        </w:tc>
        <w:tc>
          <w:tcPr>
            <w:tcW w:w="1739" w:type="dxa"/>
          </w:tcPr>
          <w:p w14:paraId="513D0783" w14:textId="77777777" w:rsidR="00193FF4" w:rsidRPr="005C21C3" w:rsidRDefault="00193FF4" w:rsidP="004872B5">
            <w:pPr>
              <w:spacing w:line="480" w:lineRule="auto"/>
              <w:jc w:val="center"/>
              <w:rPr>
                <w:b/>
              </w:rPr>
            </w:pPr>
            <w:r w:rsidRPr="005C21C3">
              <w:rPr>
                <w:b/>
              </w:rPr>
              <w:t>0.957</w:t>
            </w:r>
          </w:p>
        </w:tc>
        <w:tc>
          <w:tcPr>
            <w:tcW w:w="1518" w:type="dxa"/>
          </w:tcPr>
          <w:p w14:paraId="2D56048F" w14:textId="77777777" w:rsidR="00193FF4" w:rsidRPr="005C21C3" w:rsidRDefault="00193FF4" w:rsidP="004872B5">
            <w:pPr>
              <w:spacing w:line="480" w:lineRule="auto"/>
              <w:jc w:val="center"/>
              <w:rPr>
                <w:bCs/>
              </w:rPr>
            </w:pPr>
            <w:r w:rsidRPr="005C21C3">
              <w:rPr>
                <w:bCs/>
              </w:rPr>
              <w:t>0.267</w:t>
            </w:r>
          </w:p>
        </w:tc>
        <w:tc>
          <w:tcPr>
            <w:tcW w:w="1650" w:type="dxa"/>
          </w:tcPr>
          <w:p w14:paraId="57F99EDD" w14:textId="77777777" w:rsidR="00193FF4" w:rsidRPr="005C21C3" w:rsidRDefault="00193FF4" w:rsidP="004872B5">
            <w:pPr>
              <w:spacing w:line="480" w:lineRule="auto"/>
              <w:jc w:val="center"/>
              <w:rPr>
                <w:iCs/>
              </w:rPr>
            </w:pPr>
            <w:r w:rsidRPr="005C21C3">
              <w:rPr>
                <w:iCs/>
              </w:rPr>
              <w:t>0.000</w:t>
            </w:r>
          </w:p>
        </w:tc>
      </w:tr>
      <w:tr w:rsidR="00193FF4" w:rsidRPr="005C21C3" w14:paraId="1E75A33A" w14:textId="77777777" w:rsidTr="004872B5">
        <w:trPr>
          <w:trHeight w:val="513"/>
        </w:trPr>
        <w:tc>
          <w:tcPr>
            <w:tcW w:w="8969" w:type="dxa"/>
          </w:tcPr>
          <w:p w14:paraId="101776AF" w14:textId="77777777" w:rsidR="00193FF4" w:rsidRPr="00C0128D" w:rsidRDefault="00193FF4" w:rsidP="004872B5">
            <w:pPr>
              <w:spacing w:line="480" w:lineRule="auto"/>
              <w:rPr>
                <w:b/>
                <w:bCs/>
              </w:rPr>
            </w:pPr>
            <w:r w:rsidRPr="00C0128D">
              <w:t xml:space="preserve">18. I exercise </w:t>
            </w:r>
            <w:proofErr w:type="gramStart"/>
            <w:r w:rsidRPr="00C0128D">
              <w:t>as a way to</w:t>
            </w:r>
            <w:proofErr w:type="gramEnd"/>
            <w:r w:rsidRPr="00C0128D">
              <w:t xml:space="preserve"> lose weight.</w:t>
            </w:r>
          </w:p>
        </w:tc>
        <w:tc>
          <w:tcPr>
            <w:tcW w:w="1739" w:type="dxa"/>
          </w:tcPr>
          <w:p w14:paraId="6F30C846" w14:textId="77777777" w:rsidR="00193FF4" w:rsidRPr="005C21C3" w:rsidRDefault="00193FF4" w:rsidP="004872B5">
            <w:pPr>
              <w:spacing w:line="480" w:lineRule="auto"/>
              <w:jc w:val="center"/>
              <w:rPr>
                <w:b/>
              </w:rPr>
            </w:pPr>
            <w:r w:rsidRPr="005C21C3">
              <w:rPr>
                <w:b/>
              </w:rPr>
              <w:t>0.720</w:t>
            </w:r>
          </w:p>
        </w:tc>
        <w:tc>
          <w:tcPr>
            <w:tcW w:w="1518" w:type="dxa"/>
          </w:tcPr>
          <w:p w14:paraId="3D80282E" w14:textId="77777777" w:rsidR="00193FF4" w:rsidRPr="005C21C3" w:rsidRDefault="00193FF4" w:rsidP="004872B5">
            <w:pPr>
              <w:spacing w:line="480" w:lineRule="auto"/>
              <w:jc w:val="center"/>
              <w:rPr>
                <w:bCs/>
              </w:rPr>
            </w:pPr>
            <w:r w:rsidRPr="005C21C3">
              <w:rPr>
                <w:bCs/>
              </w:rPr>
              <w:t>0.206</w:t>
            </w:r>
          </w:p>
        </w:tc>
        <w:tc>
          <w:tcPr>
            <w:tcW w:w="1650" w:type="dxa"/>
          </w:tcPr>
          <w:p w14:paraId="78924533" w14:textId="77777777" w:rsidR="00193FF4" w:rsidRPr="005C21C3" w:rsidRDefault="00193FF4" w:rsidP="004872B5">
            <w:pPr>
              <w:spacing w:line="480" w:lineRule="auto"/>
              <w:jc w:val="center"/>
            </w:pPr>
            <w:r w:rsidRPr="005C21C3">
              <w:t>0.258</w:t>
            </w:r>
          </w:p>
        </w:tc>
      </w:tr>
      <w:tr w:rsidR="00193FF4" w:rsidRPr="005C21C3" w14:paraId="273CD91B" w14:textId="77777777" w:rsidTr="004872B5">
        <w:trPr>
          <w:trHeight w:val="513"/>
        </w:trPr>
        <w:tc>
          <w:tcPr>
            <w:tcW w:w="8969" w:type="dxa"/>
          </w:tcPr>
          <w:p w14:paraId="2203988D" w14:textId="77777777" w:rsidR="00193FF4" w:rsidRPr="00C0128D" w:rsidRDefault="00193FF4" w:rsidP="004872B5">
            <w:pPr>
              <w:spacing w:line="480" w:lineRule="auto"/>
              <w:rPr>
                <w:b/>
                <w:bCs/>
              </w:rPr>
            </w:pPr>
            <w:r w:rsidRPr="00C0128D">
              <w:t>19. I feel I need to be thin to be happy with myself.</w:t>
            </w:r>
          </w:p>
        </w:tc>
        <w:tc>
          <w:tcPr>
            <w:tcW w:w="1739" w:type="dxa"/>
          </w:tcPr>
          <w:p w14:paraId="7F0020B3" w14:textId="77777777" w:rsidR="00193FF4" w:rsidRPr="005C21C3" w:rsidRDefault="00193FF4" w:rsidP="004872B5">
            <w:pPr>
              <w:spacing w:line="480" w:lineRule="auto"/>
              <w:jc w:val="center"/>
            </w:pPr>
            <w:r w:rsidRPr="005C21C3">
              <w:t>0.237</w:t>
            </w:r>
          </w:p>
        </w:tc>
        <w:tc>
          <w:tcPr>
            <w:tcW w:w="1518" w:type="dxa"/>
          </w:tcPr>
          <w:p w14:paraId="42F37E2B" w14:textId="77777777" w:rsidR="00193FF4" w:rsidRPr="005C21C3" w:rsidRDefault="00193FF4" w:rsidP="004872B5">
            <w:pPr>
              <w:spacing w:line="480" w:lineRule="auto"/>
              <w:jc w:val="center"/>
              <w:rPr>
                <w:bCs/>
              </w:rPr>
            </w:pPr>
            <w:r w:rsidRPr="005C21C3">
              <w:rPr>
                <w:bCs/>
              </w:rPr>
              <w:t>0.245</w:t>
            </w:r>
          </w:p>
        </w:tc>
        <w:tc>
          <w:tcPr>
            <w:tcW w:w="1650" w:type="dxa"/>
          </w:tcPr>
          <w:p w14:paraId="123C1D4D" w14:textId="77777777" w:rsidR="00193FF4" w:rsidRPr="005C21C3" w:rsidRDefault="00193FF4" w:rsidP="004872B5">
            <w:pPr>
              <w:spacing w:line="480" w:lineRule="auto"/>
              <w:jc w:val="center"/>
              <w:rPr>
                <w:b/>
              </w:rPr>
            </w:pPr>
            <w:r w:rsidRPr="005C21C3">
              <w:rPr>
                <w:b/>
              </w:rPr>
              <w:t>0.750</w:t>
            </w:r>
          </w:p>
        </w:tc>
      </w:tr>
      <w:tr w:rsidR="00193FF4" w:rsidRPr="005C21C3" w14:paraId="52FD352C" w14:textId="77777777" w:rsidTr="004872B5">
        <w:trPr>
          <w:trHeight w:val="534"/>
        </w:trPr>
        <w:tc>
          <w:tcPr>
            <w:tcW w:w="8969" w:type="dxa"/>
          </w:tcPr>
          <w:p w14:paraId="6461BB3F" w14:textId="77777777" w:rsidR="00193FF4" w:rsidRPr="00C0128D" w:rsidRDefault="00193FF4" w:rsidP="004872B5">
            <w:pPr>
              <w:spacing w:line="480" w:lineRule="auto"/>
              <w:rPr>
                <w:b/>
                <w:bCs/>
              </w:rPr>
            </w:pPr>
            <w:r w:rsidRPr="00C0128D">
              <w:t>20. I am put off eating because my CF makes me feel sick.</w:t>
            </w:r>
          </w:p>
        </w:tc>
        <w:tc>
          <w:tcPr>
            <w:tcW w:w="1739" w:type="dxa"/>
          </w:tcPr>
          <w:p w14:paraId="145942F2" w14:textId="77777777" w:rsidR="00193FF4" w:rsidRPr="005C21C3" w:rsidRDefault="00193FF4" w:rsidP="004872B5">
            <w:pPr>
              <w:spacing w:line="480" w:lineRule="auto"/>
              <w:jc w:val="center"/>
            </w:pPr>
            <w:r w:rsidRPr="005C21C3">
              <w:t>0.013</w:t>
            </w:r>
          </w:p>
        </w:tc>
        <w:tc>
          <w:tcPr>
            <w:tcW w:w="1518" w:type="dxa"/>
          </w:tcPr>
          <w:p w14:paraId="3F69F656" w14:textId="77777777" w:rsidR="00193FF4" w:rsidRPr="005C21C3" w:rsidRDefault="00193FF4" w:rsidP="004872B5">
            <w:pPr>
              <w:spacing w:line="480" w:lineRule="auto"/>
              <w:jc w:val="center"/>
              <w:rPr>
                <w:b/>
              </w:rPr>
            </w:pPr>
            <w:r w:rsidRPr="005C21C3">
              <w:rPr>
                <w:b/>
              </w:rPr>
              <w:t>1.000</w:t>
            </w:r>
          </w:p>
        </w:tc>
        <w:tc>
          <w:tcPr>
            <w:tcW w:w="1650" w:type="dxa"/>
          </w:tcPr>
          <w:p w14:paraId="5F1C1276" w14:textId="77777777" w:rsidR="00193FF4" w:rsidRPr="00D604F2" w:rsidRDefault="00193FF4" w:rsidP="004872B5">
            <w:pPr>
              <w:spacing w:line="480" w:lineRule="auto"/>
              <w:jc w:val="center"/>
              <w:rPr>
                <w:bCs/>
                <w:i/>
                <w:iCs/>
              </w:rPr>
            </w:pPr>
            <w:r w:rsidRPr="00D604F2">
              <w:rPr>
                <w:bCs/>
                <w:i/>
                <w:iCs/>
              </w:rPr>
              <w:t>0.582</w:t>
            </w:r>
          </w:p>
        </w:tc>
      </w:tr>
      <w:tr w:rsidR="00193FF4" w:rsidRPr="005C21C3" w14:paraId="4F296B89" w14:textId="77777777" w:rsidTr="004872B5">
        <w:trPr>
          <w:trHeight w:val="513"/>
        </w:trPr>
        <w:tc>
          <w:tcPr>
            <w:tcW w:w="8969" w:type="dxa"/>
          </w:tcPr>
          <w:p w14:paraId="56EDBFEF" w14:textId="77777777" w:rsidR="00193FF4" w:rsidRPr="00C0128D" w:rsidRDefault="00193FF4" w:rsidP="004872B5">
            <w:pPr>
              <w:spacing w:line="480" w:lineRule="auto"/>
              <w:rPr>
                <w:b/>
                <w:bCs/>
              </w:rPr>
            </w:pPr>
            <w:r w:rsidRPr="00C0128D">
              <w:t>24. I feel guilty after eating.</w:t>
            </w:r>
          </w:p>
        </w:tc>
        <w:tc>
          <w:tcPr>
            <w:tcW w:w="1739" w:type="dxa"/>
          </w:tcPr>
          <w:p w14:paraId="79E923B0" w14:textId="77777777" w:rsidR="00193FF4" w:rsidRPr="00D604F2" w:rsidRDefault="00193FF4" w:rsidP="004872B5">
            <w:pPr>
              <w:spacing w:line="480" w:lineRule="auto"/>
              <w:jc w:val="center"/>
              <w:rPr>
                <w:bCs/>
                <w:i/>
                <w:iCs/>
              </w:rPr>
            </w:pPr>
            <w:r w:rsidRPr="00D604F2">
              <w:rPr>
                <w:bCs/>
                <w:i/>
                <w:iCs/>
              </w:rPr>
              <w:t>0.389</w:t>
            </w:r>
          </w:p>
        </w:tc>
        <w:tc>
          <w:tcPr>
            <w:tcW w:w="1518" w:type="dxa"/>
          </w:tcPr>
          <w:p w14:paraId="000B1E69" w14:textId="77777777" w:rsidR="00193FF4" w:rsidRPr="005C21C3" w:rsidRDefault="00193FF4" w:rsidP="004872B5">
            <w:pPr>
              <w:spacing w:line="480" w:lineRule="auto"/>
              <w:jc w:val="center"/>
            </w:pPr>
            <w:r w:rsidRPr="005C21C3">
              <w:t>0.022</w:t>
            </w:r>
          </w:p>
        </w:tc>
        <w:tc>
          <w:tcPr>
            <w:tcW w:w="1650" w:type="dxa"/>
          </w:tcPr>
          <w:p w14:paraId="459A6535" w14:textId="77777777" w:rsidR="00193FF4" w:rsidRPr="005C21C3" w:rsidRDefault="00193FF4" w:rsidP="004872B5">
            <w:pPr>
              <w:spacing w:line="480" w:lineRule="auto"/>
              <w:jc w:val="center"/>
              <w:rPr>
                <w:b/>
                <w:iCs/>
              </w:rPr>
            </w:pPr>
            <w:r w:rsidRPr="005C21C3">
              <w:rPr>
                <w:b/>
                <w:iCs/>
              </w:rPr>
              <w:t>0.652</w:t>
            </w:r>
          </w:p>
        </w:tc>
      </w:tr>
      <w:tr w:rsidR="00193FF4" w:rsidRPr="005C21C3" w14:paraId="47B94A5B" w14:textId="77777777" w:rsidTr="004872B5">
        <w:trPr>
          <w:trHeight w:val="390"/>
        </w:trPr>
        <w:tc>
          <w:tcPr>
            <w:tcW w:w="8969" w:type="dxa"/>
          </w:tcPr>
          <w:p w14:paraId="030F409D" w14:textId="77777777" w:rsidR="00193FF4" w:rsidRPr="000F2321" w:rsidRDefault="00193FF4" w:rsidP="004872B5">
            <w:pPr>
              <w:spacing w:line="480" w:lineRule="auto"/>
              <w:rPr>
                <w:b/>
                <w:bCs/>
              </w:rPr>
            </w:pPr>
            <w:r w:rsidRPr="000F2321">
              <w:t>Correlations</w:t>
            </w:r>
          </w:p>
        </w:tc>
        <w:tc>
          <w:tcPr>
            <w:tcW w:w="1739" w:type="dxa"/>
          </w:tcPr>
          <w:p w14:paraId="7B2E7257" w14:textId="77777777" w:rsidR="00193FF4" w:rsidRPr="005C21C3" w:rsidRDefault="00193FF4" w:rsidP="004872B5">
            <w:pPr>
              <w:spacing w:line="480" w:lineRule="auto"/>
              <w:jc w:val="center"/>
              <w:rPr>
                <w:i/>
                <w:iCs/>
              </w:rPr>
            </w:pPr>
          </w:p>
        </w:tc>
        <w:tc>
          <w:tcPr>
            <w:tcW w:w="1518" w:type="dxa"/>
          </w:tcPr>
          <w:p w14:paraId="3FE5735C" w14:textId="77777777" w:rsidR="00193FF4" w:rsidRPr="005C21C3" w:rsidRDefault="00193FF4" w:rsidP="004872B5">
            <w:pPr>
              <w:spacing w:line="480" w:lineRule="auto"/>
              <w:jc w:val="center"/>
            </w:pPr>
          </w:p>
        </w:tc>
        <w:tc>
          <w:tcPr>
            <w:tcW w:w="1650" w:type="dxa"/>
          </w:tcPr>
          <w:p w14:paraId="608775A6" w14:textId="77777777" w:rsidR="00193FF4" w:rsidRPr="005C21C3" w:rsidRDefault="00193FF4" w:rsidP="004872B5">
            <w:pPr>
              <w:spacing w:line="480" w:lineRule="auto"/>
              <w:jc w:val="center"/>
              <w:rPr>
                <w:b/>
                <w:bCs/>
              </w:rPr>
            </w:pPr>
          </w:p>
        </w:tc>
      </w:tr>
      <w:tr w:rsidR="00193FF4" w:rsidRPr="005C21C3" w14:paraId="4C83F044" w14:textId="77777777" w:rsidTr="004872B5">
        <w:trPr>
          <w:trHeight w:val="513"/>
        </w:trPr>
        <w:tc>
          <w:tcPr>
            <w:tcW w:w="8969" w:type="dxa"/>
          </w:tcPr>
          <w:p w14:paraId="2A6651DD" w14:textId="77777777" w:rsidR="00193FF4" w:rsidRPr="000F2321" w:rsidRDefault="00193FF4" w:rsidP="004872B5">
            <w:pPr>
              <w:spacing w:line="480" w:lineRule="auto"/>
              <w:rPr>
                <w:b/>
                <w:bCs/>
              </w:rPr>
            </w:pPr>
            <w:r>
              <w:t xml:space="preserve"> </w:t>
            </w:r>
            <w:r w:rsidRPr="000F2321">
              <w:t>Factor 1</w:t>
            </w:r>
          </w:p>
        </w:tc>
        <w:tc>
          <w:tcPr>
            <w:tcW w:w="1739" w:type="dxa"/>
          </w:tcPr>
          <w:p w14:paraId="325F45BB" w14:textId="77777777" w:rsidR="00193FF4" w:rsidRPr="005C21C3" w:rsidRDefault="00193FF4" w:rsidP="004872B5">
            <w:pPr>
              <w:spacing w:line="480" w:lineRule="auto"/>
              <w:jc w:val="center"/>
              <w:rPr>
                <w:i/>
                <w:iCs/>
              </w:rPr>
            </w:pPr>
          </w:p>
        </w:tc>
        <w:tc>
          <w:tcPr>
            <w:tcW w:w="1518" w:type="dxa"/>
          </w:tcPr>
          <w:p w14:paraId="0C02E47D" w14:textId="77777777" w:rsidR="00193FF4" w:rsidRPr="005C21C3" w:rsidRDefault="00193FF4" w:rsidP="004872B5">
            <w:pPr>
              <w:spacing w:line="480" w:lineRule="auto"/>
              <w:jc w:val="center"/>
            </w:pPr>
            <w:r w:rsidRPr="005C21C3">
              <w:t>0.490</w:t>
            </w:r>
          </w:p>
        </w:tc>
        <w:tc>
          <w:tcPr>
            <w:tcW w:w="1650" w:type="dxa"/>
          </w:tcPr>
          <w:p w14:paraId="660442CF" w14:textId="77777777" w:rsidR="00193FF4" w:rsidRPr="005C21C3" w:rsidRDefault="00193FF4" w:rsidP="004872B5">
            <w:pPr>
              <w:spacing w:line="480" w:lineRule="auto"/>
              <w:jc w:val="center"/>
            </w:pPr>
            <w:r w:rsidRPr="005C21C3">
              <w:t>0.739</w:t>
            </w:r>
          </w:p>
        </w:tc>
      </w:tr>
      <w:tr w:rsidR="00193FF4" w:rsidRPr="005C21C3" w14:paraId="2FB6AA27" w14:textId="77777777" w:rsidTr="004872B5">
        <w:trPr>
          <w:trHeight w:val="513"/>
        </w:trPr>
        <w:tc>
          <w:tcPr>
            <w:tcW w:w="8969" w:type="dxa"/>
          </w:tcPr>
          <w:p w14:paraId="7CA53E36" w14:textId="77777777" w:rsidR="00193FF4" w:rsidRPr="000F2321" w:rsidRDefault="00193FF4" w:rsidP="004872B5">
            <w:pPr>
              <w:spacing w:line="480" w:lineRule="auto"/>
              <w:rPr>
                <w:b/>
                <w:bCs/>
              </w:rPr>
            </w:pPr>
            <w:r>
              <w:lastRenderedPageBreak/>
              <w:t xml:space="preserve"> </w:t>
            </w:r>
            <w:r w:rsidRPr="000F2321">
              <w:t>Factor 2</w:t>
            </w:r>
          </w:p>
        </w:tc>
        <w:tc>
          <w:tcPr>
            <w:tcW w:w="1739" w:type="dxa"/>
          </w:tcPr>
          <w:p w14:paraId="6A5091D4" w14:textId="77777777" w:rsidR="00193FF4" w:rsidRPr="005C21C3" w:rsidRDefault="00193FF4" w:rsidP="004872B5">
            <w:pPr>
              <w:spacing w:line="480" w:lineRule="auto"/>
              <w:jc w:val="center"/>
              <w:rPr>
                <w:i/>
                <w:iCs/>
              </w:rPr>
            </w:pPr>
          </w:p>
        </w:tc>
        <w:tc>
          <w:tcPr>
            <w:tcW w:w="1518" w:type="dxa"/>
          </w:tcPr>
          <w:p w14:paraId="2FF767BB" w14:textId="77777777" w:rsidR="00193FF4" w:rsidRPr="005C21C3" w:rsidRDefault="00193FF4" w:rsidP="004872B5">
            <w:pPr>
              <w:spacing w:line="480" w:lineRule="auto"/>
              <w:jc w:val="center"/>
            </w:pPr>
          </w:p>
        </w:tc>
        <w:tc>
          <w:tcPr>
            <w:tcW w:w="1650" w:type="dxa"/>
          </w:tcPr>
          <w:p w14:paraId="4153321F" w14:textId="77777777" w:rsidR="00193FF4" w:rsidRPr="005C21C3" w:rsidRDefault="00193FF4" w:rsidP="004872B5">
            <w:pPr>
              <w:spacing w:line="480" w:lineRule="auto"/>
              <w:jc w:val="center"/>
            </w:pPr>
            <w:r w:rsidRPr="005C21C3">
              <w:t>0.676</w:t>
            </w:r>
          </w:p>
        </w:tc>
      </w:tr>
    </w:tbl>
    <w:p w14:paraId="5C63CE2D" w14:textId="77777777" w:rsidR="00193FF4" w:rsidRDefault="00193FF4" w:rsidP="00193FF4">
      <w:pPr>
        <w:widowControl w:val="0"/>
        <w:autoSpaceDE w:val="0"/>
        <w:autoSpaceDN w:val="0"/>
        <w:adjustRightInd w:val="0"/>
        <w:spacing w:line="480" w:lineRule="auto"/>
      </w:pPr>
      <w:r w:rsidRPr="005C21C3">
        <w:t xml:space="preserve">Notes. Values in bold are highest loading; Values in italics represent cross loadings; Values below 0.32 </w:t>
      </w:r>
      <w:r>
        <w:t xml:space="preserve">are non-significant but maintained for completeness. Factor 1 = </w:t>
      </w:r>
      <w:r w:rsidRPr="009E37D4">
        <w:t>Desire for Thinness</w:t>
      </w:r>
      <w:r>
        <w:t xml:space="preserve">; Factor 2 = </w:t>
      </w:r>
      <w:r w:rsidRPr="009E37D4">
        <w:t>Appetite</w:t>
      </w:r>
      <w:r>
        <w:t xml:space="preserve">; factor 3 = </w:t>
      </w:r>
      <w:r w:rsidRPr="009E37D4">
        <w:t>Disturbed EABs</w:t>
      </w:r>
      <w:r>
        <w:t>.</w:t>
      </w:r>
      <w:r w:rsidRPr="009E37D4">
        <w:t xml:space="preserve"> </w:t>
      </w:r>
      <w:r>
        <w:t>N = 132.</w:t>
      </w:r>
      <w:r>
        <w:br/>
        <w:t>* = negatively scored item.</w:t>
      </w:r>
    </w:p>
    <w:p w14:paraId="46180EE4" w14:textId="77777777" w:rsidR="00193FF4" w:rsidRDefault="00193FF4" w:rsidP="00193FF4">
      <w:pPr>
        <w:widowControl w:val="0"/>
        <w:autoSpaceDE w:val="0"/>
        <w:autoSpaceDN w:val="0"/>
        <w:adjustRightInd w:val="0"/>
        <w:spacing w:line="480" w:lineRule="auto"/>
      </w:pPr>
    </w:p>
    <w:p w14:paraId="35F1826E" w14:textId="77777777" w:rsidR="00193FF4" w:rsidRDefault="00193FF4" w:rsidP="00193FF4">
      <w:pPr>
        <w:widowControl w:val="0"/>
        <w:autoSpaceDE w:val="0"/>
        <w:autoSpaceDN w:val="0"/>
        <w:adjustRightInd w:val="0"/>
        <w:spacing w:line="480" w:lineRule="auto"/>
      </w:pPr>
    </w:p>
    <w:p w14:paraId="70DD2D40" w14:textId="77777777" w:rsidR="00193FF4" w:rsidRDefault="00193FF4" w:rsidP="00193FF4">
      <w:pPr>
        <w:widowControl w:val="0"/>
        <w:autoSpaceDE w:val="0"/>
        <w:autoSpaceDN w:val="0"/>
        <w:adjustRightInd w:val="0"/>
        <w:spacing w:line="480" w:lineRule="auto"/>
      </w:pPr>
    </w:p>
    <w:p w14:paraId="0BB32DF3" w14:textId="0D2573EE" w:rsidR="00193FF4" w:rsidRPr="00A643A4" w:rsidRDefault="00193FF4" w:rsidP="00193FF4">
      <w:pPr>
        <w:widowControl w:val="0"/>
        <w:autoSpaceDE w:val="0"/>
        <w:autoSpaceDN w:val="0"/>
        <w:adjustRightInd w:val="0"/>
        <w:spacing w:line="480" w:lineRule="auto"/>
      </w:pPr>
      <w:r w:rsidRPr="00D604F2">
        <w:t xml:space="preserve">Table </w:t>
      </w:r>
      <w:r>
        <w:t>4:</w:t>
      </w:r>
      <w:r w:rsidRPr="00D604F2">
        <w:t xml:space="preserve"> </w:t>
      </w:r>
      <w:r>
        <w:t xml:space="preserve">Multiple regression analyses of the three new factors on anxiety, </w:t>
      </w:r>
      <w:proofErr w:type="gramStart"/>
      <w:r>
        <w:t>depression</w:t>
      </w:r>
      <w:proofErr w:type="gramEnd"/>
      <w:r>
        <w:t xml:space="preserve"> and disordered eating.</w:t>
      </w:r>
    </w:p>
    <w:tbl>
      <w:tblPr>
        <w:tblStyle w:val="TableGrid"/>
        <w:tblW w:w="14380" w:type="dxa"/>
        <w:tblInd w:w="-6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205"/>
        <w:gridCol w:w="1165"/>
        <w:gridCol w:w="1181"/>
        <w:gridCol w:w="1390"/>
        <w:gridCol w:w="1165"/>
        <w:gridCol w:w="1184"/>
        <w:gridCol w:w="1390"/>
        <w:gridCol w:w="1165"/>
        <w:gridCol w:w="1184"/>
      </w:tblGrid>
      <w:tr w:rsidR="00193FF4" w14:paraId="7B54EE70" w14:textId="77777777" w:rsidTr="004872B5">
        <w:trPr>
          <w:trHeight w:val="576"/>
        </w:trPr>
        <w:tc>
          <w:tcPr>
            <w:tcW w:w="3351" w:type="dxa"/>
            <w:tcBorders>
              <w:top w:val="single" w:sz="4" w:space="0" w:color="auto"/>
              <w:bottom w:val="single" w:sz="4" w:space="0" w:color="auto"/>
            </w:tcBorders>
          </w:tcPr>
          <w:p w14:paraId="73F68776" w14:textId="77777777" w:rsidR="00193FF4" w:rsidRDefault="00193FF4" w:rsidP="004872B5">
            <w:pPr>
              <w:widowControl w:val="0"/>
              <w:autoSpaceDE w:val="0"/>
              <w:autoSpaceDN w:val="0"/>
              <w:adjustRightInd w:val="0"/>
              <w:spacing w:line="480" w:lineRule="auto"/>
            </w:pPr>
            <w:r>
              <w:t>Model</w:t>
            </w:r>
          </w:p>
        </w:tc>
        <w:tc>
          <w:tcPr>
            <w:tcW w:w="3551" w:type="dxa"/>
            <w:gridSpan w:val="3"/>
            <w:tcBorders>
              <w:top w:val="single" w:sz="4" w:space="0" w:color="auto"/>
              <w:bottom w:val="single" w:sz="4" w:space="0" w:color="auto"/>
            </w:tcBorders>
          </w:tcPr>
          <w:p w14:paraId="53B79EF2" w14:textId="77777777" w:rsidR="00193FF4" w:rsidRDefault="00193FF4" w:rsidP="004872B5">
            <w:pPr>
              <w:widowControl w:val="0"/>
              <w:autoSpaceDE w:val="0"/>
              <w:autoSpaceDN w:val="0"/>
              <w:adjustRightInd w:val="0"/>
              <w:spacing w:line="480" w:lineRule="auto"/>
            </w:pPr>
            <w:r>
              <w:t>Anxiety</w:t>
            </w:r>
          </w:p>
        </w:tc>
        <w:tc>
          <w:tcPr>
            <w:tcW w:w="3739" w:type="dxa"/>
            <w:gridSpan w:val="3"/>
            <w:tcBorders>
              <w:top w:val="single" w:sz="4" w:space="0" w:color="auto"/>
              <w:bottom w:val="single" w:sz="4" w:space="0" w:color="auto"/>
            </w:tcBorders>
          </w:tcPr>
          <w:p w14:paraId="4659851A" w14:textId="77777777" w:rsidR="00193FF4" w:rsidRDefault="00193FF4" w:rsidP="004872B5">
            <w:pPr>
              <w:widowControl w:val="0"/>
              <w:autoSpaceDE w:val="0"/>
              <w:autoSpaceDN w:val="0"/>
              <w:adjustRightInd w:val="0"/>
              <w:spacing w:line="480" w:lineRule="auto"/>
            </w:pPr>
            <w:r>
              <w:t>Depression</w:t>
            </w:r>
          </w:p>
        </w:tc>
        <w:tc>
          <w:tcPr>
            <w:tcW w:w="3739" w:type="dxa"/>
            <w:gridSpan w:val="3"/>
            <w:tcBorders>
              <w:top w:val="single" w:sz="4" w:space="0" w:color="auto"/>
              <w:bottom w:val="single" w:sz="4" w:space="0" w:color="auto"/>
            </w:tcBorders>
          </w:tcPr>
          <w:p w14:paraId="73541274" w14:textId="77777777" w:rsidR="00193FF4" w:rsidRDefault="00193FF4" w:rsidP="004872B5">
            <w:pPr>
              <w:widowControl w:val="0"/>
              <w:autoSpaceDE w:val="0"/>
              <w:autoSpaceDN w:val="0"/>
              <w:adjustRightInd w:val="0"/>
              <w:spacing w:line="480" w:lineRule="auto"/>
            </w:pPr>
            <w:r>
              <w:t>Disordered Eating</w:t>
            </w:r>
          </w:p>
        </w:tc>
      </w:tr>
      <w:tr w:rsidR="00193FF4" w14:paraId="597D9B2A" w14:textId="77777777" w:rsidTr="004872B5">
        <w:trPr>
          <w:trHeight w:val="576"/>
        </w:trPr>
        <w:tc>
          <w:tcPr>
            <w:tcW w:w="3351" w:type="dxa"/>
            <w:tcBorders>
              <w:top w:val="single" w:sz="4" w:space="0" w:color="auto"/>
            </w:tcBorders>
          </w:tcPr>
          <w:p w14:paraId="044C3A19" w14:textId="77777777" w:rsidR="00193FF4" w:rsidRDefault="00193FF4" w:rsidP="004872B5">
            <w:pPr>
              <w:widowControl w:val="0"/>
              <w:autoSpaceDE w:val="0"/>
              <w:autoSpaceDN w:val="0"/>
              <w:adjustRightInd w:val="0"/>
              <w:spacing w:line="480" w:lineRule="auto"/>
            </w:pPr>
            <w:r>
              <w:t>R</w:t>
            </w:r>
            <w:r w:rsidRPr="00D604F2">
              <w:rPr>
                <w:vertAlign w:val="superscript"/>
              </w:rPr>
              <w:t>2</w:t>
            </w:r>
          </w:p>
        </w:tc>
        <w:tc>
          <w:tcPr>
            <w:tcW w:w="3551" w:type="dxa"/>
            <w:gridSpan w:val="3"/>
            <w:tcBorders>
              <w:top w:val="single" w:sz="4" w:space="0" w:color="auto"/>
              <w:bottom w:val="nil"/>
            </w:tcBorders>
          </w:tcPr>
          <w:p w14:paraId="7B5D8AD9" w14:textId="77777777" w:rsidR="00193FF4" w:rsidRPr="00C0128D" w:rsidRDefault="00193FF4" w:rsidP="004872B5">
            <w:pPr>
              <w:widowControl w:val="0"/>
              <w:autoSpaceDE w:val="0"/>
              <w:autoSpaceDN w:val="0"/>
              <w:adjustRightInd w:val="0"/>
              <w:spacing w:line="480" w:lineRule="auto"/>
            </w:pPr>
            <w:r w:rsidRPr="00C0128D">
              <w:t>.271*</w:t>
            </w:r>
          </w:p>
        </w:tc>
        <w:tc>
          <w:tcPr>
            <w:tcW w:w="3739" w:type="dxa"/>
            <w:gridSpan w:val="3"/>
            <w:tcBorders>
              <w:top w:val="single" w:sz="4" w:space="0" w:color="auto"/>
              <w:bottom w:val="nil"/>
            </w:tcBorders>
          </w:tcPr>
          <w:p w14:paraId="4EA4A8C2" w14:textId="77777777" w:rsidR="00193FF4" w:rsidRPr="00C0128D" w:rsidRDefault="00193FF4" w:rsidP="004872B5">
            <w:pPr>
              <w:widowControl w:val="0"/>
              <w:autoSpaceDE w:val="0"/>
              <w:autoSpaceDN w:val="0"/>
              <w:adjustRightInd w:val="0"/>
              <w:spacing w:line="480" w:lineRule="auto"/>
            </w:pPr>
            <w:r w:rsidRPr="00C0128D">
              <w:t>.205**</w:t>
            </w:r>
          </w:p>
        </w:tc>
        <w:tc>
          <w:tcPr>
            <w:tcW w:w="3739" w:type="dxa"/>
            <w:gridSpan w:val="3"/>
            <w:tcBorders>
              <w:top w:val="single" w:sz="4" w:space="0" w:color="auto"/>
              <w:bottom w:val="nil"/>
            </w:tcBorders>
          </w:tcPr>
          <w:p w14:paraId="1DEAF31E" w14:textId="77777777" w:rsidR="00193FF4" w:rsidRPr="00C0128D" w:rsidRDefault="00193FF4" w:rsidP="004872B5">
            <w:pPr>
              <w:widowControl w:val="0"/>
              <w:autoSpaceDE w:val="0"/>
              <w:autoSpaceDN w:val="0"/>
              <w:adjustRightInd w:val="0"/>
              <w:spacing w:line="480" w:lineRule="auto"/>
            </w:pPr>
            <w:r w:rsidRPr="00C0128D">
              <w:t>.665**</w:t>
            </w:r>
          </w:p>
        </w:tc>
      </w:tr>
      <w:tr w:rsidR="00193FF4" w14:paraId="6C44ED8A" w14:textId="77777777" w:rsidTr="004872B5">
        <w:trPr>
          <w:trHeight w:val="598"/>
        </w:trPr>
        <w:tc>
          <w:tcPr>
            <w:tcW w:w="3351" w:type="dxa"/>
          </w:tcPr>
          <w:p w14:paraId="42B68F39" w14:textId="77777777" w:rsidR="00193FF4" w:rsidRDefault="00193FF4" w:rsidP="004872B5">
            <w:pPr>
              <w:widowControl w:val="0"/>
              <w:autoSpaceDE w:val="0"/>
              <w:autoSpaceDN w:val="0"/>
              <w:adjustRightInd w:val="0"/>
              <w:spacing w:line="480" w:lineRule="auto"/>
            </w:pPr>
          </w:p>
        </w:tc>
        <w:tc>
          <w:tcPr>
            <w:tcW w:w="1205" w:type="dxa"/>
            <w:tcBorders>
              <w:top w:val="nil"/>
              <w:bottom w:val="single" w:sz="4" w:space="0" w:color="auto"/>
            </w:tcBorders>
          </w:tcPr>
          <w:p w14:paraId="70A145EF" w14:textId="77777777" w:rsidR="00193FF4" w:rsidRDefault="00193FF4" w:rsidP="004872B5">
            <w:pPr>
              <w:widowControl w:val="0"/>
              <w:autoSpaceDE w:val="0"/>
              <w:autoSpaceDN w:val="0"/>
              <w:adjustRightInd w:val="0"/>
              <w:spacing w:line="480" w:lineRule="auto"/>
            </w:pPr>
            <w:r>
              <w:t>β</w:t>
            </w:r>
          </w:p>
        </w:tc>
        <w:tc>
          <w:tcPr>
            <w:tcW w:w="1165" w:type="dxa"/>
            <w:tcBorders>
              <w:top w:val="nil"/>
              <w:bottom w:val="single" w:sz="4" w:space="0" w:color="auto"/>
            </w:tcBorders>
          </w:tcPr>
          <w:p w14:paraId="7604E5EB" w14:textId="77777777" w:rsidR="00193FF4" w:rsidRDefault="00193FF4" w:rsidP="004872B5">
            <w:pPr>
              <w:widowControl w:val="0"/>
              <w:autoSpaceDE w:val="0"/>
              <w:autoSpaceDN w:val="0"/>
              <w:adjustRightInd w:val="0"/>
              <w:spacing w:line="480" w:lineRule="auto"/>
            </w:pPr>
            <w:r>
              <w:t>SE</w:t>
            </w:r>
          </w:p>
        </w:tc>
        <w:tc>
          <w:tcPr>
            <w:tcW w:w="1181" w:type="dxa"/>
            <w:tcBorders>
              <w:top w:val="nil"/>
              <w:bottom w:val="single" w:sz="4" w:space="0" w:color="auto"/>
            </w:tcBorders>
          </w:tcPr>
          <w:p w14:paraId="34F57191" w14:textId="77777777" w:rsidR="00193FF4" w:rsidRDefault="00193FF4" w:rsidP="004872B5">
            <w:pPr>
              <w:widowControl w:val="0"/>
              <w:autoSpaceDE w:val="0"/>
              <w:autoSpaceDN w:val="0"/>
              <w:adjustRightInd w:val="0"/>
              <w:spacing w:line="480" w:lineRule="auto"/>
            </w:pPr>
            <w:r>
              <w:t>Part</w:t>
            </w:r>
          </w:p>
        </w:tc>
        <w:tc>
          <w:tcPr>
            <w:tcW w:w="1390" w:type="dxa"/>
            <w:tcBorders>
              <w:top w:val="nil"/>
              <w:bottom w:val="single" w:sz="4" w:space="0" w:color="auto"/>
            </w:tcBorders>
          </w:tcPr>
          <w:p w14:paraId="471291A1" w14:textId="77777777" w:rsidR="00193FF4" w:rsidRDefault="00193FF4" w:rsidP="004872B5">
            <w:pPr>
              <w:widowControl w:val="0"/>
              <w:autoSpaceDE w:val="0"/>
              <w:autoSpaceDN w:val="0"/>
              <w:adjustRightInd w:val="0"/>
              <w:spacing w:line="480" w:lineRule="auto"/>
            </w:pPr>
            <w:r>
              <w:t>β</w:t>
            </w:r>
          </w:p>
        </w:tc>
        <w:tc>
          <w:tcPr>
            <w:tcW w:w="1165" w:type="dxa"/>
            <w:tcBorders>
              <w:top w:val="nil"/>
              <w:bottom w:val="single" w:sz="4" w:space="0" w:color="auto"/>
            </w:tcBorders>
          </w:tcPr>
          <w:p w14:paraId="2E69B20B" w14:textId="77777777" w:rsidR="00193FF4" w:rsidRDefault="00193FF4" w:rsidP="004872B5">
            <w:pPr>
              <w:widowControl w:val="0"/>
              <w:autoSpaceDE w:val="0"/>
              <w:autoSpaceDN w:val="0"/>
              <w:adjustRightInd w:val="0"/>
              <w:spacing w:line="480" w:lineRule="auto"/>
            </w:pPr>
            <w:r>
              <w:t>SE</w:t>
            </w:r>
          </w:p>
        </w:tc>
        <w:tc>
          <w:tcPr>
            <w:tcW w:w="1184" w:type="dxa"/>
            <w:tcBorders>
              <w:top w:val="nil"/>
              <w:bottom w:val="single" w:sz="4" w:space="0" w:color="auto"/>
            </w:tcBorders>
          </w:tcPr>
          <w:p w14:paraId="27E020B2" w14:textId="77777777" w:rsidR="00193FF4" w:rsidRDefault="00193FF4" w:rsidP="004872B5">
            <w:pPr>
              <w:widowControl w:val="0"/>
              <w:autoSpaceDE w:val="0"/>
              <w:autoSpaceDN w:val="0"/>
              <w:adjustRightInd w:val="0"/>
              <w:spacing w:line="480" w:lineRule="auto"/>
            </w:pPr>
            <w:r>
              <w:t>Part</w:t>
            </w:r>
          </w:p>
        </w:tc>
        <w:tc>
          <w:tcPr>
            <w:tcW w:w="1390" w:type="dxa"/>
            <w:tcBorders>
              <w:top w:val="nil"/>
              <w:bottom w:val="single" w:sz="4" w:space="0" w:color="auto"/>
            </w:tcBorders>
          </w:tcPr>
          <w:p w14:paraId="5C531831" w14:textId="77777777" w:rsidR="00193FF4" w:rsidRDefault="00193FF4" w:rsidP="004872B5">
            <w:pPr>
              <w:widowControl w:val="0"/>
              <w:autoSpaceDE w:val="0"/>
              <w:autoSpaceDN w:val="0"/>
              <w:adjustRightInd w:val="0"/>
              <w:spacing w:line="480" w:lineRule="auto"/>
            </w:pPr>
            <w:r>
              <w:t>β</w:t>
            </w:r>
          </w:p>
        </w:tc>
        <w:tc>
          <w:tcPr>
            <w:tcW w:w="1165" w:type="dxa"/>
            <w:tcBorders>
              <w:top w:val="nil"/>
              <w:bottom w:val="single" w:sz="4" w:space="0" w:color="auto"/>
            </w:tcBorders>
          </w:tcPr>
          <w:p w14:paraId="7AD3ED3C" w14:textId="77777777" w:rsidR="00193FF4" w:rsidRDefault="00193FF4" w:rsidP="004872B5">
            <w:pPr>
              <w:widowControl w:val="0"/>
              <w:autoSpaceDE w:val="0"/>
              <w:autoSpaceDN w:val="0"/>
              <w:adjustRightInd w:val="0"/>
              <w:spacing w:line="480" w:lineRule="auto"/>
            </w:pPr>
            <w:r>
              <w:t>SE</w:t>
            </w:r>
          </w:p>
        </w:tc>
        <w:tc>
          <w:tcPr>
            <w:tcW w:w="1184" w:type="dxa"/>
            <w:tcBorders>
              <w:top w:val="nil"/>
              <w:bottom w:val="single" w:sz="4" w:space="0" w:color="auto"/>
            </w:tcBorders>
          </w:tcPr>
          <w:p w14:paraId="2F41040B" w14:textId="77777777" w:rsidR="00193FF4" w:rsidRDefault="00193FF4" w:rsidP="004872B5">
            <w:pPr>
              <w:widowControl w:val="0"/>
              <w:autoSpaceDE w:val="0"/>
              <w:autoSpaceDN w:val="0"/>
              <w:adjustRightInd w:val="0"/>
              <w:spacing w:line="480" w:lineRule="auto"/>
            </w:pPr>
            <w:r>
              <w:t>Part</w:t>
            </w:r>
          </w:p>
        </w:tc>
      </w:tr>
      <w:tr w:rsidR="00193FF4" w14:paraId="121D7D95" w14:textId="77777777" w:rsidTr="004872B5">
        <w:trPr>
          <w:trHeight w:val="543"/>
        </w:trPr>
        <w:tc>
          <w:tcPr>
            <w:tcW w:w="3351" w:type="dxa"/>
          </w:tcPr>
          <w:p w14:paraId="2B59B547" w14:textId="77777777" w:rsidR="00193FF4" w:rsidRDefault="00193FF4" w:rsidP="004872B5">
            <w:pPr>
              <w:widowControl w:val="0"/>
              <w:autoSpaceDE w:val="0"/>
              <w:autoSpaceDN w:val="0"/>
              <w:adjustRightInd w:val="0"/>
              <w:spacing w:line="480" w:lineRule="auto"/>
            </w:pPr>
            <w:r w:rsidRPr="005C21C3">
              <w:t>Desire for Thinness</w:t>
            </w:r>
          </w:p>
        </w:tc>
        <w:tc>
          <w:tcPr>
            <w:tcW w:w="1205" w:type="dxa"/>
            <w:tcBorders>
              <w:top w:val="single" w:sz="4" w:space="0" w:color="auto"/>
            </w:tcBorders>
          </w:tcPr>
          <w:p w14:paraId="2B8C3F3C" w14:textId="77777777" w:rsidR="00193FF4" w:rsidRDefault="00193FF4" w:rsidP="004872B5">
            <w:pPr>
              <w:widowControl w:val="0"/>
              <w:autoSpaceDE w:val="0"/>
              <w:autoSpaceDN w:val="0"/>
              <w:adjustRightInd w:val="0"/>
              <w:spacing w:line="480" w:lineRule="auto"/>
            </w:pPr>
            <w:r>
              <w:t>.085</w:t>
            </w:r>
          </w:p>
        </w:tc>
        <w:tc>
          <w:tcPr>
            <w:tcW w:w="1165" w:type="dxa"/>
            <w:tcBorders>
              <w:top w:val="single" w:sz="4" w:space="0" w:color="auto"/>
            </w:tcBorders>
          </w:tcPr>
          <w:p w14:paraId="3E629D7D" w14:textId="77777777" w:rsidR="00193FF4" w:rsidRDefault="00193FF4" w:rsidP="004872B5">
            <w:pPr>
              <w:widowControl w:val="0"/>
              <w:autoSpaceDE w:val="0"/>
              <w:autoSpaceDN w:val="0"/>
              <w:adjustRightInd w:val="0"/>
              <w:spacing w:line="480" w:lineRule="auto"/>
            </w:pPr>
            <w:r>
              <w:t>.196</w:t>
            </w:r>
          </w:p>
        </w:tc>
        <w:tc>
          <w:tcPr>
            <w:tcW w:w="1181" w:type="dxa"/>
            <w:tcBorders>
              <w:top w:val="single" w:sz="4" w:space="0" w:color="auto"/>
            </w:tcBorders>
          </w:tcPr>
          <w:p w14:paraId="6840A331" w14:textId="77777777" w:rsidR="00193FF4" w:rsidRDefault="00193FF4" w:rsidP="004872B5">
            <w:pPr>
              <w:widowControl w:val="0"/>
              <w:autoSpaceDE w:val="0"/>
              <w:autoSpaceDN w:val="0"/>
              <w:adjustRightInd w:val="0"/>
              <w:spacing w:line="480" w:lineRule="auto"/>
            </w:pPr>
            <w:r>
              <w:t>.059</w:t>
            </w:r>
          </w:p>
        </w:tc>
        <w:tc>
          <w:tcPr>
            <w:tcW w:w="1390" w:type="dxa"/>
            <w:tcBorders>
              <w:top w:val="single" w:sz="4" w:space="0" w:color="auto"/>
            </w:tcBorders>
          </w:tcPr>
          <w:p w14:paraId="12C18664" w14:textId="77777777" w:rsidR="00193FF4" w:rsidRDefault="00193FF4" w:rsidP="004872B5">
            <w:pPr>
              <w:widowControl w:val="0"/>
              <w:autoSpaceDE w:val="0"/>
              <w:autoSpaceDN w:val="0"/>
              <w:adjustRightInd w:val="0"/>
              <w:spacing w:line="480" w:lineRule="auto"/>
            </w:pPr>
            <w:r>
              <w:t>.150</w:t>
            </w:r>
          </w:p>
        </w:tc>
        <w:tc>
          <w:tcPr>
            <w:tcW w:w="1165" w:type="dxa"/>
            <w:tcBorders>
              <w:top w:val="single" w:sz="4" w:space="0" w:color="auto"/>
            </w:tcBorders>
          </w:tcPr>
          <w:p w14:paraId="254D59E9" w14:textId="77777777" w:rsidR="00193FF4" w:rsidRDefault="00193FF4" w:rsidP="004872B5">
            <w:pPr>
              <w:widowControl w:val="0"/>
              <w:autoSpaceDE w:val="0"/>
              <w:autoSpaceDN w:val="0"/>
              <w:adjustRightInd w:val="0"/>
              <w:spacing w:line="480" w:lineRule="auto"/>
            </w:pPr>
            <w:r>
              <w:t>.222</w:t>
            </w:r>
          </w:p>
        </w:tc>
        <w:tc>
          <w:tcPr>
            <w:tcW w:w="1184" w:type="dxa"/>
            <w:tcBorders>
              <w:top w:val="single" w:sz="4" w:space="0" w:color="auto"/>
            </w:tcBorders>
          </w:tcPr>
          <w:p w14:paraId="237F003C" w14:textId="77777777" w:rsidR="00193FF4" w:rsidRDefault="00193FF4" w:rsidP="004872B5">
            <w:pPr>
              <w:widowControl w:val="0"/>
              <w:autoSpaceDE w:val="0"/>
              <w:autoSpaceDN w:val="0"/>
              <w:adjustRightInd w:val="0"/>
              <w:spacing w:line="480" w:lineRule="auto"/>
            </w:pPr>
            <w:r>
              <w:t>.098</w:t>
            </w:r>
          </w:p>
        </w:tc>
        <w:tc>
          <w:tcPr>
            <w:tcW w:w="1390" w:type="dxa"/>
            <w:tcBorders>
              <w:top w:val="single" w:sz="4" w:space="0" w:color="auto"/>
            </w:tcBorders>
          </w:tcPr>
          <w:p w14:paraId="5A38C74D" w14:textId="77777777" w:rsidR="00193FF4" w:rsidRDefault="00193FF4" w:rsidP="004872B5">
            <w:pPr>
              <w:widowControl w:val="0"/>
              <w:autoSpaceDE w:val="0"/>
              <w:autoSpaceDN w:val="0"/>
              <w:adjustRightInd w:val="0"/>
              <w:spacing w:line="480" w:lineRule="auto"/>
            </w:pPr>
            <w:r>
              <w:t>.024</w:t>
            </w:r>
          </w:p>
        </w:tc>
        <w:tc>
          <w:tcPr>
            <w:tcW w:w="1165" w:type="dxa"/>
            <w:tcBorders>
              <w:top w:val="single" w:sz="4" w:space="0" w:color="auto"/>
            </w:tcBorders>
          </w:tcPr>
          <w:p w14:paraId="4F42B614" w14:textId="77777777" w:rsidR="00193FF4" w:rsidRDefault="00193FF4" w:rsidP="004872B5">
            <w:pPr>
              <w:widowControl w:val="0"/>
              <w:autoSpaceDE w:val="0"/>
              <w:autoSpaceDN w:val="0"/>
              <w:adjustRightInd w:val="0"/>
              <w:spacing w:line="480" w:lineRule="auto"/>
            </w:pPr>
            <w:r>
              <w:t>.453</w:t>
            </w:r>
          </w:p>
        </w:tc>
        <w:tc>
          <w:tcPr>
            <w:tcW w:w="1184" w:type="dxa"/>
            <w:tcBorders>
              <w:top w:val="single" w:sz="4" w:space="0" w:color="auto"/>
            </w:tcBorders>
          </w:tcPr>
          <w:p w14:paraId="4D5006B0" w14:textId="77777777" w:rsidR="00193FF4" w:rsidRDefault="00193FF4" w:rsidP="004872B5">
            <w:pPr>
              <w:widowControl w:val="0"/>
              <w:autoSpaceDE w:val="0"/>
              <w:autoSpaceDN w:val="0"/>
              <w:adjustRightInd w:val="0"/>
              <w:spacing w:line="480" w:lineRule="auto"/>
            </w:pPr>
            <w:r>
              <w:t>.025</w:t>
            </w:r>
          </w:p>
        </w:tc>
      </w:tr>
      <w:tr w:rsidR="00193FF4" w14:paraId="46AE20AF" w14:textId="77777777" w:rsidTr="004872B5">
        <w:trPr>
          <w:trHeight w:val="629"/>
        </w:trPr>
        <w:tc>
          <w:tcPr>
            <w:tcW w:w="3351" w:type="dxa"/>
          </w:tcPr>
          <w:p w14:paraId="10678956" w14:textId="77777777" w:rsidR="00193FF4" w:rsidRDefault="00193FF4" w:rsidP="004872B5">
            <w:pPr>
              <w:widowControl w:val="0"/>
              <w:autoSpaceDE w:val="0"/>
              <w:autoSpaceDN w:val="0"/>
              <w:adjustRightInd w:val="0"/>
              <w:spacing w:line="480" w:lineRule="auto"/>
            </w:pPr>
            <w:r w:rsidRPr="005C21C3">
              <w:t>Appetite</w:t>
            </w:r>
          </w:p>
        </w:tc>
        <w:tc>
          <w:tcPr>
            <w:tcW w:w="1205" w:type="dxa"/>
          </w:tcPr>
          <w:p w14:paraId="6F0C514D" w14:textId="77777777" w:rsidR="00193FF4" w:rsidRDefault="00193FF4" w:rsidP="004872B5">
            <w:pPr>
              <w:widowControl w:val="0"/>
              <w:autoSpaceDE w:val="0"/>
              <w:autoSpaceDN w:val="0"/>
              <w:adjustRightInd w:val="0"/>
              <w:spacing w:line="480" w:lineRule="auto"/>
            </w:pPr>
            <w:r>
              <w:t>.265*</w:t>
            </w:r>
          </w:p>
        </w:tc>
        <w:tc>
          <w:tcPr>
            <w:tcW w:w="1165" w:type="dxa"/>
          </w:tcPr>
          <w:p w14:paraId="4697E57E" w14:textId="77777777" w:rsidR="00193FF4" w:rsidRDefault="00193FF4" w:rsidP="004872B5">
            <w:pPr>
              <w:widowControl w:val="0"/>
              <w:autoSpaceDE w:val="0"/>
              <w:autoSpaceDN w:val="0"/>
              <w:adjustRightInd w:val="0"/>
              <w:spacing w:line="480" w:lineRule="auto"/>
            </w:pPr>
            <w:r>
              <w:t>.258</w:t>
            </w:r>
          </w:p>
        </w:tc>
        <w:tc>
          <w:tcPr>
            <w:tcW w:w="1181" w:type="dxa"/>
          </w:tcPr>
          <w:p w14:paraId="4C4BE99D" w14:textId="77777777" w:rsidR="00193FF4" w:rsidRDefault="00193FF4" w:rsidP="004872B5">
            <w:pPr>
              <w:widowControl w:val="0"/>
              <w:autoSpaceDE w:val="0"/>
              <w:autoSpaceDN w:val="0"/>
              <w:adjustRightInd w:val="0"/>
              <w:spacing w:line="480" w:lineRule="auto"/>
            </w:pPr>
            <w:r>
              <w:t>.269</w:t>
            </w:r>
          </w:p>
        </w:tc>
        <w:tc>
          <w:tcPr>
            <w:tcW w:w="1390" w:type="dxa"/>
          </w:tcPr>
          <w:p w14:paraId="174E19E2" w14:textId="77777777" w:rsidR="00193FF4" w:rsidRDefault="00193FF4" w:rsidP="004872B5">
            <w:pPr>
              <w:widowControl w:val="0"/>
              <w:autoSpaceDE w:val="0"/>
              <w:autoSpaceDN w:val="0"/>
              <w:adjustRightInd w:val="0"/>
              <w:spacing w:line="480" w:lineRule="auto"/>
            </w:pPr>
            <w:r>
              <w:t>.329**</w:t>
            </w:r>
          </w:p>
        </w:tc>
        <w:tc>
          <w:tcPr>
            <w:tcW w:w="1165" w:type="dxa"/>
          </w:tcPr>
          <w:p w14:paraId="2A43B185" w14:textId="77777777" w:rsidR="00193FF4" w:rsidRDefault="00193FF4" w:rsidP="004872B5">
            <w:pPr>
              <w:widowControl w:val="0"/>
              <w:autoSpaceDE w:val="0"/>
              <w:autoSpaceDN w:val="0"/>
              <w:adjustRightInd w:val="0"/>
              <w:spacing w:line="480" w:lineRule="auto"/>
            </w:pPr>
            <w:r>
              <w:t>.282</w:t>
            </w:r>
          </w:p>
        </w:tc>
        <w:tc>
          <w:tcPr>
            <w:tcW w:w="1184" w:type="dxa"/>
          </w:tcPr>
          <w:p w14:paraId="01FDFA8F" w14:textId="77777777" w:rsidR="00193FF4" w:rsidRDefault="00193FF4" w:rsidP="004872B5">
            <w:pPr>
              <w:widowControl w:val="0"/>
              <w:autoSpaceDE w:val="0"/>
              <w:autoSpaceDN w:val="0"/>
              <w:adjustRightInd w:val="0"/>
              <w:spacing w:line="480" w:lineRule="auto"/>
            </w:pPr>
            <w:r>
              <w:t>.316</w:t>
            </w:r>
          </w:p>
        </w:tc>
        <w:tc>
          <w:tcPr>
            <w:tcW w:w="1390" w:type="dxa"/>
          </w:tcPr>
          <w:p w14:paraId="0781FF1E" w14:textId="77777777" w:rsidR="00193FF4" w:rsidRDefault="00193FF4" w:rsidP="004872B5">
            <w:pPr>
              <w:widowControl w:val="0"/>
              <w:autoSpaceDE w:val="0"/>
              <w:autoSpaceDN w:val="0"/>
              <w:adjustRightInd w:val="0"/>
              <w:spacing w:line="480" w:lineRule="auto"/>
            </w:pPr>
            <w:r>
              <w:t>.138</w:t>
            </w:r>
          </w:p>
        </w:tc>
        <w:tc>
          <w:tcPr>
            <w:tcW w:w="1165" w:type="dxa"/>
          </w:tcPr>
          <w:p w14:paraId="2124DA19" w14:textId="77777777" w:rsidR="00193FF4" w:rsidRDefault="00193FF4" w:rsidP="004872B5">
            <w:pPr>
              <w:widowControl w:val="0"/>
              <w:autoSpaceDE w:val="0"/>
              <w:autoSpaceDN w:val="0"/>
              <w:adjustRightInd w:val="0"/>
              <w:spacing w:line="480" w:lineRule="auto"/>
            </w:pPr>
            <w:r>
              <w:t>.582</w:t>
            </w:r>
          </w:p>
        </w:tc>
        <w:tc>
          <w:tcPr>
            <w:tcW w:w="1184" w:type="dxa"/>
          </w:tcPr>
          <w:p w14:paraId="1DCFC465" w14:textId="77777777" w:rsidR="00193FF4" w:rsidRDefault="00193FF4" w:rsidP="004872B5">
            <w:pPr>
              <w:widowControl w:val="0"/>
              <w:autoSpaceDE w:val="0"/>
              <w:autoSpaceDN w:val="0"/>
              <w:adjustRightInd w:val="0"/>
              <w:spacing w:line="480" w:lineRule="auto"/>
            </w:pPr>
            <w:r>
              <w:t>.211</w:t>
            </w:r>
          </w:p>
        </w:tc>
      </w:tr>
      <w:tr w:rsidR="00193FF4" w14:paraId="08A9C6A5" w14:textId="77777777" w:rsidTr="004872B5">
        <w:trPr>
          <w:trHeight w:val="576"/>
        </w:trPr>
        <w:tc>
          <w:tcPr>
            <w:tcW w:w="3351" w:type="dxa"/>
          </w:tcPr>
          <w:p w14:paraId="2128AE6F" w14:textId="77777777" w:rsidR="00193FF4" w:rsidRDefault="00193FF4" w:rsidP="004872B5">
            <w:pPr>
              <w:widowControl w:val="0"/>
              <w:autoSpaceDE w:val="0"/>
              <w:autoSpaceDN w:val="0"/>
              <w:adjustRightInd w:val="0"/>
              <w:spacing w:line="480" w:lineRule="auto"/>
            </w:pPr>
            <w:r w:rsidRPr="005C21C3">
              <w:rPr>
                <w:iCs/>
              </w:rPr>
              <w:t>Disturbed EABs</w:t>
            </w:r>
          </w:p>
        </w:tc>
        <w:tc>
          <w:tcPr>
            <w:tcW w:w="1205" w:type="dxa"/>
          </w:tcPr>
          <w:p w14:paraId="30B893D2" w14:textId="77777777" w:rsidR="00193FF4" w:rsidRDefault="00193FF4" w:rsidP="004872B5">
            <w:pPr>
              <w:widowControl w:val="0"/>
              <w:autoSpaceDE w:val="0"/>
              <w:autoSpaceDN w:val="0"/>
              <w:adjustRightInd w:val="0"/>
              <w:spacing w:line="480" w:lineRule="auto"/>
            </w:pPr>
            <w:r>
              <w:t>.279</w:t>
            </w:r>
          </w:p>
        </w:tc>
        <w:tc>
          <w:tcPr>
            <w:tcW w:w="1165" w:type="dxa"/>
          </w:tcPr>
          <w:p w14:paraId="340B9B4F" w14:textId="77777777" w:rsidR="00193FF4" w:rsidRDefault="00193FF4" w:rsidP="004872B5">
            <w:pPr>
              <w:widowControl w:val="0"/>
              <w:autoSpaceDE w:val="0"/>
              <w:autoSpaceDN w:val="0"/>
              <w:adjustRightInd w:val="0"/>
              <w:spacing w:line="480" w:lineRule="auto"/>
            </w:pPr>
            <w:r>
              <w:t>.226</w:t>
            </w:r>
          </w:p>
        </w:tc>
        <w:tc>
          <w:tcPr>
            <w:tcW w:w="1181" w:type="dxa"/>
          </w:tcPr>
          <w:p w14:paraId="3C51EC22" w14:textId="77777777" w:rsidR="00193FF4" w:rsidRDefault="00193FF4" w:rsidP="004872B5">
            <w:pPr>
              <w:widowControl w:val="0"/>
              <w:autoSpaceDE w:val="0"/>
              <w:autoSpaceDN w:val="0"/>
              <w:adjustRightInd w:val="0"/>
              <w:spacing w:line="480" w:lineRule="auto"/>
            </w:pPr>
            <w:r>
              <w:t>.182</w:t>
            </w:r>
          </w:p>
        </w:tc>
        <w:tc>
          <w:tcPr>
            <w:tcW w:w="1390" w:type="dxa"/>
          </w:tcPr>
          <w:p w14:paraId="2DDCA44D" w14:textId="77777777" w:rsidR="00193FF4" w:rsidRDefault="00193FF4" w:rsidP="004872B5">
            <w:pPr>
              <w:widowControl w:val="0"/>
              <w:autoSpaceDE w:val="0"/>
              <w:autoSpaceDN w:val="0"/>
              <w:adjustRightInd w:val="0"/>
              <w:spacing w:line="480" w:lineRule="auto"/>
            </w:pPr>
            <w:r>
              <w:t>.073</w:t>
            </w:r>
          </w:p>
        </w:tc>
        <w:tc>
          <w:tcPr>
            <w:tcW w:w="1165" w:type="dxa"/>
          </w:tcPr>
          <w:p w14:paraId="0497F08C" w14:textId="77777777" w:rsidR="00193FF4" w:rsidRDefault="00193FF4" w:rsidP="004872B5">
            <w:pPr>
              <w:widowControl w:val="0"/>
              <w:autoSpaceDE w:val="0"/>
              <w:autoSpaceDN w:val="0"/>
              <w:adjustRightInd w:val="0"/>
              <w:spacing w:line="480" w:lineRule="auto"/>
            </w:pPr>
            <w:r>
              <w:t>.252</w:t>
            </w:r>
          </w:p>
        </w:tc>
        <w:tc>
          <w:tcPr>
            <w:tcW w:w="1184" w:type="dxa"/>
          </w:tcPr>
          <w:p w14:paraId="53F3E4C7" w14:textId="77777777" w:rsidR="00193FF4" w:rsidRDefault="00193FF4" w:rsidP="004872B5">
            <w:pPr>
              <w:widowControl w:val="0"/>
              <w:autoSpaceDE w:val="0"/>
              <w:autoSpaceDN w:val="0"/>
              <w:adjustRightInd w:val="0"/>
              <w:spacing w:line="480" w:lineRule="auto"/>
            </w:pPr>
            <w:r>
              <w:t>.045</w:t>
            </w:r>
          </w:p>
        </w:tc>
        <w:tc>
          <w:tcPr>
            <w:tcW w:w="1390" w:type="dxa"/>
          </w:tcPr>
          <w:p w14:paraId="4E9C8FCB" w14:textId="77777777" w:rsidR="00193FF4" w:rsidRDefault="00193FF4" w:rsidP="004872B5">
            <w:pPr>
              <w:widowControl w:val="0"/>
              <w:autoSpaceDE w:val="0"/>
              <w:autoSpaceDN w:val="0"/>
              <w:adjustRightInd w:val="0"/>
              <w:spacing w:line="480" w:lineRule="auto"/>
            </w:pPr>
            <w:r>
              <w:t>.766**</w:t>
            </w:r>
          </w:p>
        </w:tc>
        <w:tc>
          <w:tcPr>
            <w:tcW w:w="1165" w:type="dxa"/>
          </w:tcPr>
          <w:p w14:paraId="67452EFE" w14:textId="77777777" w:rsidR="00193FF4" w:rsidRDefault="00193FF4" w:rsidP="004872B5">
            <w:pPr>
              <w:widowControl w:val="0"/>
              <w:autoSpaceDE w:val="0"/>
              <w:autoSpaceDN w:val="0"/>
              <w:adjustRightInd w:val="0"/>
              <w:spacing w:line="480" w:lineRule="auto"/>
            </w:pPr>
            <w:r>
              <w:t>.519</w:t>
            </w:r>
          </w:p>
        </w:tc>
        <w:tc>
          <w:tcPr>
            <w:tcW w:w="1184" w:type="dxa"/>
          </w:tcPr>
          <w:p w14:paraId="6428B4B7" w14:textId="77777777" w:rsidR="00193FF4" w:rsidRDefault="00193FF4" w:rsidP="004872B5">
            <w:pPr>
              <w:widowControl w:val="0"/>
              <w:autoSpaceDE w:val="0"/>
              <w:autoSpaceDN w:val="0"/>
              <w:adjustRightInd w:val="0"/>
              <w:spacing w:line="480" w:lineRule="auto"/>
            </w:pPr>
            <w:r>
              <w:t>.607</w:t>
            </w:r>
          </w:p>
        </w:tc>
      </w:tr>
    </w:tbl>
    <w:p w14:paraId="74366C93" w14:textId="77777777" w:rsidR="00193FF4" w:rsidRPr="00DB3B21" w:rsidRDefault="00193FF4" w:rsidP="00193FF4">
      <w:pPr>
        <w:spacing w:line="480" w:lineRule="auto"/>
      </w:pPr>
      <w:r w:rsidRPr="0070024C">
        <w:t xml:space="preserve">Note. N = 132. </w:t>
      </w:r>
      <w:r w:rsidRPr="00D604F2">
        <w:rPr>
          <w:rFonts w:eastAsia="Calibri"/>
          <w:iCs/>
        </w:rPr>
        <w:t xml:space="preserve">β = </w:t>
      </w:r>
      <w:proofErr w:type="spellStart"/>
      <w:r w:rsidRPr="00D604F2">
        <w:rPr>
          <w:rFonts w:eastAsia="Calibri"/>
          <w:iCs/>
        </w:rPr>
        <w:t>standardised</w:t>
      </w:r>
      <w:proofErr w:type="spellEnd"/>
      <w:r w:rsidRPr="00D604F2">
        <w:rPr>
          <w:rFonts w:eastAsia="Calibri"/>
          <w:iCs/>
        </w:rPr>
        <w:t xml:space="preserve"> beta coefficient; Part = semi-partial correlations. * </w:t>
      </w:r>
      <w:r w:rsidRPr="00D604F2">
        <w:rPr>
          <w:rFonts w:eastAsia="Calibri"/>
          <w:i/>
        </w:rPr>
        <w:t>p</w:t>
      </w:r>
      <w:r w:rsidRPr="00D604F2">
        <w:rPr>
          <w:rFonts w:eastAsia="Calibri"/>
          <w:iCs/>
        </w:rPr>
        <w:t xml:space="preserve"> &lt; .05; ** </w:t>
      </w:r>
      <w:r w:rsidRPr="00D604F2">
        <w:rPr>
          <w:rFonts w:eastAsia="Calibri"/>
          <w:i/>
        </w:rPr>
        <w:t>p</w:t>
      </w:r>
      <w:r w:rsidRPr="00D604F2">
        <w:rPr>
          <w:rFonts w:eastAsia="Calibri"/>
          <w:iCs/>
        </w:rPr>
        <w:t xml:space="preserve"> &lt; .01.</w:t>
      </w:r>
    </w:p>
    <w:p w14:paraId="737A423A" w14:textId="77777777" w:rsidR="00193FF4" w:rsidRPr="00615F05" w:rsidRDefault="00193FF4" w:rsidP="00875551">
      <w:pPr>
        <w:spacing w:line="480" w:lineRule="auto"/>
        <w:ind w:left="720" w:hanging="720"/>
        <w:rPr>
          <w:color w:val="000000" w:themeColor="text1"/>
        </w:rPr>
      </w:pPr>
    </w:p>
    <w:sectPr w:rsidR="00193FF4" w:rsidRPr="00615F05" w:rsidSect="00193FF4">
      <w:headerReference w:type="default" r:id="rId15"/>
      <w:footerReference w:type="default" r:id="rId16"/>
      <w:headerReference w:type="first" r:id="rId17"/>
      <w:foot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FD63" w14:textId="77777777" w:rsidR="00800B63" w:rsidRDefault="00800B63" w:rsidP="00241BE2">
      <w:r>
        <w:separator/>
      </w:r>
    </w:p>
  </w:endnote>
  <w:endnote w:type="continuationSeparator" w:id="0">
    <w:p w14:paraId="720B7EC0" w14:textId="77777777" w:rsidR="00800B63" w:rsidRDefault="00800B63" w:rsidP="0024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45495263"/>
      <w:docPartObj>
        <w:docPartGallery w:val="Page Numbers (Bottom of Page)"/>
        <w:docPartUnique/>
      </w:docPartObj>
    </w:sdtPr>
    <w:sdtEndPr>
      <w:rPr>
        <w:noProof/>
      </w:rPr>
    </w:sdtEndPr>
    <w:sdtContent>
      <w:p w14:paraId="705AE273" w14:textId="60676CE1" w:rsidR="00F16CB4" w:rsidRPr="00F954C9" w:rsidRDefault="00F16CB4" w:rsidP="00F954C9">
        <w:pPr>
          <w:pStyle w:val="Footer"/>
          <w:jc w:val="right"/>
          <w:rPr>
            <w:rFonts w:ascii="Times New Roman" w:hAnsi="Times New Roman" w:cs="Times New Roman"/>
            <w:sz w:val="24"/>
            <w:szCs w:val="24"/>
          </w:rPr>
        </w:pPr>
        <w:r w:rsidRPr="00F954C9">
          <w:rPr>
            <w:rFonts w:ascii="Times New Roman" w:hAnsi="Times New Roman" w:cs="Times New Roman"/>
            <w:sz w:val="24"/>
            <w:szCs w:val="24"/>
          </w:rPr>
          <w:fldChar w:fldCharType="begin"/>
        </w:r>
        <w:r w:rsidRPr="00F954C9">
          <w:rPr>
            <w:rFonts w:ascii="Times New Roman" w:hAnsi="Times New Roman" w:cs="Times New Roman"/>
            <w:sz w:val="24"/>
            <w:szCs w:val="24"/>
          </w:rPr>
          <w:instrText xml:space="preserve"> PAGE   \* MERGEFORMAT </w:instrText>
        </w:r>
        <w:r w:rsidRPr="00F954C9">
          <w:rPr>
            <w:rFonts w:ascii="Times New Roman" w:hAnsi="Times New Roman" w:cs="Times New Roman"/>
            <w:sz w:val="24"/>
            <w:szCs w:val="24"/>
          </w:rPr>
          <w:fldChar w:fldCharType="separate"/>
        </w:r>
        <w:r w:rsidR="001835B4">
          <w:rPr>
            <w:rFonts w:ascii="Times New Roman" w:hAnsi="Times New Roman" w:cs="Times New Roman"/>
            <w:noProof/>
            <w:sz w:val="24"/>
            <w:szCs w:val="24"/>
          </w:rPr>
          <w:t>13</w:t>
        </w:r>
        <w:r w:rsidRPr="00F954C9">
          <w:rPr>
            <w:rFonts w:ascii="Times New Roman" w:hAnsi="Times New Roman" w:cs="Times New Roman"/>
            <w:noProof/>
            <w:sz w:val="24"/>
            <w:szCs w:val="24"/>
          </w:rPr>
          <w:fldChar w:fldCharType="end"/>
        </w:r>
      </w:p>
    </w:sdtContent>
  </w:sdt>
  <w:p w14:paraId="733D2BA7" w14:textId="77777777" w:rsidR="00F16CB4" w:rsidRDefault="00F16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57789"/>
      <w:docPartObj>
        <w:docPartGallery w:val="Page Numbers (Bottom of Page)"/>
        <w:docPartUnique/>
      </w:docPartObj>
    </w:sdtPr>
    <w:sdtEndPr>
      <w:rPr>
        <w:noProof/>
      </w:rPr>
    </w:sdtEndPr>
    <w:sdtContent>
      <w:p w14:paraId="6B83E55B" w14:textId="089C794F" w:rsidR="00F16CB4" w:rsidRDefault="00F16CB4" w:rsidP="00F954C9">
        <w:pPr>
          <w:pStyle w:val="Footer"/>
          <w:jc w:val="right"/>
        </w:pPr>
        <w:r w:rsidRPr="00F954C9">
          <w:rPr>
            <w:rFonts w:ascii="Times New Roman" w:hAnsi="Times New Roman" w:cs="Times New Roman"/>
            <w:sz w:val="24"/>
          </w:rPr>
          <w:fldChar w:fldCharType="begin"/>
        </w:r>
        <w:r w:rsidRPr="00F954C9">
          <w:rPr>
            <w:rFonts w:ascii="Times New Roman" w:hAnsi="Times New Roman" w:cs="Times New Roman"/>
            <w:sz w:val="24"/>
          </w:rPr>
          <w:instrText xml:space="preserve"> PAGE   \* MERGEFORMAT </w:instrText>
        </w:r>
        <w:r w:rsidRPr="00F954C9">
          <w:rPr>
            <w:rFonts w:ascii="Times New Roman" w:hAnsi="Times New Roman" w:cs="Times New Roman"/>
            <w:sz w:val="24"/>
          </w:rPr>
          <w:fldChar w:fldCharType="separate"/>
        </w:r>
        <w:r>
          <w:rPr>
            <w:rFonts w:ascii="Times New Roman" w:hAnsi="Times New Roman" w:cs="Times New Roman"/>
            <w:noProof/>
            <w:sz w:val="24"/>
          </w:rPr>
          <w:t>1</w:t>
        </w:r>
        <w:r w:rsidRPr="00F954C9">
          <w:rPr>
            <w:rFonts w:ascii="Times New Roman" w:hAnsi="Times New Roman" w:cs="Times New Roman"/>
            <w:noProof/>
            <w:sz w:val="24"/>
          </w:rPr>
          <w:fldChar w:fldCharType="end"/>
        </w:r>
      </w:p>
    </w:sdtContent>
  </w:sdt>
  <w:p w14:paraId="0E2C2958" w14:textId="77777777" w:rsidR="00F16CB4" w:rsidRDefault="00F1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B1EF" w14:textId="77777777" w:rsidR="00800B63" w:rsidRDefault="00800B63" w:rsidP="00241BE2">
      <w:r>
        <w:separator/>
      </w:r>
    </w:p>
  </w:footnote>
  <w:footnote w:type="continuationSeparator" w:id="0">
    <w:p w14:paraId="4EFA7224" w14:textId="77777777" w:rsidR="00800B63" w:rsidRDefault="00800B63" w:rsidP="0024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646973"/>
      <w:docPartObj>
        <w:docPartGallery w:val="Page Numbers (Top of Page)"/>
        <w:docPartUnique/>
      </w:docPartObj>
    </w:sdtPr>
    <w:sdtEndPr>
      <w:rPr>
        <w:rFonts w:ascii="Times New Roman" w:hAnsi="Times New Roman" w:cs="Times New Roman"/>
        <w:noProof/>
      </w:rPr>
    </w:sdtEndPr>
    <w:sdtContent>
      <w:p w14:paraId="14F18A3E" w14:textId="708EC216" w:rsidR="00F16CB4" w:rsidRPr="00792281" w:rsidRDefault="00F16CB4">
        <w:pPr>
          <w:pStyle w:val="Header"/>
          <w:jc w:val="right"/>
          <w:rPr>
            <w:rFonts w:ascii="Times New Roman" w:hAnsi="Times New Roman" w:cs="Times New Roman"/>
          </w:rPr>
        </w:pPr>
        <w:r w:rsidRPr="00792281">
          <w:rPr>
            <w:rFonts w:ascii="Times New Roman" w:hAnsi="Times New Roman" w:cs="Times New Roman"/>
          </w:rPr>
          <w:t>PSYCHOMETRIC PROPERTIES OF THE CFEAB</w:t>
        </w:r>
        <w:r>
          <w:rPr>
            <w:rFonts w:ascii="Times New Roman" w:hAnsi="Times New Roman" w:cs="Times New Roman"/>
          </w:rPr>
          <w:tab/>
        </w:r>
        <w:r w:rsidRPr="00792281">
          <w:rPr>
            <w:rFonts w:ascii="Times New Roman" w:hAnsi="Times New Roman" w:cs="Times New Roman"/>
          </w:rPr>
          <w:fldChar w:fldCharType="begin"/>
        </w:r>
        <w:r w:rsidRPr="00792281">
          <w:rPr>
            <w:rFonts w:ascii="Times New Roman" w:hAnsi="Times New Roman" w:cs="Times New Roman"/>
          </w:rPr>
          <w:instrText xml:space="preserve"> PAGE   \* MERGEFORMAT </w:instrText>
        </w:r>
        <w:r w:rsidRPr="00792281">
          <w:rPr>
            <w:rFonts w:ascii="Times New Roman" w:hAnsi="Times New Roman" w:cs="Times New Roman"/>
          </w:rPr>
          <w:fldChar w:fldCharType="separate"/>
        </w:r>
        <w:r w:rsidR="001835B4">
          <w:rPr>
            <w:rFonts w:ascii="Times New Roman" w:hAnsi="Times New Roman" w:cs="Times New Roman"/>
            <w:noProof/>
          </w:rPr>
          <w:t>13</w:t>
        </w:r>
        <w:r w:rsidRPr="00792281">
          <w:rPr>
            <w:rFonts w:ascii="Times New Roman" w:hAnsi="Times New Roman" w:cs="Times New Roman"/>
            <w:noProof/>
          </w:rPr>
          <w:fldChar w:fldCharType="end"/>
        </w:r>
      </w:p>
    </w:sdtContent>
  </w:sdt>
  <w:p w14:paraId="4FE08EF6" w14:textId="45D84590" w:rsidR="00F16CB4" w:rsidRDefault="00F16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9802" w14:textId="702783C1" w:rsidR="00F16CB4" w:rsidRPr="002B3EE9" w:rsidRDefault="00F16CB4" w:rsidP="000642CB">
    <w:pPr>
      <w:pStyle w:val="Header"/>
      <w:ind w:hanging="567"/>
    </w:pPr>
    <w:r w:rsidRPr="000642CB">
      <w:rPr>
        <w:rFonts w:ascii="Times New Roman" w:hAnsi="Times New Roman" w:cs="Times New Roman"/>
      </w:rPr>
      <w:t>Running head: EATING DISORDERS IN CYSTIC FIBROSIS (CF)</w:t>
    </w:r>
    <w:r w:rsidRPr="000642CB">
      <w:rPr>
        <w:rFonts w:ascii="Times New Roman" w:hAnsi="Times New Roman" w:cs="Times New Roman"/>
      </w:rPr>
      <w:ptab w:relativeTo="margin" w:alignment="center" w:leader="none"/>
    </w:r>
    <w:r w:rsidRPr="000642CB">
      <w:rPr>
        <w:rFonts w:ascii="Times New Roman" w:hAnsi="Times New Roman" w:cs="Times New Roman"/>
      </w:rPr>
      <w:ptab w:relativeTo="margin" w:alignment="right" w:leader="none"/>
    </w:r>
    <w:r>
      <w:t xml:space="preserve">  </w:t>
    </w:r>
  </w:p>
  <w:p w14:paraId="5A0F34C6" w14:textId="77777777" w:rsidR="00F16CB4" w:rsidRDefault="00F16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C134A"/>
    <w:multiLevelType w:val="multilevel"/>
    <w:tmpl w:val="430C94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AD7826"/>
    <w:multiLevelType w:val="multilevel"/>
    <w:tmpl w:val="15FCE2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1123AD"/>
    <w:multiLevelType w:val="multilevel"/>
    <w:tmpl w:val="9766B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D52CB3"/>
    <w:multiLevelType w:val="multilevel"/>
    <w:tmpl w:val="F04E68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564470"/>
    <w:multiLevelType w:val="multilevel"/>
    <w:tmpl w:val="2892AE8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16cid:durableId="582224542">
    <w:abstractNumId w:val="4"/>
  </w:num>
  <w:num w:numId="2" w16cid:durableId="33772202">
    <w:abstractNumId w:val="1"/>
  </w:num>
  <w:num w:numId="3" w16cid:durableId="1563054336">
    <w:abstractNumId w:val="3"/>
  </w:num>
  <w:num w:numId="4" w16cid:durableId="172307447">
    <w:abstractNumId w:val="0"/>
  </w:num>
  <w:num w:numId="5" w16cid:durableId="1580015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A5"/>
    <w:rsid w:val="00000C5D"/>
    <w:rsid w:val="00003029"/>
    <w:rsid w:val="000141B6"/>
    <w:rsid w:val="000173FE"/>
    <w:rsid w:val="00030BF3"/>
    <w:rsid w:val="0003196D"/>
    <w:rsid w:val="00036128"/>
    <w:rsid w:val="00036BDA"/>
    <w:rsid w:val="000438D5"/>
    <w:rsid w:val="00044DE0"/>
    <w:rsid w:val="00047078"/>
    <w:rsid w:val="0005493E"/>
    <w:rsid w:val="0006022A"/>
    <w:rsid w:val="000642CB"/>
    <w:rsid w:val="000710BB"/>
    <w:rsid w:val="0008577E"/>
    <w:rsid w:val="000907FE"/>
    <w:rsid w:val="0009302E"/>
    <w:rsid w:val="000A1EFD"/>
    <w:rsid w:val="000B357C"/>
    <w:rsid w:val="000B38B1"/>
    <w:rsid w:val="000C0D48"/>
    <w:rsid w:val="000C354D"/>
    <w:rsid w:val="000C3AAF"/>
    <w:rsid w:val="000C4E62"/>
    <w:rsid w:val="000C5B13"/>
    <w:rsid w:val="000C5DD5"/>
    <w:rsid w:val="000C7B08"/>
    <w:rsid w:val="000E4D63"/>
    <w:rsid w:val="000E69EF"/>
    <w:rsid w:val="000F0D28"/>
    <w:rsid w:val="000F2321"/>
    <w:rsid w:val="000F2D62"/>
    <w:rsid w:val="000F3BB3"/>
    <w:rsid w:val="000F533B"/>
    <w:rsid w:val="000F7B4C"/>
    <w:rsid w:val="00101DC1"/>
    <w:rsid w:val="00110BF5"/>
    <w:rsid w:val="00112F39"/>
    <w:rsid w:val="00113786"/>
    <w:rsid w:val="001142D7"/>
    <w:rsid w:val="00117637"/>
    <w:rsid w:val="00121403"/>
    <w:rsid w:val="001251C9"/>
    <w:rsid w:val="001265BF"/>
    <w:rsid w:val="00127C9B"/>
    <w:rsid w:val="00130C18"/>
    <w:rsid w:val="00137105"/>
    <w:rsid w:val="001444EE"/>
    <w:rsid w:val="001626CF"/>
    <w:rsid w:val="00172C3B"/>
    <w:rsid w:val="00175D3C"/>
    <w:rsid w:val="00180630"/>
    <w:rsid w:val="00183217"/>
    <w:rsid w:val="001835B4"/>
    <w:rsid w:val="001835F4"/>
    <w:rsid w:val="00184D3E"/>
    <w:rsid w:val="001861D4"/>
    <w:rsid w:val="00186853"/>
    <w:rsid w:val="00187332"/>
    <w:rsid w:val="00190F33"/>
    <w:rsid w:val="00192F4C"/>
    <w:rsid w:val="00193FF4"/>
    <w:rsid w:val="0019434F"/>
    <w:rsid w:val="00194F5B"/>
    <w:rsid w:val="001A4957"/>
    <w:rsid w:val="001A5E45"/>
    <w:rsid w:val="001B44D6"/>
    <w:rsid w:val="001D5746"/>
    <w:rsid w:val="001E2B07"/>
    <w:rsid w:val="001E3FB0"/>
    <w:rsid w:val="001F270D"/>
    <w:rsid w:val="001F52D4"/>
    <w:rsid w:val="0020313D"/>
    <w:rsid w:val="002045F1"/>
    <w:rsid w:val="00207947"/>
    <w:rsid w:val="0022276F"/>
    <w:rsid w:val="00225FED"/>
    <w:rsid w:val="00241251"/>
    <w:rsid w:val="00241BE2"/>
    <w:rsid w:val="00242DDA"/>
    <w:rsid w:val="002542BC"/>
    <w:rsid w:val="00260514"/>
    <w:rsid w:val="00263D09"/>
    <w:rsid w:val="00266C12"/>
    <w:rsid w:val="002671D4"/>
    <w:rsid w:val="002716C8"/>
    <w:rsid w:val="002720CE"/>
    <w:rsid w:val="00272838"/>
    <w:rsid w:val="00274118"/>
    <w:rsid w:val="0027684C"/>
    <w:rsid w:val="002849C5"/>
    <w:rsid w:val="0028549C"/>
    <w:rsid w:val="00287B54"/>
    <w:rsid w:val="00291A97"/>
    <w:rsid w:val="002A24CA"/>
    <w:rsid w:val="002A6684"/>
    <w:rsid w:val="002A6CF9"/>
    <w:rsid w:val="002B5B2B"/>
    <w:rsid w:val="002B7005"/>
    <w:rsid w:val="002C636A"/>
    <w:rsid w:val="002C741C"/>
    <w:rsid w:val="002D53CA"/>
    <w:rsid w:val="002D59C7"/>
    <w:rsid w:val="002D6014"/>
    <w:rsid w:val="002E3CA6"/>
    <w:rsid w:val="002F1DB7"/>
    <w:rsid w:val="002F29B0"/>
    <w:rsid w:val="002F3D99"/>
    <w:rsid w:val="002F6FAC"/>
    <w:rsid w:val="002F7A3F"/>
    <w:rsid w:val="00300A68"/>
    <w:rsid w:val="00301DFC"/>
    <w:rsid w:val="00306E6D"/>
    <w:rsid w:val="00307A10"/>
    <w:rsid w:val="00312091"/>
    <w:rsid w:val="003128AA"/>
    <w:rsid w:val="00312E73"/>
    <w:rsid w:val="00315034"/>
    <w:rsid w:val="00315FEF"/>
    <w:rsid w:val="00323212"/>
    <w:rsid w:val="00326524"/>
    <w:rsid w:val="0033018B"/>
    <w:rsid w:val="0033149C"/>
    <w:rsid w:val="00332CA2"/>
    <w:rsid w:val="0033508E"/>
    <w:rsid w:val="00336D78"/>
    <w:rsid w:val="00340438"/>
    <w:rsid w:val="00342B87"/>
    <w:rsid w:val="00345731"/>
    <w:rsid w:val="00353A06"/>
    <w:rsid w:val="00354603"/>
    <w:rsid w:val="00361061"/>
    <w:rsid w:val="003678DC"/>
    <w:rsid w:val="00372DAB"/>
    <w:rsid w:val="003759E9"/>
    <w:rsid w:val="00383404"/>
    <w:rsid w:val="003846E0"/>
    <w:rsid w:val="00384F8B"/>
    <w:rsid w:val="003868B9"/>
    <w:rsid w:val="00393C28"/>
    <w:rsid w:val="00395BF7"/>
    <w:rsid w:val="003A0DDA"/>
    <w:rsid w:val="003A7809"/>
    <w:rsid w:val="003A7967"/>
    <w:rsid w:val="003B2D75"/>
    <w:rsid w:val="003B5B3A"/>
    <w:rsid w:val="003B75E8"/>
    <w:rsid w:val="003B7E66"/>
    <w:rsid w:val="003C2C34"/>
    <w:rsid w:val="003C382A"/>
    <w:rsid w:val="003C4092"/>
    <w:rsid w:val="003C44D1"/>
    <w:rsid w:val="003C46AF"/>
    <w:rsid w:val="003C5ED8"/>
    <w:rsid w:val="003C71BA"/>
    <w:rsid w:val="003D217B"/>
    <w:rsid w:val="003D4106"/>
    <w:rsid w:val="003D4951"/>
    <w:rsid w:val="003E2709"/>
    <w:rsid w:val="003E6569"/>
    <w:rsid w:val="003F01AF"/>
    <w:rsid w:val="003F21F4"/>
    <w:rsid w:val="00400034"/>
    <w:rsid w:val="0040010F"/>
    <w:rsid w:val="00401B21"/>
    <w:rsid w:val="004039D7"/>
    <w:rsid w:val="00406C9E"/>
    <w:rsid w:val="00407E3D"/>
    <w:rsid w:val="00416235"/>
    <w:rsid w:val="00416EB0"/>
    <w:rsid w:val="00420367"/>
    <w:rsid w:val="00427E5F"/>
    <w:rsid w:val="0043022C"/>
    <w:rsid w:val="00430A77"/>
    <w:rsid w:val="004343B8"/>
    <w:rsid w:val="00436A28"/>
    <w:rsid w:val="0044165D"/>
    <w:rsid w:val="0044460E"/>
    <w:rsid w:val="0044571E"/>
    <w:rsid w:val="00447350"/>
    <w:rsid w:val="0044774B"/>
    <w:rsid w:val="00453716"/>
    <w:rsid w:val="004550C0"/>
    <w:rsid w:val="0046041A"/>
    <w:rsid w:val="0046273A"/>
    <w:rsid w:val="00466781"/>
    <w:rsid w:val="00472C6B"/>
    <w:rsid w:val="00474D23"/>
    <w:rsid w:val="004757A4"/>
    <w:rsid w:val="00480EC6"/>
    <w:rsid w:val="004845E9"/>
    <w:rsid w:val="00486566"/>
    <w:rsid w:val="00490E25"/>
    <w:rsid w:val="0049104C"/>
    <w:rsid w:val="004940C3"/>
    <w:rsid w:val="004A2F37"/>
    <w:rsid w:val="004A60E6"/>
    <w:rsid w:val="004A6D3B"/>
    <w:rsid w:val="004B1B9A"/>
    <w:rsid w:val="004B4B7E"/>
    <w:rsid w:val="004B761D"/>
    <w:rsid w:val="004C069A"/>
    <w:rsid w:val="004C228A"/>
    <w:rsid w:val="004C3B8C"/>
    <w:rsid w:val="004C7693"/>
    <w:rsid w:val="004D2A25"/>
    <w:rsid w:val="004D7916"/>
    <w:rsid w:val="004F0CEE"/>
    <w:rsid w:val="004F21BA"/>
    <w:rsid w:val="004F6215"/>
    <w:rsid w:val="00500CD0"/>
    <w:rsid w:val="005038AC"/>
    <w:rsid w:val="00504823"/>
    <w:rsid w:val="0050578E"/>
    <w:rsid w:val="00505942"/>
    <w:rsid w:val="005067C6"/>
    <w:rsid w:val="00507891"/>
    <w:rsid w:val="00507E79"/>
    <w:rsid w:val="00507F8E"/>
    <w:rsid w:val="00512349"/>
    <w:rsid w:val="005171FD"/>
    <w:rsid w:val="00520170"/>
    <w:rsid w:val="005207A2"/>
    <w:rsid w:val="00520C38"/>
    <w:rsid w:val="005265AD"/>
    <w:rsid w:val="00526C79"/>
    <w:rsid w:val="005307F7"/>
    <w:rsid w:val="0053430D"/>
    <w:rsid w:val="005373C6"/>
    <w:rsid w:val="005427E3"/>
    <w:rsid w:val="00542BAD"/>
    <w:rsid w:val="00544A9E"/>
    <w:rsid w:val="0055302F"/>
    <w:rsid w:val="00553B2D"/>
    <w:rsid w:val="00570102"/>
    <w:rsid w:val="00570592"/>
    <w:rsid w:val="005772DA"/>
    <w:rsid w:val="00587D89"/>
    <w:rsid w:val="00590D2D"/>
    <w:rsid w:val="005A2ECC"/>
    <w:rsid w:val="005B4CF9"/>
    <w:rsid w:val="005B5D57"/>
    <w:rsid w:val="005B7B66"/>
    <w:rsid w:val="005C21C3"/>
    <w:rsid w:val="005C4796"/>
    <w:rsid w:val="005C5466"/>
    <w:rsid w:val="005C5C6E"/>
    <w:rsid w:val="005C742E"/>
    <w:rsid w:val="005E0676"/>
    <w:rsid w:val="005E0691"/>
    <w:rsid w:val="005E0CFC"/>
    <w:rsid w:val="005E45A6"/>
    <w:rsid w:val="005E5CE2"/>
    <w:rsid w:val="005F7997"/>
    <w:rsid w:val="006005CE"/>
    <w:rsid w:val="00603047"/>
    <w:rsid w:val="00605209"/>
    <w:rsid w:val="00611322"/>
    <w:rsid w:val="006113DF"/>
    <w:rsid w:val="00611D0E"/>
    <w:rsid w:val="0061443E"/>
    <w:rsid w:val="00614E2A"/>
    <w:rsid w:val="00614FEB"/>
    <w:rsid w:val="00615F05"/>
    <w:rsid w:val="006225D6"/>
    <w:rsid w:val="00631CF2"/>
    <w:rsid w:val="0063422C"/>
    <w:rsid w:val="00640F62"/>
    <w:rsid w:val="00642ED8"/>
    <w:rsid w:val="0064663A"/>
    <w:rsid w:val="00652054"/>
    <w:rsid w:val="00652D96"/>
    <w:rsid w:val="00654A13"/>
    <w:rsid w:val="00655EE5"/>
    <w:rsid w:val="006632EB"/>
    <w:rsid w:val="00663B6E"/>
    <w:rsid w:val="0066483A"/>
    <w:rsid w:val="00664E82"/>
    <w:rsid w:val="00670CE7"/>
    <w:rsid w:val="0067350B"/>
    <w:rsid w:val="00682CDC"/>
    <w:rsid w:val="0068370E"/>
    <w:rsid w:val="00684A49"/>
    <w:rsid w:val="00695D0C"/>
    <w:rsid w:val="0069612C"/>
    <w:rsid w:val="006A2504"/>
    <w:rsid w:val="006B01F8"/>
    <w:rsid w:val="006B0D6A"/>
    <w:rsid w:val="006B1A3F"/>
    <w:rsid w:val="006B7D9D"/>
    <w:rsid w:val="006C2060"/>
    <w:rsid w:val="006C3CC7"/>
    <w:rsid w:val="006D20D9"/>
    <w:rsid w:val="006D300A"/>
    <w:rsid w:val="006E0217"/>
    <w:rsid w:val="006E2BF4"/>
    <w:rsid w:val="006E3162"/>
    <w:rsid w:val="006E36C3"/>
    <w:rsid w:val="006E609B"/>
    <w:rsid w:val="006F1106"/>
    <w:rsid w:val="006F306C"/>
    <w:rsid w:val="006F45DA"/>
    <w:rsid w:val="006F4FF4"/>
    <w:rsid w:val="006F532C"/>
    <w:rsid w:val="006F653E"/>
    <w:rsid w:val="006F75B6"/>
    <w:rsid w:val="0070024C"/>
    <w:rsid w:val="0070343F"/>
    <w:rsid w:val="00706484"/>
    <w:rsid w:val="00707168"/>
    <w:rsid w:val="007075E7"/>
    <w:rsid w:val="00710860"/>
    <w:rsid w:val="0071570E"/>
    <w:rsid w:val="00716DBD"/>
    <w:rsid w:val="00730FF3"/>
    <w:rsid w:val="007334D1"/>
    <w:rsid w:val="00742D25"/>
    <w:rsid w:val="0074502F"/>
    <w:rsid w:val="007462B4"/>
    <w:rsid w:val="007510EE"/>
    <w:rsid w:val="007527DC"/>
    <w:rsid w:val="00763C60"/>
    <w:rsid w:val="007668FB"/>
    <w:rsid w:val="0077183C"/>
    <w:rsid w:val="0077279D"/>
    <w:rsid w:val="007767E3"/>
    <w:rsid w:val="0077698B"/>
    <w:rsid w:val="007910E9"/>
    <w:rsid w:val="00792281"/>
    <w:rsid w:val="0079676E"/>
    <w:rsid w:val="007A5536"/>
    <w:rsid w:val="007A6ACC"/>
    <w:rsid w:val="007B4373"/>
    <w:rsid w:val="007C0661"/>
    <w:rsid w:val="007D229E"/>
    <w:rsid w:val="007D501E"/>
    <w:rsid w:val="007D7DBD"/>
    <w:rsid w:val="007E2CC6"/>
    <w:rsid w:val="007E5E03"/>
    <w:rsid w:val="007E7C82"/>
    <w:rsid w:val="00800B01"/>
    <w:rsid w:val="00800B63"/>
    <w:rsid w:val="00800BD1"/>
    <w:rsid w:val="008061A0"/>
    <w:rsid w:val="00813F21"/>
    <w:rsid w:val="00831D9C"/>
    <w:rsid w:val="00840F76"/>
    <w:rsid w:val="00841008"/>
    <w:rsid w:val="00841A57"/>
    <w:rsid w:val="0084286E"/>
    <w:rsid w:val="0084650F"/>
    <w:rsid w:val="00855E75"/>
    <w:rsid w:val="00862BE3"/>
    <w:rsid w:val="008646F7"/>
    <w:rsid w:val="00865120"/>
    <w:rsid w:val="00865880"/>
    <w:rsid w:val="00875551"/>
    <w:rsid w:val="00877F9D"/>
    <w:rsid w:val="00882D92"/>
    <w:rsid w:val="008867CB"/>
    <w:rsid w:val="008A5423"/>
    <w:rsid w:val="008B0896"/>
    <w:rsid w:val="008C439A"/>
    <w:rsid w:val="008C7B0E"/>
    <w:rsid w:val="008E10E1"/>
    <w:rsid w:val="008E1F0D"/>
    <w:rsid w:val="008F299C"/>
    <w:rsid w:val="008F3CF5"/>
    <w:rsid w:val="008F454C"/>
    <w:rsid w:val="009004AC"/>
    <w:rsid w:val="00905BFD"/>
    <w:rsid w:val="00914740"/>
    <w:rsid w:val="00914CBE"/>
    <w:rsid w:val="009150B6"/>
    <w:rsid w:val="00916E05"/>
    <w:rsid w:val="0092291D"/>
    <w:rsid w:val="0092563C"/>
    <w:rsid w:val="0092578E"/>
    <w:rsid w:val="009552BA"/>
    <w:rsid w:val="009607F0"/>
    <w:rsid w:val="00961A3F"/>
    <w:rsid w:val="00962318"/>
    <w:rsid w:val="00963EEE"/>
    <w:rsid w:val="009644B5"/>
    <w:rsid w:val="0096568B"/>
    <w:rsid w:val="00965CA2"/>
    <w:rsid w:val="009676DC"/>
    <w:rsid w:val="009678EA"/>
    <w:rsid w:val="0097045D"/>
    <w:rsid w:val="00971F48"/>
    <w:rsid w:val="00975826"/>
    <w:rsid w:val="00977570"/>
    <w:rsid w:val="00980D01"/>
    <w:rsid w:val="009901FA"/>
    <w:rsid w:val="009950CE"/>
    <w:rsid w:val="009A1982"/>
    <w:rsid w:val="009A1B0C"/>
    <w:rsid w:val="009A4CE7"/>
    <w:rsid w:val="009B073B"/>
    <w:rsid w:val="009B1071"/>
    <w:rsid w:val="009B440B"/>
    <w:rsid w:val="009C26F3"/>
    <w:rsid w:val="009C5CF9"/>
    <w:rsid w:val="009C758F"/>
    <w:rsid w:val="009D2C69"/>
    <w:rsid w:val="009D4035"/>
    <w:rsid w:val="009D5FBA"/>
    <w:rsid w:val="009D6D04"/>
    <w:rsid w:val="009F108F"/>
    <w:rsid w:val="009F4AE3"/>
    <w:rsid w:val="009F76B0"/>
    <w:rsid w:val="00A02223"/>
    <w:rsid w:val="00A049F2"/>
    <w:rsid w:val="00A10034"/>
    <w:rsid w:val="00A1238B"/>
    <w:rsid w:val="00A156F5"/>
    <w:rsid w:val="00A15CDC"/>
    <w:rsid w:val="00A2299F"/>
    <w:rsid w:val="00A24EC4"/>
    <w:rsid w:val="00A254F9"/>
    <w:rsid w:val="00A27774"/>
    <w:rsid w:val="00A3105A"/>
    <w:rsid w:val="00A33ACA"/>
    <w:rsid w:val="00A43E6A"/>
    <w:rsid w:val="00A43EFF"/>
    <w:rsid w:val="00A47933"/>
    <w:rsid w:val="00A530F3"/>
    <w:rsid w:val="00A60852"/>
    <w:rsid w:val="00A643A4"/>
    <w:rsid w:val="00A70530"/>
    <w:rsid w:val="00A73D23"/>
    <w:rsid w:val="00A77F14"/>
    <w:rsid w:val="00A87960"/>
    <w:rsid w:val="00A9740C"/>
    <w:rsid w:val="00AA14F1"/>
    <w:rsid w:val="00AA4DBE"/>
    <w:rsid w:val="00AB0333"/>
    <w:rsid w:val="00AB08D7"/>
    <w:rsid w:val="00AB3451"/>
    <w:rsid w:val="00AB68E6"/>
    <w:rsid w:val="00AB782E"/>
    <w:rsid w:val="00AC0737"/>
    <w:rsid w:val="00AC0B5B"/>
    <w:rsid w:val="00AD05BF"/>
    <w:rsid w:val="00AD22FC"/>
    <w:rsid w:val="00AD268B"/>
    <w:rsid w:val="00AD3D72"/>
    <w:rsid w:val="00AD3E7D"/>
    <w:rsid w:val="00AE15D8"/>
    <w:rsid w:val="00AE2BFA"/>
    <w:rsid w:val="00AE6781"/>
    <w:rsid w:val="00AE78A9"/>
    <w:rsid w:val="00AF5D2B"/>
    <w:rsid w:val="00AF7B19"/>
    <w:rsid w:val="00B005E4"/>
    <w:rsid w:val="00B108AC"/>
    <w:rsid w:val="00B140D8"/>
    <w:rsid w:val="00B14934"/>
    <w:rsid w:val="00B15744"/>
    <w:rsid w:val="00B15F14"/>
    <w:rsid w:val="00B323A5"/>
    <w:rsid w:val="00B32D6A"/>
    <w:rsid w:val="00B32EE9"/>
    <w:rsid w:val="00B330A8"/>
    <w:rsid w:val="00B352A7"/>
    <w:rsid w:val="00B360DF"/>
    <w:rsid w:val="00B36469"/>
    <w:rsid w:val="00B36A93"/>
    <w:rsid w:val="00B40710"/>
    <w:rsid w:val="00B4149C"/>
    <w:rsid w:val="00B4317D"/>
    <w:rsid w:val="00B43473"/>
    <w:rsid w:val="00B45C20"/>
    <w:rsid w:val="00B468BF"/>
    <w:rsid w:val="00B46D01"/>
    <w:rsid w:val="00B47211"/>
    <w:rsid w:val="00B4791B"/>
    <w:rsid w:val="00B50DFB"/>
    <w:rsid w:val="00B51BA2"/>
    <w:rsid w:val="00B52023"/>
    <w:rsid w:val="00B551E3"/>
    <w:rsid w:val="00B62D35"/>
    <w:rsid w:val="00B81717"/>
    <w:rsid w:val="00B919AC"/>
    <w:rsid w:val="00B91D0D"/>
    <w:rsid w:val="00B9786E"/>
    <w:rsid w:val="00BB17E7"/>
    <w:rsid w:val="00BB4602"/>
    <w:rsid w:val="00BC05DA"/>
    <w:rsid w:val="00BC7B49"/>
    <w:rsid w:val="00BD0CCC"/>
    <w:rsid w:val="00BD1CEF"/>
    <w:rsid w:val="00BD1D6E"/>
    <w:rsid w:val="00BD2B6B"/>
    <w:rsid w:val="00BD72E5"/>
    <w:rsid w:val="00BE0472"/>
    <w:rsid w:val="00BE0E3A"/>
    <w:rsid w:val="00BE12E8"/>
    <w:rsid w:val="00BE2039"/>
    <w:rsid w:val="00BE34AD"/>
    <w:rsid w:val="00BE3A5E"/>
    <w:rsid w:val="00BF2D0C"/>
    <w:rsid w:val="00C0166C"/>
    <w:rsid w:val="00C01B7D"/>
    <w:rsid w:val="00C04968"/>
    <w:rsid w:val="00C060AD"/>
    <w:rsid w:val="00C0759A"/>
    <w:rsid w:val="00C12313"/>
    <w:rsid w:val="00C12B4D"/>
    <w:rsid w:val="00C160C9"/>
    <w:rsid w:val="00C17C88"/>
    <w:rsid w:val="00C21DC2"/>
    <w:rsid w:val="00C22A86"/>
    <w:rsid w:val="00C26BC4"/>
    <w:rsid w:val="00C27902"/>
    <w:rsid w:val="00C27F21"/>
    <w:rsid w:val="00C34118"/>
    <w:rsid w:val="00C35FAB"/>
    <w:rsid w:val="00C40208"/>
    <w:rsid w:val="00C44374"/>
    <w:rsid w:val="00C471A7"/>
    <w:rsid w:val="00C53527"/>
    <w:rsid w:val="00C54B99"/>
    <w:rsid w:val="00C56769"/>
    <w:rsid w:val="00C61F36"/>
    <w:rsid w:val="00C6422E"/>
    <w:rsid w:val="00C645AE"/>
    <w:rsid w:val="00C65C54"/>
    <w:rsid w:val="00C7083B"/>
    <w:rsid w:val="00C73BCD"/>
    <w:rsid w:val="00C74081"/>
    <w:rsid w:val="00C74B6A"/>
    <w:rsid w:val="00C87FE6"/>
    <w:rsid w:val="00C91528"/>
    <w:rsid w:val="00C91838"/>
    <w:rsid w:val="00C93580"/>
    <w:rsid w:val="00CA577A"/>
    <w:rsid w:val="00CB1ED2"/>
    <w:rsid w:val="00CB1F2C"/>
    <w:rsid w:val="00CB58C6"/>
    <w:rsid w:val="00CB5D8D"/>
    <w:rsid w:val="00CB6AC6"/>
    <w:rsid w:val="00CB6AE6"/>
    <w:rsid w:val="00CC31BB"/>
    <w:rsid w:val="00CC49C7"/>
    <w:rsid w:val="00CD2460"/>
    <w:rsid w:val="00CD3891"/>
    <w:rsid w:val="00CD675E"/>
    <w:rsid w:val="00CD75CF"/>
    <w:rsid w:val="00CE1C58"/>
    <w:rsid w:val="00CE2CF8"/>
    <w:rsid w:val="00CE3921"/>
    <w:rsid w:val="00CF0F69"/>
    <w:rsid w:val="00CF2083"/>
    <w:rsid w:val="00CF3CA0"/>
    <w:rsid w:val="00D061FE"/>
    <w:rsid w:val="00D0792D"/>
    <w:rsid w:val="00D160B7"/>
    <w:rsid w:val="00D20649"/>
    <w:rsid w:val="00D270E7"/>
    <w:rsid w:val="00D308BB"/>
    <w:rsid w:val="00D36875"/>
    <w:rsid w:val="00D40BFA"/>
    <w:rsid w:val="00D41172"/>
    <w:rsid w:val="00D51036"/>
    <w:rsid w:val="00D525AE"/>
    <w:rsid w:val="00D529D3"/>
    <w:rsid w:val="00D53340"/>
    <w:rsid w:val="00D550C5"/>
    <w:rsid w:val="00D60201"/>
    <w:rsid w:val="00D604F2"/>
    <w:rsid w:val="00D668C3"/>
    <w:rsid w:val="00D669F5"/>
    <w:rsid w:val="00D7107F"/>
    <w:rsid w:val="00D720C0"/>
    <w:rsid w:val="00D81D01"/>
    <w:rsid w:val="00D84198"/>
    <w:rsid w:val="00D945FF"/>
    <w:rsid w:val="00DA304C"/>
    <w:rsid w:val="00DA468A"/>
    <w:rsid w:val="00DB0913"/>
    <w:rsid w:val="00DB3056"/>
    <w:rsid w:val="00DB3C33"/>
    <w:rsid w:val="00DB7D23"/>
    <w:rsid w:val="00DC18B6"/>
    <w:rsid w:val="00DC4EB9"/>
    <w:rsid w:val="00DC79A7"/>
    <w:rsid w:val="00DC7B7B"/>
    <w:rsid w:val="00DC7E5B"/>
    <w:rsid w:val="00DD0013"/>
    <w:rsid w:val="00DD10D9"/>
    <w:rsid w:val="00DD39BB"/>
    <w:rsid w:val="00DD5FCE"/>
    <w:rsid w:val="00DE1AA6"/>
    <w:rsid w:val="00DE2835"/>
    <w:rsid w:val="00DE6C32"/>
    <w:rsid w:val="00DF059A"/>
    <w:rsid w:val="00DF1BD8"/>
    <w:rsid w:val="00DF4756"/>
    <w:rsid w:val="00DF5B0A"/>
    <w:rsid w:val="00DF60B7"/>
    <w:rsid w:val="00E028FF"/>
    <w:rsid w:val="00E060DB"/>
    <w:rsid w:val="00E13755"/>
    <w:rsid w:val="00E214C8"/>
    <w:rsid w:val="00E223FC"/>
    <w:rsid w:val="00E30141"/>
    <w:rsid w:val="00E31F67"/>
    <w:rsid w:val="00E423D2"/>
    <w:rsid w:val="00E44832"/>
    <w:rsid w:val="00E44E48"/>
    <w:rsid w:val="00E50735"/>
    <w:rsid w:val="00E53A4D"/>
    <w:rsid w:val="00E60DF0"/>
    <w:rsid w:val="00E623FF"/>
    <w:rsid w:val="00E625DC"/>
    <w:rsid w:val="00E62673"/>
    <w:rsid w:val="00E70796"/>
    <w:rsid w:val="00E71447"/>
    <w:rsid w:val="00E82771"/>
    <w:rsid w:val="00E8323F"/>
    <w:rsid w:val="00E834FD"/>
    <w:rsid w:val="00E863FE"/>
    <w:rsid w:val="00E87AB4"/>
    <w:rsid w:val="00E9128F"/>
    <w:rsid w:val="00E93FF8"/>
    <w:rsid w:val="00EA70A5"/>
    <w:rsid w:val="00EA794D"/>
    <w:rsid w:val="00EB0591"/>
    <w:rsid w:val="00EB2A6B"/>
    <w:rsid w:val="00EC2B8E"/>
    <w:rsid w:val="00ED7446"/>
    <w:rsid w:val="00EE7E04"/>
    <w:rsid w:val="00EF279B"/>
    <w:rsid w:val="00EF4E9E"/>
    <w:rsid w:val="00EF5C39"/>
    <w:rsid w:val="00EF628B"/>
    <w:rsid w:val="00F11797"/>
    <w:rsid w:val="00F144AB"/>
    <w:rsid w:val="00F16CB4"/>
    <w:rsid w:val="00F219CD"/>
    <w:rsid w:val="00F2345C"/>
    <w:rsid w:val="00F24C25"/>
    <w:rsid w:val="00F266FB"/>
    <w:rsid w:val="00F43EDE"/>
    <w:rsid w:val="00F455C6"/>
    <w:rsid w:val="00F47390"/>
    <w:rsid w:val="00F5053B"/>
    <w:rsid w:val="00F56C2C"/>
    <w:rsid w:val="00F5707F"/>
    <w:rsid w:val="00F573A0"/>
    <w:rsid w:val="00F57A7C"/>
    <w:rsid w:val="00F643F5"/>
    <w:rsid w:val="00F6756C"/>
    <w:rsid w:val="00F67689"/>
    <w:rsid w:val="00F70BF4"/>
    <w:rsid w:val="00F717A1"/>
    <w:rsid w:val="00F73B3A"/>
    <w:rsid w:val="00F74902"/>
    <w:rsid w:val="00F767FF"/>
    <w:rsid w:val="00F776BC"/>
    <w:rsid w:val="00F80FA2"/>
    <w:rsid w:val="00F81AA3"/>
    <w:rsid w:val="00F82D6B"/>
    <w:rsid w:val="00F8461B"/>
    <w:rsid w:val="00F86513"/>
    <w:rsid w:val="00F870A3"/>
    <w:rsid w:val="00F923C1"/>
    <w:rsid w:val="00F93298"/>
    <w:rsid w:val="00F93D4A"/>
    <w:rsid w:val="00F954C9"/>
    <w:rsid w:val="00F978C8"/>
    <w:rsid w:val="00FA20F8"/>
    <w:rsid w:val="00FA4311"/>
    <w:rsid w:val="00FB68DE"/>
    <w:rsid w:val="00FB7A9D"/>
    <w:rsid w:val="00FC0560"/>
    <w:rsid w:val="00FC6A7E"/>
    <w:rsid w:val="00FD1889"/>
    <w:rsid w:val="00FD272D"/>
    <w:rsid w:val="00FE11FC"/>
    <w:rsid w:val="00FF1FB3"/>
    <w:rsid w:val="00FF333B"/>
    <w:rsid w:val="00FF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4A7D"/>
  <w15:docId w15:val="{8744D12C-2890-4AAE-AD85-914601D0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B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526C79"/>
    <w:pPr>
      <w:keepNext/>
      <w:keepLines/>
      <w:spacing w:before="480" w:line="276" w:lineRule="auto"/>
      <w:outlineLvl w:val="0"/>
    </w:pPr>
    <w:rPr>
      <w:rFonts w:ascii="Cambria" w:eastAsia="Times New Roman" w:hAnsi="Cambria"/>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23A5"/>
    <w:rPr>
      <w:sz w:val="16"/>
      <w:szCs w:val="16"/>
    </w:rPr>
  </w:style>
  <w:style w:type="paragraph" w:styleId="BalloonText">
    <w:name w:val="Balloon Text"/>
    <w:basedOn w:val="Normal"/>
    <w:link w:val="BalloonTextChar"/>
    <w:uiPriority w:val="99"/>
    <w:semiHidden/>
    <w:unhideWhenUsed/>
    <w:rsid w:val="00B32D6A"/>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B32D6A"/>
    <w:rPr>
      <w:rFonts w:ascii="Tahoma" w:hAnsi="Tahoma" w:cs="Tahoma"/>
      <w:sz w:val="16"/>
      <w:szCs w:val="16"/>
    </w:rPr>
  </w:style>
  <w:style w:type="paragraph" w:styleId="CommentText">
    <w:name w:val="annotation text"/>
    <w:basedOn w:val="Normal"/>
    <w:link w:val="CommentTextChar"/>
    <w:uiPriority w:val="99"/>
    <w:unhideWhenUsed/>
    <w:rsid w:val="0074502F"/>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74502F"/>
    <w:rPr>
      <w:sz w:val="20"/>
      <w:szCs w:val="20"/>
    </w:rPr>
  </w:style>
  <w:style w:type="paragraph" w:styleId="CommentSubject">
    <w:name w:val="annotation subject"/>
    <w:basedOn w:val="CommentText"/>
    <w:next w:val="CommentText"/>
    <w:link w:val="CommentSubjectChar"/>
    <w:uiPriority w:val="99"/>
    <w:semiHidden/>
    <w:unhideWhenUsed/>
    <w:rsid w:val="0074502F"/>
    <w:rPr>
      <w:b/>
      <w:bCs/>
    </w:rPr>
  </w:style>
  <w:style w:type="character" w:customStyle="1" w:styleId="CommentSubjectChar">
    <w:name w:val="Comment Subject Char"/>
    <w:basedOn w:val="CommentTextChar"/>
    <w:link w:val="CommentSubject"/>
    <w:uiPriority w:val="99"/>
    <w:semiHidden/>
    <w:rsid w:val="0074502F"/>
    <w:rPr>
      <w:b/>
      <w:bCs/>
      <w:sz w:val="20"/>
      <w:szCs w:val="20"/>
    </w:rPr>
  </w:style>
  <w:style w:type="table" w:customStyle="1" w:styleId="Style1">
    <w:name w:val="Style1"/>
    <w:basedOn w:val="TableSimple1"/>
    <w:uiPriority w:val="99"/>
    <w:qFormat/>
    <w:rsid w:val="00F767FF"/>
    <w:pPr>
      <w:spacing w:after="0" w:line="240" w:lineRule="auto"/>
    </w:pPr>
    <w:rPr>
      <w:rFonts w:ascii="Calibri" w:eastAsia="Calibri" w:hAnsi="Calibri" w:cs="Times New Roman"/>
      <w:sz w:val="20"/>
      <w:szCs w:val="20"/>
      <w:lang w:val="en-IE" w:eastAsia="en-GB"/>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F767F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converted-space">
    <w:name w:val="apple-converted-space"/>
    <w:basedOn w:val="DefaultParagraphFont"/>
    <w:rsid w:val="0070343F"/>
  </w:style>
  <w:style w:type="character" w:styleId="Emphasis">
    <w:name w:val="Emphasis"/>
    <w:basedOn w:val="DefaultParagraphFont"/>
    <w:uiPriority w:val="20"/>
    <w:qFormat/>
    <w:rsid w:val="00542BAD"/>
    <w:rPr>
      <w:i/>
      <w:iCs/>
    </w:rPr>
  </w:style>
  <w:style w:type="character" w:customStyle="1" w:styleId="Heading1Char">
    <w:name w:val="Heading 1 Char"/>
    <w:basedOn w:val="DefaultParagraphFont"/>
    <w:link w:val="Heading1"/>
    <w:uiPriority w:val="9"/>
    <w:rsid w:val="00526C79"/>
    <w:rPr>
      <w:rFonts w:ascii="Cambria" w:eastAsia="Times New Roman" w:hAnsi="Cambria" w:cs="Times New Roman"/>
      <w:b/>
      <w:bCs/>
      <w:sz w:val="24"/>
      <w:szCs w:val="28"/>
    </w:rPr>
  </w:style>
  <w:style w:type="paragraph" w:customStyle="1" w:styleId="Default">
    <w:name w:val="Default"/>
    <w:rsid w:val="002542B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1BE2"/>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241BE2"/>
  </w:style>
  <w:style w:type="paragraph" w:styleId="Footer">
    <w:name w:val="footer"/>
    <w:basedOn w:val="Normal"/>
    <w:link w:val="FooterChar"/>
    <w:uiPriority w:val="99"/>
    <w:unhideWhenUsed/>
    <w:rsid w:val="00241BE2"/>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241BE2"/>
  </w:style>
  <w:style w:type="character" w:styleId="Hyperlink">
    <w:name w:val="Hyperlink"/>
    <w:basedOn w:val="DefaultParagraphFont"/>
    <w:uiPriority w:val="99"/>
    <w:unhideWhenUsed/>
    <w:rsid w:val="00287B54"/>
    <w:rPr>
      <w:color w:val="0000FF"/>
      <w:u w:val="single"/>
    </w:rPr>
  </w:style>
  <w:style w:type="paragraph" w:styleId="NormalWeb">
    <w:name w:val="Normal (Web)"/>
    <w:basedOn w:val="Normal"/>
    <w:uiPriority w:val="99"/>
    <w:unhideWhenUsed/>
    <w:rsid w:val="00287B54"/>
    <w:pPr>
      <w:spacing w:before="100" w:beforeAutospacing="1" w:after="100" w:afterAutospacing="1"/>
    </w:pPr>
    <w:rPr>
      <w:rFonts w:eastAsia="Times New Roman"/>
    </w:rPr>
  </w:style>
  <w:style w:type="paragraph" w:styleId="ListParagraph">
    <w:name w:val="List Paragraph"/>
    <w:basedOn w:val="Normal"/>
    <w:uiPriority w:val="34"/>
    <w:qFormat/>
    <w:rsid w:val="007510EE"/>
    <w:pPr>
      <w:spacing w:after="200" w:line="276" w:lineRule="auto"/>
      <w:ind w:left="720"/>
      <w:contextualSpacing/>
    </w:pPr>
    <w:rPr>
      <w:rFonts w:asciiTheme="minorHAnsi" w:hAnsiTheme="minorHAnsi" w:cstheme="minorBidi"/>
      <w:sz w:val="22"/>
      <w:szCs w:val="22"/>
      <w:lang w:val="en-GB"/>
    </w:rPr>
  </w:style>
  <w:style w:type="character" w:styleId="LineNumber">
    <w:name w:val="line number"/>
    <w:basedOn w:val="DefaultParagraphFont"/>
    <w:uiPriority w:val="99"/>
    <w:unhideWhenUsed/>
    <w:rsid w:val="00F954C9"/>
    <w:rPr>
      <w:rFonts w:ascii="Times New Roman" w:hAnsi="Times New Roman"/>
      <w:sz w:val="24"/>
    </w:rPr>
  </w:style>
  <w:style w:type="character" w:customStyle="1" w:styleId="UnresolvedMention1">
    <w:name w:val="Unresolved Mention1"/>
    <w:basedOn w:val="DefaultParagraphFont"/>
    <w:uiPriority w:val="99"/>
    <w:semiHidden/>
    <w:unhideWhenUsed/>
    <w:rsid w:val="00C91838"/>
    <w:rPr>
      <w:color w:val="605E5C"/>
      <w:shd w:val="clear" w:color="auto" w:fill="E1DFDD"/>
    </w:rPr>
  </w:style>
  <w:style w:type="table" w:styleId="TableGrid">
    <w:name w:val="Table Grid"/>
    <w:basedOn w:val="TableNormal"/>
    <w:uiPriority w:val="39"/>
    <w:rsid w:val="00CF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F208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CF20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20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F20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CF20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CF20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9302E"/>
    <w:pPr>
      <w:spacing w:after="0" w:line="240" w:lineRule="auto"/>
    </w:pPr>
  </w:style>
  <w:style w:type="character" w:styleId="FollowedHyperlink">
    <w:name w:val="FollowedHyperlink"/>
    <w:basedOn w:val="DefaultParagraphFont"/>
    <w:uiPriority w:val="99"/>
    <w:semiHidden/>
    <w:unhideWhenUsed/>
    <w:rsid w:val="00570592"/>
    <w:rPr>
      <w:color w:val="800080" w:themeColor="followedHyperlink"/>
      <w:u w:val="single"/>
    </w:rPr>
  </w:style>
  <w:style w:type="character" w:customStyle="1" w:styleId="UnresolvedMention2">
    <w:name w:val="Unresolved Mention2"/>
    <w:basedOn w:val="DefaultParagraphFont"/>
    <w:uiPriority w:val="99"/>
    <w:rsid w:val="00F16CB4"/>
    <w:rPr>
      <w:color w:val="605E5C"/>
      <w:shd w:val="clear" w:color="auto" w:fill="E1DFDD"/>
    </w:rPr>
  </w:style>
  <w:style w:type="paragraph" w:styleId="Signature">
    <w:name w:val="Signature"/>
    <w:basedOn w:val="Normal"/>
    <w:link w:val="SignatureChar"/>
    <w:uiPriority w:val="99"/>
    <w:unhideWhenUsed/>
    <w:rsid w:val="00CB6AC6"/>
    <w:pPr>
      <w:spacing w:after="200" w:line="276" w:lineRule="auto"/>
      <w:contextualSpacing/>
    </w:pPr>
    <w:rPr>
      <w:rFonts w:asciiTheme="minorHAnsi" w:eastAsiaTheme="minorEastAsia" w:hAnsiTheme="minorHAnsi" w:cstheme="minorBidi"/>
      <w:sz w:val="22"/>
      <w:szCs w:val="22"/>
    </w:rPr>
  </w:style>
  <w:style w:type="character" w:customStyle="1" w:styleId="SignatureChar">
    <w:name w:val="Signature Char"/>
    <w:basedOn w:val="DefaultParagraphFont"/>
    <w:link w:val="Signature"/>
    <w:uiPriority w:val="99"/>
    <w:rsid w:val="00CB6AC6"/>
    <w:rPr>
      <w:rFonts w:eastAsiaTheme="minorEastAsia"/>
      <w:lang w:val="en-US"/>
    </w:rPr>
  </w:style>
  <w:style w:type="character" w:customStyle="1" w:styleId="hgkelc">
    <w:name w:val="hgkelc"/>
    <w:basedOn w:val="DefaultParagraphFont"/>
    <w:rsid w:val="007A5536"/>
  </w:style>
  <w:style w:type="character" w:styleId="UnresolvedMention">
    <w:name w:val="Unresolved Mention"/>
    <w:basedOn w:val="DefaultParagraphFont"/>
    <w:uiPriority w:val="99"/>
    <w:rsid w:val="0019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5">
      <w:bodyDiv w:val="1"/>
      <w:marLeft w:val="0"/>
      <w:marRight w:val="0"/>
      <w:marTop w:val="0"/>
      <w:marBottom w:val="0"/>
      <w:divBdr>
        <w:top w:val="none" w:sz="0" w:space="0" w:color="auto"/>
        <w:left w:val="none" w:sz="0" w:space="0" w:color="auto"/>
        <w:bottom w:val="none" w:sz="0" w:space="0" w:color="auto"/>
        <w:right w:val="none" w:sz="0" w:space="0" w:color="auto"/>
      </w:divBdr>
    </w:div>
    <w:div w:id="37898732">
      <w:bodyDiv w:val="1"/>
      <w:marLeft w:val="0"/>
      <w:marRight w:val="0"/>
      <w:marTop w:val="0"/>
      <w:marBottom w:val="0"/>
      <w:divBdr>
        <w:top w:val="none" w:sz="0" w:space="0" w:color="auto"/>
        <w:left w:val="none" w:sz="0" w:space="0" w:color="auto"/>
        <w:bottom w:val="none" w:sz="0" w:space="0" w:color="auto"/>
        <w:right w:val="none" w:sz="0" w:space="0" w:color="auto"/>
      </w:divBdr>
      <w:divsChild>
        <w:div w:id="1465123660">
          <w:marLeft w:val="0"/>
          <w:marRight w:val="0"/>
          <w:marTop w:val="0"/>
          <w:marBottom w:val="0"/>
          <w:divBdr>
            <w:top w:val="none" w:sz="0" w:space="0" w:color="auto"/>
            <w:left w:val="none" w:sz="0" w:space="0" w:color="auto"/>
            <w:bottom w:val="none" w:sz="0" w:space="0" w:color="auto"/>
            <w:right w:val="none" w:sz="0" w:space="0" w:color="auto"/>
          </w:divBdr>
        </w:div>
      </w:divsChild>
    </w:div>
    <w:div w:id="216670088">
      <w:bodyDiv w:val="1"/>
      <w:marLeft w:val="0"/>
      <w:marRight w:val="0"/>
      <w:marTop w:val="0"/>
      <w:marBottom w:val="0"/>
      <w:divBdr>
        <w:top w:val="none" w:sz="0" w:space="0" w:color="auto"/>
        <w:left w:val="none" w:sz="0" w:space="0" w:color="auto"/>
        <w:bottom w:val="none" w:sz="0" w:space="0" w:color="auto"/>
        <w:right w:val="none" w:sz="0" w:space="0" w:color="auto"/>
      </w:divBdr>
      <w:divsChild>
        <w:div w:id="1573392035">
          <w:marLeft w:val="0"/>
          <w:marRight w:val="0"/>
          <w:marTop w:val="0"/>
          <w:marBottom w:val="0"/>
          <w:divBdr>
            <w:top w:val="none" w:sz="0" w:space="0" w:color="auto"/>
            <w:left w:val="none" w:sz="0" w:space="0" w:color="auto"/>
            <w:bottom w:val="none" w:sz="0" w:space="0" w:color="auto"/>
            <w:right w:val="none" w:sz="0" w:space="0" w:color="auto"/>
          </w:divBdr>
        </w:div>
      </w:divsChild>
    </w:div>
    <w:div w:id="250821381">
      <w:bodyDiv w:val="1"/>
      <w:marLeft w:val="0"/>
      <w:marRight w:val="0"/>
      <w:marTop w:val="0"/>
      <w:marBottom w:val="0"/>
      <w:divBdr>
        <w:top w:val="none" w:sz="0" w:space="0" w:color="auto"/>
        <w:left w:val="none" w:sz="0" w:space="0" w:color="auto"/>
        <w:bottom w:val="none" w:sz="0" w:space="0" w:color="auto"/>
        <w:right w:val="none" w:sz="0" w:space="0" w:color="auto"/>
      </w:divBdr>
      <w:divsChild>
        <w:div w:id="1858536815">
          <w:marLeft w:val="0"/>
          <w:marRight w:val="0"/>
          <w:marTop w:val="0"/>
          <w:marBottom w:val="0"/>
          <w:divBdr>
            <w:top w:val="none" w:sz="0" w:space="0" w:color="auto"/>
            <w:left w:val="none" w:sz="0" w:space="0" w:color="auto"/>
            <w:bottom w:val="none" w:sz="0" w:space="0" w:color="auto"/>
            <w:right w:val="none" w:sz="0" w:space="0" w:color="auto"/>
          </w:divBdr>
        </w:div>
      </w:divsChild>
    </w:div>
    <w:div w:id="285546073">
      <w:bodyDiv w:val="1"/>
      <w:marLeft w:val="0"/>
      <w:marRight w:val="0"/>
      <w:marTop w:val="0"/>
      <w:marBottom w:val="0"/>
      <w:divBdr>
        <w:top w:val="none" w:sz="0" w:space="0" w:color="auto"/>
        <w:left w:val="none" w:sz="0" w:space="0" w:color="auto"/>
        <w:bottom w:val="none" w:sz="0" w:space="0" w:color="auto"/>
        <w:right w:val="none" w:sz="0" w:space="0" w:color="auto"/>
      </w:divBdr>
      <w:divsChild>
        <w:div w:id="536939291">
          <w:marLeft w:val="0"/>
          <w:marRight w:val="0"/>
          <w:marTop w:val="0"/>
          <w:marBottom w:val="0"/>
          <w:divBdr>
            <w:top w:val="none" w:sz="0" w:space="0" w:color="auto"/>
            <w:left w:val="none" w:sz="0" w:space="0" w:color="auto"/>
            <w:bottom w:val="none" w:sz="0" w:space="0" w:color="auto"/>
            <w:right w:val="none" w:sz="0" w:space="0" w:color="auto"/>
          </w:divBdr>
        </w:div>
      </w:divsChild>
    </w:div>
    <w:div w:id="343242286">
      <w:bodyDiv w:val="1"/>
      <w:marLeft w:val="0"/>
      <w:marRight w:val="0"/>
      <w:marTop w:val="0"/>
      <w:marBottom w:val="0"/>
      <w:divBdr>
        <w:top w:val="none" w:sz="0" w:space="0" w:color="auto"/>
        <w:left w:val="none" w:sz="0" w:space="0" w:color="auto"/>
        <w:bottom w:val="none" w:sz="0" w:space="0" w:color="auto"/>
        <w:right w:val="none" w:sz="0" w:space="0" w:color="auto"/>
      </w:divBdr>
      <w:divsChild>
        <w:div w:id="882713696">
          <w:marLeft w:val="0"/>
          <w:marRight w:val="0"/>
          <w:marTop w:val="0"/>
          <w:marBottom w:val="0"/>
          <w:divBdr>
            <w:top w:val="none" w:sz="0" w:space="0" w:color="auto"/>
            <w:left w:val="none" w:sz="0" w:space="0" w:color="auto"/>
            <w:bottom w:val="none" w:sz="0" w:space="0" w:color="auto"/>
            <w:right w:val="none" w:sz="0" w:space="0" w:color="auto"/>
          </w:divBdr>
        </w:div>
      </w:divsChild>
    </w:div>
    <w:div w:id="624506746">
      <w:bodyDiv w:val="1"/>
      <w:marLeft w:val="0"/>
      <w:marRight w:val="0"/>
      <w:marTop w:val="0"/>
      <w:marBottom w:val="0"/>
      <w:divBdr>
        <w:top w:val="none" w:sz="0" w:space="0" w:color="auto"/>
        <w:left w:val="none" w:sz="0" w:space="0" w:color="auto"/>
        <w:bottom w:val="none" w:sz="0" w:space="0" w:color="auto"/>
        <w:right w:val="none" w:sz="0" w:space="0" w:color="auto"/>
      </w:divBdr>
      <w:divsChild>
        <w:div w:id="1021204454">
          <w:marLeft w:val="0"/>
          <w:marRight w:val="0"/>
          <w:marTop w:val="0"/>
          <w:marBottom w:val="0"/>
          <w:divBdr>
            <w:top w:val="none" w:sz="0" w:space="0" w:color="auto"/>
            <w:left w:val="none" w:sz="0" w:space="0" w:color="auto"/>
            <w:bottom w:val="none" w:sz="0" w:space="0" w:color="auto"/>
            <w:right w:val="none" w:sz="0" w:space="0" w:color="auto"/>
          </w:divBdr>
        </w:div>
      </w:divsChild>
    </w:div>
    <w:div w:id="709114484">
      <w:bodyDiv w:val="1"/>
      <w:marLeft w:val="0"/>
      <w:marRight w:val="0"/>
      <w:marTop w:val="0"/>
      <w:marBottom w:val="0"/>
      <w:divBdr>
        <w:top w:val="none" w:sz="0" w:space="0" w:color="auto"/>
        <w:left w:val="none" w:sz="0" w:space="0" w:color="auto"/>
        <w:bottom w:val="none" w:sz="0" w:space="0" w:color="auto"/>
        <w:right w:val="none" w:sz="0" w:space="0" w:color="auto"/>
      </w:divBdr>
    </w:div>
    <w:div w:id="812871268">
      <w:bodyDiv w:val="1"/>
      <w:marLeft w:val="0"/>
      <w:marRight w:val="0"/>
      <w:marTop w:val="0"/>
      <w:marBottom w:val="0"/>
      <w:divBdr>
        <w:top w:val="none" w:sz="0" w:space="0" w:color="auto"/>
        <w:left w:val="none" w:sz="0" w:space="0" w:color="auto"/>
        <w:bottom w:val="none" w:sz="0" w:space="0" w:color="auto"/>
        <w:right w:val="none" w:sz="0" w:space="0" w:color="auto"/>
      </w:divBdr>
      <w:divsChild>
        <w:div w:id="1586184571">
          <w:marLeft w:val="0"/>
          <w:marRight w:val="0"/>
          <w:marTop w:val="0"/>
          <w:marBottom w:val="0"/>
          <w:divBdr>
            <w:top w:val="none" w:sz="0" w:space="0" w:color="auto"/>
            <w:left w:val="none" w:sz="0" w:space="0" w:color="auto"/>
            <w:bottom w:val="none" w:sz="0" w:space="0" w:color="auto"/>
            <w:right w:val="none" w:sz="0" w:space="0" w:color="auto"/>
          </w:divBdr>
        </w:div>
      </w:divsChild>
    </w:div>
    <w:div w:id="820540890">
      <w:bodyDiv w:val="1"/>
      <w:marLeft w:val="0"/>
      <w:marRight w:val="0"/>
      <w:marTop w:val="0"/>
      <w:marBottom w:val="0"/>
      <w:divBdr>
        <w:top w:val="none" w:sz="0" w:space="0" w:color="auto"/>
        <w:left w:val="none" w:sz="0" w:space="0" w:color="auto"/>
        <w:bottom w:val="none" w:sz="0" w:space="0" w:color="auto"/>
        <w:right w:val="none" w:sz="0" w:space="0" w:color="auto"/>
      </w:divBdr>
      <w:divsChild>
        <w:div w:id="1234075258">
          <w:marLeft w:val="0"/>
          <w:marRight w:val="0"/>
          <w:marTop w:val="0"/>
          <w:marBottom w:val="0"/>
          <w:divBdr>
            <w:top w:val="none" w:sz="0" w:space="0" w:color="auto"/>
            <w:left w:val="none" w:sz="0" w:space="0" w:color="auto"/>
            <w:bottom w:val="none" w:sz="0" w:space="0" w:color="auto"/>
            <w:right w:val="none" w:sz="0" w:space="0" w:color="auto"/>
          </w:divBdr>
        </w:div>
      </w:divsChild>
    </w:div>
    <w:div w:id="944070856">
      <w:bodyDiv w:val="1"/>
      <w:marLeft w:val="0"/>
      <w:marRight w:val="0"/>
      <w:marTop w:val="0"/>
      <w:marBottom w:val="0"/>
      <w:divBdr>
        <w:top w:val="none" w:sz="0" w:space="0" w:color="auto"/>
        <w:left w:val="none" w:sz="0" w:space="0" w:color="auto"/>
        <w:bottom w:val="none" w:sz="0" w:space="0" w:color="auto"/>
        <w:right w:val="none" w:sz="0" w:space="0" w:color="auto"/>
      </w:divBdr>
      <w:divsChild>
        <w:div w:id="441074300">
          <w:marLeft w:val="0"/>
          <w:marRight w:val="0"/>
          <w:marTop w:val="0"/>
          <w:marBottom w:val="0"/>
          <w:divBdr>
            <w:top w:val="none" w:sz="0" w:space="0" w:color="auto"/>
            <w:left w:val="none" w:sz="0" w:space="0" w:color="auto"/>
            <w:bottom w:val="none" w:sz="0" w:space="0" w:color="auto"/>
            <w:right w:val="none" w:sz="0" w:space="0" w:color="auto"/>
          </w:divBdr>
        </w:div>
      </w:divsChild>
    </w:div>
    <w:div w:id="960841050">
      <w:bodyDiv w:val="1"/>
      <w:marLeft w:val="0"/>
      <w:marRight w:val="0"/>
      <w:marTop w:val="0"/>
      <w:marBottom w:val="0"/>
      <w:divBdr>
        <w:top w:val="none" w:sz="0" w:space="0" w:color="auto"/>
        <w:left w:val="none" w:sz="0" w:space="0" w:color="auto"/>
        <w:bottom w:val="none" w:sz="0" w:space="0" w:color="auto"/>
        <w:right w:val="none" w:sz="0" w:space="0" w:color="auto"/>
      </w:divBdr>
    </w:div>
    <w:div w:id="987633194">
      <w:bodyDiv w:val="1"/>
      <w:marLeft w:val="0"/>
      <w:marRight w:val="0"/>
      <w:marTop w:val="0"/>
      <w:marBottom w:val="0"/>
      <w:divBdr>
        <w:top w:val="none" w:sz="0" w:space="0" w:color="auto"/>
        <w:left w:val="none" w:sz="0" w:space="0" w:color="auto"/>
        <w:bottom w:val="none" w:sz="0" w:space="0" w:color="auto"/>
        <w:right w:val="none" w:sz="0" w:space="0" w:color="auto"/>
      </w:divBdr>
    </w:div>
    <w:div w:id="1124471198">
      <w:bodyDiv w:val="1"/>
      <w:marLeft w:val="0"/>
      <w:marRight w:val="0"/>
      <w:marTop w:val="0"/>
      <w:marBottom w:val="0"/>
      <w:divBdr>
        <w:top w:val="none" w:sz="0" w:space="0" w:color="auto"/>
        <w:left w:val="none" w:sz="0" w:space="0" w:color="auto"/>
        <w:bottom w:val="none" w:sz="0" w:space="0" w:color="auto"/>
        <w:right w:val="none" w:sz="0" w:space="0" w:color="auto"/>
      </w:divBdr>
    </w:div>
    <w:div w:id="1198085064">
      <w:bodyDiv w:val="1"/>
      <w:marLeft w:val="0"/>
      <w:marRight w:val="0"/>
      <w:marTop w:val="0"/>
      <w:marBottom w:val="0"/>
      <w:divBdr>
        <w:top w:val="none" w:sz="0" w:space="0" w:color="auto"/>
        <w:left w:val="none" w:sz="0" w:space="0" w:color="auto"/>
        <w:bottom w:val="none" w:sz="0" w:space="0" w:color="auto"/>
        <w:right w:val="none" w:sz="0" w:space="0" w:color="auto"/>
      </w:divBdr>
    </w:div>
    <w:div w:id="1232741490">
      <w:bodyDiv w:val="1"/>
      <w:marLeft w:val="0"/>
      <w:marRight w:val="0"/>
      <w:marTop w:val="0"/>
      <w:marBottom w:val="0"/>
      <w:divBdr>
        <w:top w:val="none" w:sz="0" w:space="0" w:color="auto"/>
        <w:left w:val="none" w:sz="0" w:space="0" w:color="auto"/>
        <w:bottom w:val="none" w:sz="0" w:space="0" w:color="auto"/>
        <w:right w:val="none" w:sz="0" w:space="0" w:color="auto"/>
      </w:divBdr>
    </w:div>
    <w:div w:id="1336690854">
      <w:bodyDiv w:val="1"/>
      <w:marLeft w:val="0"/>
      <w:marRight w:val="0"/>
      <w:marTop w:val="0"/>
      <w:marBottom w:val="0"/>
      <w:divBdr>
        <w:top w:val="none" w:sz="0" w:space="0" w:color="auto"/>
        <w:left w:val="none" w:sz="0" w:space="0" w:color="auto"/>
        <w:bottom w:val="none" w:sz="0" w:space="0" w:color="auto"/>
        <w:right w:val="none" w:sz="0" w:space="0" w:color="auto"/>
      </w:divBdr>
    </w:div>
    <w:div w:id="1560893794">
      <w:bodyDiv w:val="1"/>
      <w:marLeft w:val="0"/>
      <w:marRight w:val="0"/>
      <w:marTop w:val="0"/>
      <w:marBottom w:val="0"/>
      <w:divBdr>
        <w:top w:val="none" w:sz="0" w:space="0" w:color="auto"/>
        <w:left w:val="none" w:sz="0" w:space="0" w:color="auto"/>
        <w:bottom w:val="none" w:sz="0" w:space="0" w:color="auto"/>
        <w:right w:val="none" w:sz="0" w:space="0" w:color="auto"/>
      </w:divBdr>
    </w:div>
    <w:div w:id="1792672816">
      <w:bodyDiv w:val="1"/>
      <w:marLeft w:val="0"/>
      <w:marRight w:val="0"/>
      <w:marTop w:val="0"/>
      <w:marBottom w:val="0"/>
      <w:divBdr>
        <w:top w:val="none" w:sz="0" w:space="0" w:color="auto"/>
        <w:left w:val="none" w:sz="0" w:space="0" w:color="auto"/>
        <w:bottom w:val="none" w:sz="0" w:space="0" w:color="auto"/>
        <w:right w:val="none" w:sz="0" w:space="0" w:color="auto"/>
      </w:divBdr>
      <w:divsChild>
        <w:div w:id="1813401488">
          <w:marLeft w:val="0"/>
          <w:marRight w:val="0"/>
          <w:marTop w:val="0"/>
          <w:marBottom w:val="0"/>
          <w:divBdr>
            <w:top w:val="none" w:sz="0" w:space="0" w:color="auto"/>
            <w:left w:val="none" w:sz="0" w:space="0" w:color="auto"/>
            <w:bottom w:val="none" w:sz="0" w:space="0" w:color="auto"/>
            <w:right w:val="none" w:sz="0" w:space="0" w:color="auto"/>
          </w:divBdr>
        </w:div>
      </w:divsChild>
    </w:div>
    <w:div w:id="1853490180">
      <w:bodyDiv w:val="1"/>
      <w:marLeft w:val="0"/>
      <w:marRight w:val="0"/>
      <w:marTop w:val="0"/>
      <w:marBottom w:val="0"/>
      <w:divBdr>
        <w:top w:val="none" w:sz="0" w:space="0" w:color="auto"/>
        <w:left w:val="none" w:sz="0" w:space="0" w:color="auto"/>
        <w:bottom w:val="none" w:sz="0" w:space="0" w:color="auto"/>
        <w:right w:val="none" w:sz="0" w:space="0" w:color="auto"/>
      </w:divBdr>
    </w:div>
    <w:div w:id="1918712168">
      <w:bodyDiv w:val="1"/>
      <w:marLeft w:val="0"/>
      <w:marRight w:val="0"/>
      <w:marTop w:val="0"/>
      <w:marBottom w:val="0"/>
      <w:divBdr>
        <w:top w:val="none" w:sz="0" w:space="0" w:color="auto"/>
        <w:left w:val="none" w:sz="0" w:space="0" w:color="auto"/>
        <w:bottom w:val="none" w:sz="0" w:space="0" w:color="auto"/>
        <w:right w:val="none" w:sz="0" w:space="0" w:color="auto"/>
      </w:divBdr>
      <w:divsChild>
        <w:div w:id="287249909">
          <w:marLeft w:val="0"/>
          <w:marRight w:val="0"/>
          <w:marTop w:val="0"/>
          <w:marBottom w:val="0"/>
          <w:divBdr>
            <w:top w:val="none" w:sz="0" w:space="0" w:color="auto"/>
            <w:left w:val="none" w:sz="0" w:space="0" w:color="auto"/>
            <w:bottom w:val="none" w:sz="0" w:space="0" w:color="auto"/>
            <w:right w:val="none" w:sz="0" w:space="0" w:color="auto"/>
          </w:divBdr>
        </w:div>
      </w:divsChild>
    </w:div>
    <w:div w:id="1932465040">
      <w:bodyDiv w:val="1"/>
      <w:marLeft w:val="0"/>
      <w:marRight w:val="0"/>
      <w:marTop w:val="0"/>
      <w:marBottom w:val="0"/>
      <w:divBdr>
        <w:top w:val="none" w:sz="0" w:space="0" w:color="auto"/>
        <w:left w:val="none" w:sz="0" w:space="0" w:color="auto"/>
        <w:bottom w:val="none" w:sz="0" w:space="0" w:color="auto"/>
        <w:right w:val="none" w:sz="0" w:space="0" w:color="auto"/>
      </w:divBdr>
      <w:divsChild>
        <w:div w:id="1959485500">
          <w:marLeft w:val="0"/>
          <w:marRight w:val="0"/>
          <w:marTop w:val="0"/>
          <w:marBottom w:val="0"/>
          <w:divBdr>
            <w:top w:val="none" w:sz="0" w:space="0" w:color="auto"/>
            <w:left w:val="none" w:sz="0" w:space="0" w:color="auto"/>
            <w:bottom w:val="none" w:sz="0" w:space="0" w:color="auto"/>
            <w:right w:val="none" w:sz="0" w:space="0" w:color="auto"/>
          </w:divBdr>
        </w:div>
      </w:divsChild>
    </w:div>
    <w:div w:id="19614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3jbvw/"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jpsychores.2022.11112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jpsychores.2022.1111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sticfibrosis.org.uk/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12" ma:contentTypeDescription="Create a new document." ma:contentTypeScope="" ma:versionID="4806123b618d3c019381999feff36b23">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f2fd4972f8e4a1f27cffefb4df735b3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4FB6-D771-4E86-A6D7-84CF3F38349C}">
  <ds:schemaRefs>
    <ds:schemaRef ds:uri="http://schemas.microsoft.com/sharepoint/v3/contenttype/forms"/>
  </ds:schemaRefs>
</ds:datastoreItem>
</file>

<file path=customXml/itemProps2.xml><?xml version="1.0" encoding="utf-8"?>
<ds:datastoreItem xmlns:ds="http://schemas.openxmlformats.org/officeDocument/2006/customXml" ds:itemID="{6F8AD605-F93C-478A-B46E-2B69FE570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6DBB82-7715-47DE-A8C1-15014C462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B51F8-573E-5545-9F3A-34D09B56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5134</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McHugh</dc:creator>
  <cp:lastModifiedBy>Robert Vaughan</cp:lastModifiedBy>
  <cp:revision>2</cp:revision>
  <cp:lastPrinted>2015-08-10T18:08:00Z</cp:lastPrinted>
  <dcterms:created xsi:type="dcterms:W3CDTF">2023-01-10T11:14:00Z</dcterms:created>
  <dcterms:modified xsi:type="dcterms:W3CDTF">2023-01-10T11:14:00Z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