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0544" w14:textId="77777777" w:rsidR="00B547FD" w:rsidRPr="003622DB" w:rsidRDefault="00B547FD" w:rsidP="003622DB">
      <w:pPr>
        <w:spacing w:after="0" w:line="480" w:lineRule="auto"/>
        <w:rPr>
          <w:rFonts w:ascii="Times New Roman" w:hAnsi="Times New Roman" w:cs="Times New Roman"/>
          <w:sz w:val="24"/>
          <w:szCs w:val="24"/>
        </w:rPr>
      </w:pPr>
    </w:p>
    <w:p w14:paraId="425FC7E9" w14:textId="77777777" w:rsidR="0060242F" w:rsidRDefault="0060242F" w:rsidP="0060242F">
      <w:pPr>
        <w:spacing w:after="0" w:line="480" w:lineRule="auto"/>
        <w:jc w:val="center"/>
        <w:rPr>
          <w:rFonts w:ascii="Times New Roman" w:hAnsi="Times New Roman" w:cs="Times New Roman"/>
          <w:sz w:val="24"/>
          <w:szCs w:val="24"/>
        </w:rPr>
      </w:pPr>
    </w:p>
    <w:p w14:paraId="6F85170C" w14:textId="77777777" w:rsidR="0060242F" w:rsidRDefault="0060242F" w:rsidP="0060242F">
      <w:pPr>
        <w:spacing w:after="0" w:line="480" w:lineRule="auto"/>
        <w:jc w:val="center"/>
        <w:rPr>
          <w:rFonts w:ascii="Times New Roman" w:hAnsi="Times New Roman" w:cs="Times New Roman"/>
          <w:sz w:val="24"/>
          <w:szCs w:val="24"/>
        </w:rPr>
      </w:pPr>
    </w:p>
    <w:p w14:paraId="5FD22CA8" w14:textId="77777777" w:rsidR="0060242F" w:rsidRDefault="0060242F" w:rsidP="0060242F">
      <w:pPr>
        <w:spacing w:after="0" w:line="480" w:lineRule="auto"/>
        <w:jc w:val="center"/>
        <w:rPr>
          <w:rFonts w:ascii="Times New Roman" w:hAnsi="Times New Roman" w:cs="Times New Roman"/>
          <w:sz w:val="24"/>
          <w:szCs w:val="24"/>
        </w:rPr>
      </w:pPr>
    </w:p>
    <w:p w14:paraId="1D080844" w14:textId="77777777" w:rsidR="0060242F" w:rsidRDefault="0060242F" w:rsidP="0060242F">
      <w:pPr>
        <w:spacing w:after="0" w:line="480" w:lineRule="auto"/>
        <w:jc w:val="center"/>
        <w:rPr>
          <w:rFonts w:ascii="Times New Roman" w:hAnsi="Times New Roman" w:cs="Times New Roman"/>
          <w:sz w:val="24"/>
          <w:szCs w:val="24"/>
        </w:rPr>
      </w:pPr>
    </w:p>
    <w:p w14:paraId="5831ED5F" w14:textId="77777777" w:rsidR="001F368B" w:rsidRDefault="001F368B" w:rsidP="0060242F">
      <w:pPr>
        <w:spacing w:after="0" w:line="480" w:lineRule="auto"/>
        <w:jc w:val="center"/>
        <w:rPr>
          <w:rFonts w:ascii="Times New Roman" w:hAnsi="Times New Roman" w:cs="Times New Roman"/>
          <w:sz w:val="24"/>
          <w:szCs w:val="24"/>
        </w:rPr>
      </w:pPr>
    </w:p>
    <w:p w14:paraId="0E6C3918" w14:textId="7F662D44" w:rsidR="00B547FD" w:rsidRPr="003622DB" w:rsidRDefault="00FC41AE" w:rsidP="0060242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Predictors of c</w:t>
      </w:r>
      <w:r w:rsidR="00F07F8E">
        <w:rPr>
          <w:rFonts w:ascii="Times New Roman" w:hAnsi="Times New Roman" w:cs="Times New Roman"/>
          <w:sz w:val="24"/>
          <w:szCs w:val="24"/>
        </w:rPr>
        <w:t xml:space="preserve">hurch growth in </w:t>
      </w:r>
      <w:r w:rsidR="00F5125B">
        <w:rPr>
          <w:rFonts w:ascii="Times New Roman" w:hAnsi="Times New Roman" w:cs="Times New Roman"/>
          <w:sz w:val="24"/>
          <w:szCs w:val="24"/>
        </w:rPr>
        <w:t xml:space="preserve">Southwark </w:t>
      </w:r>
      <w:r w:rsidR="0060242F">
        <w:rPr>
          <w:rFonts w:ascii="Times New Roman" w:hAnsi="Times New Roman" w:cs="Times New Roman"/>
          <w:sz w:val="24"/>
          <w:szCs w:val="24"/>
        </w:rPr>
        <w:t>D</w:t>
      </w:r>
      <w:r w:rsidR="00F5125B">
        <w:rPr>
          <w:rFonts w:ascii="Times New Roman" w:hAnsi="Times New Roman" w:cs="Times New Roman"/>
          <w:sz w:val="24"/>
          <w:szCs w:val="24"/>
        </w:rPr>
        <w:t>iocese</w:t>
      </w:r>
      <w:r w:rsidR="00F07F8E">
        <w:rPr>
          <w:rFonts w:ascii="Times New Roman" w:hAnsi="Times New Roman" w:cs="Times New Roman"/>
          <w:sz w:val="24"/>
          <w:szCs w:val="24"/>
        </w:rPr>
        <w:t>, 2000-2008</w:t>
      </w:r>
    </w:p>
    <w:p w14:paraId="68D7108D" w14:textId="77777777" w:rsidR="007725F4" w:rsidRPr="003622DB" w:rsidRDefault="007725F4" w:rsidP="003622DB">
      <w:pPr>
        <w:spacing w:after="0" w:line="480" w:lineRule="auto"/>
        <w:jc w:val="center"/>
        <w:rPr>
          <w:rFonts w:ascii="Times New Roman" w:eastAsia="Calibri" w:hAnsi="Times New Roman" w:cs="Times New Roman"/>
          <w:sz w:val="24"/>
          <w:szCs w:val="24"/>
        </w:rPr>
      </w:pPr>
    </w:p>
    <w:p w14:paraId="1DA2F254" w14:textId="77777777" w:rsidR="007725F4" w:rsidRPr="003622DB" w:rsidRDefault="007725F4" w:rsidP="003622DB">
      <w:pPr>
        <w:spacing w:after="0" w:line="480" w:lineRule="auto"/>
        <w:jc w:val="center"/>
        <w:rPr>
          <w:rFonts w:ascii="Times New Roman" w:eastAsia="Calibri" w:hAnsi="Times New Roman" w:cs="Times New Roman"/>
          <w:sz w:val="24"/>
          <w:szCs w:val="24"/>
        </w:rPr>
      </w:pPr>
    </w:p>
    <w:p w14:paraId="0F3732B9" w14:textId="77777777" w:rsidR="003622DB" w:rsidRDefault="007725F4" w:rsidP="003622DB">
      <w:pPr>
        <w:spacing w:after="0" w:line="480" w:lineRule="auto"/>
        <w:jc w:val="center"/>
        <w:rPr>
          <w:rFonts w:ascii="Times New Roman" w:eastAsia="Calibri" w:hAnsi="Times New Roman" w:cs="Times New Roman"/>
          <w:sz w:val="24"/>
          <w:szCs w:val="24"/>
        </w:rPr>
      </w:pPr>
      <w:r w:rsidRPr="003622DB">
        <w:rPr>
          <w:rFonts w:ascii="Times New Roman" w:eastAsia="Calibri" w:hAnsi="Times New Roman" w:cs="Times New Roman"/>
          <w:sz w:val="24"/>
          <w:szCs w:val="24"/>
        </w:rPr>
        <w:t>Andrew Village</w:t>
      </w:r>
    </w:p>
    <w:p w14:paraId="53A18B25" w14:textId="77777777" w:rsidR="007725F4" w:rsidRPr="003622DB" w:rsidRDefault="007725F4" w:rsidP="003622DB">
      <w:pPr>
        <w:spacing w:after="0" w:line="480" w:lineRule="auto"/>
        <w:jc w:val="center"/>
        <w:rPr>
          <w:rFonts w:ascii="Times New Roman" w:eastAsia="Calibri" w:hAnsi="Times New Roman" w:cs="Times New Roman"/>
          <w:sz w:val="24"/>
          <w:szCs w:val="24"/>
        </w:rPr>
      </w:pPr>
      <w:r w:rsidRPr="003622DB">
        <w:rPr>
          <w:rFonts w:ascii="Times New Roman" w:eastAsia="Calibri" w:hAnsi="Times New Roman" w:cs="Times New Roman"/>
          <w:sz w:val="24"/>
          <w:szCs w:val="24"/>
        </w:rPr>
        <w:t>York St John University, England, UK</w:t>
      </w:r>
    </w:p>
    <w:p w14:paraId="7763DD29" w14:textId="77777777" w:rsidR="00857E95" w:rsidRPr="003622DB" w:rsidRDefault="00857E95" w:rsidP="003622DB">
      <w:pPr>
        <w:spacing w:after="0" w:line="480" w:lineRule="auto"/>
        <w:jc w:val="center"/>
        <w:rPr>
          <w:rFonts w:ascii="Times New Roman" w:eastAsia="Calibri" w:hAnsi="Times New Roman" w:cs="Times New Roman"/>
          <w:sz w:val="24"/>
          <w:szCs w:val="24"/>
        </w:rPr>
      </w:pPr>
    </w:p>
    <w:p w14:paraId="4D285C1D" w14:textId="77777777" w:rsidR="007725F4" w:rsidRPr="003622DB" w:rsidRDefault="007725F4" w:rsidP="003622DB">
      <w:pPr>
        <w:spacing w:after="0" w:line="480" w:lineRule="auto"/>
        <w:rPr>
          <w:rFonts w:ascii="Times New Roman" w:hAnsi="Times New Roman" w:cs="Times New Roman"/>
          <w:sz w:val="24"/>
          <w:szCs w:val="24"/>
        </w:rPr>
      </w:pPr>
    </w:p>
    <w:p w14:paraId="2062A5DF" w14:textId="77777777" w:rsidR="003622DB" w:rsidRDefault="003622DB" w:rsidP="003622DB">
      <w:pPr>
        <w:spacing w:after="0" w:line="480" w:lineRule="auto"/>
        <w:rPr>
          <w:rFonts w:ascii="Times New Roman" w:hAnsi="Times New Roman" w:cs="Times New Roman"/>
          <w:sz w:val="24"/>
          <w:szCs w:val="24"/>
        </w:rPr>
      </w:pPr>
    </w:p>
    <w:p w14:paraId="03820D9E" w14:textId="77777777" w:rsidR="003622DB" w:rsidRDefault="003622DB" w:rsidP="003622DB">
      <w:pPr>
        <w:spacing w:after="0" w:line="480" w:lineRule="auto"/>
        <w:rPr>
          <w:rFonts w:ascii="Times New Roman" w:hAnsi="Times New Roman" w:cs="Times New Roman"/>
          <w:sz w:val="24"/>
          <w:szCs w:val="24"/>
        </w:rPr>
      </w:pPr>
    </w:p>
    <w:p w14:paraId="2F512351" w14:textId="77777777" w:rsidR="00EA6C04" w:rsidRDefault="00EA6C04" w:rsidP="003622DB">
      <w:pPr>
        <w:spacing w:after="0" w:line="480" w:lineRule="auto"/>
        <w:rPr>
          <w:rFonts w:ascii="Times New Roman" w:hAnsi="Times New Roman" w:cs="Times New Roman"/>
          <w:sz w:val="24"/>
          <w:szCs w:val="24"/>
        </w:rPr>
      </w:pPr>
    </w:p>
    <w:p w14:paraId="56C4A7C0" w14:textId="77777777" w:rsidR="00EA6C04" w:rsidRDefault="00EA6C04" w:rsidP="003622DB">
      <w:pPr>
        <w:spacing w:after="0" w:line="480" w:lineRule="auto"/>
        <w:rPr>
          <w:rFonts w:ascii="Times New Roman" w:hAnsi="Times New Roman" w:cs="Times New Roman"/>
          <w:sz w:val="24"/>
          <w:szCs w:val="24"/>
        </w:rPr>
      </w:pPr>
    </w:p>
    <w:p w14:paraId="51645BF9" w14:textId="77777777" w:rsidR="00EA6C04" w:rsidRDefault="00EA6C04" w:rsidP="003622DB">
      <w:pPr>
        <w:spacing w:after="0" w:line="480" w:lineRule="auto"/>
        <w:rPr>
          <w:rFonts w:ascii="Times New Roman" w:hAnsi="Times New Roman" w:cs="Times New Roman"/>
          <w:sz w:val="24"/>
          <w:szCs w:val="24"/>
        </w:rPr>
      </w:pPr>
    </w:p>
    <w:p w14:paraId="12293687" w14:textId="77777777" w:rsidR="00EA6C04" w:rsidRDefault="00EA6C04" w:rsidP="003622DB">
      <w:pPr>
        <w:spacing w:after="0" w:line="480" w:lineRule="auto"/>
        <w:rPr>
          <w:rFonts w:ascii="Times New Roman" w:hAnsi="Times New Roman" w:cs="Times New Roman"/>
          <w:sz w:val="24"/>
          <w:szCs w:val="24"/>
        </w:rPr>
      </w:pPr>
    </w:p>
    <w:p w14:paraId="521D8F11" w14:textId="77777777" w:rsidR="00EA6C04" w:rsidRDefault="00EA6C04" w:rsidP="003622DB">
      <w:pPr>
        <w:spacing w:after="0" w:line="480" w:lineRule="auto"/>
        <w:rPr>
          <w:rFonts w:ascii="Times New Roman" w:hAnsi="Times New Roman" w:cs="Times New Roman"/>
          <w:sz w:val="24"/>
          <w:szCs w:val="24"/>
        </w:rPr>
      </w:pPr>
    </w:p>
    <w:p w14:paraId="53065797" w14:textId="77777777" w:rsidR="001F368B" w:rsidRDefault="001F368B" w:rsidP="0060242F">
      <w:pPr>
        <w:spacing w:after="0" w:line="240" w:lineRule="auto"/>
        <w:rPr>
          <w:rFonts w:ascii="Times New Roman" w:hAnsi="Times New Roman" w:cs="Times New Roman"/>
          <w:sz w:val="24"/>
          <w:szCs w:val="24"/>
        </w:rPr>
      </w:pPr>
    </w:p>
    <w:p w14:paraId="355B2295"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 xml:space="preserve">Direct correspondence to:  </w:t>
      </w:r>
    </w:p>
    <w:p w14:paraId="044A8919"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Andrew Village</w:t>
      </w:r>
    </w:p>
    <w:p w14:paraId="3A7A24D4"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Theology and Religious Studies</w:t>
      </w:r>
    </w:p>
    <w:p w14:paraId="7AE39AF3"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York St John University</w:t>
      </w:r>
    </w:p>
    <w:p w14:paraId="08BC567D"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Lord Mayor</w:t>
      </w:r>
      <w:r w:rsidR="0060242F">
        <w:rPr>
          <w:rFonts w:ascii="Times New Roman" w:hAnsi="Times New Roman" w:cs="Times New Roman"/>
          <w:sz w:val="24"/>
          <w:szCs w:val="24"/>
        </w:rPr>
        <w:t>’</w:t>
      </w:r>
      <w:r w:rsidRPr="003622DB">
        <w:rPr>
          <w:rFonts w:ascii="Times New Roman" w:hAnsi="Times New Roman" w:cs="Times New Roman"/>
          <w:sz w:val="24"/>
          <w:szCs w:val="24"/>
        </w:rPr>
        <w:t>s Walk</w:t>
      </w:r>
    </w:p>
    <w:p w14:paraId="3C4EB6C7"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York YO31 7EX</w:t>
      </w:r>
    </w:p>
    <w:p w14:paraId="32C6C111"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UK</w:t>
      </w:r>
    </w:p>
    <w:p w14:paraId="0DE97BAD" w14:textId="77777777" w:rsidR="0060242F"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Tel: +44 (0)1904 876723</w:t>
      </w:r>
    </w:p>
    <w:p w14:paraId="513A4ECC" w14:textId="77777777" w:rsidR="003622DB" w:rsidRPr="003622DB" w:rsidRDefault="003622DB" w:rsidP="0060242F">
      <w:pPr>
        <w:spacing w:after="0" w:line="240" w:lineRule="auto"/>
        <w:rPr>
          <w:rFonts w:ascii="Times New Roman" w:hAnsi="Times New Roman" w:cs="Times New Roman"/>
          <w:sz w:val="24"/>
          <w:szCs w:val="24"/>
        </w:rPr>
      </w:pPr>
      <w:r w:rsidRPr="003622DB">
        <w:rPr>
          <w:rFonts w:ascii="Times New Roman" w:hAnsi="Times New Roman" w:cs="Times New Roman"/>
          <w:sz w:val="24"/>
          <w:szCs w:val="24"/>
        </w:rPr>
        <w:t xml:space="preserve">E-mail: </w:t>
      </w:r>
      <w:hyperlink r:id="rId8" w:history="1">
        <w:r w:rsidRPr="003622DB">
          <w:rPr>
            <w:rStyle w:val="Hyperlink"/>
            <w:rFonts w:ascii="Times New Roman" w:hAnsi="Times New Roman" w:cs="Times New Roman"/>
            <w:sz w:val="24"/>
            <w:szCs w:val="24"/>
          </w:rPr>
          <w:t>a.village@yorksj.ac.uk</w:t>
        </w:r>
      </w:hyperlink>
    </w:p>
    <w:p w14:paraId="44EDD5BB" w14:textId="77777777" w:rsidR="00B90B0D" w:rsidRPr="001F368B" w:rsidRDefault="001F368B" w:rsidP="001F368B">
      <w:pPr>
        <w:spacing w:after="0" w:line="480" w:lineRule="auto"/>
        <w:jc w:val="center"/>
        <w:rPr>
          <w:rFonts w:ascii="Times New Roman" w:hAnsi="Times New Roman" w:cs="Times New Roman"/>
          <w:b/>
          <w:sz w:val="24"/>
          <w:szCs w:val="24"/>
        </w:rPr>
      </w:pPr>
      <w:r w:rsidRPr="001F368B">
        <w:rPr>
          <w:rFonts w:ascii="Times New Roman" w:hAnsi="Times New Roman" w:cs="Times New Roman"/>
          <w:b/>
          <w:sz w:val="24"/>
          <w:szCs w:val="24"/>
        </w:rPr>
        <w:t>Abstract</w:t>
      </w:r>
    </w:p>
    <w:p w14:paraId="732D36CE" w14:textId="77777777" w:rsidR="00FA4EE4" w:rsidRPr="00923D62" w:rsidRDefault="00923D62" w:rsidP="003622DB">
      <w:pPr>
        <w:spacing w:after="0" w:line="480" w:lineRule="auto"/>
        <w:rPr>
          <w:rFonts w:ascii="Times New Roman" w:hAnsi="Times New Roman" w:cs="Times New Roman"/>
          <w:sz w:val="24"/>
          <w:szCs w:val="24"/>
        </w:rPr>
      </w:pPr>
      <w:r>
        <w:rPr>
          <w:rFonts w:ascii="Times New Roman" w:hAnsi="Times New Roman" w:cs="Times New Roman"/>
          <w:sz w:val="24"/>
          <w:szCs w:val="24"/>
        </w:rPr>
        <w:t>During the first decade of this century Southwark Diocese saw a slight increase in ‘usual Sunday attendance’, a key statistic used by the Church of England to monitor year</w:t>
      </w:r>
      <w:r w:rsidR="001F368B">
        <w:rPr>
          <w:rFonts w:ascii="Times New Roman" w:hAnsi="Times New Roman" w:cs="Times New Roman"/>
          <w:sz w:val="24"/>
          <w:szCs w:val="24"/>
        </w:rPr>
        <w:t>-</w:t>
      </w:r>
      <w:r>
        <w:rPr>
          <w:rFonts w:ascii="Times New Roman" w:hAnsi="Times New Roman" w:cs="Times New Roman"/>
          <w:sz w:val="24"/>
          <w:szCs w:val="24"/>
        </w:rPr>
        <w:t>on</w:t>
      </w:r>
      <w:r w:rsidR="001F368B">
        <w:rPr>
          <w:rFonts w:ascii="Times New Roman" w:hAnsi="Times New Roman" w:cs="Times New Roman"/>
          <w:sz w:val="24"/>
          <w:szCs w:val="24"/>
        </w:rPr>
        <w:t>-</w:t>
      </w:r>
      <w:r>
        <w:rPr>
          <w:rFonts w:ascii="Times New Roman" w:hAnsi="Times New Roman" w:cs="Times New Roman"/>
          <w:sz w:val="24"/>
          <w:szCs w:val="24"/>
        </w:rPr>
        <w:t xml:space="preserve">year changes. This </w:t>
      </w:r>
      <w:r w:rsidR="001F368B">
        <w:rPr>
          <w:rFonts w:ascii="Times New Roman" w:hAnsi="Times New Roman" w:cs="Times New Roman"/>
          <w:sz w:val="24"/>
          <w:szCs w:val="24"/>
        </w:rPr>
        <w:t xml:space="preserve">slight increase </w:t>
      </w:r>
      <w:r>
        <w:rPr>
          <w:rFonts w:ascii="Times New Roman" w:hAnsi="Times New Roman" w:cs="Times New Roman"/>
          <w:sz w:val="24"/>
          <w:szCs w:val="24"/>
        </w:rPr>
        <w:t xml:space="preserve">was in contrast to declines in </w:t>
      </w:r>
      <w:r w:rsidR="001F368B">
        <w:rPr>
          <w:rFonts w:ascii="Times New Roman" w:hAnsi="Times New Roman" w:cs="Times New Roman"/>
          <w:sz w:val="24"/>
          <w:szCs w:val="24"/>
        </w:rPr>
        <w:t>usual Sunday attendance</w:t>
      </w:r>
      <w:r>
        <w:rPr>
          <w:rFonts w:ascii="Times New Roman" w:hAnsi="Times New Roman" w:cs="Times New Roman"/>
          <w:sz w:val="24"/>
          <w:szCs w:val="24"/>
        </w:rPr>
        <w:t xml:space="preserve"> for many other dioceses over the same period. This study examines the change in </w:t>
      </w:r>
      <w:r w:rsidR="001F368B">
        <w:rPr>
          <w:rFonts w:ascii="Times New Roman" w:hAnsi="Times New Roman" w:cs="Times New Roman"/>
          <w:sz w:val="24"/>
          <w:szCs w:val="24"/>
        </w:rPr>
        <w:t>usual Sunday attendance</w:t>
      </w:r>
      <w:r>
        <w:rPr>
          <w:rFonts w:ascii="Times New Roman" w:hAnsi="Times New Roman" w:cs="Times New Roman"/>
          <w:sz w:val="24"/>
          <w:szCs w:val="24"/>
        </w:rPr>
        <w:t xml:space="preserve"> of 332 churches that took part in the </w:t>
      </w:r>
      <w:r>
        <w:rPr>
          <w:rFonts w:ascii="Times New Roman" w:hAnsi="Times New Roman" w:cs="Times New Roman"/>
          <w:i/>
          <w:sz w:val="24"/>
          <w:szCs w:val="24"/>
        </w:rPr>
        <w:t xml:space="preserve">Signs of Growth </w:t>
      </w:r>
      <w:r>
        <w:rPr>
          <w:rFonts w:ascii="Times New Roman" w:hAnsi="Times New Roman" w:cs="Times New Roman"/>
          <w:sz w:val="24"/>
          <w:szCs w:val="24"/>
        </w:rPr>
        <w:t>study to see if the average change from one year to the next from 2000 to 2008 could be explained by the profile of congregation</w:t>
      </w:r>
      <w:r w:rsidR="009F37B9">
        <w:rPr>
          <w:rFonts w:ascii="Times New Roman" w:hAnsi="Times New Roman" w:cs="Times New Roman"/>
          <w:sz w:val="24"/>
          <w:szCs w:val="24"/>
        </w:rPr>
        <w:t>s</w:t>
      </w:r>
      <w:r>
        <w:rPr>
          <w:rFonts w:ascii="Times New Roman" w:hAnsi="Times New Roman" w:cs="Times New Roman"/>
          <w:sz w:val="24"/>
          <w:szCs w:val="24"/>
        </w:rPr>
        <w:t xml:space="preserve"> and/or the sort of neighbourhood in which they were located. Aggregated data from congregation surveys w</w:t>
      </w:r>
      <w:r w:rsidR="009F37B9">
        <w:rPr>
          <w:rFonts w:ascii="Times New Roman" w:hAnsi="Times New Roman" w:cs="Times New Roman"/>
          <w:sz w:val="24"/>
          <w:szCs w:val="24"/>
        </w:rPr>
        <w:t>ere</w:t>
      </w:r>
      <w:r>
        <w:rPr>
          <w:rFonts w:ascii="Times New Roman" w:hAnsi="Times New Roman" w:cs="Times New Roman"/>
          <w:sz w:val="24"/>
          <w:szCs w:val="24"/>
        </w:rPr>
        <w:t xml:space="preserve"> used to measure the age and ethnic profile of congregations, and the extent to which they might be considered eclectic (that is, gathering worshippers from some distance rather than locally). National Census data for 2011 were used to compare congregation ethnic profiles with the profile of the electoral wards in which they were situated.</w:t>
      </w:r>
      <w:r w:rsidR="00160508">
        <w:rPr>
          <w:rFonts w:ascii="Times New Roman" w:hAnsi="Times New Roman" w:cs="Times New Roman"/>
          <w:sz w:val="24"/>
          <w:szCs w:val="24"/>
        </w:rPr>
        <w:t xml:space="preserve"> Across the diocese, most congregations grew, though the rate was modest and amounted to less than 0.2 per cent per year on average. Eth</w:t>
      </w:r>
      <w:r w:rsidR="009F37B9">
        <w:rPr>
          <w:rFonts w:ascii="Times New Roman" w:hAnsi="Times New Roman" w:cs="Times New Roman"/>
          <w:sz w:val="24"/>
          <w:szCs w:val="24"/>
        </w:rPr>
        <w:t>n</w:t>
      </w:r>
      <w:r w:rsidR="00160508">
        <w:rPr>
          <w:rFonts w:ascii="Times New Roman" w:hAnsi="Times New Roman" w:cs="Times New Roman"/>
          <w:sz w:val="24"/>
          <w:szCs w:val="24"/>
        </w:rPr>
        <w:t xml:space="preserve">ic profiles and diversity varied considerably between the inner city, near Southwark Cathedral, and the outlying rural areas, but there was no evidence that </w:t>
      </w:r>
      <w:r w:rsidR="009F37B9">
        <w:rPr>
          <w:rFonts w:ascii="Times New Roman" w:hAnsi="Times New Roman" w:cs="Times New Roman"/>
          <w:sz w:val="24"/>
          <w:szCs w:val="24"/>
        </w:rPr>
        <w:t>average growth was greater</w:t>
      </w:r>
      <w:r w:rsidR="00160508">
        <w:rPr>
          <w:rFonts w:ascii="Times New Roman" w:hAnsi="Times New Roman" w:cs="Times New Roman"/>
          <w:sz w:val="24"/>
          <w:szCs w:val="24"/>
        </w:rPr>
        <w:t xml:space="preserve"> in some deaneries than others. Percentage grow was not associated with congregation size o</w:t>
      </w:r>
      <w:r w:rsidR="009F37B9">
        <w:rPr>
          <w:rFonts w:ascii="Times New Roman" w:hAnsi="Times New Roman" w:cs="Times New Roman"/>
          <w:sz w:val="24"/>
          <w:szCs w:val="24"/>
        </w:rPr>
        <w:t>r</w:t>
      </w:r>
      <w:r w:rsidR="00160508">
        <w:rPr>
          <w:rFonts w:ascii="Times New Roman" w:hAnsi="Times New Roman" w:cs="Times New Roman"/>
          <w:sz w:val="24"/>
          <w:szCs w:val="24"/>
        </w:rPr>
        <w:t xml:space="preserve"> </w:t>
      </w:r>
      <w:r w:rsidR="001F368B">
        <w:rPr>
          <w:rFonts w:ascii="Times New Roman" w:hAnsi="Times New Roman" w:cs="Times New Roman"/>
          <w:sz w:val="24"/>
          <w:szCs w:val="24"/>
        </w:rPr>
        <w:t xml:space="preserve">with </w:t>
      </w:r>
      <w:r w:rsidR="00160508">
        <w:rPr>
          <w:rFonts w:ascii="Times New Roman" w:hAnsi="Times New Roman" w:cs="Times New Roman"/>
          <w:sz w:val="24"/>
          <w:szCs w:val="24"/>
        </w:rPr>
        <w:t>the extent o</w:t>
      </w:r>
      <w:r w:rsidR="009F37B9">
        <w:rPr>
          <w:rFonts w:ascii="Times New Roman" w:hAnsi="Times New Roman" w:cs="Times New Roman"/>
          <w:sz w:val="24"/>
          <w:szCs w:val="24"/>
        </w:rPr>
        <w:t>f</w:t>
      </w:r>
      <w:r w:rsidR="00160508">
        <w:rPr>
          <w:rFonts w:ascii="Times New Roman" w:hAnsi="Times New Roman" w:cs="Times New Roman"/>
          <w:sz w:val="24"/>
          <w:szCs w:val="24"/>
        </w:rPr>
        <w:t xml:space="preserve"> eclecticism</w:t>
      </w:r>
      <w:r w:rsidR="001F368B">
        <w:rPr>
          <w:rFonts w:ascii="Times New Roman" w:hAnsi="Times New Roman" w:cs="Times New Roman"/>
          <w:sz w:val="24"/>
          <w:szCs w:val="24"/>
        </w:rPr>
        <w:t>;</w:t>
      </w:r>
      <w:r w:rsidR="00160508">
        <w:rPr>
          <w:rFonts w:ascii="Times New Roman" w:hAnsi="Times New Roman" w:cs="Times New Roman"/>
          <w:sz w:val="24"/>
          <w:szCs w:val="24"/>
        </w:rPr>
        <w:t xml:space="preserve"> </w:t>
      </w:r>
      <w:r w:rsidR="009F37B9">
        <w:rPr>
          <w:rFonts w:ascii="Times New Roman" w:hAnsi="Times New Roman" w:cs="Times New Roman"/>
          <w:sz w:val="24"/>
          <w:szCs w:val="24"/>
        </w:rPr>
        <w:t>average growth was higher in congregations with a higher proportion</w:t>
      </w:r>
      <w:r w:rsidR="00160508">
        <w:rPr>
          <w:rFonts w:ascii="Times New Roman" w:hAnsi="Times New Roman" w:cs="Times New Roman"/>
          <w:sz w:val="24"/>
          <w:szCs w:val="24"/>
        </w:rPr>
        <w:t xml:space="preserve"> of younger adults.  Churches in areas with higher proportions of Black Caribbeans tended to </w:t>
      </w:r>
      <w:r w:rsidR="009F37B9">
        <w:rPr>
          <w:rFonts w:ascii="Times New Roman" w:hAnsi="Times New Roman" w:cs="Times New Roman"/>
          <w:sz w:val="24"/>
          <w:szCs w:val="24"/>
        </w:rPr>
        <w:t>have lower growth</w:t>
      </w:r>
      <w:r w:rsidR="00160508">
        <w:rPr>
          <w:rFonts w:ascii="Times New Roman" w:hAnsi="Times New Roman" w:cs="Times New Roman"/>
          <w:sz w:val="24"/>
          <w:szCs w:val="24"/>
        </w:rPr>
        <w:t xml:space="preserve">, and </w:t>
      </w:r>
      <w:r w:rsidR="001F368B">
        <w:rPr>
          <w:rFonts w:ascii="Times New Roman" w:hAnsi="Times New Roman" w:cs="Times New Roman"/>
          <w:sz w:val="24"/>
          <w:szCs w:val="24"/>
        </w:rPr>
        <w:t>churches</w:t>
      </w:r>
      <w:r w:rsidR="00160508">
        <w:rPr>
          <w:rFonts w:ascii="Times New Roman" w:hAnsi="Times New Roman" w:cs="Times New Roman"/>
          <w:sz w:val="24"/>
          <w:szCs w:val="24"/>
        </w:rPr>
        <w:t xml:space="preserve"> in areas with higher pr</w:t>
      </w:r>
      <w:r w:rsidR="009F37B9">
        <w:rPr>
          <w:rFonts w:ascii="Times New Roman" w:hAnsi="Times New Roman" w:cs="Times New Roman"/>
          <w:sz w:val="24"/>
          <w:szCs w:val="24"/>
        </w:rPr>
        <w:t>o</w:t>
      </w:r>
      <w:r w:rsidR="00160508">
        <w:rPr>
          <w:rFonts w:ascii="Times New Roman" w:hAnsi="Times New Roman" w:cs="Times New Roman"/>
          <w:sz w:val="24"/>
          <w:szCs w:val="24"/>
        </w:rPr>
        <w:t xml:space="preserve">portions of Black Africans </w:t>
      </w:r>
      <w:r w:rsidR="009F37B9">
        <w:rPr>
          <w:rFonts w:ascii="Times New Roman" w:hAnsi="Times New Roman" w:cs="Times New Roman"/>
          <w:sz w:val="24"/>
          <w:szCs w:val="24"/>
        </w:rPr>
        <w:t>had higher growth</w:t>
      </w:r>
      <w:r w:rsidR="00160508">
        <w:rPr>
          <w:rFonts w:ascii="Times New Roman" w:hAnsi="Times New Roman" w:cs="Times New Roman"/>
          <w:sz w:val="24"/>
          <w:szCs w:val="24"/>
        </w:rPr>
        <w:t xml:space="preserve">, but there was nothing to suggest that more ethnically diverse or </w:t>
      </w:r>
      <w:r w:rsidR="001F368B">
        <w:rPr>
          <w:rFonts w:ascii="Times New Roman" w:hAnsi="Times New Roman" w:cs="Times New Roman"/>
          <w:sz w:val="24"/>
          <w:szCs w:val="24"/>
        </w:rPr>
        <w:t xml:space="preserve">more </w:t>
      </w:r>
      <w:r w:rsidR="00160508">
        <w:rPr>
          <w:rFonts w:ascii="Times New Roman" w:hAnsi="Times New Roman" w:cs="Times New Roman"/>
          <w:sz w:val="24"/>
          <w:szCs w:val="24"/>
        </w:rPr>
        <w:t>homogenous congregations were more or less likely to grow.</w:t>
      </w:r>
    </w:p>
    <w:p w14:paraId="289C6ECE" w14:textId="77777777" w:rsidR="003F3B0E" w:rsidRPr="003622DB" w:rsidRDefault="00FA4EE4" w:rsidP="003622DB">
      <w:pPr>
        <w:spacing w:after="0" w:line="480" w:lineRule="auto"/>
        <w:rPr>
          <w:rFonts w:ascii="Times New Roman" w:hAnsi="Times New Roman" w:cs="Times New Roman"/>
          <w:sz w:val="24"/>
          <w:szCs w:val="24"/>
        </w:rPr>
      </w:pPr>
      <w:r w:rsidRPr="001F368B">
        <w:rPr>
          <w:rFonts w:ascii="Times New Roman" w:hAnsi="Times New Roman" w:cs="Times New Roman"/>
          <w:i/>
          <w:sz w:val="24"/>
          <w:szCs w:val="24"/>
        </w:rPr>
        <w:t>Keywords</w:t>
      </w:r>
      <w:r w:rsidRPr="003622DB">
        <w:rPr>
          <w:rFonts w:ascii="Times New Roman" w:hAnsi="Times New Roman" w:cs="Times New Roman"/>
          <w:sz w:val="24"/>
          <w:szCs w:val="24"/>
        </w:rPr>
        <w:t xml:space="preserve">:  </w:t>
      </w:r>
      <w:r w:rsidR="00160508">
        <w:rPr>
          <w:rFonts w:ascii="Times New Roman" w:hAnsi="Times New Roman" w:cs="Times New Roman"/>
          <w:sz w:val="24"/>
          <w:szCs w:val="24"/>
        </w:rPr>
        <w:t>Church Growth</w:t>
      </w:r>
      <w:r w:rsidR="0056297F" w:rsidRPr="003622DB">
        <w:rPr>
          <w:rFonts w:ascii="Times New Roman" w:hAnsi="Times New Roman" w:cs="Times New Roman"/>
          <w:sz w:val="24"/>
          <w:szCs w:val="24"/>
        </w:rPr>
        <w:t>;</w:t>
      </w:r>
      <w:r w:rsidRPr="003622DB">
        <w:rPr>
          <w:rFonts w:ascii="Times New Roman" w:hAnsi="Times New Roman" w:cs="Times New Roman"/>
          <w:sz w:val="24"/>
          <w:szCs w:val="24"/>
        </w:rPr>
        <w:t xml:space="preserve"> Church of England</w:t>
      </w:r>
      <w:r w:rsidR="0056297F" w:rsidRPr="003622DB">
        <w:rPr>
          <w:rFonts w:ascii="Times New Roman" w:hAnsi="Times New Roman" w:cs="Times New Roman"/>
          <w:sz w:val="24"/>
          <w:szCs w:val="24"/>
        </w:rPr>
        <w:t>;</w:t>
      </w:r>
      <w:r w:rsidRPr="003622DB">
        <w:rPr>
          <w:rFonts w:ascii="Times New Roman" w:hAnsi="Times New Roman" w:cs="Times New Roman"/>
          <w:sz w:val="24"/>
          <w:szCs w:val="24"/>
        </w:rPr>
        <w:t xml:space="preserve"> congregations</w:t>
      </w:r>
      <w:r w:rsidR="00C37106" w:rsidRPr="003622DB">
        <w:rPr>
          <w:rFonts w:ascii="Times New Roman" w:hAnsi="Times New Roman" w:cs="Times New Roman"/>
          <w:sz w:val="24"/>
          <w:szCs w:val="24"/>
        </w:rPr>
        <w:t>;</w:t>
      </w:r>
      <w:r w:rsidRPr="003622DB">
        <w:rPr>
          <w:rFonts w:ascii="Times New Roman" w:hAnsi="Times New Roman" w:cs="Times New Roman"/>
          <w:sz w:val="24"/>
          <w:szCs w:val="24"/>
        </w:rPr>
        <w:t xml:space="preserve"> ethnicity</w:t>
      </w:r>
      <w:r w:rsidR="00C37106" w:rsidRPr="003622DB">
        <w:rPr>
          <w:rFonts w:ascii="Times New Roman" w:hAnsi="Times New Roman" w:cs="Times New Roman"/>
          <w:sz w:val="24"/>
          <w:szCs w:val="24"/>
        </w:rPr>
        <w:t>;</w:t>
      </w:r>
      <w:r w:rsidR="00160508">
        <w:rPr>
          <w:rFonts w:ascii="Times New Roman" w:hAnsi="Times New Roman" w:cs="Times New Roman"/>
          <w:sz w:val="24"/>
          <w:szCs w:val="24"/>
        </w:rPr>
        <w:t xml:space="preserve"> homophily</w:t>
      </w:r>
      <w:r w:rsidR="00C37106" w:rsidRPr="003622DB">
        <w:rPr>
          <w:rFonts w:ascii="Times New Roman" w:hAnsi="Times New Roman" w:cs="Times New Roman"/>
          <w:sz w:val="24"/>
          <w:szCs w:val="24"/>
        </w:rPr>
        <w:t>.</w:t>
      </w:r>
      <w:r w:rsidRPr="003622DB">
        <w:rPr>
          <w:rFonts w:ascii="Times New Roman" w:hAnsi="Times New Roman" w:cs="Times New Roman"/>
          <w:sz w:val="24"/>
          <w:szCs w:val="24"/>
        </w:rPr>
        <w:t xml:space="preserve"> </w:t>
      </w:r>
    </w:p>
    <w:p w14:paraId="145392F4" w14:textId="77777777" w:rsidR="00504BEC" w:rsidRPr="003622DB" w:rsidRDefault="00504BEC" w:rsidP="003622DB">
      <w:pPr>
        <w:spacing w:after="0" w:line="480" w:lineRule="auto"/>
        <w:rPr>
          <w:rFonts w:ascii="Times New Roman" w:hAnsi="Times New Roman" w:cs="Times New Roman"/>
          <w:sz w:val="24"/>
          <w:szCs w:val="24"/>
        </w:rPr>
      </w:pPr>
      <w:r w:rsidRPr="003622DB">
        <w:rPr>
          <w:rFonts w:ascii="Times New Roman" w:hAnsi="Times New Roman" w:cs="Times New Roman"/>
          <w:sz w:val="24"/>
          <w:szCs w:val="24"/>
        </w:rPr>
        <w:br w:type="page"/>
      </w:r>
    </w:p>
    <w:p w14:paraId="6539645E" w14:textId="77777777" w:rsidR="006433A0" w:rsidRPr="001F368B" w:rsidRDefault="001F368B" w:rsidP="001F368B">
      <w:pPr>
        <w:spacing w:after="0" w:line="480" w:lineRule="auto"/>
        <w:jc w:val="center"/>
        <w:rPr>
          <w:rFonts w:ascii="Times New Roman" w:hAnsi="Times New Roman" w:cs="Times New Roman"/>
          <w:b/>
          <w:sz w:val="24"/>
          <w:szCs w:val="24"/>
        </w:rPr>
      </w:pPr>
      <w:r w:rsidRPr="001F368B">
        <w:rPr>
          <w:rFonts w:ascii="Times New Roman" w:hAnsi="Times New Roman" w:cs="Times New Roman"/>
          <w:b/>
          <w:sz w:val="24"/>
          <w:szCs w:val="24"/>
        </w:rPr>
        <w:t>Introduction</w:t>
      </w:r>
    </w:p>
    <w:p w14:paraId="65CC6029" w14:textId="77777777" w:rsidR="008A54A0" w:rsidRDefault="00F5125B" w:rsidP="001F36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Diocese of Southwark wanted a name for </w:t>
      </w:r>
      <w:r w:rsidR="001F368B">
        <w:rPr>
          <w:rFonts w:ascii="Times New Roman" w:hAnsi="Times New Roman" w:cs="Times New Roman"/>
          <w:sz w:val="24"/>
          <w:szCs w:val="24"/>
        </w:rPr>
        <w:t xml:space="preserve">the </w:t>
      </w:r>
      <w:r w:rsidR="003A2917">
        <w:rPr>
          <w:rFonts w:ascii="Times New Roman" w:hAnsi="Times New Roman" w:cs="Times New Roman"/>
          <w:sz w:val="24"/>
          <w:szCs w:val="24"/>
        </w:rPr>
        <w:t>survey</w:t>
      </w:r>
      <w:r>
        <w:rPr>
          <w:rFonts w:ascii="Times New Roman" w:hAnsi="Times New Roman" w:cs="Times New Roman"/>
          <w:sz w:val="24"/>
          <w:szCs w:val="24"/>
        </w:rPr>
        <w:t xml:space="preserve"> that is the subject of this collection of essays, they chose ‘Signs of Growth’.  There was good reason to do so: </w:t>
      </w:r>
      <w:r w:rsidR="0013204C">
        <w:rPr>
          <w:rFonts w:ascii="Times New Roman" w:hAnsi="Times New Roman" w:cs="Times New Roman"/>
          <w:sz w:val="24"/>
          <w:szCs w:val="24"/>
        </w:rPr>
        <w:t xml:space="preserve">in 2008 </w:t>
      </w:r>
      <w:r>
        <w:rPr>
          <w:rFonts w:ascii="Times New Roman" w:hAnsi="Times New Roman" w:cs="Times New Roman"/>
          <w:sz w:val="24"/>
          <w:szCs w:val="24"/>
        </w:rPr>
        <w:t xml:space="preserve">all the signs were that </w:t>
      </w:r>
      <w:r w:rsidR="003A2917">
        <w:rPr>
          <w:rFonts w:ascii="Times New Roman" w:hAnsi="Times New Roman" w:cs="Times New Roman"/>
          <w:sz w:val="24"/>
          <w:szCs w:val="24"/>
        </w:rPr>
        <w:t xml:space="preserve">many </w:t>
      </w:r>
      <w:r>
        <w:rPr>
          <w:rFonts w:ascii="Times New Roman" w:hAnsi="Times New Roman" w:cs="Times New Roman"/>
          <w:sz w:val="24"/>
          <w:szCs w:val="24"/>
        </w:rPr>
        <w:t>churches in the diocese had been growing</w:t>
      </w:r>
      <w:r w:rsidR="003A2917">
        <w:rPr>
          <w:rFonts w:ascii="Times New Roman" w:hAnsi="Times New Roman" w:cs="Times New Roman"/>
          <w:sz w:val="24"/>
          <w:szCs w:val="24"/>
        </w:rPr>
        <w:t xml:space="preserve"> over the previous few years</w:t>
      </w:r>
      <w:r>
        <w:rPr>
          <w:rFonts w:ascii="Times New Roman" w:hAnsi="Times New Roman" w:cs="Times New Roman"/>
          <w:sz w:val="24"/>
          <w:szCs w:val="24"/>
        </w:rPr>
        <w:t xml:space="preserve">, making them unusual in the Church of England, where numbers </w:t>
      </w:r>
      <w:r w:rsidR="0013204C">
        <w:rPr>
          <w:rFonts w:ascii="Times New Roman" w:hAnsi="Times New Roman" w:cs="Times New Roman"/>
          <w:sz w:val="24"/>
          <w:szCs w:val="24"/>
        </w:rPr>
        <w:t>were generally declining</w:t>
      </w:r>
      <w:r>
        <w:rPr>
          <w:rFonts w:ascii="Times New Roman" w:hAnsi="Times New Roman" w:cs="Times New Roman"/>
          <w:sz w:val="24"/>
          <w:szCs w:val="24"/>
        </w:rPr>
        <w:t xml:space="preserve"> </w:t>
      </w:r>
      <w:r w:rsidR="00563E9B">
        <w:rPr>
          <w:rFonts w:ascii="Times New Roman" w:hAnsi="Times New Roman" w:cs="Times New Roman"/>
          <w:sz w:val="24"/>
          <w:szCs w:val="24"/>
        </w:rPr>
        <w:fldChar w:fldCharType="begin"/>
      </w:r>
      <w:r w:rsidR="003A2917">
        <w:rPr>
          <w:rFonts w:ascii="Times New Roman" w:hAnsi="Times New Roman" w:cs="Times New Roman"/>
          <w:sz w:val="24"/>
          <w:szCs w:val="24"/>
        </w:rPr>
        <w:instrText xml:space="preserve"> ADDIN EN.CITE &lt;EndNote&gt;&lt;Cite&gt;&lt;Author&gt;Church_of_England&lt;/Author&gt;&lt;Year&gt;2014&lt;/Year&gt;&lt;RecNum&gt;6917&lt;/RecNum&gt;&lt;Pages&gt;figure 32&lt;/Pages&gt;&lt;DisplayText&gt;(Church_of_England 2014: figure 32)&lt;/DisplayText&gt;&lt;record&gt;&lt;rec-number&gt;6917&lt;/rec-number&gt;&lt;foreign-keys&gt;&lt;key app="EN" db-id="dz2asxs2ozta2me0007pzzx4ffzxzrre5tz0"&gt;6917&lt;/key&gt;&lt;/foreign-keys&gt;&lt;ref-type name="Report"&gt;27&lt;/ref-type&gt;&lt;contributors&gt;&lt;authors&gt;&lt;author&gt;Church_of_England&lt;/author&gt;&lt;/authors&gt;&lt;/contributors&gt;&lt;titles&gt;&lt;title&gt;Statistics for mission 2012&lt;/title&gt;&lt;/titles&gt;&lt;dates&gt;&lt;year&gt;2014&lt;/year&gt;&lt;/dates&gt;&lt;pub-location&gt;London&lt;/pub-location&gt;&lt;publisher&gt; Archbishops&amp;apos;Council, Research and Statistics&lt;/publisher&gt;&lt;urls&gt;&lt;related-urls&gt;&lt;url&gt;https://www.churchofengland.org/sites/default/files/2017-11/2012statisticsformission_0.pdf&lt;/url&gt;&lt;/related-urls&gt;&lt;/urls&gt;&lt;/record&gt;&lt;/Cite&gt;&lt;/EndNote&gt;</w:instrText>
      </w:r>
      <w:r w:rsidR="00563E9B">
        <w:rPr>
          <w:rFonts w:ascii="Times New Roman" w:hAnsi="Times New Roman" w:cs="Times New Roman"/>
          <w:sz w:val="24"/>
          <w:szCs w:val="24"/>
        </w:rPr>
        <w:fldChar w:fldCharType="separate"/>
      </w:r>
      <w:r w:rsidR="003A2917">
        <w:rPr>
          <w:rFonts w:ascii="Times New Roman" w:hAnsi="Times New Roman" w:cs="Times New Roman"/>
          <w:noProof/>
          <w:sz w:val="24"/>
          <w:szCs w:val="24"/>
        </w:rPr>
        <w:t>(</w:t>
      </w:r>
      <w:hyperlink w:anchor="_ENREF_5" w:tooltip="Church_of_England, 2014 #6917"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of</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England</w:t>
        </w:r>
        <w:r w:rsidR="001F368B">
          <w:rPr>
            <w:rFonts w:ascii="Times New Roman" w:hAnsi="Times New Roman" w:cs="Times New Roman"/>
            <w:noProof/>
            <w:sz w:val="24"/>
            <w:szCs w:val="24"/>
          </w:rPr>
          <w:t>,</w:t>
        </w:r>
        <w:r w:rsidR="0054049E">
          <w:rPr>
            <w:rFonts w:ascii="Times New Roman" w:hAnsi="Times New Roman" w:cs="Times New Roman"/>
            <w:noProof/>
            <w:sz w:val="24"/>
            <w:szCs w:val="24"/>
          </w:rPr>
          <w:t xml:space="preserve"> 2014</w:t>
        </w:r>
        <w:r w:rsidR="00D02CCB">
          <w:rPr>
            <w:rFonts w:ascii="Times New Roman" w:hAnsi="Times New Roman" w:cs="Times New Roman"/>
            <w:noProof/>
            <w:sz w:val="24"/>
            <w:szCs w:val="24"/>
          </w:rPr>
          <w:t>a</w:t>
        </w:r>
        <w:r w:rsidR="0054049E">
          <w:rPr>
            <w:rFonts w:ascii="Times New Roman" w:hAnsi="Times New Roman" w:cs="Times New Roman"/>
            <w:noProof/>
            <w:sz w:val="24"/>
            <w:szCs w:val="24"/>
          </w:rPr>
          <w:t>: figure 32</w:t>
        </w:r>
      </w:hyperlink>
      <w:r w:rsidR="003A2917">
        <w:rPr>
          <w:rFonts w:ascii="Times New Roman" w:hAnsi="Times New Roman" w:cs="Times New Roman"/>
          <w:noProof/>
          <w:sz w:val="24"/>
          <w:szCs w:val="24"/>
        </w:rPr>
        <w:t>)</w:t>
      </w:r>
      <w:r w:rsidR="00563E9B">
        <w:rPr>
          <w:rFonts w:ascii="Times New Roman" w:hAnsi="Times New Roman" w:cs="Times New Roman"/>
          <w:sz w:val="24"/>
          <w:szCs w:val="24"/>
        </w:rPr>
        <w:fldChar w:fldCharType="end"/>
      </w:r>
      <w:r w:rsidR="00563E9B">
        <w:rPr>
          <w:rFonts w:ascii="Times New Roman" w:hAnsi="Times New Roman" w:cs="Times New Roman"/>
          <w:sz w:val="24"/>
          <w:szCs w:val="24"/>
        </w:rPr>
        <w:t>.</w:t>
      </w:r>
      <w:r>
        <w:rPr>
          <w:rFonts w:ascii="Times New Roman" w:hAnsi="Times New Roman" w:cs="Times New Roman"/>
          <w:sz w:val="24"/>
          <w:szCs w:val="24"/>
        </w:rPr>
        <w:t xml:space="preserve"> </w:t>
      </w:r>
      <w:r w:rsidR="006433A0">
        <w:rPr>
          <w:rFonts w:ascii="Times New Roman" w:hAnsi="Times New Roman" w:cs="Times New Roman"/>
          <w:sz w:val="24"/>
          <w:szCs w:val="24"/>
        </w:rPr>
        <w:t xml:space="preserve"> As the Church is increasingly looking for ways to reverse the national decline, gather</w:t>
      </w:r>
      <w:r w:rsidR="00563E9B">
        <w:rPr>
          <w:rFonts w:ascii="Times New Roman" w:hAnsi="Times New Roman" w:cs="Times New Roman"/>
          <w:sz w:val="24"/>
          <w:szCs w:val="24"/>
        </w:rPr>
        <w:t>ing</w:t>
      </w:r>
      <w:r w:rsidR="006433A0">
        <w:rPr>
          <w:rFonts w:ascii="Times New Roman" w:hAnsi="Times New Roman" w:cs="Times New Roman"/>
          <w:sz w:val="24"/>
          <w:szCs w:val="24"/>
        </w:rPr>
        <w:t xml:space="preserve"> statistical information has become more important </w:t>
      </w:r>
      <w:r w:rsidR="00563E9B">
        <w:rPr>
          <w:rFonts w:ascii="Times New Roman" w:hAnsi="Times New Roman" w:cs="Times New Roman"/>
          <w:sz w:val="24"/>
          <w:szCs w:val="24"/>
        </w:rPr>
        <w:fldChar w:fldCharType="begin"/>
      </w:r>
      <w:r w:rsidR="00563E9B">
        <w:rPr>
          <w:rFonts w:ascii="Times New Roman" w:hAnsi="Times New Roman" w:cs="Times New Roman"/>
          <w:sz w:val="24"/>
          <w:szCs w:val="24"/>
        </w:rPr>
        <w:instrText xml:space="preserve"> ADDIN EN.CITE &lt;EndNote&gt;&lt;Cite&gt;&lt;Author&gt;Church_Growth_Research_Programme&lt;/Author&gt;&lt;Year&gt;2013&lt;/Year&gt;&lt;RecNum&gt;4952&lt;/RecNum&gt;&lt;DisplayText&gt;(Church_Growth_Research_Programme 2013)&lt;/DisplayText&gt;&lt;record&gt;&lt;rec-number&gt;4952&lt;/rec-number&gt;&lt;foreign-keys&gt;&lt;key app="EN" db-id="dz2asxs2ozta2me0007pzzx4ffzxzrre5tz0"&gt;4952&lt;/key&gt;&lt;/foreign-keys&gt;&lt;ref-type name="Web Page"&gt;12&lt;/ref-type&gt;&lt;contributors&gt;&lt;authors&gt;&lt;author&gt;Church_Growth_Research_Programme&lt;/author&gt;&lt;/authors&gt;&lt;/contributors&gt;&lt;titles&gt;&lt;title&gt;From anecdote to evidence&lt;/title&gt;&lt;/titles&gt;&lt;volume&gt;2014&lt;/volume&gt;&lt;number&gt;15 November&lt;/number&gt;&lt;dates&gt;&lt;year&gt;2013&lt;/year&gt;&lt;/dates&gt;&lt;publisher&gt;Church_Growth_Research_Programme&lt;/publisher&gt;&lt;urls&gt;&lt;related-urls&gt;&lt;url&gt;http://www.churchgrowthresearch.org.uk/UserFiles/File/Reports/FromAnecdoteToEvidence1.0.pdf&lt;/url&gt;&lt;/related-urls&gt;&lt;/urls&gt;&lt;/record&gt;&lt;/Cite&gt;&lt;/EndNote&gt;</w:instrText>
      </w:r>
      <w:r w:rsidR="00563E9B">
        <w:rPr>
          <w:rFonts w:ascii="Times New Roman" w:hAnsi="Times New Roman" w:cs="Times New Roman"/>
          <w:sz w:val="24"/>
          <w:szCs w:val="24"/>
        </w:rPr>
        <w:fldChar w:fldCharType="separate"/>
      </w:r>
      <w:r w:rsidR="00563E9B">
        <w:rPr>
          <w:rFonts w:ascii="Times New Roman" w:hAnsi="Times New Roman" w:cs="Times New Roman"/>
          <w:noProof/>
          <w:sz w:val="24"/>
          <w:szCs w:val="24"/>
        </w:rPr>
        <w:t>(</w:t>
      </w:r>
      <w:hyperlink w:anchor="_ENREF_4" w:tooltip="Church_Growth_Research_Programme, 2013 #4952"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of England</w:t>
        </w:r>
        <w:r w:rsidR="001F368B">
          <w:rPr>
            <w:rFonts w:ascii="Times New Roman" w:hAnsi="Times New Roman" w:cs="Times New Roman"/>
            <w:noProof/>
            <w:sz w:val="24"/>
            <w:szCs w:val="24"/>
          </w:rPr>
          <w:t>,</w:t>
        </w:r>
        <w:r w:rsidR="0054049E">
          <w:rPr>
            <w:rFonts w:ascii="Times New Roman" w:hAnsi="Times New Roman" w:cs="Times New Roman"/>
            <w:noProof/>
            <w:sz w:val="24"/>
            <w:szCs w:val="24"/>
          </w:rPr>
          <w:t xml:space="preserve"> 201</w:t>
        </w:r>
      </w:hyperlink>
      <w:r w:rsidR="00D02CCB">
        <w:rPr>
          <w:rFonts w:ascii="Times New Roman" w:hAnsi="Times New Roman" w:cs="Times New Roman"/>
          <w:noProof/>
          <w:sz w:val="24"/>
          <w:szCs w:val="24"/>
        </w:rPr>
        <w:t>4b</w:t>
      </w:r>
      <w:r w:rsidR="00563E9B">
        <w:rPr>
          <w:rFonts w:ascii="Times New Roman" w:hAnsi="Times New Roman" w:cs="Times New Roman"/>
          <w:noProof/>
          <w:sz w:val="24"/>
          <w:szCs w:val="24"/>
        </w:rPr>
        <w:t>)</w:t>
      </w:r>
      <w:r w:rsidR="00563E9B">
        <w:rPr>
          <w:rFonts w:ascii="Times New Roman" w:hAnsi="Times New Roman" w:cs="Times New Roman"/>
          <w:sz w:val="24"/>
          <w:szCs w:val="24"/>
        </w:rPr>
        <w:fldChar w:fldCharType="end"/>
      </w:r>
      <w:r w:rsidR="006433A0">
        <w:rPr>
          <w:rFonts w:ascii="Times New Roman" w:hAnsi="Times New Roman" w:cs="Times New Roman"/>
          <w:sz w:val="24"/>
          <w:szCs w:val="24"/>
        </w:rPr>
        <w:t xml:space="preserve">. The Signs of Growth project offers a unique opportunity to examine in detail some of the factors that might help us to understand why some churches grow and others do not. It is not possible with cross-sectional data such as these to tell the difference between something that is the </w:t>
      </w:r>
      <w:r w:rsidR="006433A0">
        <w:rPr>
          <w:rFonts w:ascii="Times New Roman" w:hAnsi="Times New Roman" w:cs="Times New Roman"/>
          <w:i/>
          <w:sz w:val="24"/>
          <w:szCs w:val="24"/>
        </w:rPr>
        <w:t>cause</w:t>
      </w:r>
      <w:r w:rsidR="006433A0">
        <w:rPr>
          <w:rFonts w:ascii="Times New Roman" w:hAnsi="Times New Roman" w:cs="Times New Roman"/>
          <w:sz w:val="24"/>
          <w:szCs w:val="24"/>
        </w:rPr>
        <w:t xml:space="preserve"> of growth and something that is the </w:t>
      </w:r>
      <w:r w:rsidR="006433A0">
        <w:rPr>
          <w:rFonts w:ascii="Times New Roman" w:hAnsi="Times New Roman" w:cs="Times New Roman"/>
          <w:i/>
          <w:sz w:val="24"/>
          <w:szCs w:val="24"/>
        </w:rPr>
        <w:t>consequence</w:t>
      </w:r>
      <w:r w:rsidR="006433A0">
        <w:rPr>
          <w:rFonts w:ascii="Times New Roman" w:hAnsi="Times New Roman" w:cs="Times New Roman"/>
          <w:sz w:val="24"/>
          <w:szCs w:val="24"/>
        </w:rPr>
        <w:t xml:space="preserve"> of growth, but </w:t>
      </w:r>
      <w:r w:rsidR="00563E9B">
        <w:rPr>
          <w:rFonts w:ascii="Times New Roman" w:hAnsi="Times New Roman" w:cs="Times New Roman"/>
          <w:sz w:val="24"/>
          <w:szCs w:val="24"/>
        </w:rPr>
        <w:t>identifying</w:t>
      </w:r>
      <w:r w:rsidR="006433A0">
        <w:rPr>
          <w:rFonts w:ascii="Times New Roman" w:hAnsi="Times New Roman" w:cs="Times New Roman"/>
          <w:sz w:val="24"/>
          <w:szCs w:val="24"/>
        </w:rPr>
        <w:t xml:space="preserve"> </w:t>
      </w:r>
      <w:r w:rsidR="00563E9B">
        <w:rPr>
          <w:rFonts w:ascii="Times New Roman" w:hAnsi="Times New Roman" w:cs="Times New Roman"/>
          <w:sz w:val="24"/>
          <w:szCs w:val="24"/>
        </w:rPr>
        <w:t>factors</w:t>
      </w:r>
      <w:r w:rsidR="006433A0">
        <w:rPr>
          <w:rFonts w:ascii="Times New Roman" w:hAnsi="Times New Roman" w:cs="Times New Roman"/>
          <w:sz w:val="24"/>
          <w:szCs w:val="24"/>
        </w:rPr>
        <w:t xml:space="preserve"> associated with growth might </w:t>
      </w:r>
      <w:r w:rsidR="00563E9B">
        <w:rPr>
          <w:rFonts w:ascii="Times New Roman" w:hAnsi="Times New Roman" w:cs="Times New Roman"/>
          <w:sz w:val="24"/>
          <w:szCs w:val="24"/>
        </w:rPr>
        <w:t xml:space="preserve">give </w:t>
      </w:r>
      <w:r w:rsidR="006433A0">
        <w:rPr>
          <w:rFonts w:ascii="Times New Roman" w:hAnsi="Times New Roman" w:cs="Times New Roman"/>
          <w:sz w:val="24"/>
          <w:szCs w:val="24"/>
        </w:rPr>
        <w:t>clues as to what was going on. Was growth uniform across the diocese, or were ther</w:t>
      </w:r>
      <w:r w:rsidR="001F368B">
        <w:rPr>
          <w:rFonts w:ascii="Times New Roman" w:hAnsi="Times New Roman" w:cs="Times New Roman"/>
          <w:sz w:val="24"/>
          <w:szCs w:val="24"/>
        </w:rPr>
        <w:t>e</w:t>
      </w:r>
      <w:r w:rsidR="006433A0">
        <w:rPr>
          <w:rFonts w:ascii="Times New Roman" w:hAnsi="Times New Roman" w:cs="Times New Roman"/>
          <w:sz w:val="24"/>
          <w:szCs w:val="24"/>
        </w:rPr>
        <w:t xml:space="preserve"> geographical ‘hot spots’? Did growing churches attract younger people? Was growth a matter of size</w:t>
      </w:r>
      <w:r w:rsidR="001F368B">
        <w:rPr>
          <w:rFonts w:ascii="Times New Roman" w:hAnsi="Times New Roman" w:cs="Times New Roman"/>
          <w:sz w:val="24"/>
          <w:szCs w:val="24"/>
        </w:rPr>
        <w:t>,</w:t>
      </w:r>
      <w:r w:rsidR="006433A0">
        <w:rPr>
          <w:rFonts w:ascii="Times New Roman" w:hAnsi="Times New Roman" w:cs="Times New Roman"/>
          <w:sz w:val="24"/>
          <w:szCs w:val="24"/>
        </w:rPr>
        <w:t xml:space="preserve"> eith</w:t>
      </w:r>
      <w:r w:rsidR="00161631">
        <w:rPr>
          <w:rFonts w:ascii="Times New Roman" w:hAnsi="Times New Roman" w:cs="Times New Roman"/>
          <w:sz w:val="24"/>
          <w:szCs w:val="24"/>
        </w:rPr>
        <w:t xml:space="preserve">er because small churches have </w:t>
      </w:r>
      <w:r w:rsidR="006433A0">
        <w:rPr>
          <w:rFonts w:ascii="Times New Roman" w:hAnsi="Times New Roman" w:cs="Times New Roman"/>
          <w:sz w:val="24"/>
          <w:szCs w:val="24"/>
        </w:rPr>
        <w:t>more potential for growth or because large churches are more attractive</w:t>
      </w:r>
      <w:r w:rsidR="008A54A0">
        <w:rPr>
          <w:rFonts w:ascii="Times New Roman" w:hAnsi="Times New Roman" w:cs="Times New Roman"/>
          <w:sz w:val="24"/>
          <w:szCs w:val="24"/>
        </w:rPr>
        <w:t xml:space="preserve">? In a diocese that </w:t>
      </w:r>
      <w:r>
        <w:rPr>
          <w:rFonts w:ascii="Times New Roman" w:hAnsi="Times New Roman" w:cs="Times New Roman"/>
          <w:sz w:val="24"/>
          <w:szCs w:val="24"/>
        </w:rPr>
        <w:t>includes some of the most ethnically diverse communities in the UK</w:t>
      </w:r>
      <w:r w:rsidR="008A54A0">
        <w:rPr>
          <w:rFonts w:ascii="Times New Roman" w:hAnsi="Times New Roman" w:cs="Times New Roman"/>
          <w:sz w:val="24"/>
          <w:szCs w:val="24"/>
        </w:rPr>
        <w:t xml:space="preserve">, is there any relationship between growth and </w:t>
      </w:r>
      <w:r w:rsidR="000A7BC1">
        <w:rPr>
          <w:rFonts w:ascii="Times New Roman" w:hAnsi="Times New Roman" w:cs="Times New Roman"/>
          <w:sz w:val="24"/>
          <w:szCs w:val="24"/>
        </w:rPr>
        <w:t>the ethnic profile of congregations</w:t>
      </w:r>
      <w:r w:rsidR="00563E9B">
        <w:rPr>
          <w:rFonts w:ascii="Times New Roman" w:hAnsi="Times New Roman" w:cs="Times New Roman"/>
          <w:sz w:val="24"/>
          <w:szCs w:val="24"/>
        </w:rPr>
        <w:t xml:space="preserve"> or their neighbourhoods</w:t>
      </w:r>
      <w:r w:rsidR="008A54A0">
        <w:rPr>
          <w:rFonts w:ascii="Times New Roman" w:hAnsi="Times New Roman" w:cs="Times New Roman"/>
          <w:sz w:val="24"/>
          <w:szCs w:val="24"/>
        </w:rPr>
        <w:t>?  Churches might grow because they offer diverse communities a</w:t>
      </w:r>
      <w:r w:rsidR="00161631">
        <w:rPr>
          <w:rFonts w:ascii="Times New Roman" w:hAnsi="Times New Roman" w:cs="Times New Roman"/>
          <w:sz w:val="24"/>
          <w:szCs w:val="24"/>
        </w:rPr>
        <w:t>n</w:t>
      </w:r>
      <w:r w:rsidR="008A54A0">
        <w:rPr>
          <w:rFonts w:ascii="Times New Roman" w:hAnsi="Times New Roman" w:cs="Times New Roman"/>
          <w:sz w:val="24"/>
          <w:szCs w:val="24"/>
        </w:rPr>
        <w:t xml:space="preserve"> opportunity to come together and celebrate that diversity, or because they offer ethnic groups the chance to worship with others from a similar ethnic background. Is growth associated with diversity or selectivity?</w:t>
      </w:r>
    </w:p>
    <w:p w14:paraId="6C91E1F4" w14:textId="77777777" w:rsidR="00F5125B" w:rsidRDefault="000A7BC1" w:rsidP="008A54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t>
      </w:r>
      <w:r w:rsidR="00161631">
        <w:rPr>
          <w:rFonts w:ascii="Times New Roman" w:hAnsi="Times New Roman" w:cs="Times New Roman"/>
          <w:sz w:val="24"/>
          <w:szCs w:val="24"/>
        </w:rPr>
        <w:t>attempts to answer these sorts of questions by examining</w:t>
      </w:r>
      <w:r>
        <w:rPr>
          <w:rFonts w:ascii="Times New Roman" w:hAnsi="Times New Roman" w:cs="Times New Roman"/>
          <w:sz w:val="24"/>
          <w:szCs w:val="24"/>
        </w:rPr>
        <w:t xml:space="preserve"> 332 churches in the diocese </w:t>
      </w:r>
      <w:r w:rsidR="00161631">
        <w:rPr>
          <w:rFonts w:ascii="Times New Roman" w:hAnsi="Times New Roman" w:cs="Times New Roman"/>
          <w:sz w:val="24"/>
          <w:szCs w:val="24"/>
        </w:rPr>
        <w:t xml:space="preserve">which took part in the survey and for which there was a measure of growth over the first decade of this century. </w:t>
      </w:r>
      <w:r w:rsidR="008A54A0">
        <w:rPr>
          <w:rFonts w:ascii="Times New Roman" w:hAnsi="Times New Roman" w:cs="Times New Roman"/>
          <w:sz w:val="24"/>
          <w:szCs w:val="24"/>
        </w:rPr>
        <w:t>Data relating to churches (rather than individual worshippers) was available partly from diocesan data (for example, records of usual Sunday attendance or numbers on the electoral role), partly from aggregating answers to congregational questionnaires (for example</w:t>
      </w:r>
      <w:r w:rsidR="001F368B">
        <w:rPr>
          <w:rFonts w:ascii="Times New Roman" w:hAnsi="Times New Roman" w:cs="Times New Roman"/>
          <w:sz w:val="24"/>
          <w:szCs w:val="24"/>
        </w:rPr>
        <w:t>,</w:t>
      </w:r>
      <w:r w:rsidR="008A54A0">
        <w:rPr>
          <w:rFonts w:ascii="Times New Roman" w:hAnsi="Times New Roman" w:cs="Times New Roman"/>
          <w:sz w:val="24"/>
          <w:szCs w:val="24"/>
        </w:rPr>
        <w:t xml:space="preserve"> the average age or ethnic profile of the congregation), and partly from geographical data</w:t>
      </w:r>
      <w:r w:rsidR="00AD64BF">
        <w:rPr>
          <w:rFonts w:ascii="Times New Roman" w:hAnsi="Times New Roman" w:cs="Times New Roman"/>
          <w:sz w:val="24"/>
          <w:szCs w:val="24"/>
        </w:rPr>
        <w:t xml:space="preserve"> related to the church location</w:t>
      </w:r>
      <w:r w:rsidR="008A54A0">
        <w:rPr>
          <w:rFonts w:ascii="Times New Roman" w:hAnsi="Times New Roman" w:cs="Times New Roman"/>
          <w:sz w:val="24"/>
          <w:szCs w:val="24"/>
        </w:rPr>
        <w:t xml:space="preserve"> (for example</w:t>
      </w:r>
      <w:r w:rsidR="00161631">
        <w:rPr>
          <w:rFonts w:ascii="Times New Roman" w:hAnsi="Times New Roman" w:cs="Times New Roman"/>
          <w:sz w:val="24"/>
          <w:szCs w:val="24"/>
        </w:rPr>
        <w:t>, which deanery it belonged to or data from the National Census</w:t>
      </w:r>
      <w:r w:rsidR="00AD64BF">
        <w:rPr>
          <w:rFonts w:ascii="Times New Roman" w:hAnsi="Times New Roman" w:cs="Times New Roman"/>
          <w:sz w:val="24"/>
          <w:szCs w:val="24"/>
        </w:rPr>
        <w:t>). Toget</w:t>
      </w:r>
      <w:r w:rsidR="00161631">
        <w:rPr>
          <w:rFonts w:ascii="Times New Roman" w:hAnsi="Times New Roman" w:cs="Times New Roman"/>
          <w:sz w:val="24"/>
          <w:szCs w:val="24"/>
        </w:rPr>
        <w:t xml:space="preserve">her, these data allow a number </w:t>
      </w:r>
      <w:r w:rsidR="00AD64BF">
        <w:rPr>
          <w:rFonts w:ascii="Times New Roman" w:hAnsi="Times New Roman" w:cs="Times New Roman"/>
          <w:sz w:val="24"/>
          <w:szCs w:val="24"/>
        </w:rPr>
        <w:t xml:space="preserve">of ideas about </w:t>
      </w:r>
      <w:r w:rsidR="00161631">
        <w:rPr>
          <w:rFonts w:ascii="Times New Roman" w:hAnsi="Times New Roman" w:cs="Times New Roman"/>
          <w:sz w:val="24"/>
          <w:szCs w:val="24"/>
        </w:rPr>
        <w:t xml:space="preserve">what factors might promote </w:t>
      </w:r>
      <w:r w:rsidR="00AD64BF">
        <w:rPr>
          <w:rFonts w:ascii="Times New Roman" w:hAnsi="Times New Roman" w:cs="Times New Roman"/>
          <w:sz w:val="24"/>
          <w:szCs w:val="24"/>
        </w:rPr>
        <w:t>church growth to be tested.</w:t>
      </w:r>
    </w:p>
    <w:p w14:paraId="33963E69" w14:textId="77777777" w:rsidR="00F5125B" w:rsidRPr="001F368B" w:rsidRDefault="001C5709" w:rsidP="003622DB">
      <w:pPr>
        <w:spacing w:after="0" w:line="480" w:lineRule="auto"/>
        <w:rPr>
          <w:rFonts w:ascii="Times New Roman" w:hAnsi="Times New Roman" w:cs="Times New Roman"/>
          <w:b/>
          <w:sz w:val="24"/>
          <w:szCs w:val="24"/>
        </w:rPr>
      </w:pPr>
      <w:r w:rsidRPr="001F368B">
        <w:rPr>
          <w:rFonts w:ascii="Times New Roman" w:hAnsi="Times New Roman" w:cs="Times New Roman"/>
          <w:b/>
          <w:sz w:val="24"/>
          <w:szCs w:val="24"/>
        </w:rPr>
        <w:t>The Homogenous Unit Principle</w:t>
      </w:r>
      <w:r w:rsidR="00A33BD4" w:rsidRPr="001F368B">
        <w:rPr>
          <w:rFonts w:ascii="Times New Roman" w:hAnsi="Times New Roman" w:cs="Times New Roman"/>
          <w:b/>
          <w:sz w:val="24"/>
          <w:szCs w:val="24"/>
        </w:rPr>
        <w:t xml:space="preserve"> (HUP)</w:t>
      </w:r>
      <w:r w:rsidRPr="001F368B">
        <w:rPr>
          <w:rFonts w:ascii="Times New Roman" w:hAnsi="Times New Roman" w:cs="Times New Roman"/>
          <w:b/>
          <w:sz w:val="24"/>
          <w:szCs w:val="24"/>
        </w:rPr>
        <w:t xml:space="preserve"> and church growth</w:t>
      </w:r>
    </w:p>
    <w:p w14:paraId="25E503DC" w14:textId="77777777" w:rsidR="000E3A26" w:rsidRDefault="001C5709" w:rsidP="001F36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Donald McGavran developed his ideas about church growth partly as a result of working as a Christian missionary in Asia.  In that</w:t>
      </w:r>
      <w:r w:rsidR="000E3A26">
        <w:rPr>
          <w:rFonts w:ascii="Times New Roman" w:hAnsi="Times New Roman" w:cs="Times New Roman"/>
          <w:sz w:val="24"/>
          <w:szCs w:val="24"/>
        </w:rPr>
        <w:t xml:space="preserve"> context, conversion usually involved Hindus (or those of other non-Christian backgrounds) taking on a new faith that also involved considerable social dislocation. Converts were often rejected by their families or communities, and these social (rather than purely religious) obstacles were a key limit to the success of missionary endeavours. The obvious corollary was the idea that </w:t>
      </w:r>
      <w:r w:rsidR="000E3A26" w:rsidRPr="000E3A26">
        <w:rPr>
          <w:rFonts w:ascii="Times New Roman" w:hAnsi="Times New Roman" w:cs="Times New Roman"/>
          <w:sz w:val="24"/>
          <w:szCs w:val="24"/>
        </w:rPr>
        <w:t xml:space="preserve">church-growth requires minimal social dislocation: </w:t>
      </w:r>
      <w:r w:rsidR="001F368B">
        <w:rPr>
          <w:rFonts w:ascii="Times New Roman" w:hAnsi="Times New Roman" w:cs="Times New Roman"/>
          <w:sz w:val="24"/>
          <w:szCs w:val="24"/>
        </w:rPr>
        <w:t>‘</w:t>
      </w:r>
      <w:r w:rsidR="000E3A26" w:rsidRPr="000E3A26">
        <w:rPr>
          <w:rFonts w:ascii="Times New Roman" w:hAnsi="Times New Roman" w:cs="Times New Roman"/>
          <w:sz w:val="24"/>
          <w:szCs w:val="24"/>
        </w:rPr>
        <w:t>[People] like to become Christians without crossing racial, linguistic or class barriers</w:t>
      </w:r>
      <w:r w:rsidR="001F368B">
        <w:rPr>
          <w:rFonts w:ascii="Times New Roman" w:hAnsi="Times New Roman" w:cs="Times New Roman"/>
          <w:sz w:val="24"/>
          <w:szCs w:val="24"/>
        </w:rPr>
        <w:t>’</w:t>
      </w:r>
      <w:r w:rsidR="000E3A26" w:rsidRPr="000E3A26">
        <w:rPr>
          <w:rFonts w:ascii="Times New Roman" w:hAnsi="Times New Roman" w:cs="Times New Roman"/>
          <w:sz w:val="24"/>
          <w:szCs w:val="24"/>
        </w:rPr>
        <w:t xml:space="preserve"> </w:t>
      </w:r>
      <w:r w:rsidR="000E3A26">
        <w:rPr>
          <w:rFonts w:ascii="Times New Roman" w:hAnsi="Times New Roman" w:cs="Times New Roman"/>
          <w:sz w:val="24"/>
          <w:szCs w:val="24"/>
        </w:rPr>
        <w:fldChar w:fldCharType="begin"/>
      </w:r>
      <w:r w:rsidR="000E3A26">
        <w:rPr>
          <w:rFonts w:ascii="Times New Roman" w:hAnsi="Times New Roman" w:cs="Times New Roman"/>
          <w:sz w:val="24"/>
          <w:szCs w:val="24"/>
        </w:rPr>
        <w:instrText xml:space="preserve"> ADDIN EN.CITE &lt;EndNote&gt;&lt;Cite&gt;&lt;Author&gt;McGavran&lt;/Author&gt;&lt;Year&gt;1970&lt;/Year&gt;&lt;RecNum&gt;5042&lt;/RecNum&gt;&lt;Pages&gt;198&lt;/Pages&gt;&lt;DisplayText&gt;(McGavran 1970: 198)&lt;/DisplayText&gt;&lt;record&gt;&lt;rec-number&gt;5042&lt;/rec-number&gt;&lt;foreign-keys&gt;&lt;key app="EN" db-id="dz2asxs2ozta2me0007pzzx4ffzxzrre5tz0"&gt;5042&lt;/key&gt;&lt;/foreign-keys&gt;&lt;ref-type name="Book"&gt;6&lt;/ref-type&gt;&lt;contributors&gt;&lt;authors&gt;&lt;author&gt;Donald A. McGavran&lt;/author&gt;&lt;/authors&gt;&lt;/contributors&gt;&lt;titles&gt;&lt;title&gt;Understanding church growth&lt;/title&gt;&lt;/titles&gt;&lt;dates&gt;&lt;year&gt;1970&lt;/year&gt;&lt;/dates&gt;&lt;pub-location&gt;Grand Rapids, Mich.&lt;/pub-location&gt;&lt;publisher&gt;Eerdmans&lt;/publisher&gt;&lt;urls&gt;&lt;/urls&gt;&lt;/record&gt;&lt;/Cite&gt;&lt;/EndNote&gt;</w:instrText>
      </w:r>
      <w:r w:rsidR="000E3A26">
        <w:rPr>
          <w:rFonts w:ascii="Times New Roman" w:hAnsi="Times New Roman" w:cs="Times New Roman"/>
          <w:sz w:val="24"/>
          <w:szCs w:val="24"/>
        </w:rPr>
        <w:fldChar w:fldCharType="separate"/>
      </w:r>
      <w:r w:rsidR="000E3A26">
        <w:rPr>
          <w:rFonts w:ascii="Times New Roman" w:hAnsi="Times New Roman" w:cs="Times New Roman"/>
          <w:noProof/>
          <w:sz w:val="24"/>
          <w:szCs w:val="24"/>
        </w:rPr>
        <w:t>(</w:t>
      </w:r>
      <w:hyperlink w:anchor="_ENREF_15" w:tooltip="McGavran, 1970 #5042" w:history="1">
        <w:r w:rsidR="0054049E">
          <w:rPr>
            <w:rFonts w:ascii="Times New Roman" w:hAnsi="Times New Roman" w:cs="Times New Roman"/>
            <w:noProof/>
            <w:sz w:val="24"/>
            <w:szCs w:val="24"/>
          </w:rPr>
          <w:t>McGavran</w:t>
        </w:r>
        <w:r w:rsidR="001F368B">
          <w:rPr>
            <w:rFonts w:ascii="Times New Roman" w:hAnsi="Times New Roman" w:cs="Times New Roman"/>
            <w:noProof/>
            <w:sz w:val="24"/>
            <w:szCs w:val="24"/>
          </w:rPr>
          <w:t>,</w:t>
        </w:r>
        <w:r w:rsidR="0054049E">
          <w:rPr>
            <w:rFonts w:ascii="Times New Roman" w:hAnsi="Times New Roman" w:cs="Times New Roman"/>
            <w:noProof/>
            <w:sz w:val="24"/>
            <w:szCs w:val="24"/>
          </w:rPr>
          <w:t xml:space="preserve"> 1970</w:t>
        </w:r>
        <w:r w:rsidR="001F368B">
          <w:rPr>
            <w:rFonts w:ascii="Times New Roman" w:hAnsi="Times New Roman" w:cs="Times New Roman"/>
            <w:noProof/>
            <w:sz w:val="24"/>
            <w:szCs w:val="24"/>
          </w:rPr>
          <w:t>, p.</w:t>
        </w:r>
        <w:r w:rsidR="0054049E">
          <w:rPr>
            <w:rFonts w:ascii="Times New Roman" w:hAnsi="Times New Roman" w:cs="Times New Roman"/>
            <w:noProof/>
            <w:sz w:val="24"/>
            <w:szCs w:val="24"/>
          </w:rPr>
          <w:t xml:space="preserve"> 198</w:t>
        </w:r>
      </w:hyperlink>
      <w:r w:rsidR="000E3A26">
        <w:rPr>
          <w:rFonts w:ascii="Times New Roman" w:hAnsi="Times New Roman" w:cs="Times New Roman"/>
          <w:noProof/>
          <w:sz w:val="24"/>
          <w:szCs w:val="24"/>
        </w:rPr>
        <w:t>)</w:t>
      </w:r>
      <w:r w:rsidR="000E3A26">
        <w:rPr>
          <w:rFonts w:ascii="Times New Roman" w:hAnsi="Times New Roman" w:cs="Times New Roman"/>
          <w:sz w:val="24"/>
          <w:szCs w:val="24"/>
        </w:rPr>
        <w:fldChar w:fldCharType="end"/>
      </w:r>
      <w:r w:rsidR="000E3A26">
        <w:rPr>
          <w:rFonts w:ascii="Times New Roman" w:hAnsi="Times New Roman" w:cs="Times New Roman"/>
          <w:sz w:val="24"/>
          <w:szCs w:val="24"/>
        </w:rPr>
        <w:t>. This idea w</w:t>
      </w:r>
      <w:r w:rsidR="00D02CCB">
        <w:rPr>
          <w:rFonts w:ascii="Times New Roman" w:hAnsi="Times New Roman" w:cs="Times New Roman"/>
          <w:sz w:val="24"/>
          <w:szCs w:val="24"/>
        </w:rPr>
        <w:t>as for a while adopted as a tene</w:t>
      </w:r>
      <w:r w:rsidR="000E3A26">
        <w:rPr>
          <w:rFonts w:ascii="Times New Roman" w:hAnsi="Times New Roman" w:cs="Times New Roman"/>
          <w:sz w:val="24"/>
          <w:szCs w:val="24"/>
        </w:rPr>
        <w:t xml:space="preserve">t of </w:t>
      </w:r>
      <w:r w:rsidR="00D02CCB">
        <w:rPr>
          <w:rFonts w:ascii="Times New Roman" w:hAnsi="Times New Roman" w:cs="Times New Roman"/>
          <w:sz w:val="24"/>
          <w:szCs w:val="24"/>
        </w:rPr>
        <w:t xml:space="preserve">the </w:t>
      </w:r>
      <w:r w:rsidR="000E3A26">
        <w:rPr>
          <w:rFonts w:ascii="Times New Roman" w:hAnsi="Times New Roman" w:cs="Times New Roman"/>
          <w:sz w:val="24"/>
          <w:szCs w:val="24"/>
        </w:rPr>
        <w:t xml:space="preserve">Church Growth Movement associated with Fuller Seminary </w:t>
      </w:r>
      <w:r w:rsidR="000E3A26">
        <w:rPr>
          <w:rFonts w:ascii="Times New Roman" w:hAnsi="Times New Roman" w:cs="Times New Roman"/>
          <w:sz w:val="24"/>
          <w:szCs w:val="24"/>
        </w:rPr>
        <w:fldChar w:fldCharType="begin"/>
      </w:r>
      <w:r w:rsidR="000E3A26">
        <w:rPr>
          <w:rFonts w:ascii="Times New Roman" w:hAnsi="Times New Roman" w:cs="Times New Roman"/>
          <w:sz w:val="24"/>
          <w:szCs w:val="24"/>
        </w:rPr>
        <w:instrText xml:space="preserve"> ADDIN EN.CITE &lt;EndNote&gt;&lt;Cite&gt;&lt;Author&gt;Glasser&lt;/Author&gt;&lt;Year&gt;1986&lt;/Year&gt;&lt;RecNum&gt;5232&lt;/RecNum&gt;&lt;DisplayText&gt;(Glasser 1986)&lt;/DisplayText&gt;&lt;record&gt;&lt;rec-number&gt;5232&lt;/rec-number&gt;&lt;foreign-keys&gt;&lt;key app="EN" db-id="dz2asxs2ozta2me0007pzzx4ffzxzrre5tz0"&gt;5232&lt;/key&gt;&lt;/foreign-keys&gt;&lt;ref-type name="Journal Article"&gt;17&lt;/ref-type&gt;&lt;contributors&gt;&lt;authors&gt;&lt;author&gt;Glasser, Arthur F.&lt;/author&gt;&lt;/authors&gt;&lt;/contributors&gt;&lt;titles&gt;&lt;title&gt;Church growth at Fuller&lt;/title&gt;&lt;secondary-title&gt;Missiology&lt;/secondary-title&gt;&lt;/titles&gt;&lt;pages&gt;401-420&lt;/pages&gt;&lt;volume&gt;14&lt;/volume&gt;&lt;number&gt;4&lt;/number&gt;&lt;keywords&gt;&lt;keyword&gt;McGavran, Donald Anderson, 1897-1990&lt;/keyword&gt;&lt;keyword&gt;Fuller Theological Seminary&lt;/keyword&gt;&lt;keyword&gt;Church growth&lt;/keyword&gt;&lt;keyword&gt;Missions--Theory--History&lt;/keyword&gt;&lt;keyword&gt;Peer reviewed&lt;/keyword&gt;&lt;/keywords&gt;&lt;dates&gt;&lt;year&gt;1986&lt;/year&gt;&lt;/dates&gt;&lt;isbn&gt;0091-8296&lt;/isbn&gt;&lt;accession-num&gt;ATLA0000970574&lt;/accession-num&gt;&lt;urls&gt;&lt;related-urls&gt;&lt;url&gt;http://search.ebscohost.com/login.aspx?direct=true&amp;amp;db=rfh&amp;amp;AN=ATLA0000970574&amp;amp;site=ehost-live&amp;amp;scope=site&lt;/url&gt;&lt;/related-urls&gt;&lt;/urls&gt;&lt;remote-database-name&gt;rfh&lt;/remote-database-name&gt;&lt;remote-database-provider&gt;EBSCOhost&lt;/remote-database-provider&gt;&lt;/record&gt;&lt;/Cite&gt;&lt;/EndNote&gt;</w:instrText>
      </w:r>
      <w:r w:rsidR="000E3A26">
        <w:rPr>
          <w:rFonts w:ascii="Times New Roman" w:hAnsi="Times New Roman" w:cs="Times New Roman"/>
          <w:sz w:val="24"/>
          <w:szCs w:val="24"/>
        </w:rPr>
        <w:fldChar w:fldCharType="separate"/>
      </w:r>
      <w:r w:rsidR="000E3A26">
        <w:rPr>
          <w:rFonts w:ascii="Times New Roman" w:hAnsi="Times New Roman" w:cs="Times New Roman"/>
          <w:noProof/>
          <w:sz w:val="24"/>
          <w:szCs w:val="24"/>
        </w:rPr>
        <w:t>(</w:t>
      </w:r>
      <w:hyperlink w:anchor="_ENREF_10" w:tooltip="Glasser, 1986 #5232" w:history="1">
        <w:r w:rsidR="0054049E">
          <w:rPr>
            <w:rFonts w:ascii="Times New Roman" w:hAnsi="Times New Roman" w:cs="Times New Roman"/>
            <w:noProof/>
            <w:sz w:val="24"/>
            <w:szCs w:val="24"/>
          </w:rPr>
          <w:t>Glasser</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1986</w:t>
        </w:r>
      </w:hyperlink>
      <w:r w:rsidR="000E3A26">
        <w:rPr>
          <w:rFonts w:ascii="Times New Roman" w:hAnsi="Times New Roman" w:cs="Times New Roman"/>
          <w:noProof/>
          <w:sz w:val="24"/>
          <w:szCs w:val="24"/>
        </w:rPr>
        <w:t>)</w:t>
      </w:r>
      <w:r w:rsidR="000E3A26">
        <w:rPr>
          <w:rFonts w:ascii="Times New Roman" w:hAnsi="Times New Roman" w:cs="Times New Roman"/>
          <w:sz w:val="24"/>
          <w:szCs w:val="24"/>
        </w:rPr>
        <w:fldChar w:fldCharType="end"/>
      </w:r>
      <w:r w:rsidR="000E3A26">
        <w:rPr>
          <w:rFonts w:ascii="Times New Roman" w:hAnsi="Times New Roman" w:cs="Times New Roman"/>
          <w:sz w:val="24"/>
          <w:szCs w:val="24"/>
        </w:rPr>
        <w:t>, but the translation of the principle into North America was not without its problems. It was adopted as a ‘marketing strategy’ or temporary expedient that may</w:t>
      </w:r>
      <w:r w:rsidR="003A2298">
        <w:rPr>
          <w:rFonts w:ascii="Times New Roman" w:hAnsi="Times New Roman" w:cs="Times New Roman"/>
          <w:sz w:val="24"/>
          <w:szCs w:val="24"/>
        </w:rPr>
        <w:t xml:space="preserve"> have </w:t>
      </w:r>
      <w:r w:rsidR="000E3A26">
        <w:rPr>
          <w:rFonts w:ascii="Times New Roman" w:hAnsi="Times New Roman" w:cs="Times New Roman"/>
          <w:sz w:val="24"/>
          <w:szCs w:val="24"/>
        </w:rPr>
        <w:t xml:space="preserve">allowed churches to focus on attracting particular sorts of people who fitted a particular ethnic or social profile. </w:t>
      </w:r>
      <w:r w:rsidR="00A33BD4">
        <w:rPr>
          <w:rFonts w:ascii="Times New Roman" w:hAnsi="Times New Roman" w:cs="Times New Roman"/>
          <w:sz w:val="24"/>
          <w:szCs w:val="24"/>
        </w:rPr>
        <w:t xml:space="preserve">As such, it raised serious questions about its appropriateness for faith-based organisations that  perhaps should be in the business of breaking down racial and social barriers, rather than exploiting them </w:t>
      </w:r>
      <w:r w:rsidR="00A33BD4">
        <w:rPr>
          <w:rFonts w:ascii="Times New Roman" w:hAnsi="Times New Roman" w:cs="Times New Roman"/>
          <w:sz w:val="24"/>
          <w:szCs w:val="24"/>
        </w:rPr>
        <w:fldChar w:fldCharType="begin"/>
      </w:r>
      <w:r w:rsidR="00A33BD4">
        <w:rPr>
          <w:rFonts w:ascii="Times New Roman" w:hAnsi="Times New Roman" w:cs="Times New Roman"/>
          <w:sz w:val="24"/>
          <w:szCs w:val="24"/>
        </w:rPr>
        <w:instrText xml:space="preserve"> ADDIN EN.CITE &lt;EndNote&gt;&lt;Cite&gt;&lt;Author&gt;McClintock&lt;/Author&gt;&lt;Year&gt;1988&lt;/Year&gt;&lt;RecNum&gt;5025&lt;/RecNum&gt;&lt;DisplayText&gt;(McClintock 1988)&lt;/DisplayText&gt;&lt;record&gt;&lt;rec-number&gt;5025&lt;/rec-number&gt;&lt;foreign-keys&gt;&lt;key app="EN" db-id="dz2asxs2ozta2me0007pzzx4ffzxzrre5tz0"&gt;5025&lt;/key&gt;&lt;/foreign-keys&gt;&lt;ref-type name="Journal Article"&gt;17&lt;/ref-type&gt;&lt;contributors&gt;&lt;authors&gt;&lt;author&gt;McClintock, Wayne&lt;/author&gt;&lt;/authors&gt;&lt;/contributors&gt;&lt;titles&gt;&lt;title&gt;Sociological critique of the homogeneous unit principle&lt;/title&gt;&lt;secondary-title&gt;International Review of Mission&lt;/secondary-title&gt;&lt;/titles&gt;&lt;pages&gt;107-116&lt;/pages&gt;&lt;volume&gt;77&lt;/volume&gt;&lt;number&gt;305&lt;/number&gt;&lt;keywords&gt;&lt;keyword&gt;McGavran, Donald Anderson, 1897-1990&lt;/keyword&gt;&lt;keyword&gt;Church growth&lt;/keyword&gt;&lt;keyword&gt;Missions--Social aspects&lt;/keyword&gt;&lt;keyword&gt;Missions--Theory&lt;/keyword&gt;&lt;keyword&gt;Sociology and religion&lt;/keyword&gt;&lt;/keywords&gt;&lt;dates&gt;&lt;year&gt;1988&lt;/year&gt;&lt;/dates&gt;&lt;isbn&gt;0020-8582&lt;/isbn&gt;&lt;accession-num&gt;ATLA0000799236&lt;/accession-num&gt;&lt;urls&gt;&lt;related-urls&gt;&lt;url&gt;http://search.ebscohost.com/login.aspx?direct=true&amp;amp;db=rfh&amp;amp;AN=ATLA0000799236&amp;amp;site=ehost-live&amp;amp;scope=site&lt;/url&gt;&lt;/related-urls&gt;&lt;/urls&gt;&lt;remote-database-name&gt;rfh&lt;/remote-database-name&gt;&lt;remote-database-provider&gt;EBSCOhost&lt;/remote-database-provider&gt;&lt;/record&gt;&lt;/Cite&gt;&lt;/EndNote&gt;</w:instrText>
      </w:r>
      <w:r w:rsidR="00A33BD4">
        <w:rPr>
          <w:rFonts w:ascii="Times New Roman" w:hAnsi="Times New Roman" w:cs="Times New Roman"/>
          <w:sz w:val="24"/>
          <w:szCs w:val="24"/>
        </w:rPr>
        <w:fldChar w:fldCharType="separate"/>
      </w:r>
      <w:r w:rsidR="00A33BD4">
        <w:rPr>
          <w:rFonts w:ascii="Times New Roman" w:hAnsi="Times New Roman" w:cs="Times New Roman"/>
          <w:noProof/>
          <w:sz w:val="24"/>
          <w:szCs w:val="24"/>
        </w:rPr>
        <w:t>(</w:t>
      </w:r>
      <w:hyperlink w:anchor="_ENREF_14" w:tooltip="McClintock, 1988 #5025" w:history="1">
        <w:r w:rsidR="0054049E">
          <w:rPr>
            <w:rFonts w:ascii="Times New Roman" w:hAnsi="Times New Roman" w:cs="Times New Roman"/>
            <w:noProof/>
            <w:sz w:val="24"/>
            <w:szCs w:val="24"/>
          </w:rPr>
          <w:t>McClintock</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1988</w:t>
        </w:r>
      </w:hyperlink>
      <w:r w:rsidR="00A33BD4">
        <w:rPr>
          <w:rFonts w:ascii="Times New Roman" w:hAnsi="Times New Roman" w:cs="Times New Roman"/>
          <w:noProof/>
          <w:sz w:val="24"/>
          <w:szCs w:val="24"/>
        </w:rPr>
        <w:t>)</w:t>
      </w:r>
      <w:r w:rsidR="00A33BD4">
        <w:rPr>
          <w:rFonts w:ascii="Times New Roman" w:hAnsi="Times New Roman" w:cs="Times New Roman"/>
          <w:sz w:val="24"/>
          <w:szCs w:val="24"/>
        </w:rPr>
        <w:fldChar w:fldCharType="end"/>
      </w:r>
      <w:r w:rsidR="00A33BD4">
        <w:rPr>
          <w:rFonts w:ascii="Times New Roman" w:hAnsi="Times New Roman" w:cs="Times New Roman"/>
          <w:sz w:val="24"/>
          <w:szCs w:val="24"/>
        </w:rPr>
        <w:t>.</w:t>
      </w:r>
    </w:p>
    <w:p w14:paraId="5DD1CDDC" w14:textId="77777777" w:rsidR="00A33BD4" w:rsidRDefault="00A33BD4" w:rsidP="003622D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the  passing of HUP from church growth circles, the issue of the diversity of congregations remains an important topic of study for sociologists of religion, especially in terms of racial diversity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&lt;EndNote&gt;&lt;Cite&gt;&lt;Author&gt;Emerson&lt;/Author&gt;&lt;Year&gt;2000&lt;/Year&gt;&lt;RecNum&gt;5041&lt;/RecNum&gt;&lt;DisplayText&gt;(Emerson and Smith 2000)&lt;/DisplayText&gt;&lt;record&gt;&lt;rec-number&gt;5041&lt;/rec-number&gt;&lt;foreign-keys&gt;&lt;key app="EN" db-id="dz2asxs2ozta2me0007pzzx4ffzxzrre5tz0"&gt;5041&lt;/key&gt;&lt;/foreign-keys&gt;&lt;ref-type name="Book"&gt;6&lt;/ref-type&gt;&lt;contributors&gt;&lt;authors&gt;&lt;author&gt;Michael O. Emerson&lt;/author&gt;&lt;author&gt;Christian Smith&lt;/author&gt;&lt;/authors&gt;&lt;/contributors&gt;&lt;titles&gt;&lt;title&gt;Divided by faith: Evangelical religion and the problem of race in America&lt;/title&gt;&lt;/titles&gt;&lt;keywords&gt;&lt;keyword&gt;homophily&lt;/keyword&gt;&lt;/keywords&gt;&lt;dates&gt;&lt;year&gt;2000&lt;/year&gt;&lt;/dates&gt;&lt;pub-location&gt;New York&lt;/pub-location&gt;&lt;publisher&gt;Oxford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Emerson, 2000 #5041" w:history="1">
        <w:r w:rsidR="0054049E">
          <w:rPr>
            <w:rFonts w:ascii="Times New Roman" w:hAnsi="Times New Roman" w:cs="Times New Roman"/>
            <w:noProof/>
            <w:sz w:val="24"/>
            <w:szCs w:val="24"/>
          </w:rPr>
          <w:t xml:space="preserve">Emerson </w:t>
        </w:r>
        <w:r w:rsidR="00DD4966">
          <w:rPr>
            <w:rFonts w:ascii="Times New Roman" w:hAnsi="Times New Roman" w:cs="Times New Roman"/>
            <w:noProof/>
            <w:sz w:val="24"/>
            <w:szCs w:val="24"/>
          </w:rPr>
          <w:t>&amp;</w:t>
        </w:r>
        <w:r w:rsidR="0054049E">
          <w:rPr>
            <w:rFonts w:ascii="Times New Roman" w:hAnsi="Times New Roman" w:cs="Times New Roman"/>
            <w:noProof/>
            <w:sz w:val="24"/>
            <w:szCs w:val="24"/>
          </w:rPr>
          <w:t xml:space="preserve"> Smith</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2000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idea that people tend to associate with those who are like them, ‘homophily’, has long been recognised </w:t>
      </w:r>
      <w:r>
        <w:rPr>
          <w:rFonts w:ascii="Times New Roman" w:hAnsi="Times New Roman" w:cs="Times New Roman"/>
          <w:sz w:val="24"/>
          <w:szCs w:val="24"/>
        </w:rPr>
        <w:fldChar w:fldCharType="begin">
          <w:fldData xml:space="preserve">PEVuZE5vdGU+PENpdGU+PEF1dGhvcj5NY1BoZXJzb248L0F1dGhvcj48WWVhcj4yMDAxPC9ZZWFy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PEVuZE5vdGU+PENpdGU+PEF1dGhvcj5NY1BoZXJzb248L0F1dGhvcj48WWVhcj4yMDAxPC9ZZWFy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3" w:tooltip="Lazersfeld, 1954 #5040" w:history="1">
        <w:r w:rsidR="0054049E">
          <w:rPr>
            <w:rFonts w:ascii="Times New Roman" w:hAnsi="Times New Roman" w:cs="Times New Roman"/>
            <w:noProof/>
            <w:sz w:val="24"/>
            <w:szCs w:val="24"/>
          </w:rPr>
          <w:t xml:space="preserve">Lazersfeld </w:t>
        </w:r>
        <w:r w:rsidR="00DD4966">
          <w:rPr>
            <w:rFonts w:ascii="Times New Roman" w:hAnsi="Times New Roman" w:cs="Times New Roman"/>
            <w:noProof/>
            <w:sz w:val="24"/>
            <w:szCs w:val="24"/>
          </w:rPr>
          <w:t>&amp;</w:t>
        </w:r>
        <w:r w:rsidR="0054049E">
          <w:rPr>
            <w:rFonts w:ascii="Times New Roman" w:hAnsi="Times New Roman" w:cs="Times New Roman"/>
            <w:noProof/>
            <w:sz w:val="24"/>
            <w:szCs w:val="24"/>
          </w:rPr>
          <w:t xml:space="preserve"> Merton</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1954</w:t>
        </w:r>
      </w:hyperlink>
      <w:r>
        <w:rPr>
          <w:rFonts w:ascii="Times New Roman" w:hAnsi="Times New Roman" w:cs="Times New Roman"/>
          <w:noProof/>
          <w:sz w:val="24"/>
          <w:szCs w:val="24"/>
        </w:rPr>
        <w:t xml:space="preserve">; </w:t>
      </w:r>
      <w:hyperlink w:anchor="_ENREF_16" w:tooltip="McPherson, 2001 #5027" w:history="1">
        <w:r w:rsidR="0054049E">
          <w:rPr>
            <w:rFonts w:ascii="Times New Roman" w:hAnsi="Times New Roman" w:cs="Times New Roman"/>
            <w:noProof/>
            <w:sz w:val="24"/>
            <w:szCs w:val="24"/>
          </w:rPr>
          <w:t>McPherson</w:t>
        </w:r>
        <w:r w:rsidR="00DD4966">
          <w:rPr>
            <w:rFonts w:ascii="Times New Roman" w:hAnsi="Times New Roman" w:cs="Times New Roman"/>
            <w:noProof/>
            <w:sz w:val="24"/>
            <w:szCs w:val="24"/>
          </w:rPr>
          <w:t>, Smith-Lovin, &amp; Cook,</w:t>
        </w:r>
        <w:r w:rsidR="0054049E">
          <w:rPr>
            <w:rFonts w:ascii="Times New Roman" w:hAnsi="Times New Roman" w:cs="Times New Roman"/>
            <w:noProof/>
            <w:sz w:val="24"/>
            <w:szCs w:val="24"/>
          </w:rPr>
          <w:t xml:space="preserve">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this can create pressures on minority groups in congregations. Studies in the United States have shown racial minorities tend to exit congregations sooner than those in the majority group, especially </w:t>
      </w:r>
      <w:r w:rsidR="003A2917">
        <w:rPr>
          <w:rFonts w:ascii="Times New Roman" w:hAnsi="Times New Roman" w:cs="Times New Roman"/>
          <w:sz w:val="24"/>
          <w:szCs w:val="24"/>
        </w:rPr>
        <w:t xml:space="preserve">if </w:t>
      </w:r>
      <w:r>
        <w:rPr>
          <w:rFonts w:ascii="Times New Roman" w:hAnsi="Times New Roman" w:cs="Times New Roman"/>
          <w:sz w:val="24"/>
          <w:szCs w:val="24"/>
        </w:rPr>
        <w:t xml:space="preserve">the majority is large compared with the minority </w:t>
      </w:r>
      <w:r w:rsidR="00854C7C">
        <w:rPr>
          <w:rFonts w:ascii="Times New Roman" w:hAnsi="Times New Roman" w:cs="Times New Roman"/>
          <w:sz w:val="24"/>
          <w:szCs w:val="24"/>
        </w:rPr>
        <w:fldChar w:fldCharType="begin"/>
      </w:r>
      <w:r w:rsidR="00854C7C">
        <w:rPr>
          <w:rFonts w:ascii="Times New Roman" w:hAnsi="Times New Roman" w:cs="Times New Roman"/>
          <w:sz w:val="24"/>
          <w:szCs w:val="24"/>
        </w:rPr>
        <w:instrText xml:space="preserve"> ADDIN EN.CITE &lt;EndNote&gt;&lt;Cite&gt;&lt;Author&gt;Scheitle&lt;/Author&gt;&lt;Year&gt;2010&lt;/Year&gt;&lt;RecNum&gt;5028&lt;/RecNum&gt;&lt;DisplayText&gt;(Scheitle and Dougherty 2010)&lt;/DisplayText&gt;&lt;record&gt;&lt;rec-number&gt;5028&lt;/rec-number&gt;&lt;foreign-keys&gt;&lt;key app="EN" db-id="dz2asxs2ozta2me0007pzzx4ffzxzrre5tz0"&gt;5028&lt;/key&gt;&lt;/foreign-keys&gt;&lt;ref-type name="Journal Article"&gt;17&lt;/ref-type&gt;&lt;contributors&gt;&lt;authors&gt;&lt;author&gt;Scheitle, Christopher P.&lt;/author&gt;&lt;author&gt;Dougherty, Kevin D.&lt;/author&gt;&lt;/authors&gt;&lt;/contributors&gt;&lt;titles&gt;&lt;title&gt;Race, diversity, and membership duration in religious congregations&lt;/title&gt;&lt;secondary-title&gt;Sociological Inquiry&lt;/secondary-title&gt;&lt;/titles&gt;&lt;pages&gt;405-423&lt;/pages&gt;&lt;volume&gt;80&lt;/volume&gt;&lt;number&gt;3&lt;/number&gt;&lt;keywords&gt;&lt;keyword&gt;HOMOGENEITY&lt;/keyword&gt;&lt;keyword&gt;RELIGIOUS gatherings&lt;/keyword&gt;&lt;keyword&gt;CHURCH membership&lt;/keyword&gt;&lt;keyword&gt;CULTURAL pluralism&lt;/keyword&gt;&lt;keyword&gt;MINORITIES&lt;/keyword&gt;&lt;keyword&gt;RELIGION&lt;/keyword&gt;&lt;keyword&gt;ORGANIZATIONAL ecology&lt;/keyword&gt;&lt;keyword&gt;UNITED States -- Social conditions&lt;/keyword&gt;&lt;keyword&gt;UNITED States&lt;/keyword&gt;&lt;/keywords&gt;&lt;dates&gt;&lt;year&gt;2010&lt;/year&gt;&lt;/dates&gt;&lt;publisher&gt;Wiley-Blackwell&lt;/publisher&gt;&lt;isbn&gt;00380245&lt;/isbn&gt;&lt;accession-num&gt;52111980&lt;/accession-num&gt;&lt;work-type&gt;Article&lt;/work-type&gt;&lt;urls&gt;&lt;related-urls&gt;&lt;url&gt;http://ezproxy.yorksj.ac.uk/login?url=http://search.ebscohost.com/login.aspx?direct=true&amp;amp;db=sih&amp;amp;AN=52111980&amp;amp;site=eds-live&amp;amp;scope=site&lt;/url&gt;&lt;/related-urls&gt;&lt;/urls&gt;&lt;electronic-resource-num&gt;10.1111/j.1475-682X.2010.00340.x&lt;/electronic-resource-num&gt;&lt;remote-database-name&gt;sih&lt;/remote-database-name&gt;&lt;remote-database-provider&gt;EBSCOhost&lt;/remote-database-provider&gt;&lt;/record&gt;&lt;/Cite&gt;&lt;/EndNote&gt;</w:instrText>
      </w:r>
      <w:r w:rsidR="00854C7C">
        <w:rPr>
          <w:rFonts w:ascii="Times New Roman" w:hAnsi="Times New Roman" w:cs="Times New Roman"/>
          <w:sz w:val="24"/>
          <w:szCs w:val="24"/>
        </w:rPr>
        <w:fldChar w:fldCharType="separate"/>
      </w:r>
      <w:r w:rsidR="00854C7C">
        <w:rPr>
          <w:rFonts w:ascii="Times New Roman" w:hAnsi="Times New Roman" w:cs="Times New Roman"/>
          <w:noProof/>
          <w:sz w:val="24"/>
          <w:szCs w:val="24"/>
        </w:rPr>
        <w:t>(</w:t>
      </w:r>
      <w:hyperlink w:anchor="_ENREF_19" w:tooltip="Scheitle, 2010 #5028" w:history="1">
        <w:r w:rsidR="0054049E">
          <w:rPr>
            <w:rFonts w:ascii="Times New Roman" w:hAnsi="Times New Roman" w:cs="Times New Roman"/>
            <w:noProof/>
            <w:sz w:val="24"/>
            <w:szCs w:val="24"/>
          </w:rPr>
          <w:t xml:space="preserve">Scheitle </w:t>
        </w:r>
        <w:r w:rsidR="00DD4966">
          <w:rPr>
            <w:rFonts w:ascii="Times New Roman" w:hAnsi="Times New Roman" w:cs="Times New Roman"/>
            <w:noProof/>
            <w:sz w:val="24"/>
            <w:szCs w:val="24"/>
          </w:rPr>
          <w:t>&amp;</w:t>
        </w:r>
        <w:r w:rsidR="0054049E">
          <w:rPr>
            <w:rFonts w:ascii="Times New Roman" w:hAnsi="Times New Roman" w:cs="Times New Roman"/>
            <w:noProof/>
            <w:sz w:val="24"/>
            <w:szCs w:val="24"/>
          </w:rPr>
          <w:t xml:space="preserve"> Dougherty</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2010</w:t>
        </w:r>
      </w:hyperlink>
      <w:r w:rsidR="00854C7C">
        <w:rPr>
          <w:rFonts w:ascii="Times New Roman" w:hAnsi="Times New Roman" w:cs="Times New Roman"/>
          <w:noProof/>
          <w:sz w:val="24"/>
          <w:szCs w:val="24"/>
        </w:rPr>
        <w:t>)</w:t>
      </w:r>
      <w:r w:rsidR="00854C7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91CDE">
        <w:rPr>
          <w:rFonts w:ascii="Times New Roman" w:hAnsi="Times New Roman" w:cs="Times New Roman"/>
          <w:sz w:val="24"/>
          <w:szCs w:val="24"/>
        </w:rPr>
        <w:t>In a situation such as inner London, where there is considerable diversity in the population, ethnic groups might find it easier to join churches where they will not be in a small minority. This might mean newcomers joining a congregation that is homogeneous and like them, or one where no single group dominates and no one feels like they are in the minority group. If growth is about new people joining a church (as it has tended to be in Southwark)</w:t>
      </w:r>
      <w:r w:rsidR="00163594">
        <w:rPr>
          <w:rFonts w:ascii="Times New Roman" w:hAnsi="Times New Roman" w:cs="Times New Roman"/>
          <w:sz w:val="24"/>
          <w:szCs w:val="24"/>
        </w:rPr>
        <w:t>,</w:t>
      </w:r>
      <w:r w:rsidR="00491CDE">
        <w:rPr>
          <w:rFonts w:ascii="Times New Roman" w:hAnsi="Times New Roman" w:cs="Times New Roman"/>
          <w:sz w:val="24"/>
          <w:szCs w:val="24"/>
        </w:rPr>
        <w:t xml:space="preserve"> then growth might be associated with either the dominance of a particular ethnic group, or the lack of any such dominance.</w:t>
      </w:r>
    </w:p>
    <w:p w14:paraId="54D360F0" w14:textId="77777777" w:rsidR="004A3E02" w:rsidRPr="00DD4966" w:rsidRDefault="004A3E02"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 xml:space="preserve">Eclecticism and church growth </w:t>
      </w:r>
      <w:r w:rsidR="002E6795" w:rsidRPr="00DD4966">
        <w:rPr>
          <w:rFonts w:ascii="Times New Roman" w:hAnsi="Times New Roman" w:cs="Times New Roman"/>
          <w:b/>
          <w:sz w:val="24"/>
          <w:szCs w:val="24"/>
        </w:rPr>
        <w:tab/>
      </w:r>
    </w:p>
    <w:p w14:paraId="4C3AC63B" w14:textId="77777777" w:rsidR="000E3A26" w:rsidRDefault="004A3E02"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factors related to the spectacular growth of some very large (‘mega’) churches, especially in the United States, has been their tendency to draw worshippers from a long distance away. People travel to be at a church, perhaps abandoning their local congregation in order to find one that is more suited to their tastes. </w:t>
      </w:r>
      <w:r w:rsidR="003A2298">
        <w:rPr>
          <w:rFonts w:ascii="Times New Roman" w:hAnsi="Times New Roman" w:cs="Times New Roman"/>
          <w:sz w:val="24"/>
          <w:szCs w:val="24"/>
        </w:rPr>
        <w:t>Eclectic</w:t>
      </w:r>
      <w:r>
        <w:rPr>
          <w:rFonts w:ascii="Times New Roman" w:hAnsi="Times New Roman" w:cs="Times New Roman"/>
          <w:sz w:val="24"/>
          <w:szCs w:val="24"/>
        </w:rPr>
        <w:t xml:space="preserve"> </w:t>
      </w:r>
      <w:r w:rsidR="003A2298">
        <w:rPr>
          <w:rFonts w:ascii="Times New Roman" w:hAnsi="Times New Roman" w:cs="Times New Roman"/>
          <w:sz w:val="24"/>
          <w:szCs w:val="24"/>
        </w:rPr>
        <w:t>churches</w:t>
      </w:r>
      <w:r>
        <w:rPr>
          <w:rFonts w:ascii="Times New Roman" w:hAnsi="Times New Roman" w:cs="Times New Roman"/>
          <w:sz w:val="24"/>
          <w:szCs w:val="24"/>
        </w:rPr>
        <w:t xml:space="preserve"> can sometimes be the fastest growing, but mainly through transfer growth rather than recruiting new worshippers. </w:t>
      </w:r>
      <w:r w:rsidR="003A2298">
        <w:rPr>
          <w:rFonts w:ascii="Times New Roman" w:hAnsi="Times New Roman" w:cs="Times New Roman"/>
          <w:sz w:val="24"/>
          <w:szCs w:val="24"/>
        </w:rPr>
        <w:t xml:space="preserve">In these circumstances, size itself can be a cause for growth because people are attracted to places that attract other people, and in a large church people can attend ‘anonymously’ without attracting what might be unwanted attention.  </w:t>
      </w:r>
      <w:r w:rsidR="002E6795">
        <w:rPr>
          <w:rFonts w:ascii="Times New Roman" w:hAnsi="Times New Roman" w:cs="Times New Roman"/>
          <w:sz w:val="24"/>
          <w:szCs w:val="24"/>
        </w:rPr>
        <w:t>Anglicans in England tend to be parish-orientated rather than selecting particular congregat</w:t>
      </w:r>
      <w:r w:rsidR="003A2917">
        <w:rPr>
          <w:rFonts w:ascii="Times New Roman" w:hAnsi="Times New Roman" w:cs="Times New Roman"/>
          <w:sz w:val="24"/>
          <w:szCs w:val="24"/>
        </w:rPr>
        <w:t>ions to join, though in cities such as</w:t>
      </w:r>
      <w:r w:rsidR="002E6795">
        <w:rPr>
          <w:rFonts w:ascii="Times New Roman" w:hAnsi="Times New Roman" w:cs="Times New Roman"/>
          <w:sz w:val="24"/>
          <w:szCs w:val="24"/>
        </w:rPr>
        <w:t xml:space="preserve"> London parish boundaries are opaque and not recognised by many people beyond diocesan administrators and local parish clergy.  Some congregations might </w:t>
      </w:r>
      <w:r>
        <w:rPr>
          <w:rFonts w:ascii="Times New Roman" w:hAnsi="Times New Roman" w:cs="Times New Roman"/>
          <w:sz w:val="24"/>
          <w:szCs w:val="24"/>
        </w:rPr>
        <w:t xml:space="preserve">be </w:t>
      </w:r>
      <w:r w:rsidR="002E6795">
        <w:rPr>
          <w:rFonts w:ascii="Times New Roman" w:hAnsi="Times New Roman" w:cs="Times New Roman"/>
          <w:sz w:val="24"/>
          <w:szCs w:val="24"/>
        </w:rPr>
        <w:t>eclectic, drawing on people who travel some distance to be there</w:t>
      </w:r>
      <w:r>
        <w:rPr>
          <w:rFonts w:ascii="Times New Roman" w:hAnsi="Times New Roman" w:cs="Times New Roman"/>
          <w:sz w:val="24"/>
          <w:szCs w:val="24"/>
        </w:rPr>
        <w:t>, whereas other</w:t>
      </w:r>
      <w:r w:rsidR="003A2298">
        <w:rPr>
          <w:rFonts w:ascii="Times New Roman" w:hAnsi="Times New Roman" w:cs="Times New Roman"/>
          <w:sz w:val="24"/>
          <w:szCs w:val="24"/>
        </w:rPr>
        <w:t>s</w:t>
      </w:r>
      <w:r>
        <w:rPr>
          <w:rFonts w:ascii="Times New Roman" w:hAnsi="Times New Roman" w:cs="Times New Roman"/>
          <w:sz w:val="24"/>
          <w:szCs w:val="24"/>
        </w:rPr>
        <w:t xml:space="preserve"> gather worshippers from their surroundings. Where ethnic profiles vary between parishes, we might expect some churches to reflect the surrounding level of diversity and some</w:t>
      </w:r>
      <w:r w:rsidR="00A96F8E">
        <w:rPr>
          <w:rFonts w:ascii="Times New Roman" w:hAnsi="Times New Roman" w:cs="Times New Roman"/>
          <w:sz w:val="24"/>
          <w:szCs w:val="24"/>
        </w:rPr>
        <w:t xml:space="preserve"> to have different profiles because they selectively recruit, either from within or beyond the parish.</w:t>
      </w:r>
      <w:r>
        <w:rPr>
          <w:rFonts w:ascii="Times New Roman" w:hAnsi="Times New Roman" w:cs="Times New Roman"/>
          <w:sz w:val="24"/>
          <w:szCs w:val="24"/>
        </w:rPr>
        <w:t xml:space="preserve"> Degree of eclecticism might be another factor that is related to church growth</w:t>
      </w:r>
      <w:r w:rsidR="00A96F8E">
        <w:rPr>
          <w:rFonts w:ascii="Times New Roman" w:hAnsi="Times New Roman" w:cs="Times New Roman"/>
          <w:sz w:val="24"/>
          <w:szCs w:val="24"/>
        </w:rPr>
        <w:t>, and this might be indicated by how far people travel to worship.</w:t>
      </w:r>
    </w:p>
    <w:p w14:paraId="05D3A69F" w14:textId="77777777" w:rsidR="00A96F8E" w:rsidRPr="00DD4966" w:rsidRDefault="00A96F8E"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Age profile and church growth</w:t>
      </w:r>
    </w:p>
    <w:p w14:paraId="23ABC56E" w14:textId="77777777" w:rsidR="003A2298" w:rsidRPr="003A2298" w:rsidRDefault="00BC702D"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widely held belief that the decline in church numbers nationally reflects the ageing profile of Church of England congregations: the </w:t>
      </w:r>
      <w:r w:rsidR="003A2917">
        <w:rPr>
          <w:rFonts w:ascii="Times New Roman" w:hAnsi="Times New Roman" w:cs="Times New Roman"/>
          <w:sz w:val="24"/>
          <w:szCs w:val="24"/>
        </w:rPr>
        <w:t xml:space="preserve">pre- and </w:t>
      </w:r>
      <w:r>
        <w:rPr>
          <w:rFonts w:ascii="Times New Roman" w:hAnsi="Times New Roman" w:cs="Times New Roman"/>
          <w:sz w:val="24"/>
          <w:szCs w:val="24"/>
        </w:rPr>
        <w:t xml:space="preserve">post-war generations that grew up attending church regularly continue to do so until infirmity </w:t>
      </w:r>
      <w:r w:rsidR="003A2917">
        <w:rPr>
          <w:rFonts w:ascii="Times New Roman" w:hAnsi="Times New Roman" w:cs="Times New Roman"/>
          <w:sz w:val="24"/>
          <w:szCs w:val="24"/>
        </w:rPr>
        <w:t>makes this less feasible</w:t>
      </w:r>
      <w:r>
        <w:rPr>
          <w:rFonts w:ascii="Times New Roman" w:hAnsi="Times New Roman" w:cs="Times New Roman"/>
          <w:sz w:val="24"/>
          <w:szCs w:val="24"/>
        </w:rPr>
        <w:t xml:space="preserve">, while more recent generations have never attended regularly and will not do so as they age. The result will be smaller, older congregations. </w:t>
      </w:r>
      <w:r w:rsidR="003A2917">
        <w:rPr>
          <w:rFonts w:ascii="Times New Roman" w:hAnsi="Times New Roman" w:cs="Times New Roman"/>
          <w:sz w:val="24"/>
          <w:szCs w:val="24"/>
        </w:rPr>
        <w:t>Congregations</w:t>
      </w:r>
      <w:r>
        <w:rPr>
          <w:rFonts w:ascii="Times New Roman" w:hAnsi="Times New Roman" w:cs="Times New Roman"/>
          <w:sz w:val="24"/>
          <w:szCs w:val="24"/>
        </w:rPr>
        <w:t xml:space="preserve"> that buck this trend are likely to have more young people because they are attracting people whose peers tend not to attend. The drive to attract young people with families is </w:t>
      </w:r>
      <w:r w:rsidR="003A2917">
        <w:rPr>
          <w:rFonts w:ascii="Times New Roman" w:hAnsi="Times New Roman" w:cs="Times New Roman"/>
          <w:sz w:val="24"/>
          <w:szCs w:val="24"/>
        </w:rPr>
        <w:t xml:space="preserve">frequently </w:t>
      </w:r>
      <w:r>
        <w:rPr>
          <w:rFonts w:ascii="Times New Roman" w:hAnsi="Times New Roman" w:cs="Times New Roman"/>
          <w:sz w:val="24"/>
          <w:szCs w:val="24"/>
        </w:rPr>
        <w:t xml:space="preserve">seen as the ‘solution’ to declining numbers. The counter argument is </w:t>
      </w:r>
      <w:r w:rsidR="003A2917">
        <w:rPr>
          <w:rFonts w:ascii="Times New Roman" w:hAnsi="Times New Roman" w:cs="Times New Roman"/>
          <w:sz w:val="24"/>
          <w:szCs w:val="24"/>
        </w:rPr>
        <w:t xml:space="preserve">that </w:t>
      </w:r>
      <w:r>
        <w:rPr>
          <w:rFonts w:ascii="Times New Roman" w:hAnsi="Times New Roman" w:cs="Times New Roman"/>
          <w:sz w:val="24"/>
          <w:szCs w:val="24"/>
        </w:rPr>
        <w:t>we live in a population where more and more people are single, and where there are increasing numbers of active elderly people, so growth could be possible by encouraging these people as well to attend.  Do growing churches have a different age profile from others</w:t>
      </w:r>
      <w:r w:rsidR="003A2917">
        <w:rPr>
          <w:rFonts w:ascii="Times New Roman" w:hAnsi="Times New Roman" w:cs="Times New Roman"/>
          <w:sz w:val="24"/>
          <w:szCs w:val="24"/>
        </w:rPr>
        <w:t xml:space="preserve"> or from their neighbourhoods</w:t>
      </w:r>
      <w:r>
        <w:rPr>
          <w:rFonts w:ascii="Times New Roman" w:hAnsi="Times New Roman" w:cs="Times New Roman"/>
          <w:sz w:val="24"/>
          <w:szCs w:val="24"/>
        </w:rPr>
        <w:t>?</w:t>
      </w:r>
    </w:p>
    <w:p w14:paraId="0FC1D21F" w14:textId="77777777" w:rsidR="00936E51" w:rsidRPr="00DD4966" w:rsidRDefault="00DD4966" w:rsidP="00DD4966">
      <w:pPr>
        <w:spacing w:after="0" w:line="480" w:lineRule="auto"/>
        <w:jc w:val="center"/>
        <w:rPr>
          <w:rFonts w:ascii="Times New Roman" w:hAnsi="Times New Roman" w:cs="Times New Roman"/>
          <w:b/>
          <w:sz w:val="24"/>
          <w:szCs w:val="24"/>
        </w:rPr>
      </w:pPr>
      <w:r w:rsidRPr="00DD4966">
        <w:rPr>
          <w:rFonts w:ascii="Times New Roman" w:hAnsi="Times New Roman" w:cs="Times New Roman"/>
          <w:b/>
          <w:sz w:val="24"/>
          <w:szCs w:val="24"/>
        </w:rPr>
        <w:t>Method</w:t>
      </w:r>
    </w:p>
    <w:p w14:paraId="19A6BBD7" w14:textId="77777777" w:rsidR="00B16E27" w:rsidRPr="00DD4966" w:rsidRDefault="00884C2C" w:rsidP="003622DB">
      <w:pPr>
        <w:spacing w:after="0" w:line="480" w:lineRule="auto"/>
        <w:ind w:left="720" w:hanging="720"/>
        <w:rPr>
          <w:rFonts w:ascii="Times New Roman" w:hAnsi="Times New Roman" w:cs="Times New Roman"/>
          <w:b/>
          <w:sz w:val="24"/>
          <w:szCs w:val="24"/>
        </w:rPr>
      </w:pPr>
      <w:r w:rsidRPr="00DD4966">
        <w:rPr>
          <w:rFonts w:ascii="Times New Roman" w:hAnsi="Times New Roman" w:cs="Times New Roman"/>
          <w:b/>
          <w:sz w:val="24"/>
          <w:szCs w:val="24"/>
        </w:rPr>
        <w:t xml:space="preserve">The </w:t>
      </w:r>
      <w:r w:rsidR="00B16E27" w:rsidRPr="00DD4966">
        <w:rPr>
          <w:rFonts w:ascii="Times New Roman" w:hAnsi="Times New Roman" w:cs="Times New Roman"/>
          <w:b/>
          <w:sz w:val="24"/>
          <w:szCs w:val="24"/>
        </w:rPr>
        <w:t>Southwark Diocese Signs of Growth project</w:t>
      </w:r>
    </w:p>
    <w:p w14:paraId="2C80F302" w14:textId="77777777" w:rsidR="006E4DCB" w:rsidRDefault="006E4DCB"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B16E27" w:rsidRPr="003622DB">
        <w:rPr>
          <w:rFonts w:ascii="Times New Roman" w:hAnsi="Times New Roman" w:cs="Times New Roman"/>
          <w:sz w:val="24"/>
          <w:szCs w:val="24"/>
        </w:rPr>
        <w:t xml:space="preserve"> </w:t>
      </w:r>
      <w:r w:rsidR="00B16E27" w:rsidRPr="003622DB">
        <w:rPr>
          <w:rFonts w:ascii="Times New Roman" w:hAnsi="Times New Roman" w:cs="Times New Roman"/>
          <w:i/>
          <w:sz w:val="24"/>
          <w:szCs w:val="24"/>
        </w:rPr>
        <w:t>Signs of Growth</w:t>
      </w:r>
      <w:r w:rsidR="00DD4966">
        <w:rPr>
          <w:rFonts w:ascii="Times New Roman" w:hAnsi="Times New Roman" w:cs="Times New Roman"/>
          <w:i/>
          <w:sz w:val="24"/>
          <w:szCs w:val="24"/>
        </w:rPr>
        <w:t xml:space="preserve"> </w:t>
      </w:r>
      <w:r w:rsidR="00DD4966">
        <w:rPr>
          <w:rFonts w:ascii="Times New Roman" w:hAnsi="Times New Roman" w:cs="Times New Roman"/>
          <w:sz w:val="24"/>
          <w:szCs w:val="24"/>
        </w:rPr>
        <w:t>project invited</w:t>
      </w:r>
      <w:r>
        <w:rPr>
          <w:rFonts w:ascii="Times New Roman" w:hAnsi="Times New Roman" w:cs="Times New Roman"/>
          <w:sz w:val="24"/>
          <w:szCs w:val="24"/>
        </w:rPr>
        <w:t xml:space="preserve"> </w:t>
      </w:r>
      <w:r w:rsidR="00B16E27" w:rsidRPr="003622DB">
        <w:rPr>
          <w:rFonts w:ascii="Times New Roman" w:hAnsi="Times New Roman" w:cs="Times New Roman"/>
          <w:sz w:val="24"/>
          <w:szCs w:val="24"/>
        </w:rPr>
        <w:t xml:space="preserve">congregants present </w:t>
      </w:r>
      <w:r w:rsidR="00233E3D" w:rsidRPr="003622DB">
        <w:rPr>
          <w:rFonts w:ascii="Times New Roman" w:hAnsi="Times New Roman" w:cs="Times New Roman"/>
          <w:sz w:val="24"/>
          <w:szCs w:val="24"/>
        </w:rPr>
        <w:t xml:space="preserve">in church </w:t>
      </w:r>
      <w:r w:rsidR="00821A7E">
        <w:rPr>
          <w:rFonts w:ascii="Times New Roman" w:hAnsi="Times New Roman" w:cs="Times New Roman"/>
          <w:sz w:val="24"/>
          <w:szCs w:val="24"/>
        </w:rPr>
        <w:t>on particular Sundays</w:t>
      </w:r>
      <w:r w:rsidR="00D7354C">
        <w:rPr>
          <w:rFonts w:ascii="Times New Roman" w:hAnsi="Times New Roman" w:cs="Times New Roman"/>
          <w:sz w:val="24"/>
          <w:szCs w:val="24"/>
        </w:rPr>
        <w:t xml:space="preserve"> from 2009 to 2012</w:t>
      </w:r>
      <w:r w:rsidR="00821A7E">
        <w:rPr>
          <w:rFonts w:ascii="Times New Roman" w:hAnsi="Times New Roman" w:cs="Times New Roman"/>
          <w:sz w:val="24"/>
          <w:szCs w:val="24"/>
        </w:rPr>
        <w:t xml:space="preserve"> </w:t>
      </w:r>
      <w:r w:rsidR="00B16E27" w:rsidRPr="003622DB">
        <w:rPr>
          <w:rFonts w:ascii="Times New Roman" w:hAnsi="Times New Roman" w:cs="Times New Roman"/>
          <w:sz w:val="24"/>
          <w:szCs w:val="24"/>
        </w:rPr>
        <w:t xml:space="preserve">to complete a questionnaire during worship services, and virtually all </w:t>
      </w:r>
      <w:r>
        <w:rPr>
          <w:rFonts w:ascii="Times New Roman" w:hAnsi="Times New Roman" w:cs="Times New Roman"/>
          <w:sz w:val="24"/>
          <w:szCs w:val="24"/>
        </w:rPr>
        <w:t xml:space="preserve">churches in the diocese took part. The questionnaire included items asking about age, ethnicity and </w:t>
      </w:r>
      <w:r w:rsidR="00E222B3">
        <w:rPr>
          <w:rFonts w:ascii="Times New Roman" w:hAnsi="Times New Roman" w:cs="Times New Roman"/>
          <w:sz w:val="24"/>
          <w:szCs w:val="24"/>
        </w:rPr>
        <w:t>time taken to</w:t>
      </w:r>
      <w:r>
        <w:rPr>
          <w:rFonts w:ascii="Times New Roman" w:hAnsi="Times New Roman" w:cs="Times New Roman"/>
          <w:sz w:val="24"/>
          <w:szCs w:val="24"/>
        </w:rPr>
        <w:t xml:space="preserve"> travel to church, which were used to create congregational profiles for those churches with at least ten returns. The Diocese also provided information on churches that </w:t>
      </w:r>
      <w:r w:rsidR="00163594">
        <w:rPr>
          <w:rFonts w:ascii="Times New Roman" w:hAnsi="Times New Roman" w:cs="Times New Roman"/>
          <w:sz w:val="24"/>
          <w:szCs w:val="24"/>
        </w:rPr>
        <w:t>was</w:t>
      </w:r>
      <w:r>
        <w:rPr>
          <w:rFonts w:ascii="Times New Roman" w:hAnsi="Times New Roman" w:cs="Times New Roman"/>
          <w:sz w:val="24"/>
          <w:szCs w:val="24"/>
        </w:rPr>
        <w:t xml:space="preserve"> not available from the questionnaire survey, such as the electoral roll numbers and usual Sunday attendance figures. In all, over </w:t>
      </w:r>
      <w:r w:rsidR="003B6C39">
        <w:rPr>
          <w:rFonts w:ascii="Times New Roman" w:hAnsi="Times New Roman" w:cs="Times New Roman"/>
          <w:sz w:val="24"/>
          <w:szCs w:val="24"/>
        </w:rPr>
        <w:t>31,000</w:t>
      </w:r>
      <w:r>
        <w:rPr>
          <w:rFonts w:ascii="Times New Roman" w:hAnsi="Times New Roman" w:cs="Times New Roman"/>
          <w:sz w:val="24"/>
          <w:szCs w:val="24"/>
        </w:rPr>
        <w:t xml:space="preserve"> questionnaires were received (</w:t>
      </w:r>
      <w:r w:rsidR="003B6C39">
        <w:rPr>
          <w:rFonts w:ascii="Times New Roman" w:hAnsi="Times New Roman" w:cs="Times New Roman"/>
          <w:sz w:val="24"/>
          <w:szCs w:val="24"/>
        </w:rPr>
        <w:t xml:space="preserve">24,348 </w:t>
      </w:r>
      <w:r>
        <w:rPr>
          <w:rFonts w:ascii="Times New Roman" w:hAnsi="Times New Roman" w:cs="Times New Roman"/>
          <w:sz w:val="24"/>
          <w:szCs w:val="24"/>
        </w:rPr>
        <w:t>from adults</w:t>
      </w:r>
      <w:r w:rsidR="003B6C39">
        <w:rPr>
          <w:rFonts w:ascii="Times New Roman" w:hAnsi="Times New Roman" w:cs="Times New Roman"/>
          <w:sz w:val="24"/>
          <w:szCs w:val="24"/>
        </w:rPr>
        <w:t xml:space="preserve"> aged 20 or over</w:t>
      </w:r>
      <w:r>
        <w:rPr>
          <w:rFonts w:ascii="Times New Roman" w:hAnsi="Times New Roman" w:cs="Times New Roman"/>
          <w:sz w:val="24"/>
          <w:szCs w:val="24"/>
        </w:rPr>
        <w:t xml:space="preserve">) and full data were available for 332 of the </w:t>
      </w:r>
      <w:r w:rsidR="003B6C39">
        <w:rPr>
          <w:rFonts w:ascii="Times New Roman" w:hAnsi="Times New Roman" w:cs="Times New Roman"/>
          <w:sz w:val="24"/>
          <w:szCs w:val="24"/>
        </w:rPr>
        <w:t xml:space="preserve">348 parishes that participated in the </w:t>
      </w:r>
      <w:r>
        <w:rPr>
          <w:rFonts w:ascii="Times New Roman" w:hAnsi="Times New Roman" w:cs="Times New Roman"/>
          <w:sz w:val="24"/>
          <w:szCs w:val="24"/>
        </w:rPr>
        <w:t>survey.</w:t>
      </w:r>
    </w:p>
    <w:p w14:paraId="69F76DA3" w14:textId="77777777" w:rsidR="0027674F" w:rsidRPr="00DD4966" w:rsidRDefault="006E4DCB"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Measuring church growth</w:t>
      </w:r>
    </w:p>
    <w:p w14:paraId="54360538" w14:textId="77777777" w:rsidR="006E4DCB" w:rsidRPr="006E4DCB" w:rsidRDefault="00E222B3"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Churches are required to provide annual returns of the number of worshippers to the diocese, which form part of the statistics of the Church of England </w:t>
      </w:r>
      <w:r w:rsidR="00437FB5">
        <w:rPr>
          <w:rFonts w:ascii="Times New Roman" w:hAnsi="Times New Roman" w:cs="Times New Roman"/>
          <w:sz w:val="24"/>
          <w:szCs w:val="24"/>
        </w:rPr>
        <w:t xml:space="preserve"> </w:t>
      </w:r>
      <w:r w:rsidR="00437FB5">
        <w:rPr>
          <w:rFonts w:ascii="Times New Roman" w:hAnsi="Times New Roman" w:cs="Times New Roman"/>
          <w:sz w:val="24"/>
          <w:szCs w:val="24"/>
        </w:rPr>
        <w:fldChar w:fldCharType="begin"/>
      </w:r>
      <w:r w:rsidR="00AA7F60">
        <w:rPr>
          <w:rFonts w:ascii="Times New Roman" w:hAnsi="Times New Roman" w:cs="Times New Roman"/>
          <w:sz w:val="24"/>
          <w:szCs w:val="24"/>
        </w:rPr>
        <w:instrText xml:space="preserve"> ADDIN EN.CITE &lt;EndNote&gt;&lt;Cite&gt;&lt;Author&gt;Church_of_England&lt;/Author&gt;&lt;Year&gt;2018&lt;/Year&gt;&lt;RecNum&gt;6918&lt;/RecNum&gt;&lt;DisplayText&gt;(Church_of_England 2018)&lt;/DisplayText&gt;&lt;record&gt;&lt;rec-number&gt;6918&lt;/rec-number&gt;&lt;foreign-keys&gt;&lt;key app="EN" db-id="dz2asxs2ozta2me0007pzzx4ffzxzrre5tz0"&gt;6918&lt;/key&gt;&lt;/foreign-keys&gt;&lt;ref-type name="Web Page"&gt;12&lt;/ref-type&gt;&lt;contributors&gt;&lt;authors&gt;&lt;author&gt;Church_of_England&lt;/author&gt;&lt;/authors&gt;&lt;/contributors&gt;&lt;titles&gt;&lt;title&gt;Research and Statistics &lt;/title&gt;&lt;/titles&gt;&lt;volume&gt;2018&lt;/volume&gt;&lt;number&gt;10 January&lt;/number&gt;&lt;dates&gt;&lt;year&gt;2018&lt;/year&gt;&lt;/dates&gt;&lt;urls&gt;&lt;related-urls&gt;&lt;url&gt;https://www.churchofengland.org/more/policy-and-thinking/research-and-statistics&lt;/url&gt;&lt;/related-urls&gt;&lt;/urls&gt;&lt;/record&gt;&lt;/Cite&gt;&lt;/EndNote&gt;</w:instrText>
      </w:r>
      <w:r w:rsidR="00437FB5">
        <w:rPr>
          <w:rFonts w:ascii="Times New Roman" w:hAnsi="Times New Roman" w:cs="Times New Roman"/>
          <w:sz w:val="24"/>
          <w:szCs w:val="24"/>
        </w:rPr>
        <w:fldChar w:fldCharType="separate"/>
      </w:r>
      <w:r w:rsidR="00437FB5">
        <w:rPr>
          <w:rFonts w:ascii="Times New Roman" w:hAnsi="Times New Roman" w:cs="Times New Roman"/>
          <w:noProof/>
          <w:sz w:val="24"/>
          <w:szCs w:val="24"/>
        </w:rPr>
        <w:t>(</w:t>
      </w:r>
      <w:hyperlink w:anchor="_ENREF_7" w:tooltip="Church_of_England, 2018 #6918"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of</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England</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2018</w:t>
        </w:r>
      </w:hyperlink>
      <w:r w:rsidR="00437FB5">
        <w:rPr>
          <w:rFonts w:ascii="Times New Roman" w:hAnsi="Times New Roman" w:cs="Times New Roman"/>
          <w:noProof/>
          <w:sz w:val="24"/>
          <w:szCs w:val="24"/>
        </w:rPr>
        <w:t>)</w:t>
      </w:r>
      <w:r w:rsidR="00437FB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37FB5">
        <w:rPr>
          <w:rFonts w:ascii="Times New Roman" w:hAnsi="Times New Roman" w:cs="Times New Roman"/>
          <w:sz w:val="24"/>
          <w:szCs w:val="24"/>
        </w:rPr>
        <w:t xml:space="preserve">A </w:t>
      </w:r>
      <w:r>
        <w:rPr>
          <w:rFonts w:ascii="Times New Roman" w:hAnsi="Times New Roman" w:cs="Times New Roman"/>
          <w:sz w:val="24"/>
          <w:szCs w:val="24"/>
        </w:rPr>
        <w:t xml:space="preserve">standard measure </w:t>
      </w:r>
      <w:r w:rsidR="00437FB5">
        <w:rPr>
          <w:rFonts w:ascii="Times New Roman" w:hAnsi="Times New Roman" w:cs="Times New Roman"/>
          <w:sz w:val="24"/>
          <w:szCs w:val="24"/>
        </w:rPr>
        <w:t xml:space="preserve">for many years </w:t>
      </w:r>
      <w:r>
        <w:rPr>
          <w:rFonts w:ascii="Times New Roman" w:hAnsi="Times New Roman" w:cs="Times New Roman"/>
          <w:sz w:val="24"/>
          <w:szCs w:val="24"/>
        </w:rPr>
        <w:t>has been usual Sunday attendance (uSa), which is the number of different people (adults and children) who attend all the services on a ‘typical’ Sunday</w:t>
      </w:r>
      <w:r w:rsidR="00437FB5">
        <w:rPr>
          <w:rFonts w:ascii="Times New Roman" w:hAnsi="Times New Roman" w:cs="Times New Roman"/>
          <w:sz w:val="24"/>
          <w:szCs w:val="24"/>
        </w:rPr>
        <w:t xml:space="preserve"> when services are held</w:t>
      </w:r>
      <w:r>
        <w:rPr>
          <w:rFonts w:ascii="Times New Roman" w:hAnsi="Times New Roman" w:cs="Times New Roman"/>
          <w:sz w:val="24"/>
          <w:szCs w:val="24"/>
        </w:rPr>
        <w:t xml:space="preserve">. Southwark Diocese </w:t>
      </w:r>
      <w:r w:rsidR="00437FB5">
        <w:rPr>
          <w:rFonts w:ascii="Times New Roman" w:hAnsi="Times New Roman" w:cs="Times New Roman"/>
          <w:sz w:val="24"/>
          <w:szCs w:val="24"/>
        </w:rPr>
        <w:t xml:space="preserve">reported growth in total </w:t>
      </w:r>
      <w:r>
        <w:rPr>
          <w:rFonts w:ascii="Times New Roman" w:hAnsi="Times New Roman" w:cs="Times New Roman"/>
          <w:sz w:val="24"/>
          <w:szCs w:val="24"/>
        </w:rPr>
        <w:t>uSa</w:t>
      </w:r>
      <w:r w:rsidR="00437FB5">
        <w:rPr>
          <w:rFonts w:ascii="Times New Roman" w:hAnsi="Times New Roman" w:cs="Times New Roman"/>
          <w:sz w:val="24"/>
          <w:szCs w:val="24"/>
        </w:rPr>
        <w:t xml:space="preserve"> </w:t>
      </w:r>
      <w:r w:rsidR="003A2917">
        <w:rPr>
          <w:rFonts w:ascii="Times New Roman" w:hAnsi="Times New Roman" w:cs="Times New Roman"/>
          <w:sz w:val="24"/>
          <w:szCs w:val="24"/>
        </w:rPr>
        <w:t>during</w:t>
      </w:r>
      <w:r w:rsidR="00437FB5">
        <w:rPr>
          <w:rFonts w:ascii="Times New Roman" w:hAnsi="Times New Roman" w:cs="Times New Roman"/>
          <w:sz w:val="24"/>
          <w:szCs w:val="24"/>
        </w:rPr>
        <w:t xml:space="preserve"> the first decade of the century, peaking in 2008 </w:t>
      </w:r>
      <w:r w:rsidR="00437FB5">
        <w:rPr>
          <w:rFonts w:ascii="Times New Roman" w:hAnsi="Times New Roman" w:cs="Times New Roman"/>
          <w:sz w:val="24"/>
          <w:szCs w:val="24"/>
        </w:rPr>
        <w:fldChar w:fldCharType="begin"/>
      </w:r>
      <w:r w:rsidR="003A2917">
        <w:rPr>
          <w:rFonts w:ascii="Times New Roman" w:hAnsi="Times New Roman" w:cs="Times New Roman"/>
          <w:sz w:val="24"/>
          <w:szCs w:val="24"/>
        </w:rPr>
        <w:instrText xml:space="preserve"> ADDIN EN.CITE &lt;EndNote&gt;&lt;Cite&gt;&lt;Author&gt;Church_of_England&lt;/Author&gt;&lt;Year&gt;2014&lt;/Year&gt;&lt;RecNum&gt;6917&lt;/RecNum&gt;&lt;DisplayText&gt;(Church_of_England 2014)&lt;/DisplayText&gt;&lt;record&gt;&lt;rec-number&gt;6917&lt;/rec-number&gt;&lt;foreign-keys&gt;&lt;key app="EN" db-id="dz2asxs2ozta2me0007pzzx4ffzxzrre5tz0"&gt;6917&lt;/key&gt;&lt;/foreign-keys&gt;&lt;ref-type name="Report"&gt;27&lt;/ref-type&gt;&lt;contributors&gt;&lt;authors&gt;&lt;author&gt;Church_of_England&lt;/author&gt;&lt;/authors&gt;&lt;/contributors&gt;&lt;titles&gt;&lt;title&gt;Statistics for mission 2012&lt;/title&gt;&lt;/titles&gt;&lt;dates&gt;&lt;year&gt;2014&lt;/year&gt;&lt;/dates&gt;&lt;pub-location&gt;London&lt;/pub-location&gt;&lt;publisher&gt; Archbishops&amp;apos;Council, Research and Statistics&lt;/publisher&gt;&lt;urls&gt;&lt;related-urls&gt;&lt;url&gt;https://www.churchofengland.org/sites/default/files/2017-11/2012statisticsformission_0.pdf&lt;/url&gt;&lt;/related-urls&gt;&lt;/urls&gt;&lt;/record&gt;&lt;/Cite&gt;&lt;/EndNote&gt;</w:instrText>
      </w:r>
      <w:r w:rsidR="00437FB5">
        <w:rPr>
          <w:rFonts w:ascii="Times New Roman" w:hAnsi="Times New Roman" w:cs="Times New Roman"/>
          <w:sz w:val="24"/>
          <w:szCs w:val="24"/>
        </w:rPr>
        <w:fldChar w:fldCharType="separate"/>
      </w:r>
      <w:r w:rsidR="003A2917">
        <w:rPr>
          <w:rFonts w:ascii="Times New Roman" w:hAnsi="Times New Roman" w:cs="Times New Roman"/>
          <w:noProof/>
          <w:sz w:val="24"/>
          <w:szCs w:val="24"/>
        </w:rPr>
        <w:t>(</w:t>
      </w:r>
      <w:hyperlink w:anchor="_ENREF_5" w:tooltip="Church_of_England, 2014 #6917"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o</w:t>
        </w:r>
        <w:r w:rsidR="00D02CCB">
          <w:rPr>
            <w:rFonts w:ascii="Times New Roman" w:hAnsi="Times New Roman" w:cs="Times New Roman"/>
            <w:noProof/>
            <w:sz w:val="24"/>
            <w:szCs w:val="24"/>
          </w:rPr>
          <w:t xml:space="preserve">f </w:t>
        </w:r>
        <w:r w:rsidR="0054049E">
          <w:rPr>
            <w:rFonts w:ascii="Times New Roman" w:hAnsi="Times New Roman" w:cs="Times New Roman"/>
            <w:noProof/>
            <w:sz w:val="24"/>
            <w:szCs w:val="24"/>
          </w:rPr>
          <w:t>England</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2014</w:t>
        </w:r>
      </w:hyperlink>
      <w:r w:rsidR="00D02CCB">
        <w:rPr>
          <w:rFonts w:ascii="Times New Roman" w:hAnsi="Times New Roman" w:cs="Times New Roman"/>
          <w:noProof/>
          <w:sz w:val="24"/>
          <w:szCs w:val="24"/>
        </w:rPr>
        <w:t>a</w:t>
      </w:r>
      <w:r w:rsidR="003A2917">
        <w:rPr>
          <w:rFonts w:ascii="Times New Roman" w:hAnsi="Times New Roman" w:cs="Times New Roman"/>
          <w:noProof/>
          <w:sz w:val="24"/>
          <w:szCs w:val="24"/>
        </w:rPr>
        <w:t>)</w:t>
      </w:r>
      <w:r w:rsidR="00437FB5">
        <w:rPr>
          <w:rFonts w:ascii="Times New Roman" w:hAnsi="Times New Roman" w:cs="Times New Roman"/>
          <w:sz w:val="24"/>
          <w:szCs w:val="24"/>
        </w:rPr>
        <w:fldChar w:fldCharType="end"/>
      </w:r>
      <w:r>
        <w:rPr>
          <w:rFonts w:ascii="Times New Roman" w:hAnsi="Times New Roman" w:cs="Times New Roman"/>
          <w:sz w:val="24"/>
          <w:szCs w:val="24"/>
        </w:rPr>
        <w:t>. There are several different ways of measuring the growth of individual churches from such data. One</w:t>
      </w:r>
      <w:r w:rsidR="00437FB5">
        <w:rPr>
          <w:rFonts w:ascii="Times New Roman" w:hAnsi="Times New Roman" w:cs="Times New Roman"/>
          <w:sz w:val="24"/>
          <w:szCs w:val="24"/>
        </w:rPr>
        <w:t xml:space="preserve"> way</w:t>
      </w:r>
      <w:r>
        <w:rPr>
          <w:rFonts w:ascii="Times New Roman" w:hAnsi="Times New Roman" w:cs="Times New Roman"/>
          <w:sz w:val="24"/>
          <w:szCs w:val="24"/>
        </w:rPr>
        <w:t xml:space="preserve"> might be to use the difference between the 2009 and 2000 figures, which would be simple to understand, but is vulnerable to the vagaries of annual fluctuations, which might give an inaccurate </w:t>
      </w:r>
      <w:r w:rsidR="00234AD9">
        <w:rPr>
          <w:rFonts w:ascii="Times New Roman" w:hAnsi="Times New Roman" w:cs="Times New Roman"/>
          <w:sz w:val="24"/>
          <w:szCs w:val="24"/>
        </w:rPr>
        <w:t xml:space="preserve">measure for individual parishes that happen to have </w:t>
      </w:r>
      <w:r w:rsidR="00D50E98">
        <w:rPr>
          <w:rFonts w:ascii="Times New Roman" w:hAnsi="Times New Roman" w:cs="Times New Roman"/>
          <w:sz w:val="24"/>
          <w:szCs w:val="24"/>
        </w:rPr>
        <w:t>un</w:t>
      </w:r>
      <w:r w:rsidR="00234AD9">
        <w:rPr>
          <w:rFonts w:ascii="Times New Roman" w:hAnsi="Times New Roman" w:cs="Times New Roman"/>
          <w:sz w:val="24"/>
          <w:szCs w:val="24"/>
        </w:rPr>
        <w:t xml:space="preserve">usual circumstances in either of those two years. A better way is to average the year on year changes over the period, so that years of rapid growth or decline are not allowed to influence </w:t>
      </w:r>
      <w:r w:rsidR="00D50E98">
        <w:rPr>
          <w:rFonts w:ascii="Times New Roman" w:hAnsi="Times New Roman" w:cs="Times New Roman"/>
          <w:sz w:val="24"/>
          <w:szCs w:val="24"/>
        </w:rPr>
        <w:t xml:space="preserve">unduly </w:t>
      </w:r>
      <w:r w:rsidR="00234AD9">
        <w:rPr>
          <w:rFonts w:ascii="Times New Roman" w:hAnsi="Times New Roman" w:cs="Times New Roman"/>
          <w:sz w:val="24"/>
          <w:szCs w:val="24"/>
        </w:rPr>
        <w:t xml:space="preserve">the measure if they were of short duration. The other issue is whether to use absolute changes in numbers, or to allow for the fact that such numbers can vary in importance depending on the size of a church. An average increase of five people a year would represent a substantial growth for a church of 20, but be trivial </w:t>
      </w:r>
      <w:r w:rsidR="00D50E98">
        <w:rPr>
          <w:rFonts w:ascii="Times New Roman" w:hAnsi="Times New Roman" w:cs="Times New Roman"/>
          <w:sz w:val="24"/>
          <w:szCs w:val="24"/>
        </w:rPr>
        <w:t xml:space="preserve">for a church of 2000. This analysis </w:t>
      </w:r>
      <w:r w:rsidR="00234AD9">
        <w:rPr>
          <w:rFonts w:ascii="Times New Roman" w:hAnsi="Times New Roman" w:cs="Times New Roman"/>
          <w:sz w:val="24"/>
          <w:szCs w:val="24"/>
        </w:rPr>
        <w:t xml:space="preserve">is </w:t>
      </w:r>
      <w:r w:rsidR="00D50E98">
        <w:rPr>
          <w:rFonts w:ascii="Times New Roman" w:hAnsi="Times New Roman" w:cs="Times New Roman"/>
          <w:sz w:val="24"/>
          <w:szCs w:val="24"/>
        </w:rPr>
        <w:t>trying to identify</w:t>
      </w:r>
      <w:r w:rsidR="00234AD9">
        <w:rPr>
          <w:rFonts w:ascii="Times New Roman" w:hAnsi="Times New Roman" w:cs="Times New Roman"/>
          <w:sz w:val="24"/>
          <w:szCs w:val="24"/>
        </w:rPr>
        <w:t xml:space="preserve"> factors associated with the tendency to grow, whatever the size of a church, so using the average </w:t>
      </w:r>
      <w:r w:rsidR="00234AD9">
        <w:rPr>
          <w:rFonts w:ascii="Times New Roman" w:hAnsi="Times New Roman" w:cs="Times New Roman"/>
          <w:i/>
          <w:sz w:val="24"/>
          <w:szCs w:val="24"/>
        </w:rPr>
        <w:t xml:space="preserve">percentage </w:t>
      </w:r>
      <w:r w:rsidR="00234AD9">
        <w:rPr>
          <w:rFonts w:ascii="Times New Roman" w:hAnsi="Times New Roman" w:cs="Times New Roman"/>
          <w:sz w:val="24"/>
          <w:szCs w:val="24"/>
        </w:rPr>
        <w:t xml:space="preserve">change in numbers (i.e. the average </w:t>
      </w:r>
      <w:r w:rsidR="003A2917">
        <w:rPr>
          <w:rFonts w:ascii="Times New Roman" w:hAnsi="Times New Roman" w:cs="Times New Roman"/>
          <w:sz w:val="24"/>
          <w:szCs w:val="24"/>
        </w:rPr>
        <w:t xml:space="preserve">of </w:t>
      </w:r>
      <w:r w:rsidR="00234AD9">
        <w:rPr>
          <w:rFonts w:ascii="Times New Roman" w:hAnsi="Times New Roman" w:cs="Times New Roman"/>
          <w:sz w:val="24"/>
          <w:szCs w:val="24"/>
        </w:rPr>
        <w:t xml:space="preserve">the </w:t>
      </w:r>
      <w:r w:rsidR="003A2917">
        <w:rPr>
          <w:rFonts w:ascii="Times New Roman" w:hAnsi="Times New Roman" w:cs="Times New Roman"/>
          <w:sz w:val="24"/>
          <w:szCs w:val="24"/>
        </w:rPr>
        <w:t>year</w:t>
      </w:r>
      <w:r w:rsidR="00DD4966">
        <w:rPr>
          <w:rFonts w:ascii="Times New Roman" w:hAnsi="Times New Roman" w:cs="Times New Roman"/>
          <w:sz w:val="24"/>
          <w:szCs w:val="24"/>
        </w:rPr>
        <w:t>-</w:t>
      </w:r>
      <w:r w:rsidR="003A2917">
        <w:rPr>
          <w:rFonts w:ascii="Times New Roman" w:hAnsi="Times New Roman" w:cs="Times New Roman"/>
          <w:sz w:val="24"/>
          <w:szCs w:val="24"/>
        </w:rPr>
        <w:t>to</w:t>
      </w:r>
      <w:r w:rsidR="00DD4966">
        <w:rPr>
          <w:rFonts w:ascii="Times New Roman" w:hAnsi="Times New Roman" w:cs="Times New Roman"/>
          <w:sz w:val="24"/>
          <w:szCs w:val="24"/>
        </w:rPr>
        <w:t>-</w:t>
      </w:r>
      <w:r w:rsidR="003A2917">
        <w:rPr>
          <w:rFonts w:ascii="Times New Roman" w:hAnsi="Times New Roman" w:cs="Times New Roman"/>
          <w:sz w:val="24"/>
          <w:szCs w:val="24"/>
        </w:rPr>
        <w:t xml:space="preserve">year </w:t>
      </w:r>
      <w:r w:rsidR="00234AD9">
        <w:rPr>
          <w:rFonts w:ascii="Times New Roman" w:hAnsi="Times New Roman" w:cs="Times New Roman"/>
          <w:sz w:val="24"/>
          <w:szCs w:val="24"/>
        </w:rPr>
        <w:t xml:space="preserve">percentage change </w:t>
      </w:r>
      <w:r w:rsidR="003A2917">
        <w:rPr>
          <w:rFonts w:ascii="Times New Roman" w:hAnsi="Times New Roman" w:cs="Times New Roman"/>
          <w:sz w:val="24"/>
          <w:szCs w:val="24"/>
        </w:rPr>
        <w:t>from 2000-2001 to 2008-2009</w:t>
      </w:r>
      <w:r w:rsidR="00234AD9">
        <w:rPr>
          <w:rFonts w:ascii="Times New Roman" w:hAnsi="Times New Roman" w:cs="Times New Roman"/>
          <w:sz w:val="24"/>
          <w:szCs w:val="24"/>
        </w:rPr>
        <w:t xml:space="preserve">) was a better figure to use because it put large and small congregations on a similar footing. </w:t>
      </w:r>
    </w:p>
    <w:p w14:paraId="37730A9D" w14:textId="77777777" w:rsidR="006E4DCB" w:rsidRPr="00DD4966" w:rsidRDefault="001E0426"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Congregation profiles</w:t>
      </w:r>
    </w:p>
    <w:p w14:paraId="536AF7A2" w14:textId="77777777" w:rsidR="007654D8" w:rsidRDefault="001E0426"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Questionnaire returns were used to create a profile of each congregation. Age was recorded by decade for adults (starting at ‘20-29’</w:t>
      </w:r>
      <w:r w:rsidR="007654D8">
        <w:rPr>
          <w:rFonts w:ascii="Times New Roman" w:hAnsi="Times New Roman" w:cs="Times New Roman"/>
          <w:sz w:val="24"/>
          <w:szCs w:val="24"/>
        </w:rPr>
        <w:t xml:space="preserve"> = 5 </w:t>
      </w:r>
      <w:r>
        <w:rPr>
          <w:rFonts w:ascii="Times New Roman" w:hAnsi="Times New Roman" w:cs="Times New Roman"/>
          <w:sz w:val="24"/>
          <w:szCs w:val="24"/>
        </w:rPr>
        <w:t>and ending with ’80 or over’</w:t>
      </w:r>
      <w:r w:rsidR="007654D8">
        <w:rPr>
          <w:rFonts w:ascii="Times New Roman" w:hAnsi="Times New Roman" w:cs="Times New Roman"/>
          <w:sz w:val="24"/>
          <w:szCs w:val="24"/>
        </w:rPr>
        <w:t>= 11</w:t>
      </w:r>
      <w:r>
        <w:rPr>
          <w:rFonts w:ascii="Times New Roman" w:hAnsi="Times New Roman" w:cs="Times New Roman"/>
          <w:sz w:val="24"/>
          <w:szCs w:val="24"/>
        </w:rPr>
        <w:t xml:space="preserve">) and the mean </w:t>
      </w:r>
      <w:r w:rsidR="007654D8">
        <w:rPr>
          <w:rFonts w:ascii="Times New Roman" w:hAnsi="Times New Roman" w:cs="Times New Roman"/>
          <w:sz w:val="24"/>
          <w:szCs w:val="24"/>
        </w:rPr>
        <w:t>score was used as an indicator of the age profile of the adults present when questionnaires were distributed. Ethnicity was recorded using the same categories as the National Census, and from this it was possible to calculate (for adults over 19) the percentages of main groups:  White British, Black Caribbean, Black African, Mixed race and others. The questionnaire also asked how long it took them to travel to church on that particular day, with responses ranging from ‘less than 10 minutes’ to ‘an hour or more’</w:t>
      </w:r>
      <w:r w:rsidR="00DB39DD">
        <w:rPr>
          <w:rFonts w:ascii="Times New Roman" w:hAnsi="Times New Roman" w:cs="Times New Roman"/>
          <w:sz w:val="24"/>
          <w:szCs w:val="24"/>
        </w:rPr>
        <w:t xml:space="preserve">. A second question asked about the means of transport, with responses including among others ‘walking’, ‘bike’, ‘car’ and ‘tube’. From this it was possible to calculate the proportion of adults </w:t>
      </w:r>
      <w:r w:rsidR="003A2917">
        <w:rPr>
          <w:rFonts w:ascii="Times New Roman" w:hAnsi="Times New Roman" w:cs="Times New Roman"/>
          <w:sz w:val="24"/>
          <w:szCs w:val="24"/>
        </w:rPr>
        <w:t>who had not walked</w:t>
      </w:r>
      <w:r w:rsidR="00DB39DD">
        <w:rPr>
          <w:rFonts w:ascii="Times New Roman" w:hAnsi="Times New Roman" w:cs="Times New Roman"/>
          <w:sz w:val="24"/>
          <w:szCs w:val="24"/>
        </w:rPr>
        <w:t xml:space="preserve"> within ten minutes </w:t>
      </w:r>
      <w:r w:rsidR="0078647F">
        <w:rPr>
          <w:rFonts w:ascii="Times New Roman" w:hAnsi="Times New Roman" w:cs="Times New Roman"/>
          <w:sz w:val="24"/>
          <w:szCs w:val="24"/>
        </w:rPr>
        <w:t xml:space="preserve">to </w:t>
      </w:r>
      <w:r w:rsidR="00DB39DD">
        <w:rPr>
          <w:rFonts w:ascii="Times New Roman" w:hAnsi="Times New Roman" w:cs="Times New Roman"/>
          <w:sz w:val="24"/>
          <w:szCs w:val="24"/>
        </w:rPr>
        <w:t xml:space="preserve">church, which was used as a rough index of congregational eclecticism. Although traveling to church in inner London may be very different from rural parts of the diocese, those who walked </w:t>
      </w:r>
      <w:r w:rsidR="00DD4966">
        <w:rPr>
          <w:rFonts w:ascii="Times New Roman" w:hAnsi="Times New Roman" w:cs="Times New Roman"/>
          <w:sz w:val="24"/>
          <w:szCs w:val="24"/>
        </w:rPr>
        <w:t>to church</w:t>
      </w:r>
      <w:r w:rsidR="00DB39DD">
        <w:rPr>
          <w:rFonts w:ascii="Times New Roman" w:hAnsi="Times New Roman" w:cs="Times New Roman"/>
          <w:sz w:val="24"/>
          <w:szCs w:val="24"/>
        </w:rPr>
        <w:t xml:space="preserve"> within ten minute</w:t>
      </w:r>
      <w:r w:rsidR="00DD4966">
        <w:rPr>
          <w:rFonts w:ascii="Times New Roman" w:hAnsi="Times New Roman" w:cs="Times New Roman"/>
          <w:sz w:val="24"/>
          <w:szCs w:val="24"/>
        </w:rPr>
        <w:t>s</w:t>
      </w:r>
      <w:r w:rsidR="00DB39DD">
        <w:rPr>
          <w:rFonts w:ascii="Times New Roman" w:hAnsi="Times New Roman" w:cs="Times New Roman"/>
          <w:sz w:val="24"/>
          <w:szCs w:val="24"/>
        </w:rPr>
        <w:t xml:space="preserve"> were likely to have lived in or near the parish, whereas those who took longer, or travel by car or public transport, might have been coming from outside the parish.</w:t>
      </w:r>
    </w:p>
    <w:p w14:paraId="49AAF072" w14:textId="77777777" w:rsidR="00DB39DD" w:rsidRPr="00DD4966" w:rsidRDefault="00176BCA"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Location and neighbourhood profiles</w:t>
      </w:r>
    </w:p>
    <w:p w14:paraId="3DD72326" w14:textId="77777777" w:rsidR="00D06F14" w:rsidRDefault="00176BCA"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Parishes in the Church of England are grouped into deaneries and deaneries are grouped into </w:t>
      </w:r>
      <w:proofErr w:type="spellStart"/>
      <w:r>
        <w:rPr>
          <w:rFonts w:ascii="Times New Roman" w:hAnsi="Times New Roman" w:cs="Times New Roman"/>
          <w:sz w:val="24"/>
          <w:szCs w:val="24"/>
        </w:rPr>
        <w:t>Archdeaneries</w:t>
      </w:r>
      <w:proofErr w:type="spellEnd"/>
      <w:r>
        <w:rPr>
          <w:rFonts w:ascii="Times New Roman" w:hAnsi="Times New Roman" w:cs="Times New Roman"/>
          <w:sz w:val="24"/>
          <w:szCs w:val="24"/>
        </w:rPr>
        <w:t xml:space="preserve">. The geography of Southwark Diocese is unusual in that the Cathedral lies at the northern edge, on the south bank of the Thames at London Bridge, and the </w:t>
      </w:r>
      <w:r w:rsidR="0078647F">
        <w:rPr>
          <w:rFonts w:ascii="Times New Roman" w:hAnsi="Times New Roman" w:cs="Times New Roman"/>
          <w:sz w:val="24"/>
          <w:szCs w:val="24"/>
        </w:rPr>
        <w:t>diocese</w:t>
      </w:r>
      <w:r>
        <w:rPr>
          <w:rFonts w:ascii="Times New Roman" w:hAnsi="Times New Roman" w:cs="Times New Roman"/>
          <w:sz w:val="24"/>
          <w:szCs w:val="24"/>
        </w:rPr>
        <w:t xml:space="preserve"> radiates east, west, and south from there. The southern-most parts of the diocese are in rural areas of Surrey around Reigate and Godstone, which are more typical of rural or semi-rural dioceses in the Church of England than the radically multicultural areas closer to the cathedral. Distance from the cathedral was, to some extent, a marker of change from inner city areas, through suburbs to more rural areas. Data for the 2011 National Census were used to test whether growth of a church was related to the nature of the population </w:t>
      </w:r>
      <w:r w:rsidR="00D06F14">
        <w:rPr>
          <w:rFonts w:ascii="Times New Roman" w:hAnsi="Times New Roman" w:cs="Times New Roman"/>
          <w:sz w:val="24"/>
          <w:szCs w:val="24"/>
        </w:rPr>
        <w:t>in the surrounding neighbourhood</w:t>
      </w:r>
      <w:r>
        <w:rPr>
          <w:rFonts w:ascii="Times New Roman" w:hAnsi="Times New Roman" w:cs="Times New Roman"/>
          <w:sz w:val="24"/>
          <w:szCs w:val="24"/>
        </w:rPr>
        <w:t xml:space="preserve">. </w:t>
      </w:r>
      <w:r w:rsidR="00D06F14">
        <w:rPr>
          <w:rFonts w:ascii="Times New Roman" w:hAnsi="Times New Roman" w:cs="Times New Roman"/>
          <w:sz w:val="24"/>
          <w:szCs w:val="24"/>
        </w:rPr>
        <w:t xml:space="preserve">Census Key Statistics are aggregated by electoral wards </w:t>
      </w:r>
      <w:r w:rsidR="003A2917">
        <w:rPr>
          <w:rFonts w:ascii="Times New Roman" w:hAnsi="Times New Roman" w:cs="Times New Roman"/>
          <w:sz w:val="24"/>
          <w:szCs w:val="24"/>
        </w:rPr>
        <w:fldChar w:fldCharType="begin"/>
      </w:r>
      <w:r w:rsidR="003A2917">
        <w:rPr>
          <w:rFonts w:ascii="Times New Roman" w:hAnsi="Times New Roman" w:cs="Times New Roman"/>
          <w:sz w:val="24"/>
          <w:szCs w:val="24"/>
        </w:rPr>
        <w:instrText xml:space="preserve"> ADDIN EN.CITE &lt;EndNote&gt;&lt;Cite&gt;&lt;Author&gt;ONS&lt;/Author&gt;&lt;Year&gt;2018&lt;/Year&gt;&lt;RecNum&gt;6926&lt;/RecNum&gt;&lt;DisplayText&gt;(ONS 2018)&lt;/DisplayText&gt;&lt;record&gt;&lt;rec-number&gt;6926&lt;/rec-number&gt;&lt;foreign-keys&gt;&lt;key app="EN" db-id="dz2asxs2ozta2me0007pzzx4ffzxzrre5tz0"&gt;6926&lt;/key&gt;&lt;/foreign-keys&gt;&lt;ref-type name="Web Page"&gt;12&lt;/ref-type&gt;&lt;contributors&gt;&lt;authors&gt;&lt;author&gt;ONS&lt;/author&gt;&lt;/authors&gt;&lt;/contributors&gt;&lt;titles&gt;&lt;title&gt;2011 Census: Key statistics and quick statistics for wards and output areas in England and Wales&lt;/title&gt;&lt;/titles&gt;&lt;volume&gt;2018&lt;/volume&gt;&lt;number&gt;10 January&lt;/number&gt;&lt;dates&gt;&lt;year&gt;2018&lt;/year&gt;&lt;/dates&gt;&lt;publisher&gt;Office for National Statistics&lt;/publisher&gt;&lt;urls&gt;&lt;related-urls&gt;&lt;url&gt;https://www.ons.gov.uk/peoplepopulationandcommunity/populationandmigration/populationestimates/datasets/2011censuskeystatisticsandquickstatisticsforwardsandoutputareasinenglandandwales&lt;/url&gt;&lt;/related-urls&gt;&lt;/urls&gt;&lt;/record&gt;&lt;/Cite&gt;&lt;/EndNote&gt;</w:instrText>
      </w:r>
      <w:r w:rsidR="003A2917">
        <w:rPr>
          <w:rFonts w:ascii="Times New Roman" w:hAnsi="Times New Roman" w:cs="Times New Roman"/>
          <w:sz w:val="24"/>
          <w:szCs w:val="24"/>
        </w:rPr>
        <w:fldChar w:fldCharType="separate"/>
      </w:r>
      <w:r w:rsidR="003A2917">
        <w:rPr>
          <w:rFonts w:ascii="Times New Roman" w:hAnsi="Times New Roman" w:cs="Times New Roman"/>
          <w:noProof/>
          <w:sz w:val="24"/>
          <w:szCs w:val="24"/>
        </w:rPr>
        <w:t>(</w:t>
      </w:r>
      <w:hyperlink w:anchor="_ENREF_17" w:tooltip="ONS, 2018 #6926" w:history="1">
        <w:r w:rsidR="0054049E">
          <w:rPr>
            <w:rFonts w:ascii="Times New Roman" w:hAnsi="Times New Roman" w:cs="Times New Roman"/>
            <w:noProof/>
            <w:sz w:val="24"/>
            <w:szCs w:val="24"/>
          </w:rPr>
          <w:t>O</w:t>
        </w:r>
        <w:r w:rsidR="00D02CCB">
          <w:rPr>
            <w:rFonts w:ascii="Times New Roman" w:hAnsi="Times New Roman" w:cs="Times New Roman"/>
            <w:noProof/>
            <w:sz w:val="24"/>
            <w:szCs w:val="24"/>
          </w:rPr>
          <w:t>ffice for National Statistics,</w:t>
        </w:r>
        <w:r w:rsidR="0054049E">
          <w:rPr>
            <w:rFonts w:ascii="Times New Roman" w:hAnsi="Times New Roman" w:cs="Times New Roman"/>
            <w:noProof/>
            <w:sz w:val="24"/>
            <w:szCs w:val="24"/>
          </w:rPr>
          <w:t xml:space="preserve"> 2018</w:t>
        </w:r>
      </w:hyperlink>
      <w:r w:rsidR="003A2917">
        <w:rPr>
          <w:rFonts w:ascii="Times New Roman" w:hAnsi="Times New Roman" w:cs="Times New Roman"/>
          <w:noProof/>
          <w:sz w:val="24"/>
          <w:szCs w:val="24"/>
        </w:rPr>
        <w:t>)</w:t>
      </w:r>
      <w:r w:rsidR="003A2917">
        <w:rPr>
          <w:rFonts w:ascii="Times New Roman" w:hAnsi="Times New Roman" w:cs="Times New Roman"/>
          <w:sz w:val="24"/>
          <w:szCs w:val="24"/>
        </w:rPr>
        <w:fldChar w:fldCharType="end"/>
      </w:r>
      <w:r w:rsidR="00D06F14">
        <w:rPr>
          <w:rFonts w:ascii="Times New Roman" w:hAnsi="Times New Roman" w:cs="Times New Roman"/>
          <w:sz w:val="24"/>
          <w:szCs w:val="24"/>
        </w:rPr>
        <w:t xml:space="preserve"> and </w:t>
      </w:r>
      <w:r>
        <w:rPr>
          <w:rFonts w:ascii="Times New Roman" w:hAnsi="Times New Roman" w:cs="Times New Roman"/>
          <w:sz w:val="24"/>
          <w:szCs w:val="24"/>
        </w:rPr>
        <w:t xml:space="preserve">churches </w:t>
      </w:r>
      <w:r w:rsidR="00D06F14">
        <w:rPr>
          <w:rFonts w:ascii="Times New Roman" w:hAnsi="Times New Roman" w:cs="Times New Roman"/>
          <w:sz w:val="24"/>
          <w:szCs w:val="24"/>
        </w:rPr>
        <w:t xml:space="preserve">were </w:t>
      </w:r>
      <w:r>
        <w:rPr>
          <w:rFonts w:ascii="Times New Roman" w:hAnsi="Times New Roman" w:cs="Times New Roman"/>
          <w:sz w:val="24"/>
          <w:szCs w:val="24"/>
        </w:rPr>
        <w:t xml:space="preserve">assigned to </w:t>
      </w:r>
      <w:r w:rsidR="00D06F14">
        <w:rPr>
          <w:rFonts w:ascii="Times New Roman" w:hAnsi="Times New Roman" w:cs="Times New Roman"/>
          <w:sz w:val="24"/>
          <w:szCs w:val="24"/>
        </w:rPr>
        <w:t>their nearest ward using postcode data. Ward statistics may not have entirely reflected the area from which congregations were drawn, because churches are sometimes on the edge of their ward. However, this measurement error was small compared to the considerable variations in ward statistics between churches across the diocese.</w:t>
      </w:r>
    </w:p>
    <w:p w14:paraId="016C4B90" w14:textId="77777777" w:rsidR="00D06F14" w:rsidRPr="00DD4966" w:rsidRDefault="00D06F14"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Ethn</w:t>
      </w:r>
      <w:r w:rsidR="000730B1" w:rsidRPr="00DD4966">
        <w:rPr>
          <w:rFonts w:ascii="Times New Roman" w:hAnsi="Times New Roman" w:cs="Times New Roman"/>
          <w:b/>
          <w:sz w:val="24"/>
          <w:szCs w:val="24"/>
        </w:rPr>
        <w:t>ic diversity</w:t>
      </w:r>
    </w:p>
    <w:p w14:paraId="329B963A" w14:textId="77777777" w:rsidR="000730B1" w:rsidRPr="000730B1" w:rsidRDefault="00D06F14" w:rsidP="00DD4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Ethnic diversity </w:t>
      </w:r>
      <w:r w:rsidR="000730B1">
        <w:rPr>
          <w:rFonts w:ascii="Times New Roman" w:hAnsi="Times New Roman" w:cs="Times New Roman"/>
          <w:sz w:val="24"/>
          <w:szCs w:val="24"/>
        </w:rPr>
        <w:t>was measured with a variant of</w:t>
      </w:r>
      <w:r w:rsidR="000730B1" w:rsidRPr="000730B1">
        <w:rPr>
          <w:rFonts w:ascii="Times New Roman" w:hAnsi="Times New Roman" w:cs="Times New Roman"/>
          <w:sz w:val="24"/>
          <w:szCs w:val="24"/>
        </w:rPr>
        <w:t xml:space="preserve"> the entropy index  </w:t>
      </w:r>
      <w:r w:rsidR="000730B1" w:rsidRPr="000730B1">
        <w:rPr>
          <w:rFonts w:ascii="Times New Roman" w:hAnsi="Times New Roman" w:cs="Times New Roman"/>
          <w:sz w:val="24"/>
          <w:szCs w:val="24"/>
        </w:rPr>
        <w:fldChar w:fldCharType="begin"/>
      </w:r>
      <w:r w:rsidR="000730B1" w:rsidRPr="000730B1">
        <w:rPr>
          <w:rFonts w:ascii="Times New Roman" w:hAnsi="Times New Roman" w:cs="Times New Roman"/>
          <w:sz w:val="24"/>
          <w:szCs w:val="24"/>
        </w:rPr>
        <w:instrText xml:space="preserve"> ADDIN EN.CITE &lt;EndNote&gt;&lt;Cite&gt;&lt;Author&gt;Dougherty&lt;/Author&gt;&lt;Year&gt;2003&lt;/Year&gt;&lt;RecNum&gt;5024&lt;/RecNum&gt;&lt;DisplayText&gt;(Dougherty 2003)&lt;/DisplayText&gt;&lt;record&gt;&lt;rec-number&gt;5024&lt;/rec-number&gt;&lt;foreign-keys&gt;&lt;key app="EN" db-id="dz2asxs2ozta2me0007pzzx4ffzxzrre5tz0"&gt;5024&lt;/key&gt;&lt;/foreign-keys&gt;&lt;ref-type name="Journal Article"&gt;17&lt;/ref-type&gt;&lt;contributors&gt;&lt;authors&gt;&lt;author&gt;Dougherty, Kevin D.&lt;/author&gt;&lt;/authors&gt;&lt;/contributors&gt;&lt;titles&gt;&lt;title&gt;How monochromatic is church membership? Racial-ethnic diversity in religious community&lt;/title&gt;&lt;secondary-title&gt;Sociology of Religion&lt;/secondary-title&gt;&lt;/titles&gt;&lt;pages&gt;65-85&lt;/pages&gt;&lt;volume&gt;64&lt;/volume&gt;&lt;number&gt;1&lt;/number&gt;&lt;dates&gt;&lt;year&gt;2003&lt;/year&gt;&lt;pub-dates&gt;&lt;date&gt;March 20, 2003&lt;/date&gt;&lt;/pub-dates&gt;&lt;/dates&gt;&lt;urls&gt;&lt;related-urls&gt;&lt;url&gt;http://socrel.oxfordjournals.org/content/64/1/65.abstract&lt;/url&gt;&lt;/related-urls&gt;&lt;/urls&gt;&lt;electronic-resource-num&gt;10.2307/3712269&lt;/electronic-resource-num&gt;&lt;/record&gt;&lt;/Cite&gt;&lt;/EndNote&gt;</w:instrText>
      </w:r>
      <w:r w:rsidR="000730B1" w:rsidRPr="000730B1">
        <w:rPr>
          <w:rFonts w:ascii="Times New Roman" w:hAnsi="Times New Roman" w:cs="Times New Roman"/>
          <w:sz w:val="24"/>
          <w:szCs w:val="24"/>
        </w:rPr>
        <w:fldChar w:fldCharType="separate"/>
      </w:r>
      <w:r w:rsidR="000730B1" w:rsidRPr="000730B1">
        <w:rPr>
          <w:rFonts w:ascii="Times New Roman" w:hAnsi="Times New Roman" w:cs="Times New Roman"/>
          <w:sz w:val="24"/>
          <w:szCs w:val="24"/>
        </w:rPr>
        <w:t>(</w:t>
      </w:r>
      <w:hyperlink w:anchor="_ENREF_8" w:tooltip="Dougherty, 2003 #5024" w:history="1">
        <w:r w:rsidR="0054049E" w:rsidRPr="000730B1">
          <w:rPr>
            <w:rFonts w:ascii="Times New Roman" w:hAnsi="Times New Roman" w:cs="Times New Roman"/>
            <w:sz w:val="24"/>
            <w:szCs w:val="24"/>
          </w:rPr>
          <w:t>Dougherty</w:t>
        </w:r>
        <w:r w:rsidR="00DD4966">
          <w:rPr>
            <w:rFonts w:ascii="Times New Roman" w:hAnsi="Times New Roman" w:cs="Times New Roman"/>
            <w:sz w:val="24"/>
            <w:szCs w:val="24"/>
          </w:rPr>
          <w:t>,</w:t>
        </w:r>
        <w:r w:rsidR="0054049E" w:rsidRPr="000730B1">
          <w:rPr>
            <w:rFonts w:ascii="Times New Roman" w:hAnsi="Times New Roman" w:cs="Times New Roman"/>
            <w:sz w:val="24"/>
            <w:szCs w:val="24"/>
          </w:rPr>
          <w:t xml:space="preserve"> 2003</w:t>
        </w:r>
      </w:hyperlink>
      <w:r w:rsidR="000730B1" w:rsidRPr="000730B1">
        <w:rPr>
          <w:rFonts w:ascii="Times New Roman" w:hAnsi="Times New Roman" w:cs="Times New Roman"/>
          <w:sz w:val="24"/>
          <w:szCs w:val="24"/>
        </w:rPr>
        <w:t>)</w:t>
      </w:r>
      <w:r w:rsidR="000730B1" w:rsidRPr="000730B1">
        <w:rPr>
          <w:rFonts w:ascii="Times New Roman" w:hAnsi="Times New Roman" w:cs="Times New Roman"/>
          <w:sz w:val="24"/>
          <w:szCs w:val="24"/>
        </w:rPr>
        <w:fldChar w:fldCharType="end"/>
      </w:r>
      <w:r w:rsidR="000730B1">
        <w:rPr>
          <w:rFonts w:ascii="Times New Roman" w:hAnsi="Times New Roman" w:cs="Times New Roman"/>
          <w:sz w:val="24"/>
          <w:szCs w:val="24"/>
        </w:rPr>
        <w:t xml:space="preserve">, which uses the </w:t>
      </w:r>
      <w:r w:rsidR="00AC02F1">
        <w:rPr>
          <w:rFonts w:ascii="Times New Roman" w:hAnsi="Times New Roman" w:cs="Times New Roman"/>
          <w:sz w:val="24"/>
          <w:szCs w:val="24"/>
        </w:rPr>
        <w:t xml:space="preserve">proportionate frequency of different </w:t>
      </w:r>
      <w:r w:rsidR="000730B1">
        <w:rPr>
          <w:rFonts w:ascii="Times New Roman" w:hAnsi="Times New Roman" w:cs="Times New Roman"/>
          <w:sz w:val="24"/>
          <w:szCs w:val="24"/>
        </w:rPr>
        <w:t>group</w:t>
      </w:r>
      <w:r w:rsidR="00AC02F1">
        <w:rPr>
          <w:rFonts w:ascii="Times New Roman" w:hAnsi="Times New Roman" w:cs="Times New Roman"/>
          <w:sz w:val="24"/>
          <w:szCs w:val="24"/>
        </w:rPr>
        <w:t>s</w:t>
      </w:r>
      <w:r w:rsidR="000730B1">
        <w:rPr>
          <w:rFonts w:ascii="Times New Roman" w:hAnsi="Times New Roman" w:cs="Times New Roman"/>
          <w:sz w:val="24"/>
          <w:szCs w:val="24"/>
        </w:rPr>
        <w:t xml:space="preserve"> </w:t>
      </w:r>
      <w:r w:rsidR="00AC02F1">
        <w:rPr>
          <w:rFonts w:ascii="Times New Roman" w:hAnsi="Times New Roman" w:cs="Times New Roman"/>
          <w:sz w:val="24"/>
          <w:szCs w:val="24"/>
        </w:rPr>
        <w:t>to assess the</w:t>
      </w:r>
      <w:r w:rsidR="000730B1">
        <w:rPr>
          <w:rFonts w:ascii="Times New Roman" w:hAnsi="Times New Roman" w:cs="Times New Roman"/>
          <w:sz w:val="24"/>
          <w:szCs w:val="24"/>
        </w:rPr>
        <w:t xml:space="preserve"> </w:t>
      </w:r>
      <w:r w:rsidR="00AC02F1">
        <w:rPr>
          <w:rFonts w:ascii="Times New Roman" w:hAnsi="Times New Roman" w:cs="Times New Roman"/>
          <w:sz w:val="24"/>
          <w:szCs w:val="24"/>
        </w:rPr>
        <w:t xml:space="preserve">diversity of a population </w:t>
      </w:r>
      <w:r w:rsidR="000730B1">
        <w:rPr>
          <w:rFonts w:ascii="Times New Roman" w:hAnsi="Times New Roman" w:cs="Times New Roman"/>
          <w:sz w:val="24"/>
          <w:szCs w:val="24"/>
        </w:rPr>
        <w:t xml:space="preserve">(in this case either congregations, based on questionnaire returns, or electoral wards, based on Census data). In each case ethnicity was </w:t>
      </w:r>
      <w:r w:rsidR="0025370C">
        <w:rPr>
          <w:rFonts w:ascii="Times New Roman" w:hAnsi="Times New Roman" w:cs="Times New Roman"/>
          <w:sz w:val="24"/>
          <w:szCs w:val="24"/>
        </w:rPr>
        <w:t>ordered</w:t>
      </w:r>
      <w:r w:rsidR="000730B1">
        <w:rPr>
          <w:rFonts w:ascii="Times New Roman" w:hAnsi="Times New Roman" w:cs="Times New Roman"/>
          <w:sz w:val="24"/>
          <w:szCs w:val="24"/>
        </w:rPr>
        <w:t xml:space="preserve"> </w:t>
      </w:r>
      <w:r w:rsidR="0078647F">
        <w:rPr>
          <w:rFonts w:ascii="Times New Roman" w:hAnsi="Times New Roman" w:cs="Times New Roman"/>
          <w:sz w:val="24"/>
          <w:szCs w:val="24"/>
        </w:rPr>
        <w:t xml:space="preserve">into one of five categories </w:t>
      </w:r>
      <w:r w:rsidR="000730B1">
        <w:rPr>
          <w:rFonts w:ascii="Times New Roman" w:hAnsi="Times New Roman" w:cs="Times New Roman"/>
          <w:sz w:val="24"/>
          <w:szCs w:val="24"/>
        </w:rPr>
        <w:t>(</w:t>
      </w:r>
      <w:r w:rsidR="0078647F">
        <w:rPr>
          <w:rFonts w:ascii="Times New Roman" w:hAnsi="Times New Roman" w:cs="Times New Roman"/>
          <w:sz w:val="24"/>
          <w:szCs w:val="24"/>
        </w:rPr>
        <w:t>as used for congregation profiles</w:t>
      </w:r>
      <w:r w:rsidR="000730B1">
        <w:rPr>
          <w:rFonts w:ascii="Times New Roman" w:hAnsi="Times New Roman" w:cs="Times New Roman"/>
          <w:sz w:val="24"/>
          <w:szCs w:val="24"/>
        </w:rPr>
        <w:t>), so that it was possible to tell if congregations were more or less diverse than their neighbourhoods. This standardi</w:t>
      </w:r>
      <w:r w:rsidR="0078647F">
        <w:rPr>
          <w:rFonts w:ascii="Times New Roman" w:hAnsi="Times New Roman" w:cs="Times New Roman"/>
          <w:sz w:val="24"/>
          <w:szCs w:val="24"/>
        </w:rPr>
        <w:t>s</w:t>
      </w:r>
      <w:r w:rsidR="000730B1">
        <w:rPr>
          <w:rFonts w:ascii="Times New Roman" w:hAnsi="Times New Roman" w:cs="Times New Roman"/>
          <w:sz w:val="24"/>
          <w:szCs w:val="24"/>
        </w:rPr>
        <w:t>ed statistic can</w:t>
      </w:r>
      <w:r w:rsidR="0078647F">
        <w:rPr>
          <w:rFonts w:ascii="Times New Roman" w:hAnsi="Times New Roman" w:cs="Times New Roman"/>
          <w:sz w:val="24"/>
          <w:szCs w:val="24"/>
        </w:rPr>
        <w:t>,</w:t>
      </w:r>
      <w:r w:rsidR="000730B1">
        <w:rPr>
          <w:rFonts w:ascii="Times New Roman" w:hAnsi="Times New Roman" w:cs="Times New Roman"/>
          <w:sz w:val="24"/>
          <w:szCs w:val="24"/>
        </w:rPr>
        <w:t xml:space="preserve"> in theory</w:t>
      </w:r>
      <w:r w:rsidR="0078647F">
        <w:rPr>
          <w:rFonts w:ascii="Times New Roman" w:hAnsi="Times New Roman" w:cs="Times New Roman"/>
          <w:sz w:val="24"/>
          <w:szCs w:val="24"/>
        </w:rPr>
        <w:t>,</w:t>
      </w:r>
      <w:r w:rsidR="000730B1">
        <w:rPr>
          <w:rFonts w:ascii="Times New Roman" w:hAnsi="Times New Roman" w:cs="Times New Roman"/>
          <w:sz w:val="24"/>
          <w:szCs w:val="24"/>
        </w:rPr>
        <w:t xml:space="preserve"> range from </w:t>
      </w:r>
      <w:r w:rsidR="000730B1" w:rsidRPr="000730B1">
        <w:rPr>
          <w:rFonts w:ascii="Times New Roman" w:hAnsi="Times New Roman" w:cs="Times New Roman"/>
          <w:sz w:val="24"/>
          <w:szCs w:val="24"/>
        </w:rPr>
        <w:t>0 (= perfectly homogenous</w:t>
      </w:r>
      <w:r w:rsidR="000730B1">
        <w:rPr>
          <w:rFonts w:ascii="Times New Roman" w:hAnsi="Times New Roman" w:cs="Times New Roman"/>
          <w:sz w:val="24"/>
          <w:szCs w:val="24"/>
        </w:rPr>
        <w:t>, with only one group present</w:t>
      </w:r>
      <w:r w:rsidR="000730B1" w:rsidRPr="000730B1">
        <w:rPr>
          <w:rFonts w:ascii="Times New Roman" w:hAnsi="Times New Roman" w:cs="Times New Roman"/>
          <w:sz w:val="24"/>
          <w:szCs w:val="24"/>
        </w:rPr>
        <w:t xml:space="preserve">) to 1 (= all </w:t>
      </w:r>
      <w:r w:rsidR="000730B1">
        <w:rPr>
          <w:rFonts w:ascii="Times New Roman" w:hAnsi="Times New Roman" w:cs="Times New Roman"/>
          <w:sz w:val="24"/>
          <w:szCs w:val="24"/>
        </w:rPr>
        <w:t xml:space="preserve">five </w:t>
      </w:r>
      <w:r w:rsidR="000730B1" w:rsidRPr="000730B1">
        <w:rPr>
          <w:rFonts w:ascii="Times New Roman" w:hAnsi="Times New Roman" w:cs="Times New Roman"/>
          <w:sz w:val="24"/>
          <w:szCs w:val="24"/>
        </w:rPr>
        <w:t>groups equally represented).</w:t>
      </w:r>
    </w:p>
    <w:p w14:paraId="15DEEA6B" w14:textId="77777777" w:rsidR="00DB3BBC" w:rsidRPr="00DD4966" w:rsidRDefault="00DB3BBC" w:rsidP="003622DB">
      <w:pPr>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Analyses</w:t>
      </w:r>
    </w:p>
    <w:p w14:paraId="23D3C475" w14:textId="77777777" w:rsidR="00FE2F6F" w:rsidRDefault="00D3199E" w:rsidP="00DD496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parishes were group</w:t>
      </w:r>
      <w:r w:rsidR="0054049E">
        <w:rPr>
          <w:rFonts w:ascii="Times New Roman" w:hAnsi="Times New Roman" w:cs="Times New Roman"/>
          <w:sz w:val="24"/>
          <w:szCs w:val="24"/>
        </w:rPr>
        <w:t>ed</w:t>
      </w:r>
      <w:r>
        <w:rPr>
          <w:rFonts w:ascii="Times New Roman" w:hAnsi="Times New Roman" w:cs="Times New Roman"/>
          <w:sz w:val="24"/>
          <w:szCs w:val="24"/>
        </w:rPr>
        <w:t xml:space="preserve"> geographically into deaneries, the variation in growth between parishes within the same deanery was as great as the variation between deaneries, so there was no need to used mixed model analyses to allow for geographic grouping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&lt;EndNote&gt;&lt;Cite&gt;&lt;Author&gt;Bickel&lt;/Author&gt;&lt;Year&gt;2007&lt;/Year&gt;&lt;RecNum&gt;2531&lt;/RecNum&gt;&lt;DisplayText&gt;(Bickel 2007)&lt;/DisplayText&gt;&lt;record&gt;&lt;rec-number&gt;2531&lt;/rec-number&gt;&lt;foreign-keys&gt;&lt;key app="EN" db-id="dz2asxs2ozta2me0007pzzx4ffzxzrre5tz0"&gt;2531&lt;/key&gt;&lt;/foreign-keys&gt;&lt;ref-type name="Book"&gt;6&lt;/ref-type&gt;&lt;contributors&gt;&lt;authors&gt;&lt;author&gt;Robert Bickel&lt;/author&gt;&lt;/authors&gt;&lt;/contributors&gt;&lt;titles&gt;&lt;title&gt;Multilevel analysis for applied research: It&amp;apos;s just regression!&lt;/title&gt;&lt;/titles&gt;&lt;keywords&gt;&lt;keyword&gt;Multilevel models&lt;/keyword&gt;&lt;keyword&gt;Hierarchical models&lt;/keyword&gt;&lt;/keywords&gt;&lt;dates&gt;&lt;year&gt;2007&lt;/year&gt;&lt;/dates&gt;&lt;pub-location&gt;New York&lt;/pub-location&gt;&lt;publisher&gt;Guildford Press&lt;/publisher&gt;&lt;urls&gt;&lt;/urls&gt;&lt;custom1&gt;my pdf&lt;/custom1&gt;&lt;/record&gt;&lt;/Cite&gt;&lt;/EndNote&gt;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Bickel, 2007 #2531" w:history="1">
        <w:r w:rsidR="0054049E">
          <w:rPr>
            <w:rFonts w:ascii="Times New Roman" w:hAnsi="Times New Roman" w:cs="Times New Roman"/>
            <w:noProof/>
            <w:sz w:val="24"/>
            <w:szCs w:val="24"/>
          </w:rPr>
          <w:t>Bickel</w:t>
        </w:r>
        <w:r w:rsidR="00DD4966">
          <w:rPr>
            <w:rFonts w:ascii="Times New Roman" w:hAnsi="Times New Roman" w:cs="Times New Roman"/>
            <w:noProof/>
            <w:sz w:val="24"/>
            <w:szCs w:val="24"/>
          </w:rPr>
          <w:t>,</w:t>
        </w:r>
        <w:r w:rsidR="0054049E">
          <w:rPr>
            <w:rFonts w:ascii="Times New Roman" w:hAnsi="Times New Roman" w:cs="Times New Roman"/>
            <w:noProof/>
            <w:sz w:val="24"/>
            <w:szCs w:val="24"/>
          </w:rPr>
          <w:t xml:space="preserve"> 2007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Instead each parish was treated as an independent statistical unit.</w:t>
      </w:r>
      <w:r w:rsidR="0078647F">
        <w:rPr>
          <w:rFonts w:ascii="Times New Roman" w:hAnsi="Times New Roman" w:cs="Times New Roman"/>
          <w:sz w:val="24"/>
          <w:szCs w:val="24"/>
        </w:rPr>
        <w:t xml:space="preserve"> Growth was first examined to test for differences between deaneries to see if there was any geographical clustering of growth. </w:t>
      </w:r>
      <w:r>
        <w:rPr>
          <w:rFonts w:ascii="Times New Roman" w:hAnsi="Times New Roman" w:cs="Times New Roman"/>
          <w:sz w:val="24"/>
          <w:szCs w:val="24"/>
        </w:rPr>
        <w:t xml:space="preserve"> </w:t>
      </w:r>
      <w:r w:rsidR="00804AD6">
        <w:rPr>
          <w:rFonts w:ascii="Times New Roman" w:hAnsi="Times New Roman" w:cs="Times New Roman"/>
          <w:sz w:val="24"/>
          <w:szCs w:val="24"/>
        </w:rPr>
        <w:t xml:space="preserve">Hierarchical linear regression was </w:t>
      </w:r>
      <w:r w:rsidR="0078647F">
        <w:rPr>
          <w:rFonts w:ascii="Times New Roman" w:hAnsi="Times New Roman" w:cs="Times New Roman"/>
          <w:sz w:val="24"/>
          <w:szCs w:val="24"/>
        </w:rPr>
        <w:t xml:space="preserve">then </w:t>
      </w:r>
      <w:r w:rsidR="00804AD6">
        <w:rPr>
          <w:rFonts w:ascii="Times New Roman" w:hAnsi="Times New Roman" w:cs="Times New Roman"/>
          <w:sz w:val="24"/>
          <w:szCs w:val="24"/>
        </w:rPr>
        <w:t>used to test the effects of predictor variables, starting with congregational profiles and then adding neighbourhood statistics.</w:t>
      </w:r>
    </w:p>
    <w:p w14:paraId="0E247378" w14:textId="77777777" w:rsidR="00873E1B" w:rsidRPr="00DD4966" w:rsidRDefault="00DD4966" w:rsidP="00DD4966">
      <w:pPr>
        <w:autoSpaceDE w:val="0"/>
        <w:autoSpaceDN w:val="0"/>
        <w:adjustRightInd w:val="0"/>
        <w:spacing w:after="0" w:line="480" w:lineRule="auto"/>
        <w:jc w:val="center"/>
        <w:rPr>
          <w:rFonts w:ascii="Times New Roman" w:hAnsi="Times New Roman" w:cs="Times New Roman"/>
          <w:b/>
          <w:sz w:val="24"/>
          <w:szCs w:val="24"/>
        </w:rPr>
      </w:pPr>
      <w:r w:rsidRPr="00DD4966">
        <w:rPr>
          <w:rFonts w:ascii="Times New Roman" w:hAnsi="Times New Roman" w:cs="Times New Roman"/>
          <w:b/>
          <w:sz w:val="24"/>
          <w:szCs w:val="24"/>
        </w:rPr>
        <w:t>Results</w:t>
      </w:r>
    </w:p>
    <w:p w14:paraId="276E6BD8" w14:textId="77777777" w:rsidR="00873E1B" w:rsidRPr="00DD4966" w:rsidRDefault="00873E1B" w:rsidP="003622DB">
      <w:pPr>
        <w:autoSpaceDE w:val="0"/>
        <w:autoSpaceDN w:val="0"/>
        <w:adjustRightInd w:val="0"/>
        <w:spacing w:after="0" w:line="480" w:lineRule="auto"/>
        <w:rPr>
          <w:rFonts w:ascii="Times New Roman" w:hAnsi="Times New Roman" w:cs="Times New Roman"/>
          <w:b/>
          <w:sz w:val="24"/>
          <w:szCs w:val="24"/>
        </w:rPr>
      </w:pPr>
      <w:r w:rsidRPr="00DD4966">
        <w:rPr>
          <w:rFonts w:ascii="Times New Roman" w:hAnsi="Times New Roman" w:cs="Times New Roman"/>
          <w:b/>
          <w:sz w:val="24"/>
          <w:szCs w:val="24"/>
        </w:rPr>
        <w:t>Overall level of growth</w:t>
      </w:r>
    </w:p>
    <w:p w14:paraId="522C03DD" w14:textId="77777777" w:rsidR="009A28BD" w:rsidRPr="00F636D7" w:rsidRDefault="009A28BD" w:rsidP="00DD496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332 churches in the sample, 28 had an average decline in uSa from 2000 to 2008, 15 showed no average change, and the remain</w:t>
      </w:r>
      <w:r w:rsidR="0054049E">
        <w:rPr>
          <w:rFonts w:ascii="Times New Roman" w:hAnsi="Times New Roman" w:cs="Times New Roman"/>
          <w:sz w:val="24"/>
          <w:szCs w:val="24"/>
        </w:rPr>
        <w:t>der</w:t>
      </w:r>
      <w:r>
        <w:rPr>
          <w:rFonts w:ascii="Times New Roman" w:hAnsi="Times New Roman" w:cs="Times New Roman"/>
          <w:sz w:val="24"/>
          <w:szCs w:val="24"/>
        </w:rPr>
        <w:t xml:space="preserve"> showed some level of growth. Growth was modest, with 265 churches growing at less than 0.2 percent per year on average. </w:t>
      </w:r>
      <w:r w:rsidR="003E5A13">
        <w:rPr>
          <w:rFonts w:ascii="Times New Roman" w:hAnsi="Times New Roman" w:cs="Times New Roman"/>
          <w:sz w:val="24"/>
          <w:szCs w:val="24"/>
        </w:rPr>
        <w:t>In 2001 the</w:t>
      </w:r>
      <w:r w:rsidR="0054049E">
        <w:rPr>
          <w:rFonts w:ascii="Times New Roman" w:hAnsi="Times New Roman" w:cs="Times New Roman"/>
          <w:sz w:val="24"/>
          <w:szCs w:val="24"/>
        </w:rPr>
        <w:t xml:space="preserve"> total</w:t>
      </w:r>
      <w:r w:rsidR="003E5A13">
        <w:rPr>
          <w:rFonts w:ascii="Times New Roman" w:hAnsi="Times New Roman" w:cs="Times New Roman"/>
          <w:sz w:val="24"/>
          <w:szCs w:val="24"/>
        </w:rPr>
        <w:t xml:space="preserve"> uSa for all churches was 78,792; in 2008 </w:t>
      </w:r>
      <w:r w:rsidR="00873E1B">
        <w:rPr>
          <w:rFonts w:ascii="Times New Roman" w:hAnsi="Times New Roman" w:cs="Times New Roman"/>
          <w:sz w:val="24"/>
          <w:szCs w:val="24"/>
        </w:rPr>
        <w:t xml:space="preserve">it was 82,066, an increase of </w:t>
      </w:r>
      <w:r w:rsidR="003E5A13">
        <w:rPr>
          <w:rFonts w:ascii="Times New Roman" w:hAnsi="Times New Roman" w:cs="Times New Roman"/>
          <w:sz w:val="24"/>
          <w:szCs w:val="24"/>
        </w:rPr>
        <w:t xml:space="preserve">around 4 per cent. Over the </w:t>
      </w:r>
      <w:r w:rsidR="00873E1B">
        <w:rPr>
          <w:rFonts w:ascii="Times New Roman" w:hAnsi="Times New Roman" w:cs="Times New Roman"/>
          <w:sz w:val="24"/>
          <w:szCs w:val="24"/>
        </w:rPr>
        <w:t>same period</w:t>
      </w:r>
      <w:r w:rsidR="003E5A13">
        <w:rPr>
          <w:rFonts w:ascii="Times New Roman" w:hAnsi="Times New Roman" w:cs="Times New Roman"/>
          <w:sz w:val="24"/>
          <w:szCs w:val="24"/>
        </w:rPr>
        <w:t xml:space="preserve"> the population of the diocese grew from 2.39 million to 2.</w:t>
      </w:r>
      <w:r w:rsidR="00873E1B">
        <w:rPr>
          <w:rFonts w:ascii="Times New Roman" w:hAnsi="Times New Roman" w:cs="Times New Roman"/>
          <w:sz w:val="24"/>
          <w:szCs w:val="24"/>
        </w:rPr>
        <w:t xml:space="preserve">53 million, an increase of around 6 per cent. </w:t>
      </w:r>
      <w:r w:rsidR="003E5A13">
        <w:rPr>
          <w:rFonts w:ascii="Times New Roman" w:hAnsi="Times New Roman" w:cs="Times New Roman"/>
          <w:sz w:val="24"/>
          <w:szCs w:val="24"/>
        </w:rPr>
        <w:t>Southwark</w:t>
      </w:r>
      <w:r>
        <w:rPr>
          <w:rFonts w:ascii="Times New Roman" w:hAnsi="Times New Roman" w:cs="Times New Roman"/>
          <w:sz w:val="24"/>
          <w:szCs w:val="24"/>
        </w:rPr>
        <w:t xml:space="preserve"> Diocese has been unusual compared with the most of the Church of England, not because it grew m</w:t>
      </w:r>
      <w:r w:rsidR="0054049E">
        <w:rPr>
          <w:rFonts w:ascii="Times New Roman" w:hAnsi="Times New Roman" w:cs="Times New Roman"/>
          <w:sz w:val="24"/>
          <w:szCs w:val="24"/>
        </w:rPr>
        <w:t>arkedly, but because the number</w:t>
      </w:r>
      <w:r>
        <w:rPr>
          <w:rFonts w:ascii="Times New Roman" w:hAnsi="Times New Roman" w:cs="Times New Roman"/>
          <w:sz w:val="24"/>
          <w:szCs w:val="24"/>
        </w:rPr>
        <w:t xml:space="preserve"> of worshippers </w:t>
      </w:r>
      <w:r w:rsidR="00F636D7">
        <w:rPr>
          <w:rFonts w:ascii="Times New Roman" w:hAnsi="Times New Roman" w:cs="Times New Roman"/>
          <w:sz w:val="24"/>
          <w:szCs w:val="24"/>
        </w:rPr>
        <w:t xml:space="preserve">was maintained, or slightly increased, rather than declined.  Growing churches were evenly distributed across the diocese, and there was no significant difference between the 26 deaneries </w:t>
      </w:r>
      <w:r w:rsidR="00F636D7" w:rsidRPr="00D02CCB">
        <w:rPr>
          <w:rFonts w:ascii="Times New Roman" w:hAnsi="Times New Roman" w:cs="Times New Roman"/>
          <w:sz w:val="24"/>
          <w:szCs w:val="24"/>
        </w:rPr>
        <w:t>(</w:t>
      </w:r>
      <w:proofErr w:type="gramStart"/>
      <w:r w:rsidR="00F636D7" w:rsidRPr="00D02CCB">
        <w:rPr>
          <w:rFonts w:ascii="Times New Roman" w:hAnsi="Times New Roman" w:cs="Times New Roman"/>
          <w:i/>
          <w:sz w:val="24"/>
          <w:szCs w:val="24"/>
        </w:rPr>
        <w:t>F</w:t>
      </w:r>
      <w:r w:rsidR="00F636D7" w:rsidRPr="00D02CCB">
        <w:rPr>
          <w:rFonts w:ascii="Times New Roman" w:hAnsi="Times New Roman" w:cs="Times New Roman"/>
          <w:sz w:val="24"/>
          <w:szCs w:val="24"/>
        </w:rPr>
        <w:t>(</w:t>
      </w:r>
      <w:proofErr w:type="gramEnd"/>
      <w:r w:rsidR="00F636D7" w:rsidRPr="00D02CCB">
        <w:rPr>
          <w:rFonts w:ascii="Times New Roman" w:hAnsi="Times New Roman" w:cs="Times New Roman"/>
          <w:sz w:val="24"/>
          <w:szCs w:val="24"/>
        </w:rPr>
        <w:t>1,25)</w:t>
      </w:r>
      <w:r w:rsidR="00F636D7">
        <w:rPr>
          <w:rFonts w:ascii="Times New Roman" w:hAnsi="Times New Roman" w:cs="Times New Roman"/>
          <w:sz w:val="24"/>
          <w:szCs w:val="24"/>
        </w:rPr>
        <w:t xml:space="preserve"> = 1.50, </w:t>
      </w:r>
      <w:r w:rsidR="00F636D7">
        <w:rPr>
          <w:rFonts w:ascii="Times New Roman" w:hAnsi="Times New Roman" w:cs="Times New Roman"/>
          <w:i/>
          <w:sz w:val="24"/>
          <w:szCs w:val="24"/>
        </w:rPr>
        <w:t>p</w:t>
      </w:r>
      <w:r w:rsidR="00F636D7">
        <w:rPr>
          <w:rFonts w:ascii="Times New Roman" w:hAnsi="Times New Roman" w:cs="Times New Roman"/>
          <w:sz w:val="24"/>
          <w:szCs w:val="24"/>
        </w:rPr>
        <w:t xml:space="preserve"> = .06). The pattern of growth between churches was similar across the diocese, with just a few churches in each </w:t>
      </w:r>
      <w:proofErr w:type="spellStart"/>
      <w:r w:rsidR="00F636D7">
        <w:rPr>
          <w:rFonts w:ascii="Times New Roman" w:hAnsi="Times New Roman" w:cs="Times New Roman"/>
          <w:sz w:val="24"/>
          <w:szCs w:val="24"/>
        </w:rPr>
        <w:t>archdeanery</w:t>
      </w:r>
      <w:proofErr w:type="spellEnd"/>
      <w:r w:rsidR="00F636D7">
        <w:rPr>
          <w:rFonts w:ascii="Times New Roman" w:hAnsi="Times New Roman" w:cs="Times New Roman"/>
          <w:sz w:val="24"/>
          <w:szCs w:val="24"/>
        </w:rPr>
        <w:t xml:space="preserve"> growing at</w:t>
      </w:r>
      <w:r w:rsidR="00771691">
        <w:rPr>
          <w:rFonts w:ascii="Times New Roman" w:hAnsi="Times New Roman" w:cs="Times New Roman"/>
          <w:sz w:val="24"/>
          <w:szCs w:val="24"/>
        </w:rPr>
        <w:t xml:space="preserve"> more than 0.2 percent per year (Figure 1)</w:t>
      </w:r>
      <w:r w:rsidR="00DE08C8">
        <w:rPr>
          <w:rFonts w:ascii="Times New Roman" w:hAnsi="Times New Roman" w:cs="Times New Roman"/>
          <w:sz w:val="24"/>
          <w:szCs w:val="24"/>
        </w:rPr>
        <w:t>.</w:t>
      </w:r>
    </w:p>
    <w:p w14:paraId="7D9D14ED" w14:textId="77777777" w:rsidR="009A28BD" w:rsidRDefault="00DE08C8" w:rsidP="00DE08C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f</w:t>
      </w:r>
      <w:r w:rsidR="00771691">
        <w:rPr>
          <w:rFonts w:ascii="Times New Roman" w:hAnsi="Times New Roman" w:cs="Times New Roman"/>
          <w:sz w:val="24"/>
          <w:szCs w:val="24"/>
        </w:rPr>
        <w:t>igure</w:t>
      </w:r>
      <w:r>
        <w:rPr>
          <w:rFonts w:ascii="Times New Roman" w:hAnsi="Times New Roman" w:cs="Times New Roman"/>
          <w:sz w:val="24"/>
          <w:szCs w:val="24"/>
        </w:rPr>
        <w:t>s</w:t>
      </w:r>
      <w:r w:rsidR="00771691">
        <w:rPr>
          <w:rFonts w:ascii="Times New Roman" w:hAnsi="Times New Roman" w:cs="Times New Roman"/>
          <w:sz w:val="24"/>
          <w:szCs w:val="24"/>
        </w:rPr>
        <w:t xml:space="preserve"> 1</w:t>
      </w:r>
      <w:r>
        <w:rPr>
          <w:rFonts w:ascii="Times New Roman" w:hAnsi="Times New Roman" w:cs="Times New Roman"/>
          <w:sz w:val="24"/>
          <w:szCs w:val="24"/>
        </w:rPr>
        <w:t>, 2, 3, and 4 about here</w:t>
      </w:r>
      <w:r w:rsidR="00D02CCB">
        <w:rPr>
          <w:rFonts w:ascii="Times New Roman" w:hAnsi="Times New Roman" w:cs="Times New Roman"/>
          <w:sz w:val="24"/>
          <w:szCs w:val="24"/>
        </w:rPr>
        <w:t xml:space="preserve"> </w:t>
      </w:r>
      <w:r>
        <w:rPr>
          <w:rFonts w:ascii="Times New Roman" w:hAnsi="Times New Roman" w:cs="Times New Roman"/>
          <w:sz w:val="24"/>
          <w:szCs w:val="24"/>
        </w:rPr>
        <w:t>-</w:t>
      </w:r>
    </w:p>
    <w:p w14:paraId="0E38D651" w14:textId="77777777" w:rsidR="00771691" w:rsidRPr="00DE08C8" w:rsidRDefault="00873E1B" w:rsidP="003622DB">
      <w:pPr>
        <w:autoSpaceDE w:val="0"/>
        <w:autoSpaceDN w:val="0"/>
        <w:adjustRightInd w:val="0"/>
        <w:spacing w:after="0" w:line="480" w:lineRule="auto"/>
        <w:rPr>
          <w:rFonts w:ascii="Times New Roman" w:hAnsi="Times New Roman" w:cs="Times New Roman"/>
          <w:b/>
          <w:sz w:val="24"/>
          <w:szCs w:val="24"/>
        </w:rPr>
      </w:pPr>
      <w:r w:rsidRPr="00DE08C8">
        <w:rPr>
          <w:rFonts w:ascii="Times New Roman" w:hAnsi="Times New Roman" w:cs="Times New Roman"/>
          <w:b/>
          <w:sz w:val="24"/>
          <w:szCs w:val="24"/>
        </w:rPr>
        <w:t>Ethnic diversity</w:t>
      </w:r>
    </w:p>
    <w:p w14:paraId="35828B9D" w14:textId="77777777" w:rsidR="00771691" w:rsidRDefault="00873E1B" w:rsidP="00DE08C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ethnic diversity of the 332 electoral wards in which churches were situated </w:t>
      </w:r>
      <w:r w:rsidR="00A11FCE">
        <w:rPr>
          <w:rFonts w:ascii="Times New Roman" w:hAnsi="Times New Roman" w:cs="Times New Roman"/>
          <w:sz w:val="24"/>
          <w:szCs w:val="24"/>
        </w:rPr>
        <w:t>was lower, on average, among those wards that were most distant from Southwark cathedral (</w:t>
      </w:r>
      <w:r w:rsidR="00AA2792">
        <w:rPr>
          <w:rFonts w:ascii="Times New Roman" w:hAnsi="Times New Roman" w:cs="Times New Roman"/>
          <w:sz w:val="24"/>
          <w:szCs w:val="24"/>
        </w:rPr>
        <w:t>f</w:t>
      </w:r>
      <w:r w:rsidR="00A11FCE">
        <w:rPr>
          <w:rFonts w:ascii="Times New Roman" w:hAnsi="Times New Roman" w:cs="Times New Roman"/>
          <w:sz w:val="24"/>
          <w:szCs w:val="24"/>
        </w:rPr>
        <w:t>ig</w:t>
      </w:r>
      <w:r w:rsidR="00AA2792">
        <w:rPr>
          <w:rFonts w:ascii="Times New Roman" w:hAnsi="Times New Roman" w:cs="Times New Roman"/>
          <w:sz w:val="24"/>
          <w:szCs w:val="24"/>
        </w:rPr>
        <w:t>ure</w:t>
      </w:r>
      <w:r w:rsidR="00A11FCE">
        <w:rPr>
          <w:rFonts w:ascii="Times New Roman" w:hAnsi="Times New Roman" w:cs="Times New Roman"/>
          <w:sz w:val="24"/>
          <w:szCs w:val="24"/>
        </w:rPr>
        <w:t xml:space="preserve"> 2)</w:t>
      </w:r>
      <w:r w:rsidR="0081768A">
        <w:rPr>
          <w:rFonts w:ascii="Times New Roman" w:hAnsi="Times New Roman" w:cs="Times New Roman"/>
          <w:sz w:val="24"/>
          <w:szCs w:val="24"/>
        </w:rPr>
        <w:t xml:space="preserve">. </w:t>
      </w:r>
      <w:r w:rsidR="00A11FCE">
        <w:rPr>
          <w:rFonts w:ascii="Times New Roman" w:hAnsi="Times New Roman" w:cs="Times New Roman"/>
          <w:sz w:val="24"/>
          <w:szCs w:val="24"/>
        </w:rPr>
        <w:t xml:space="preserve"> This represents the fact that it is the inner city wards that have the most racially mixed populations, and where immigrants have tended to settle. The ethnic diversity of the church congregations followed a similar trend, but there was more variation in inner city churches, which were sometimes much less </w:t>
      </w:r>
      <w:r w:rsidR="0081768A">
        <w:rPr>
          <w:rFonts w:ascii="Times New Roman" w:hAnsi="Times New Roman" w:cs="Times New Roman"/>
          <w:sz w:val="24"/>
          <w:szCs w:val="24"/>
        </w:rPr>
        <w:t xml:space="preserve">ethnically </w:t>
      </w:r>
      <w:r w:rsidR="00A11FCE">
        <w:rPr>
          <w:rFonts w:ascii="Times New Roman" w:hAnsi="Times New Roman" w:cs="Times New Roman"/>
          <w:sz w:val="24"/>
          <w:szCs w:val="24"/>
        </w:rPr>
        <w:t>diverse than the surrounding neig</w:t>
      </w:r>
      <w:r w:rsidR="0081768A">
        <w:rPr>
          <w:rFonts w:ascii="Times New Roman" w:hAnsi="Times New Roman" w:cs="Times New Roman"/>
          <w:sz w:val="24"/>
          <w:szCs w:val="24"/>
        </w:rPr>
        <w:t>hbourhood (</w:t>
      </w:r>
      <w:r w:rsidR="00AA2792">
        <w:rPr>
          <w:rFonts w:ascii="Times New Roman" w:hAnsi="Times New Roman" w:cs="Times New Roman"/>
          <w:sz w:val="24"/>
          <w:szCs w:val="24"/>
        </w:rPr>
        <w:t>f</w:t>
      </w:r>
      <w:r w:rsidR="0081768A">
        <w:rPr>
          <w:rFonts w:ascii="Times New Roman" w:hAnsi="Times New Roman" w:cs="Times New Roman"/>
          <w:sz w:val="24"/>
          <w:szCs w:val="24"/>
        </w:rPr>
        <w:t xml:space="preserve">igure 3). The diversity index does not indicate which group dominates when diversity </w:t>
      </w:r>
      <w:r w:rsidR="00AA2792">
        <w:rPr>
          <w:rFonts w:ascii="Times New Roman" w:hAnsi="Times New Roman" w:cs="Times New Roman"/>
          <w:sz w:val="24"/>
          <w:szCs w:val="24"/>
        </w:rPr>
        <w:t xml:space="preserve">is </w:t>
      </w:r>
      <w:r w:rsidR="0081768A">
        <w:rPr>
          <w:rFonts w:ascii="Times New Roman" w:hAnsi="Times New Roman" w:cs="Times New Roman"/>
          <w:sz w:val="24"/>
          <w:szCs w:val="24"/>
        </w:rPr>
        <w:t>low, but in nearly all cases it was, as mig</w:t>
      </w:r>
      <w:r w:rsidR="00AA2792">
        <w:rPr>
          <w:rFonts w:ascii="Times New Roman" w:hAnsi="Times New Roman" w:cs="Times New Roman"/>
          <w:sz w:val="24"/>
          <w:szCs w:val="24"/>
        </w:rPr>
        <w:t>ht be expected, White British (f</w:t>
      </w:r>
      <w:r w:rsidR="0081768A">
        <w:rPr>
          <w:rFonts w:ascii="Times New Roman" w:hAnsi="Times New Roman" w:cs="Times New Roman"/>
          <w:sz w:val="24"/>
          <w:szCs w:val="24"/>
        </w:rPr>
        <w:t xml:space="preserve">igure </w:t>
      </w:r>
      <w:r w:rsidR="001041BF">
        <w:rPr>
          <w:rFonts w:ascii="Times New Roman" w:hAnsi="Times New Roman" w:cs="Times New Roman"/>
          <w:sz w:val="24"/>
          <w:szCs w:val="24"/>
        </w:rPr>
        <w:t xml:space="preserve">4). The churches in Lewisham </w:t>
      </w:r>
      <w:r w:rsidR="00AA2792">
        <w:rPr>
          <w:rFonts w:ascii="Times New Roman" w:hAnsi="Times New Roman" w:cs="Times New Roman"/>
          <w:sz w:val="24"/>
          <w:szCs w:val="24"/>
        </w:rPr>
        <w:t>and</w:t>
      </w:r>
      <w:r w:rsidR="001041BF">
        <w:rPr>
          <w:rFonts w:ascii="Times New Roman" w:hAnsi="Times New Roman" w:cs="Times New Roman"/>
          <w:sz w:val="24"/>
          <w:szCs w:val="24"/>
        </w:rPr>
        <w:t xml:space="preserve"> Greenwich, Southwark, and Lambeth </w:t>
      </w:r>
      <w:proofErr w:type="spellStart"/>
      <w:r w:rsidR="001041BF">
        <w:rPr>
          <w:rFonts w:ascii="Times New Roman" w:hAnsi="Times New Roman" w:cs="Times New Roman"/>
          <w:sz w:val="24"/>
          <w:szCs w:val="24"/>
        </w:rPr>
        <w:t>archdeaneries</w:t>
      </w:r>
      <w:proofErr w:type="spellEnd"/>
      <w:r w:rsidR="001041BF">
        <w:rPr>
          <w:rFonts w:ascii="Times New Roman" w:hAnsi="Times New Roman" w:cs="Times New Roman"/>
          <w:sz w:val="24"/>
          <w:szCs w:val="24"/>
        </w:rPr>
        <w:t xml:space="preserve"> that had low diversity and few White British were almost all ones with a high percentage of Black Africans.</w:t>
      </w:r>
    </w:p>
    <w:p w14:paraId="6C32C3A0" w14:textId="77777777" w:rsidR="001041BF" w:rsidRDefault="00FE39FF" w:rsidP="003622DB">
      <w:pPr>
        <w:autoSpaceDE w:val="0"/>
        <w:autoSpaceDN w:val="0"/>
        <w:adjustRightInd w:val="0"/>
        <w:spacing w:after="0" w:line="480" w:lineRule="auto"/>
        <w:rPr>
          <w:rFonts w:ascii="Times New Roman" w:hAnsi="Times New Roman" w:cs="Times New Roman"/>
          <w:b/>
          <w:sz w:val="24"/>
          <w:szCs w:val="24"/>
        </w:rPr>
      </w:pPr>
      <w:r w:rsidRPr="00AA2792">
        <w:rPr>
          <w:rFonts w:ascii="Times New Roman" w:hAnsi="Times New Roman" w:cs="Times New Roman"/>
          <w:b/>
          <w:sz w:val="24"/>
          <w:szCs w:val="24"/>
        </w:rPr>
        <w:t>Congregational profiles</w:t>
      </w:r>
    </w:p>
    <w:p w14:paraId="7287B6CD" w14:textId="77777777" w:rsidR="00AA2792" w:rsidRPr="00AA2792" w:rsidRDefault="00AA2792" w:rsidP="00AA279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1 about here -</w:t>
      </w:r>
    </w:p>
    <w:p w14:paraId="5B7CC30B" w14:textId="77777777" w:rsidR="00FE39FF" w:rsidRDefault="00FE39FF" w:rsidP="00AA279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various measures of congregation profile were correlated with one another (</w:t>
      </w:r>
      <w:r w:rsidR="00AA2792">
        <w:rPr>
          <w:rFonts w:ascii="Times New Roman" w:hAnsi="Times New Roman" w:cs="Times New Roman"/>
          <w:sz w:val="24"/>
          <w:szCs w:val="24"/>
        </w:rPr>
        <w:t>t</w:t>
      </w:r>
      <w:r>
        <w:rPr>
          <w:rFonts w:ascii="Times New Roman" w:hAnsi="Times New Roman" w:cs="Times New Roman"/>
          <w:sz w:val="24"/>
          <w:szCs w:val="24"/>
        </w:rPr>
        <w:t>able 1).  In general, larger congregations tended to more eclectic, older, White British, and less ethnically diverse. Black Caribbean and Black African churches tended to</w:t>
      </w:r>
      <w:r w:rsidR="00033F12">
        <w:rPr>
          <w:rFonts w:ascii="Times New Roman" w:hAnsi="Times New Roman" w:cs="Times New Roman"/>
          <w:sz w:val="24"/>
          <w:szCs w:val="24"/>
        </w:rPr>
        <w:t xml:space="preserve"> be </w:t>
      </w:r>
      <w:r>
        <w:rPr>
          <w:rFonts w:ascii="Times New Roman" w:hAnsi="Times New Roman" w:cs="Times New Roman"/>
          <w:sz w:val="24"/>
          <w:szCs w:val="24"/>
        </w:rPr>
        <w:t>smaller, to draw on nearby populations, and to have younger worshippers.</w:t>
      </w:r>
    </w:p>
    <w:p w14:paraId="5C535E7A" w14:textId="77777777" w:rsidR="00033F12" w:rsidRDefault="00033F12" w:rsidP="003622DB">
      <w:pPr>
        <w:autoSpaceDE w:val="0"/>
        <w:autoSpaceDN w:val="0"/>
        <w:adjustRightInd w:val="0"/>
        <w:spacing w:after="0" w:line="480" w:lineRule="auto"/>
        <w:rPr>
          <w:rFonts w:ascii="Times New Roman" w:hAnsi="Times New Roman" w:cs="Times New Roman"/>
          <w:b/>
          <w:sz w:val="24"/>
          <w:szCs w:val="24"/>
        </w:rPr>
      </w:pPr>
      <w:r w:rsidRPr="00AA2792">
        <w:rPr>
          <w:rFonts w:ascii="Times New Roman" w:hAnsi="Times New Roman" w:cs="Times New Roman"/>
          <w:b/>
          <w:sz w:val="24"/>
          <w:szCs w:val="24"/>
        </w:rPr>
        <w:t xml:space="preserve">Predictors of </w:t>
      </w:r>
      <w:r w:rsidR="00AA2792">
        <w:rPr>
          <w:rFonts w:ascii="Times New Roman" w:hAnsi="Times New Roman" w:cs="Times New Roman"/>
          <w:b/>
          <w:sz w:val="24"/>
          <w:szCs w:val="24"/>
        </w:rPr>
        <w:t>g</w:t>
      </w:r>
      <w:r w:rsidRPr="00AA2792">
        <w:rPr>
          <w:rFonts w:ascii="Times New Roman" w:hAnsi="Times New Roman" w:cs="Times New Roman"/>
          <w:b/>
          <w:sz w:val="24"/>
          <w:szCs w:val="24"/>
        </w:rPr>
        <w:t>rowth</w:t>
      </w:r>
    </w:p>
    <w:p w14:paraId="055C543A" w14:textId="77777777" w:rsidR="00AA2792" w:rsidRPr="00AA2792" w:rsidRDefault="00AA2792" w:rsidP="00AA279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2 about here -</w:t>
      </w:r>
    </w:p>
    <w:p w14:paraId="4217E9BF" w14:textId="77777777" w:rsidR="00AA2792" w:rsidRDefault="000747FB" w:rsidP="00AA279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percentage of White British in congregations and wards was closely inversely correlated with the corresponding percentage of Black Caribbeans or Black Africans, so only the latter two variables were included in the regression models in </w:t>
      </w:r>
      <w:r w:rsidR="00AA2792">
        <w:rPr>
          <w:rFonts w:ascii="Times New Roman" w:hAnsi="Times New Roman" w:cs="Times New Roman"/>
          <w:sz w:val="24"/>
          <w:szCs w:val="24"/>
        </w:rPr>
        <w:t>t</w:t>
      </w:r>
      <w:r>
        <w:rPr>
          <w:rFonts w:ascii="Times New Roman" w:hAnsi="Times New Roman" w:cs="Times New Roman"/>
          <w:sz w:val="24"/>
          <w:szCs w:val="24"/>
        </w:rPr>
        <w:t>able 2. Model 1 showed that</w:t>
      </w:r>
      <w:r w:rsidR="00AA2792">
        <w:rPr>
          <w:rFonts w:ascii="Times New Roman" w:hAnsi="Times New Roman" w:cs="Times New Roman"/>
          <w:sz w:val="24"/>
          <w:szCs w:val="24"/>
        </w:rPr>
        <w:t>,</w:t>
      </w:r>
      <w:r>
        <w:rPr>
          <w:rFonts w:ascii="Times New Roman" w:hAnsi="Times New Roman" w:cs="Times New Roman"/>
          <w:sz w:val="24"/>
          <w:szCs w:val="24"/>
        </w:rPr>
        <w:t xml:space="preserve"> with the effects of age allowed for, neither congregation size nor degree of eclecticism added more predictive information about the average annual percentage growth rate. Larger churches may have had a higher absolute growth rate, but not in terms of percentage growth. Adding ethnic profile suggested that congregations with a higher proportion of Black Caribbeans had significantly lower growth. Those with a higher percentage of Black Africans had larger growth, but this effect was not quite statistically significant (</w:t>
      </w:r>
      <w:r>
        <w:rPr>
          <w:rFonts w:ascii="Times New Roman" w:hAnsi="Times New Roman" w:cs="Times New Roman"/>
          <w:i/>
          <w:sz w:val="24"/>
          <w:szCs w:val="24"/>
        </w:rPr>
        <w:t>p</w:t>
      </w:r>
      <w:r>
        <w:rPr>
          <w:rFonts w:ascii="Times New Roman" w:hAnsi="Times New Roman" w:cs="Times New Roman"/>
          <w:sz w:val="24"/>
          <w:szCs w:val="24"/>
        </w:rPr>
        <w:t xml:space="preserve"> = .0</w:t>
      </w:r>
      <w:r w:rsidR="00715EB7">
        <w:rPr>
          <w:rFonts w:ascii="Times New Roman" w:hAnsi="Times New Roman" w:cs="Times New Roman"/>
          <w:sz w:val="24"/>
          <w:szCs w:val="24"/>
        </w:rPr>
        <w:t xml:space="preserve">6). Adding the ethnic profile of the ward (Model 3) suggested that growth was better predicted by this than congregation profiles. Churches in wards with a high proportion of Black Caribbeans tended to grow less, and those with a high proportion of Black Africans grew more, on average. Ethnic diversity of congregation or </w:t>
      </w:r>
      <w:r w:rsidR="0025370C">
        <w:rPr>
          <w:rFonts w:ascii="Times New Roman" w:hAnsi="Times New Roman" w:cs="Times New Roman"/>
          <w:sz w:val="24"/>
          <w:szCs w:val="24"/>
        </w:rPr>
        <w:t xml:space="preserve">ward </w:t>
      </w:r>
      <w:r w:rsidR="0025370C" w:rsidRPr="0025370C">
        <w:rPr>
          <w:rFonts w:ascii="Times New Roman" w:hAnsi="Times New Roman" w:cs="Times New Roman"/>
          <w:i/>
          <w:sz w:val="24"/>
          <w:szCs w:val="24"/>
        </w:rPr>
        <w:t>per</w:t>
      </w:r>
      <w:r w:rsidR="00715EB7">
        <w:rPr>
          <w:rFonts w:ascii="Times New Roman" w:hAnsi="Times New Roman" w:cs="Times New Roman"/>
          <w:i/>
          <w:sz w:val="24"/>
          <w:szCs w:val="24"/>
        </w:rPr>
        <w:t xml:space="preserve"> se </w:t>
      </w:r>
      <w:r w:rsidR="00715EB7" w:rsidRPr="00715EB7">
        <w:rPr>
          <w:rFonts w:ascii="Times New Roman" w:hAnsi="Times New Roman" w:cs="Times New Roman"/>
          <w:sz w:val="24"/>
          <w:szCs w:val="24"/>
        </w:rPr>
        <w:t xml:space="preserve">did </w:t>
      </w:r>
      <w:r w:rsidR="0025370C" w:rsidRPr="00715EB7">
        <w:rPr>
          <w:rFonts w:ascii="Times New Roman" w:hAnsi="Times New Roman" w:cs="Times New Roman"/>
          <w:sz w:val="24"/>
          <w:szCs w:val="24"/>
        </w:rPr>
        <w:t>not</w:t>
      </w:r>
      <w:r w:rsidR="0025370C">
        <w:rPr>
          <w:rFonts w:ascii="Times New Roman" w:hAnsi="Times New Roman" w:cs="Times New Roman"/>
          <w:i/>
          <w:sz w:val="24"/>
          <w:szCs w:val="24"/>
        </w:rPr>
        <w:t xml:space="preserve"> </w:t>
      </w:r>
      <w:r w:rsidR="0025370C">
        <w:rPr>
          <w:rFonts w:ascii="Times New Roman" w:hAnsi="Times New Roman" w:cs="Times New Roman"/>
          <w:sz w:val="24"/>
          <w:szCs w:val="24"/>
        </w:rPr>
        <w:t>add</w:t>
      </w:r>
      <w:r w:rsidR="00715EB7">
        <w:rPr>
          <w:rFonts w:ascii="Times New Roman" w:hAnsi="Times New Roman" w:cs="Times New Roman"/>
          <w:sz w:val="24"/>
          <w:szCs w:val="24"/>
        </w:rPr>
        <w:t xml:space="preserve"> any predictive information over and above </w:t>
      </w:r>
      <w:r w:rsidR="0025370C">
        <w:rPr>
          <w:rFonts w:ascii="Times New Roman" w:hAnsi="Times New Roman" w:cs="Times New Roman"/>
          <w:sz w:val="24"/>
          <w:szCs w:val="24"/>
        </w:rPr>
        <w:t>the proportion</w:t>
      </w:r>
      <w:r w:rsidR="00715EB7">
        <w:rPr>
          <w:rFonts w:ascii="Times New Roman" w:hAnsi="Times New Roman" w:cs="Times New Roman"/>
          <w:sz w:val="24"/>
          <w:szCs w:val="24"/>
        </w:rPr>
        <w:t xml:space="preserve"> of the two ethnic groups</w:t>
      </w:r>
      <w:r w:rsidR="00546568">
        <w:rPr>
          <w:rFonts w:ascii="Times New Roman" w:hAnsi="Times New Roman" w:cs="Times New Roman"/>
          <w:sz w:val="24"/>
          <w:szCs w:val="24"/>
        </w:rPr>
        <w:t xml:space="preserve"> (Models 4</w:t>
      </w:r>
      <w:r w:rsidR="0054049E">
        <w:rPr>
          <w:rFonts w:ascii="Times New Roman" w:hAnsi="Times New Roman" w:cs="Times New Roman"/>
          <w:sz w:val="24"/>
          <w:szCs w:val="24"/>
        </w:rPr>
        <w:t xml:space="preserve"> &amp; 5</w:t>
      </w:r>
      <w:r w:rsidR="00546568">
        <w:rPr>
          <w:rFonts w:ascii="Times New Roman" w:hAnsi="Times New Roman" w:cs="Times New Roman"/>
          <w:sz w:val="24"/>
          <w:szCs w:val="24"/>
        </w:rPr>
        <w:t>)</w:t>
      </w:r>
      <w:r w:rsidR="00715EB7">
        <w:rPr>
          <w:rFonts w:ascii="Times New Roman" w:hAnsi="Times New Roman" w:cs="Times New Roman"/>
          <w:sz w:val="24"/>
          <w:szCs w:val="24"/>
        </w:rPr>
        <w:t>. Adding ward diversity index removed the effect of ward percentage Black Caribbeans, probably because this ethnic group was most prevalent in the most diverse parts of the diocese.</w:t>
      </w:r>
    </w:p>
    <w:p w14:paraId="2A6F1277" w14:textId="77777777" w:rsidR="00FE39FF" w:rsidRDefault="00546568" w:rsidP="00AA279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the two factors most closely associated with growth in the Southwark diocese were the age profile of the congregation and the ethnic profile of the neighbourhood. Growing congregations tended to have younger adults and to be in areas with a high proportion of Black Africans.</w:t>
      </w:r>
      <w:r w:rsidR="0055557D">
        <w:rPr>
          <w:rFonts w:ascii="Times New Roman" w:hAnsi="Times New Roman" w:cs="Times New Roman"/>
          <w:sz w:val="24"/>
          <w:szCs w:val="24"/>
        </w:rPr>
        <w:t xml:space="preserve"> </w:t>
      </w:r>
    </w:p>
    <w:p w14:paraId="02241D0D" w14:textId="77777777" w:rsidR="00552254" w:rsidRPr="00AA2792" w:rsidRDefault="00AA2792" w:rsidP="00AA279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E7B2994" w14:textId="77777777" w:rsidR="00FE39FF" w:rsidRDefault="00552254" w:rsidP="00AA279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Southwark is a large diocese that geographically radiates out from central London south of the Thames. As such it includes a wide range </w:t>
      </w:r>
      <w:r w:rsidR="00AA2792">
        <w:rPr>
          <w:rFonts w:ascii="Times New Roman" w:hAnsi="Times New Roman" w:cs="Times New Roman"/>
          <w:sz w:val="24"/>
          <w:szCs w:val="24"/>
        </w:rPr>
        <w:t xml:space="preserve">of </w:t>
      </w:r>
      <w:r>
        <w:rPr>
          <w:rFonts w:ascii="Times New Roman" w:hAnsi="Times New Roman" w:cs="Times New Roman"/>
          <w:sz w:val="24"/>
          <w:szCs w:val="24"/>
        </w:rPr>
        <w:t>neighbourhoods, from highly multiracial boroughs near Southwark cathedral to the predominately White British communities in rural areas south of the M25 motorway. The analysis present</w:t>
      </w:r>
      <w:r w:rsidR="00D6448C">
        <w:rPr>
          <w:rFonts w:ascii="Times New Roman" w:hAnsi="Times New Roman" w:cs="Times New Roman"/>
          <w:sz w:val="24"/>
          <w:szCs w:val="24"/>
        </w:rPr>
        <w:t>ed</w:t>
      </w:r>
      <w:r>
        <w:rPr>
          <w:rFonts w:ascii="Times New Roman" w:hAnsi="Times New Roman" w:cs="Times New Roman"/>
          <w:sz w:val="24"/>
          <w:szCs w:val="24"/>
        </w:rPr>
        <w:t xml:space="preserve"> here shows how </w:t>
      </w:r>
      <w:r w:rsidR="00D6448C">
        <w:rPr>
          <w:rFonts w:ascii="Times New Roman" w:hAnsi="Times New Roman" w:cs="Times New Roman"/>
          <w:sz w:val="24"/>
          <w:szCs w:val="24"/>
        </w:rPr>
        <w:t>extensive congregational studies</w:t>
      </w:r>
      <w:r w:rsidR="00AA2792">
        <w:rPr>
          <w:rFonts w:ascii="Times New Roman" w:hAnsi="Times New Roman" w:cs="Times New Roman"/>
          <w:sz w:val="24"/>
          <w:szCs w:val="24"/>
        </w:rPr>
        <w:t>,</w:t>
      </w:r>
      <w:r w:rsidR="00D6448C">
        <w:rPr>
          <w:rFonts w:ascii="Times New Roman" w:hAnsi="Times New Roman" w:cs="Times New Roman"/>
          <w:sz w:val="24"/>
          <w:szCs w:val="24"/>
        </w:rPr>
        <w:t xml:space="preserve"> such as </w:t>
      </w:r>
      <w:r w:rsidR="00D6448C">
        <w:rPr>
          <w:rFonts w:ascii="Times New Roman" w:hAnsi="Times New Roman" w:cs="Times New Roman"/>
          <w:i/>
          <w:sz w:val="24"/>
          <w:szCs w:val="24"/>
        </w:rPr>
        <w:t>Signs of Growth</w:t>
      </w:r>
      <w:r w:rsidR="00AA2792">
        <w:rPr>
          <w:rFonts w:ascii="Times New Roman" w:hAnsi="Times New Roman" w:cs="Times New Roman"/>
          <w:sz w:val="24"/>
          <w:szCs w:val="24"/>
        </w:rPr>
        <w:t>,</w:t>
      </w:r>
      <w:r w:rsidR="00D6448C">
        <w:rPr>
          <w:rFonts w:ascii="Times New Roman" w:hAnsi="Times New Roman" w:cs="Times New Roman"/>
          <w:sz w:val="24"/>
          <w:szCs w:val="24"/>
        </w:rPr>
        <w:t xml:space="preserve"> can allow both congregational and neighbourhood statistics to indicate the distribution patterns of growth and ethnic diversity across large areas.  The data partly show what was already known, such as the changing ethnic diversity across the diocese, but also indicate the nature of the growth in attendance that was observed in the first decade of this century. Several key points emerged from the analysis:</w:t>
      </w:r>
    </w:p>
    <w:p w14:paraId="15F6F2E7" w14:textId="77777777" w:rsidR="0054049E" w:rsidRDefault="00D6448C" w:rsidP="0054049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First, the growth in uSa from 2000 to 2008 was modest, but consistent across the deaneries in the diocese. There were a few churches that showed marked growth, but the vast majority showed modest growth. Few showed an average year</w:t>
      </w:r>
      <w:r w:rsidR="00D02CCB">
        <w:rPr>
          <w:rFonts w:ascii="Times New Roman" w:hAnsi="Times New Roman" w:cs="Times New Roman"/>
          <w:sz w:val="24"/>
          <w:szCs w:val="24"/>
        </w:rPr>
        <w:t>-</w:t>
      </w:r>
      <w:r>
        <w:rPr>
          <w:rFonts w:ascii="Times New Roman" w:hAnsi="Times New Roman" w:cs="Times New Roman"/>
          <w:sz w:val="24"/>
          <w:szCs w:val="24"/>
        </w:rPr>
        <w:t>on</w:t>
      </w:r>
      <w:r w:rsidR="00D02CCB">
        <w:rPr>
          <w:rFonts w:ascii="Times New Roman" w:hAnsi="Times New Roman" w:cs="Times New Roman"/>
          <w:sz w:val="24"/>
          <w:szCs w:val="24"/>
        </w:rPr>
        <w:t>-</w:t>
      </w:r>
      <w:r>
        <w:rPr>
          <w:rFonts w:ascii="Times New Roman" w:hAnsi="Times New Roman" w:cs="Times New Roman"/>
          <w:sz w:val="24"/>
          <w:szCs w:val="24"/>
        </w:rPr>
        <w:t xml:space="preserve">year decline in numbers, and this contrasts with the picture for the Church of England nationally. The evidence is that since 2008 there has been little change in numbers, though the diocese has continued to maintain numbers in the face of continuing declines in most dioceses </w:t>
      </w:r>
      <w:r w:rsidR="0054049E">
        <w:rPr>
          <w:rFonts w:ascii="Times New Roman" w:hAnsi="Times New Roman" w:cs="Times New Roman"/>
          <w:sz w:val="24"/>
          <w:szCs w:val="24"/>
        </w:rPr>
        <w:fldChar w:fldCharType="begin"/>
      </w:r>
      <w:r w:rsidR="0054049E">
        <w:rPr>
          <w:rFonts w:ascii="Times New Roman" w:hAnsi="Times New Roman" w:cs="Times New Roman"/>
          <w:sz w:val="24"/>
          <w:szCs w:val="24"/>
        </w:rPr>
        <w:instrText xml:space="preserve"> ADDIN EN.CITE &lt;EndNote&gt;&lt;Cite&gt;&lt;Author&gt;Church_of_England&lt;/Author&gt;&lt;Year&gt;2017&lt;/Year&gt;&lt;RecNum&gt;6919&lt;/RecNum&gt;&lt;DisplayText&gt;(Church_of_England 2017)&lt;/DisplayText&gt;&lt;record&gt;&lt;rec-number&gt;6919&lt;/rec-number&gt;&lt;foreign-keys&gt;&lt;key app="EN" db-id="dz2asxs2ozta2me0007pzzx4ffzxzrre5tz0"&gt;6919&lt;/key&gt;&lt;/foreign-keys&gt;&lt;ref-type name="Web Page"&gt;12&lt;/ref-type&gt;&lt;contributors&gt;&lt;authors&gt;&lt;author&gt;Church_of_England&lt;/author&gt;&lt;/authors&gt;&lt;/contributors&gt;&lt;titles&gt;&lt;title&gt;Statistics for mission 2016&lt;/title&gt;&lt;/titles&gt;&lt;dates&gt;&lt;year&gt;2017&lt;/year&gt;&lt;/dates&gt;&lt;pub-location&gt;London&lt;/pub-location&gt;&lt;publisher&gt;Research and Statistics, Church House&lt;/publisher&gt;&lt;urls&gt;&lt;related-urls&gt;&lt;url&gt;https://www.churchofengland.org/sites/default/files/2017-10/2016statisticsformission.pdf&lt;/url&gt;&lt;/related-urls&gt;&lt;/urls&gt;&lt;/record&gt;&lt;/Cite&gt;&lt;/EndNote&gt;</w:instrText>
      </w:r>
      <w:r w:rsidR="0054049E">
        <w:rPr>
          <w:rFonts w:ascii="Times New Roman" w:hAnsi="Times New Roman" w:cs="Times New Roman"/>
          <w:sz w:val="24"/>
          <w:szCs w:val="24"/>
        </w:rPr>
        <w:fldChar w:fldCharType="separate"/>
      </w:r>
      <w:r w:rsidR="0054049E">
        <w:rPr>
          <w:rFonts w:ascii="Times New Roman" w:hAnsi="Times New Roman" w:cs="Times New Roman"/>
          <w:noProof/>
          <w:sz w:val="24"/>
          <w:szCs w:val="24"/>
        </w:rPr>
        <w:t>(</w:t>
      </w:r>
      <w:hyperlink w:anchor="_ENREF_6" w:tooltip="Church_of_England, 2017 #6919"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of</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England</w:t>
        </w:r>
        <w:r w:rsidR="00AA2792">
          <w:rPr>
            <w:rFonts w:ascii="Times New Roman" w:hAnsi="Times New Roman" w:cs="Times New Roman"/>
            <w:noProof/>
            <w:sz w:val="24"/>
            <w:szCs w:val="24"/>
          </w:rPr>
          <w:t>,</w:t>
        </w:r>
        <w:r w:rsidR="0054049E">
          <w:rPr>
            <w:rFonts w:ascii="Times New Roman" w:hAnsi="Times New Roman" w:cs="Times New Roman"/>
            <w:noProof/>
            <w:sz w:val="24"/>
            <w:szCs w:val="24"/>
          </w:rPr>
          <w:t xml:space="preserve"> 2017</w:t>
        </w:r>
      </w:hyperlink>
      <w:r w:rsidR="0054049E">
        <w:rPr>
          <w:rFonts w:ascii="Times New Roman" w:hAnsi="Times New Roman" w:cs="Times New Roman"/>
          <w:noProof/>
          <w:sz w:val="24"/>
          <w:szCs w:val="24"/>
        </w:rPr>
        <w:t>)</w:t>
      </w:r>
      <w:r w:rsidR="0054049E">
        <w:rPr>
          <w:rFonts w:ascii="Times New Roman" w:hAnsi="Times New Roman" w:cs="Times New Roman"/>
          <w:sz w:val="24"/>
          <w:szCs w:val="24"/>
        </w:rPr>
        <w:fldChar w:fldCharType="end"/>
      </w:r>
      <w:r w:rsidR="0054049E">
        <w:rPr>
          <w:rFonts w:ascii="Times New Roman" w:hAnsi="Times New Roman" w:cs="Times New Roman"/>
          <w:sz w:val="24"/>
          <w:szCs w:val="24"/>
        </w:rPr>
        <w:t xml:space="preserve">. </w:t>
      </w:r>
      <w:r>
        <w:rPr>
          <w:rFonts w:ascii="Times New Roman" w:hAnsi="Times New Roman" w:cs="Times New Roman"/>
          <w:sz w:val="24"/>
          <w:szCs w:val="24"/>
        </w:rPr>
        <w:t xml:space="preserve">The growth was not quite as fast as the growth in the population of the diocese, so it </w:t>
      </w:r>
      <w:r w:rsidR="00766FEB">
        <w:rPr>
          <w:rFonts w:ascii="Times New Roman" w:hAnsi="Times New Roman" w:cs="Times New Roman"/>
          <w:sz w:val="24"/>
          <w:szCs w:val="24"/>
        </w:rPr>
        <w:t xml:space="preserve">should not be assumed that churches grew </w:t>
      </w:r>
      <w:r w:rsidR="0054049E">
        <w:rPr>
          <w:rFonts w:ascii="Times New Roman" w:hAnsi="Times New Roman" w:cs="Times New Roman"/>
          <w:sz w:val="24"/>
          <w:szCs w:val="24"/>
        </w:rPr>
        <w:t xml:space="preserve">solely </w:t>
      </w:r>
      <w:r w:rsidR="00766FEB">
        <w:rPr>
          <w:rFonts w:ascii="Times New Roman" w:hAnsi="Times New Roman" w:cs="Times New Roman"/>
          <w:sz w:val="24"/>
          <w:szCs w:val="24"/>
        </w:rPr>
        <w:t xml:space="preserve">by </w:t>
      </w:r>
      <w:r w:rsidR="0054049E">
        <w:rPr>
          <w:rFonts w:ascii="Times New Roman" w:hAnsi="Times New Roman" w:cs="Times New Roman"/>
          <w:sz w:val="24"/>
          <w:szCs w:val="24"/>
        </w:rPr>
        <w:t>recruitment of the existing population</w:t>
      </w:r>
      <w:r w:rsidR="00766FEB">
        <w:rPr>
          <w:rFonts w:ascii="Times New Roman" w:hAnsi="Times New Roman" w:cs="Times New Roman"/>
          <w:sz w:val="24"/>
          <w:szCs w:val="24"/>
        </w:rPr>
        <w:t>. It may be that population growth was largely due to immigration, and immigrant Anglicans sought out Anglican churches. This was the pattern in the 1950s, when Afro-Caribbeans arrives into areas such as Brixton, where they did not alw</w:t>
      </w:r>
      <w:r w:rsidR="0054049E">
        <w:rPr>
          <w:rFonts w:ascii="Times New Roman" w:hAnsi="Times New Roman" w:cs="Times New Roman"/>
          <w:sz w:val="24"/>
          <w:szCs w:val="24"/>
        </w:rPr>
        <w:t xml:space="preserve">ays receive a warm welcome </w:t>
      </w:r>
      <w:r w:rsidR="0054049E">
        <w:rPr>
          <w:rFonts w:ascii="Times New Roman" w:hAnsi="Times New Roman" w:cs="Times New Roman"/>
          <w:sz w:val="24"/>
          <w:szCs w:val="24"/>
        </w:rPr>
        <w:fldChar w:fldCharType="begin"/>
      </w:r>
      <w:r w:rsidR="0054049E">
        <w:rPr>
          <w:rFonts w:ascii="Times New Roman" w:hAnsi="Times New Roman" w:cs="Times New Roman"/>
          <w:sz w:val="24"/>
          <w:szCs w:val="24"/>
        </w:rPr>
        <w:instrText xml:space="preserve"> ADDIN EN.CITE &lt;EndNote&gt;&lt;Cite&gt;&lt;Author&gt;Patterson&lt;/Author&gt;&lt;Year&gt;1963&lt;/Year&gt;&lt;RecNum&gt;5218&lt;/RecNum&gt;&lt;DisplayText&gt;(Kalilombe 1997; Patterson 1963)&lt;/DisplayText&gt;&lt;record&gt;&lt;rec-number&gt;5218&lt;/rec-number&gt;&lt;foreign-keys&gt;&lt;key app="EN" db-id="dz2asxs2ozta2me0007pzzx4ffzxzrre5tz0"&gt;5218&lt;/key&gt;&lt;/foreign-keys&gt;&lt;ref-type name="Book"&gt;6&lt;/ref-type&gt;&lt;contributors&gt;&lt;authors&gt;&lt;author&gt;Sheila Patterson&lt;/author&gt;&lt;/authors&gt;&lt;/contributors&gt;&lt;titles&gt;&lt;title&gt;Dark strangers: A sociological study of the absorption of a recent West Indian migrant group in Brixton, south London&lt;/title&gt;&lt;/titles&gt;&lt;dates&gt;&lt;year&gt;1963&lt;/year&gt;&lt;/dates&gt;&lt;pub-location&gt;London&lt;/pub-location&gt;&lt;publisher&gt;Tavistock Publications&lt;/publisher&gt;&lt;urls&gt;&lt;/urls&gt;&lt;/record&gt;&lt;/Cite&gt;&lt;Cite&gt;&lt;Author&gt;Kalilombe&lt;/Author&gt;&lt;Year&gt;1997&lt;/Year&gt;&lt;RecNum&gt;6925&lt;/RecNum&gt;&lt;record&gt;&lt;rec-number&gt;6925&lt;/rec-number&gt;&lt;foreign-keys&gt;&lt;key app="EN" db-id="dz2asxs2ozta2me0007pzzx4ffzxzrre5tz0"&gt;6925&lt;/key&gt;&lt;/foreign-keys&gt;&lt;ref-type name="Journal Article"&gt;17&lt;/ref-type&gt;&lt;contributors&gt;&lt;authors&gt;&lt;author&gt;Kalilombe, Patrick&lt;/author&gt;&lt;/authors&gt;&lt;/contributors&gt;&lt;titles&gt;&lt;title&gt;Black Christianity in Britain&lt;/title&gt;&lt;secondary-title&gt;Ethnic and Racial Studies&lt;/secondary-title&gt;&lt;/titles&gt;&lt;pages&gt;306-324&lt;/pages&gt;&lt;volume&gt;20&lt;/volume&gt;&lt;number&gt;2&lt;/number&gt;&lt;dates&gt;&lt;year&gt;1997&lt;/year&gt;&lt;pub-dates&gt;&lt;date&gt;1997/04/01&lt;/date&gt;&lt;/pub-dates&gt;&lt;/dates&gt;&lt;publisher&gt;Routledge&lt;/publisher&gt;&lt;isbn&gt;0141-9870&lt;/isbn&gt;&lt;urls&gt;&lt;related-urls&gt;&lt;url&gt;https://doi.org/10.1080/01419870.1997.9993963&lt;/url&gt;&lt;/related-urls&gt;&lt;/urls&gt;&lt;electronic-resource-num&gt;10.1080/01419870.1997.9993963&lt;/electronic-resource-num&gt;&lt;/record&gt;&lt;/Cite&gt;&lt;/EndNote&gt;</w:instrText>
      </w:r>
      <w:r w:rsidR="0054049E">
        <w:rPr>
          <w:rFonts w:ascii="Times New Roman" w:hAnsi="Times New Roman" w:cs="Times New Roman"/>
          <w:sz w:val="24"/>
          <w:szCs w:val="24"/>
        </w:rPr>
        <w:fldChar w:fldCharType="separate"/>
      </w:r>
      <w:r w:rsidR="0054049E">
        <w:rPr>
          <w:rFonts w:ascii="Times New Roman" w:hAnsi="Times New Roman" w:cs="Times New Roman"/>
          <w:noProof/>
          <w:sz w:val="24"/>
          <w:szCs w:val="24"/>
        </w:rPr>
        <w:t>(</w:t>
      </w:r>
      <w:hyperlink w:anchor="_ENREF_12" w:tooltip="Kalilombe, 1997 #6925" w:history="1">
        <w:r w:rsidR="0054049E">
          <w:rPr>
            <w:rFonts w:ascii="Times New Roman" w:hAnsi="Times New Roman" w:cs="Times New Roman"/>
            <w:noProof/>
            <w:sz w:val="24"/>
            <w:szCs w:val="24"/>
          </w:rPr>
          <w:t>Kalilombe</w:t>
        </w:r>
        <w:r w:rsidR="00AA2792">
          <w:rPr>
            <w:rFonts w:ascii="Times New Roman" w:hAnsi="Times New Roman" w:cs="Times New Roman"/>
            <w:noProof/>
            <w:sz w:val="24"/>
            <w:szCs w:val="24"/>
          </w:rPr>
          <w:t>,</w:t>
        </w:r>
        <w:r w:rsidR="0054049E">
          <w:rPr>
            <w:rFonts w:ascii="Times New Roman" w:hAnsi="Times New Roman" w:cs="Times New Roman"/>
            <w:noProof/>
            <w:sz w:val="24"/>
            <w:szCs w:val="24"/>
          </w:rPr>
          <w:t xml:space="preserve"> 1997</w:t>
        </w:r>
      </w:hyperlink>
      <w:r w:rsidR="0054049E">
        <w:rPr>
          <w:rFonts w:ascii="Times New Roman" w:hAnsi="Times New Roman" w:cs="Times New Roman"/>
          <w:noProof/>
          <w:sz w:val="24"/>
          <w:szCs w:val="24"/>
        </w:rPr>
        <w:t xml:space="preserve">; </w:t>
      </w:r>
      <w:hyperlink w:anchor="_ENREF_18" w:tooltip="Patterson, 1963 #5218" w:history="1">
        <w:r w:rsidR="0054049E">
          <w:rPr>
            <w:rFonts w:ascii="Times New Roman" w:hAnsi="Times New Roman" w:cs="Times New Roman"/>
            <w:noProof/>
            <w:sz w:val="24"/>
            <w:szCs w:val="24"/>
          </w:rPr>
          <w:t>Patterson</w:t>
        </w:r>
        <w:r w:rsidR="00AA2792">
          <w:rPr>
            <w:rFonts w:ascii="Times New Roman" w:hAnsi="Times New Roman" w:cs="Times New Roman"/>
            <w:noProof/>
            <w:sz w:val="24"/>
            <w:szCs w:val="24"/>
          </w:rPr>
          <w:t>,</w:t>
        </w:r>
        <w:r w:rsidR="0054049E">
          <w:rPr>
            <w:rFonts w:ascii="Times New Roman" w:hAnsi="Times New Roman" w:cs="Times New Roman"/>
            <w:noProof/>
            <w:sz w:val="24"/>
            <w:szCs w:val="24"/>
          </w:rPr>
          <w:t xml:space="preserve"> 1963</w:t>
        </w:r>
      </w:hyperlink>
      <w:r w:rsidR="0054049E">
        <w:rPr>
          <w:rFonts w:ascii="Times New Roman" w:hAnsi="Times New Roman" w:cs="Times New Roman"/>
          <w:noProof/>
          <w:sz w:val="24"/>
          <w:szCs w:val="24"/>
        </w:rPr>
        <w:t>)</w:t>
      </w:r>
      <w:r w:rsidR="0054049E">
        <w:rPr>
          <w:rFonts w:ascii="Times New Roman" w:hAnsi="Times New Roman" w:cs="Times New Roman"/>
          <w:sz w:val="24"/>
          <w:szCs w:val="24"/>
        </w:rPr>
        <w:fldChar w:fldCharType="end"/>
      </w:r>
      <w:r w:rsidR="0054049E">
        <w:rPr>
          <w:rFonts w:ascii="Times New Roman" w:hAnsi="Times New Roman" w:cs="Times New Roman"/>
          <w:sz w:val="24"/>
          <w:szCs w:val="24"/>
        </w:rPr>
        <w:t>.</w:t>
      </w:r>
    </w:p>
    <w:p w14:paraId="3DD1541F" w14:textId="77777777" w:rsidR="00000544" w:rsidRDefault="00766FEB" w:rsidP="0054049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most congregations </w:t>
      </w:r>
      <w:r w:rsidR="0054049E">
        <w:rPr>
          <w:rFonts w:ascii="Times New Roman" w:hAnsi="Times New Roman" w:cs="Times New Roman"/>
          <w:sz w:val="24"/>
          <w:szCs w:val="24"/>
        </w:rPr>
        <w:t>were</w:t>
      </w:r>
      <w:r>
        <w:rPr>
          <w:rFonts w:ascii="Times New Roman" w:hAnsi="Times New Roman" w:cs="Times New Roman"/>
          <w:sz w:val="24"/>
          <w:szCs w:val="24"/>
        </w:rPr>
        <w:t xml:space="preserve"> less ethnically diverse than their neighbourhoods.  This is not surprising because multi-ethnic communities will include people of many faiths and none, and churches are very likely to </w:t>
      </w:r>
      <w:r w:rsidR="0054049E">
        <w:rPr>
          <w:rFonts w:ascii="Times New Roman" w:hAnsi="Times New Roman" w:cs="Times New Roman"/>
          <w:sz w:val="24"/>
          <w:szCs w:val="24"/>
        </w:rPr>
        <w:t>attract mainly</w:t>
      </w:r>
      <w:r>
        <w:rPr>
          <w:rFonts w:ascii="Times New Roman" w:hAnsi="Times New Roman" w:cs="Times New Roman"/>
          <w:sz w:val="24"/>
          <w:szCs w:val="24"/>
        </w:rPr>
        <w:t xml:space="preserve"> people who originate in countries where Christianity is a key religion. Communities in London include many people from countries in the Middle East, North Africa, or Asia where non-Christian religions predominate. In these circumstances it was </w:t>
      </w:r>
      <w:r w:rsidR="00000544">
        <w:rPr>
          <w:rFonts w:ascii="Times New Roman" w:hAnsi="Times New Roman" w:cs="Times New Roman"/>
          <w:sz w:val="24"/>
          <w:szCs w:val="24"/>
        </w:rPr>
        <w:t xml:space="preserve">perhaps </w:t>
      </w:r>
      <w:r w:rsidR="0054049E">
        <w:rPr>
          <w:rFonts w:ascii="Times New Roman" w:hAnsi="Times New Roman" w:cs="Times New Roman"/>
          <w:sz w:val="24"/>
          <w:szCs w:val="24"/>
        </w:rPr>
        <w:t>surprising that any</w:t>
      </w:r>
      <w:r>
        <w:rPr>
          <w:rFonts w:ascii="Times New Roman" w:hAnsi="Times New Roman" w:cs="Times New Roman"/>
          <w:sz w:val="24"/>
          <w:szCs w:val="24"/>
        </w:rPr>
        <w:t xml:space="preserve"> churches </w:t>
      </w:r>
      <w:r w:rsidR="0054049E">
        <w:rPr>
          <w:rFonts w:ascii="Times New Roman" w:hAnsi="Times New Roman" w:cs="Times New Roman"/>
          <w:sz w:val="24"/>
          <w:szCs w:val="24"/>
        </w:rPr>
        <w:t>had</w:t>
      </w:r>
      <w:r>
        <w:rPr>
          <w:rFonts w:ascii="Times New Roman" w:hAnsi="Times New Roman" w:cs="Times New Roman"/>
          <w:sz w:val="24"/>
          <w:szCs w:val="24"/>
        </w:rPr>
        <w:t xml:space="preserve"> a more diverse congregation tha</w:t>
      </w:r>
      <w:r w:rsidR="00D02CCB">
        <w:rPr>
          <w:rFonts w:ascii="Times New Roman" w:hAnsi="Times New Roman" w:cs="Times New Roman"/>
          <w:sz w:val="24"/>
          <w:szCs w:val="24"/>
        </w:rPr>
        <w:t>n</w:t>
      </w:r>
      <w:r>
        <w:rPr>
          <w:rFonts w:ascii="Times New Roman" w:hAnsi="Times New Roman" w:cs="Times New Roman"/>
          <w:sz w:val="24"/>
          <w:szCs w:val="24"/>
        </w:rPr>
        <w:t xml:space="preserve"> their neighbourhoods. </w:t>
      </w:r>
      <w:r w:rsidR="00000544">
        <w:rPr>
          <w:rFonts w:ascii="Times New Roman" w:hAnsi="Times New Roman" w:cs="Times New Roman"/>
          <w:sz w:val="24"/>
          <w:szCs w:val="24"/>
        </w:rPr>
        <w:t xml:space="preserve">The most diverse congregations had around 30 per cent White British in the survey responses, and were found in all </w:t>
      </w:r>
      <w:proofErr w:type="spellStart"/>
      <w:r w:rsidR="00000544">
        <w:rPr>
          <w:rFonts w:ascii="Times New Roman" w:hAnsi="Times New Roman" w:cs="Times New Roman"/>
          <w:sz w:val="24"/>
          <w:szCs w:val="24"/>
        </w:rPr>
        <w:t>archdeaneries</w:t>
      </w:r>
      <w:proofErr w:type="spellEnd"/>
      <w:r w:rsidR="00000544">
        <w:rPr>
          <w:rFonts w:ascii="Times New Roman" w:hAnsi="Times New Roman" w:cs="Times New Roman"/>
          <w:sz w:val="24"/>
          <w:szCs w:val="24"/>
        </w:rPr>
        <w:t xml:space="preserve"> except Reigate, where no congregation  had less than 80 per</w:t>
      </w:r>
      <w:r w:rsidR="0054049E">
        <w:rPr>
          <w:rFonts w:ascii="Times New Roman" w:hAnsi="Times New Roman" w:cs="Times New Roman"/>
          <w:sz w:val="24"/>
          <w:szCs w:val="24"/>
        </w:rPr>
        <w:t xml:space="preserve"> </w:t>
      </w:r>
      <w:r w:rsidR="00000544">
        <w:rPr>
          <w:rFonts w:ascii="Times New Roman" w:hAnsi="Times New Roman" w:cs="Times New Roman"/>
          <w:sz w:val="24"/>
          <w:szCs w:val="24"/>
        </w:rPr>
        <w:t>cent White British. There were a few congregations that had low diversity because they were dominated by another ethnic group, usually Black Africans. Diversity in congregation or neighbour</w:t>
      </w:r>
      <w:r w:rsidR="00AA2792">
        <w:rPr>
          <w:rFonts w:ascii="Times New Roman" w:hAnsi="Times New Roman" w:cs="Times New Roman"/>
          <w:sz w:val="24"/>
          <w:szCs w:val="24"/>
        </w:rPr>
        <w:t>hood</w:t>
      </w:r>
      <w:r w:rsidR="00000544">
        <w:rPr>
          <w:rFonts w:ascii="Times New Roman" w:hAnsi="Times New Roman" w:cs="Times New Roman"/>
          <w:sz w:val="24"/>
          <w:szCs w:val="24"/>
        </w:rPr>
        <w:t xml:space="preserve"> was not associated with growth: the trend if anything was for less growth among churches in more diverse wards, but this was not statistically significant, so there is no evidence that growth in Southwark was influenced by London’s unusual multi-culturalism.</w:t>
      </w:r>
    </w:p>
    <w:p w14:paraId="2294F8B0" w14:textId="77777777" w:rsidR="009A28BD" w:rsidRDefault="00000544" w:rsidP="003622D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Third, the age profile of congregations was the best predictor of growth, with growing churches having more young adults, on average, than those that were not growing. This might seem to be inevitable, but that may be because so much attention is given to ‘children and young families’ by those who want to halt the decline in numbers and secure a long-term future for the church. While it must be true that the church will eventually disappear unless it recruits from emerging generations, it should </w:t>
      </w:r>
      <w:r w:rsidR="00BF311B">
        <w:rPr>
          <w:rFonts w:ascii="Times New Roman" w:hAnsi="Times New Roman" w:cs="Times New Roman"/>
          <w:sz w:val="24"/>
          <w:szCs w:val="24"/>
        </w:rPr>
        <w:t xml:space="preserve">also </w:t>
      </w:r>
      <w:r>
        <w:rPr>
          <w:rFonts w:ascii="Times New Roman" w:hAnsi="Times New Roman" w:cs="Times New Roman"/>
          <w:sz w:val="24"/>
          <w:szCs w:val="24"/>
        </w:rPr>
        <w:t xml:space="preserve">be possible to grow churches </w:t>
      </w:r>
      <w:r w:rsidR="00BF311B">
        <w:rPr>
          <w:rFonts w:ascii="Times New Roman" w:hAnsi="Times New Roman" w:cs="Times New Roman"/>
          <w:sz w:val="24"/>
          <w:szCs w:val="24"/>
        </w:rPr>
        <w:t xml:space="preserve">in the short to medium term </w:t>
      </w:r>
      <w:r>
        <w:rPr>
          <w:rFonts w:ascii="Times New Roman" w:hAnsi="Times New Roman" w:cs="Times New Roman"/>
          <w:sz w:val="24"/>
          <w:szCs w:val="24"/>
        </w:rPr>
        <w:t>by encouraging more participation by those who are sixty or older. It may be difficult to arrange church life to suit all generations, especially in a single Sunday worship service</w:t>
      </w:r>
      <w:r w:rsidR="00BF311B">
        <w:rPr>
          <w:rFonts w:ascii="Times New Roman" w:hAnsi="Times New Roman" w:cs="Times New Roman"/>
          <w:sz w:val="24"/>
          <w:szCs w:val="24"/>
        </w:rPr>
        <w:t xml:space="preserve">, and it has been recognised for some time that the uSa measure might not pick up growth that results in different forms of participation. </w:t>
      </w:r>
      <w:r>
        <w:rPr>
          <w:rFonts w:ascii="Times New Roman" w:hAnsi="Times New Roman" w:cs="Times New Roman"/>
          <w:sz w:val="24"/>
          <w:szCs w:val="24"/>
        </w:rPr>
        <w:t xml:space="preserve"> Since the </w:t>
      </w:r>
      <w:r>
        <w:rPr>
          <w:rFonts w:ascii="Times New Roman" w:hAnsi="Times New Roman" w:cs="Times New Roman"/>
          <w:i/>
          <w:sz w:val="24"/>
          <w:szCs w:val="24"/>
        </w:rPr>
        <w:t>Signs of Growth</w:t>
      </w:r>
      <w:r>
        <w:rPr>
          <w:rFonts w:ascii="Times New Roman" w:hAnsi="Times New Roman" w:cs="Times New Roman"/>
          <w:sz w:val="24"/>
          <w:szCs w:val="24"/>
        </w:rPr>
        <w:t xml:space="preserve"> study</w:t>
      </w:r>
      <w:r w:rsidR="00130294">
        <w:rPr>
          <w:rFonts w:ascii="Times New Roman" w:hAnsi="Times New Roman" w:cs="Times New Roman"/>
          <w:sz w:val="24"/>
          <w:szCs w:val="24"/>
        </w:rPr>
        <w:t>,</w:t>
      </w:r>
      <w:r>
        <w:rPr>
          <w:rFonts w:ascii="Times New Roman" w:hAnsi="Times New Roman" w:cs="Times New Roman"/>
          <w:sz w:val="24"/>
          <w:szCs w:val="24"/>
        </w:rPr>
        <w:t xml:space="preserve"> the Church of England has </w:t>
      </w:r>
      <w:r w:rsidR="00BF311B">
        <w:rPr>
          <w:rFonts w:ascii="Times New Roman" w:hAnsi="Times New Roman" w:cs="Times New Roman"/>
          <w:sz w:val="24"/>
          <w:szCs w:val="24"/>
        </w:rPr>
        <w:t xml:space="preserve">begun to place more emphasis on recording those who may attend mid-week services only, or who might be considered part of the ‘worshipping community’, even if they rarely attend Sunday worship </w:t>
      </w:r>
      <w:r w:rsidR="00BF311B">
        <w:rPr>
          <w:rFonts w:ascii="Times New Roman" w:hAnsi="Times New Roman" w:cs="Times New Roman"/>
          <w:sz w:val="24"/>
          <w:szCs w:val="24"/>
        </w:rPr>
        <w:fldChar w:fldCharType="begin"/>
      </w:r>
      <w:r w:rsidR="0087301C">
        <w:rPr>
          <w:rFonts w:ascii="Times New Roman" w:hAnsi="Times New Roman" w:cs="Times New Roman"/>
          <w:sz w:val="24"/>
          <w:szCs w:val="24"/>
        </w:rPr>
        <w:instrText xml:space="preserve"> ADDIN EN.CITE &lt;EndNote&gt;&lt;Cite&gt;&lt;Author&gt;Church_of_England&lt;/Author&gt;&lt;Year&gt;2017&lt;/Year&gt;&lt;RecNum&gt;6919&lt;/RecNum&gt;&lt;DisplayText&gt;(Church_of_England 2017)&lt;/DisplayText&gt;&lt;record&gt;&lt;rec-number&gt;6919&lt;/rec-number&gt;&lt;foreign-keys&gt;&lt;key app="EN" db-id="dz2asxs2ozta2me0007pzzx4ffzxzrre5tz0"&gt;6919&lt;/key&gt;&lt;/foreign-keys&gt;&lt;ref-type name="Web Page"&gt;12&lt;/ref-type&gt;&lt;contributors&gt;&lt;authors&gt;&lt;author&gt;Church_of_England&lt;/author&gt;&lt;/authors&gt;&lt;/contributors&gt;&lt;titles&gt;&lt;title&gt;Statistics for mission 2016&lt;/title&gt;&lt;/titles&gt;&lt;dates&gt;&lt;year&gt;2017&lt;/year&gt;&lt;/dates&gt;&lt;pub-location&gt;London&lt;/pub-location&gt;&lt;publisher&gt;Research and Statistics, Church House&lt;/publisher&gt;&lt;urls&gt;&lt;related-urls&gt;&lt;url&gt;https://www.churchofengland.org/sites/default/files/2017-10/2016statisticsformission.pdf&lt;/url&gt;&lt;/related-urls&gt;&lt;/urls&gt;&lt;/record&gt;&lt;/Cite&gt;&lt;/EndNote&gt;</w:instrText>
      </w:r>
      <w:r w:rsidR="00BF311B">
        <w:rPr>
          <w:rFonts w:ascii="Times New Roman" w:hAnsi="Times New Roman" w:cs="Times New Roman"/>
          <w:sz w:val="24"/>
          <w:szCs w:val="24"/>
        </w:rPr>
        <w:fldChar w:fldCharType="separate"/>
      </w:r>
      <w:r w:rsidR="00BF311B">
        <w:rPr>
          <w:rFonts w:ascii="Times New Roman" w:hAnsi="Times New Roman" w:cs="Times New Roman"/>
          <w:noProof/>
          <w:sz w:val="24"/>
          <w:szCs w:val="24"/>
        </w:rPr>
        <w:t>(</w:t>
      </w:r>
      <w:hyperlink w:anchor="_ENREF_6" w:tooltip="Church_of_England, 2017 #6919" w:history="1">
        <w:r w:rsidR="0054049E">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of</w:t>
        </w:r>
        <w:r w:rsidR="00D02CCB">
          <w:rPr>
            <w:rFonts w:ascii="Times New Roman" w:hAnsi="Times New Roman" w:cs="Times New Roman"/>
            <w:noProof/>
            <w:sz w:val="24"/>
            <w:szCs w:val="24"/>
          </w:rPr>
          <w:t xml:space="preserve"> </w:t>
        </w:r>
        <w:r w:rsidR="0054049E">
          <w:rPr>
            <w:rFonts w:ascii="Times New Roman" w:hAnsi="Times New Roman" w:cs="Times New Roman"/>
            <w:noProof/>
            <w:sz w:val="24"/>
            <w:szCs w:val="24"/>
          </w:rPr>
          <w:t>England</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2017</w:t>
        </w:r>
      </w:hyperlink>
      <w:r w:rsidR="00BF311B">
        <w:rPr>
          <w:rFonts w:ascii="Times New Roman" w:hAnsi="Times New Roman" w:cs="Times New Roman"/>
          <w:noProof/>
          <w:sz w:val="24"/>
          <w:szCs w:val="24"/>
        </w:rPr>
        <w:t>)</w:t>
      </w:r>
      <w:r w:rsidR="00BF311B">
        <w:rPr>
          <w:rFonts w:ascii="Times New Roman" w:hAnsi="Times New Roman" w:cs="Times New Roman"/>
          <w:sz w:val="24"/>
          <w:szCs w:val="24"/>
        </w:rPr>
        <w:fldChar w:fldCharType="end"/>
      </w:r>
      <w:r w:rsidR="00BF311B">
        <w:rPr>
          <w:rFonts w:ascii="Times New Roman" w:hAnsi="Times New Roman" w:cs="Times New Roman"/>
          <w:sz w:val="24"/>
          <w:szCs w:val="24"/>
        </w:rPr>
        <w:t>. Such indices may be useful if Sunday worship is becoming a less significant</w:t>
      </w:r>
      <w:r w:rsidR="0054049E">
        <w:rPr>
          <w:rFonts w:ascii="Times New Roman" w:hAnsi="Times New Roman" w:cs="Times New Roman"/>
          <w:sz w:val="24"/>
          <w:szCs w:val="24"/>
        </w:rPr>
        <w:t xml:space="preserve"> expression of belonging to the</w:t>
      </w:r>
      <w:r w:rsidR="00BF311B">
        <w:rPr>
          <w:rFonts w:ascii="Times New Roman" w:hAnsi="Times New Roman" w:cs="Times New Roman"/>
          <w:sz w:val="24"/>
          <w:szCs w:val="24"/>
        </w:rPr>
        <w:t xml:space="preserve"> Church of England, but there are concerns over the feasibility of creating a measure that is comparable between parishes or over time.</w:t>
      </w:r>
    </w:p>
    <w:p w14:paraId="48154018" w14:textId="77777777" w:rsidR="00766FEB" w:rsidRDefault="00130294" w:rsidP="003622D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Fourth, there was some relationship between the prevalence of some ethnic groups and church growth. Results are not easy to interpret, not least because the National Census ethnic categories </w:t>
      </w:r>
      <w:r w:rsidR="00396080">
        <w:rPr>
          <w:rFonts w:ascii="Times New Roman" w:hAnsi="Times New Roman" w:cs="Times New Roman"/>
          <w:sz w:val="24"/>
          <w:szCs w:val="24"/>
        </w:rPr>
        <w:t xml:space="preserve">may not always capture the complexity of ethnicity </w:t>
      </w:r>
      <w:r w:rsidR="00396080">
        <w:rPr>
          <w:rFonts w:ascii="Times New Roman" w:hAnsi="Times New Roman" w:cs="Times New Roman"/>
          <w:sz w:val="24"/>
          <w:szCs w:val="24"/>
        </w:rPr>
        <w:fldChar w:fldCharType="begin"/>
      </w:r>
      <w:r w:rsidR="00396080">
        <w:rPr>
          <w:rFonts w:ascii="Times New Roman" w:hAnsi="Times New Roman" w:cs="Times New Roman"/>
          <w:sz w:val="24"/>
          <w:szCs w:val="24"/>
        </w:rPr>
        <w:instrText xml:space="preserve"> ADDIN EN.CITE &lt;EndNote&gt;&lt;Cite&gt;&lt;Author&gt;Brown&lt;/Author&gt;&lt;Year&gt;2010&lt;/Year&gt;&lt;RecNum&gt;6922&lt;/RecNum&gt;&lt;DisplayText&gt;(Brown and Langer 2010)&lt;/DisplayText&gt;&lt;record&gt;&lt;rec-number&gt;6922&lt;/rec-number&gt;&lt;foreign-keys&gt;&lt;key app="EN" db-id="dz2asxs2ozta2me0007pzzx4ffzxzrre5tz0"&gt;6922&lt;/key&gt;&lt;/foreign-keys&gt;&lt;ref-type name="Journal Article"&gt;17&lt;/ref-type&gt;&lt;contributors&gt;&lt;authors&gt;&lt;author&gt;Brown, Graham K.&lt;/author&gt;&lt;author&gt;Langer, Arnim&lt;/author&gt;&lt;/authors&gt;&lt;/contributors&gt;&lt;titles&gt;&lt;title&gt;Conceptualizing and measuring ethnicity&lt;/title&gt;&lt;secondary-title&gt;Oxford Development Studies&lt;/secondary-title&gt;&lt;/titles&gt;&lt;pages&gt;411-436&lt;/pages&gt;&lt;volume&gt;38&lt;/volume&gt;&lt;number&gt;4&lt;/number&gt;&lt;dates&gt;&lt;year&gt;2010&lt;/year&gt;&lt;pub-dates&gt;&lt;date&gt;2010/12/01&lt;/date&gt;&lt;/pub-dates&gt;&lt;/dates&gt;&lt;publisher&gt;Routledge&lt;/publisher&gt;&lt;isbn&gt;1360-0818&lt;/isbn&gt;&lt;urls&gt;&lt;related-urls&gt;&lt;url&gt;https://doi.org/10.1080/13600818.2010.525629&lt;/url&gt;&lt;/related-urls&gt;&lt;/urls&gt;&lt;electronic-resource-num&gt;10.1080/13600818.2010.525629&lt;/electronic-resource-num&gt;&lt;/record&gt;&lt;/Cite&gt;&lt;/EndNote&gt;</w:instrText>
      </w:r>
      <w:r w:rsidR="00396080">
        <w:rPr>
          <w:rFonts w:ascii="Times New Roman" w:hAnsi="Times New Roman" w:cs="Times New Roman"/>
          <w:sz w:val="24"/>
          <w:szCs w:val="24"/>
        </w:rPr>
        <w:fldChar w:fldCharType="separate"/>
      </w:r>
      <w:r w:rsidR="00396080">
        <w:rPr>
          <w:rFonts w:ascii="Times New Roman" w:hAnsi="Times New Roman" w:cs="Times New Roman"/>
          <w:noProof/>
          <w:sz w:val="24"/>
          <w:szCs w:val="24"/>
        </w:rPr>
        <w:t>(</w:t>
      </w:r>
      <w:hyperlink w:anchor="_ENREF_3" w:tooltip="Brown, 2010 #6922" w:history="1">
        <w:r w:rsidR="0054049E">
          <w:rPr>
            <w:rFonts w:ascii="Times New Roman" w:hAnsi="Times New Roman" w:cs="Times New Roman"/>
            <w:noProof/>
            <w:sz w:val="24"/>
            <w:szCs w:val="24"/>
          </w:rPr>
          <w:t xml:space="preserve">Brown </w:t>
        </w:r>
        <w:r w:rsidR="00761159">
          <w:rPr>
            <w:rFonts w:ascii="Times New Roman" w:hAnsi="Times New Roman" w:cs="Times New Roman"/>
            <w:noProof/>
            <w:sz w:val="24"/>
            <w:szCs w:val="24"/>
          </w:rPr>
          <w:t>&amp;</w:t>
        </w:r>
        <w:r w:rsidR="0054049E">
          <w:rPr>
            <w:rFonts w:ascii="Times New Roman" w:hAnsi="Times New Roman" w:cs="Times New Roman"/>
            <w:noProof/>
            <w:sz w:val="24"/>
            <w:szCs w:val="24"/>
          </w:rPr>
          <w:t xml:space="preserve"> Langer</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2010</w:t>
        </w:r>
      </w:hyperlink>
      <w:r w:rsidR="00396080">
        <w:rPr>
          <w:rFonts w:ascii="Times New Roman" w:hAnsi="Times New Roman" w:cs="Times New Roman"/>
          <w:noProof/>
          <w:sz w:val="24"/>
          <w:szCs w:val="24"/>
        </w:rPr>
        <w:t>)</w:t>
      </w:r>
      <w:r w:rsidR="00396080">
        <w:rPr>
          <w:rFonts w:ascii="Times New Roman" w:hAnsi="Times New Roman" w:cs="Times New Roman"/>
          <w:sz w:val="24"/>
          <w:szCs w:val="24"/>
        </w:rPr>
        <w:fldChar w:fldCharType="end"/>
      </w:r>
      <w:r w:rsidR="00396080">
        <w:rPr>
          <w:rFonts w:ascii="Times New Roman" w:hAnsi="Times New Roman" w:cs="Times New Roman"/>
          <w:sz w:val="24"/>
          <w:szCs w:val="24"/>
        </w:rPr>
        <w:t xml:space="preserve">, especially in the ‘Black African’ category </w:t>
      </w:r>
      <w:r w:rsidR="00396080">
        <w:rPr>
          <w:rFonts w:ascii="Times New Roman" w:hAnsi="Times New Roman" w:cs="Times New Roman"/>
          <w:sz w:val="24"/>
          <w:szCs w:val="24"/>
        </w:rPr>
        <w:fldChar w:fldCharType="begin"/>
      </w:r>
      <w:r w:rsidR="00396080">
        <w:rPr>
          <w:rFonts w:ascii="Times New Roman" w:hAnsi="Times New Roman" w:cs="Times New Roman"/>
          <w:sz w:val="24"/>
          <w:szCs w:val="24"/>
        </w:rPr>
        <w:instrText xml:space="preserve"> ADDIN EN.CITE &lt;EndNote&gt;&lt;Cite&gt;&lt;Author&gt;Aspinall&lt;/Author&gt;&lt;Year&gt;2011&lt;/Year&gt;&lt;RecNum&gt;6923&lt;/RecNum&gt;&lt;DisplayText&gt;(Aspinall 2011)&lt;/DisplayText&gt;&lt;record&gt;&lt;rec-number&gt;6923&lt;/rec-number&gt;&lt;foreign-keys&gt;&lt;key app="EN" db-id="dz2asxs2ozta2me0007pzzx4ffzxzrre5tz0"&gt;6923&lt;/key&gt;&lt;/foreign-keys&gt;&lt;ref-type name="Journal Article"&gt;17&lt;/ref-type&gt;&lt;contributors&gt;&lt;authors&gt;&lt;author&gt;Aspinall, Peter J.&lt;/author&gt;&lt;/authors&gt;&lt;/contributors&gt;&lt;titles&gt;&lt;title&gt;Who is ‘Black African’ in Britain? Challenges to official categorisation of the sub-Saharan African origin population&lt;/title&gt;&lt;secondary-title&gt;African Identities&lt;/secondary-title&gt;&lt;/titles&gt;&lt;pages&gt;33-48&lt;/pages&gt;&lt;volume&gt;9&lt;/volume&gt;&lt;number&gt;1&lt;/number&gt;&lt;dates&gt;&lt;year&gt;2011&lt;/year&gt;&lt;pub-dates&gt;&lt;date&gt;2011/02/01&lt;/date&gt;&lt;/pub-dates&gt;&lt;/dates&gt;&lt;publisher&gt;Routledge&lt;/publisher&gt;&lt;isbn&gt;1472-5843&lt;/isbn&gt;&lt;urls&gt;&lt;related-urls&gt;&lt;url&gt;https://doi.org/10.1080/14725843.2011.530443&lt;/url&gt;&lt;/related-urls&gt;&lt;/urls&gt;&lt;electronic-resource-num&gt;10.1080/14725843.2011.530443&lt;/electronic-resource-num&gt;&lt;/record&gt;&lt;/Cite&gt;&lt;/EndNote&gt;</w:instrText>
      </w:r>
      <w:r w:rsidR="00396080">
        <w:rPr>
          <w:rFonts w:ascii="Times New Roman" w:hAnsi="Times New Roman" w:cs="Times New Roman"/>
          <w:sz w:val="24"/>
          <w:szCs w:val="24"/>
        </w:rPr>
        <w:fldChar w:fldCharType="separate"/>
      </w:r>
      <w:r w:rsidR="00396080">
        <w:rPr>
          <w:rFonts w:ascii="Times New Roman" w:hAnsi="Times New Roman" w:cs="Times New Roman"/>
          <w:noProof/>
          <w:sz w:val="24"/>
          <w:szCs w:val="24"/>
        </w:rPr>
        <w:t>(</w:t>
      </w:r>
      <w:hyperlink w:anchor="_ENREF_1" w:tooltip="Aspinall, 2011 #6923" w:history="1">
        <w:r w:rsidR="0054049E">
          <w:rPr>
            <w:rFonts w:ascii="Times New Roman" w:hAnsi="Times New Roman" w:cs="Times New Roman"/>
            <w:noProof/>
            <w:sz w:val="24"/>
            <w:szCs w:val="24"/>
          </w:rPr>
          <w:t>Aspinall</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2011</w:t>
        </w:r>
      </w:hyperlink>
      <w:r w:rsidR="00396080">
        <w:rPr>
          <w:rFonts w:ascii="Times New Roman" w:hAnsi="Times New Roman" w:cs="Times New Roman"/>
          <w:noProof/>
          <w:sz w:val="24"/>
          <w:szCs w:val="24"/>
        </w:rPr>
        <w:t>)</w:t>
      </w:r>
      <w:r w:rsidR="00396080">
        <w:rPr>
          <w:rFonts w:ascii="Times New Roman" w:hAnsi="Times New Roman" w:cs="Times New Roman"/>
          <w:sz w:val="24"/>
          <w:szCs w:val="24"/>
        </w:rPr>
        <w:fldChar w:fldCharType="end"/>
      </w:r>
      <w:r w:rsidR="00396080">
        <w:rPr>
          <w:rFonts w:ascii="Times New Roman" w:hAnsi="Times New Roman" w:cs="Times New Roman"/>
          <w:sz w:val="24"/>
          <w:szCs w:val="24"/>
        </w:rPr>
        <w:t>. The census uses ‘Black Caribbean’ to identify</w:t>
      </w:r>
      <w:r w:rsidR="002610EC">
        <w:rPr>
          <w:rFonts w:ascii="Times New Roman" w:hAnsi="Times New Roman" w:cs="Times New Roman"/>
          <w:sz w:val="24"/>
          <w:szCs w:val="24"/>
        </w:rPr>
        <w:t xml:space="preserve"> people originally referred to as ‘West Indians’ and more recently as ‘</w:t>
      </w:r>
      <w:r w:rsidR="00396080">
        <w:rPr>
          <w:rFonts w:ascii="Times New Roman" w:hAnsi="Times New Roman" w:cs="Times New Roman"/>
          <w:sz w:val="24"/>
          <w:szCs w:val="24"/>
        </w:rPr>
        <w:t>Afro-Caribbeans</w:t>
      </w:r>
      <w:r w:rsidR="002610EC">
        <w:rPr>
          <w:rFonts w:ascii="Times New Roman" w:hAnsi="Times New Roman" w:cs="Times New Roman"/>
          <w:sz w:val="24"/>
          <w:szCs w:val="24"/>
        </w:rPr>
        <w:t>’</w:t>
      </w:r>
      <w:r w:rsidR="00396080">
        <w:rPr>
          <w:rFonts w:ascii="Times New Roman" w:hAnsi="Times New Roman" w:cs="Times New Roman"/>
          <w:sz w:val="24"/>
          <w:szCs w:val="24"/>
        </w:rPr>
        <w:t xml:space="preserve">, who were a significant immigrant group into parts of the Southwark diocese from the late 1940s to the early 1960s </w:t>
      </w:r>
      <w:r w:rsidR="00396080">
        <w:rPr>
          <w:rFonts w:ascii="Times New Roman" w:hAnsi="Times New Roman" w:cs="Times New Roman"/>
          <w:sz w:val="24"/>
          <w:szCs w:val="24"/>
        </w:rPr>
        <w:fldChar w:fldCharType="begin"/>
      </w:r>
      <w:r w:rsidR="00396080">
        <w:rPr>
          <w:rFonts w:ascii="Times New Roman" w:hAnsi="Times New Roman" w:cs="Times New Roman"/>
          <w:sz w:val="24"/>
          <w:szCs w:val="24"/>
        </w:rPr>
        <w:instrText xml:space="preserve"> ADDIN EN.CITE &lt;EndNote&gt;&lt;Cite&gt;&lt;Author&gt;Patterson&lt;/Author&gt;&lt;Year&gt;1963&lt;/Year&gt;&lt;RecNum&gt;5218&lt;/RecNum&gt;&lt;DisplayText&gt;(Patterson 1963)&lt;/DisplayText&gt;&lt;record&gt;&lt;rec-number&gt;5218&lt;/rec-number&gt;&lt;foreign-keys&gt;&lt;key app="EN" db-id="dz2asxs2ozta2me0007pzzx4ffzxzrre5tz0"&gt;5218&lt;/key&gt;&lt;/foreign-keys&gt;&lt;ref-type name="Book"&gt;6&lt;/ref-type&gt;&lt;contributors&gt;&lt;authors&gt;&lt;author&gt;Sheila Patterson&lt;/author&gt;&lt;/authors&gt;&lt;/contributors&gt;&lt;titles&gt;&lt;title&gt;Dark strangers: A sociological study of the absorption of a recent West Indian migrant group in Brixton, south London&lt;/title&gt;&lt;/titles&gt;&lt;dates&gt;&lt;year&gt;1963&lt;/year&gt;&lt;/dates&gt;&lt;pub-location&gt;London&lt;/pub-location&gt;&lt;publisher&gt;Tavistock Publications&lt;/publisher&gt;&lt;urls&gt;&lt;/urls&gt;&lt;/record&gt;&lt;/Cite&gt;&lt;/EndNote&gt;</w:instrText>
      </w:r>
      <w:r w:rsidR="00396080">
        <w:rPr>
          <w:rFonts w:ascii="Times New Roman" w:hAnsi="Times New Roman" w:cs="Times New Roman"/>
          <w:sz w:val="24"/>
          <w:szCs w:val="24"/>
        </w:rPr>
        <w:fldChar w:fldCharType="separate"/>
      </w:r>
      <w:r w:rsidR="00396080">
        <w:rPr>
          <w:rFonts w:ascii="Times New Roman" w:hAnsi="Times New Roman" w:cs="Times New Roman"/>
          <w:noProof/>
          <w:sz w:val="24"/>
          <w:szCs w:val="24"/>
        </w:rPr>
        <w:t>(</w:t>
      </w:r>
      <w:hyperlink w:anchor="_ENREF_18" w:tooltip="Patterson, 1963 #5218" w:history="1">
        <w:r w:rsidR="0054049E">
          <w:rPr>
            <w:rFonts w:ascii="Times New Roman" w:hAnsi="Times New Roman" w:cs="Times New Roman"/>
            <w:noProof/>
            <w:sz w:val="24"/>
            <w:szCs w:val="24"/>
          </w:rPr>
          <w:t>Patterson</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1963</w:t>
        </w:r>
      </w:hyperlink>
      <w:r w:rsidR="00396080">
        <w:rPr>
          <w:rFonts w:ascii="Times New Roman" w:hAnsi="Times New Roman" w:cs="Times New Roman"/>
          <w:noProof/>
          <w:sz w:val="24"/>
          <w:szCs w:val="24"/>
        </w:rPr>
        <w:t>)</w:t>
      </w:r>
      <w:r w:rsidR="00396080">
        <w:rPr>
          <w:rFonts w:ascii="Times New Roman" w:hAnsi="Times New Roman" w:cs="Times New Roman"/>
          <w:sz w:val="24"/>
          <w:szCs w:val="24"/>
        </w:rPr>
        <w:fldChar w:fldCharType="end"/>
      </w:r>
      <w:r w:rsidR="00396080">
        <w:rPr>
          <w:rFonts w:ascii="Times New Roman" w:hAnsi="Times New Roman" w:cs="Times New Roman"/>
          <w:sz w:val="24"/>
          <w:szCs w:val="24"/>
        </w:rPr>
        <w:t>.</w:t>
      </w:r>
      <w:r w:rsidR="002610EC">
        <w:rPr>
          <w:rFonts w:ascii="Times New Roman" w:hAnsi="Times New Roman" w:cs="Times New Roman"/>
          <w:sz w:val="24"/>
          <w:szCs w:val="24"/>
        </w:rPr>
        <w:t xml:space="preserve"> Some of these migrants had Anglican backgrounds and gravitated to the Church of England when they arrived. Over fifty years on, their grandchildren and great grandchildren</w:t>
      </w:r>
      <w:r w:rsidR="0054049E">
        <w:rPr>
          <w:rFonts w:ascii="Times New Roman" w:hAnsi="Times New Roman" w:cs="Times New Roman"/>
          <w:sz w:val="24"/>
          <w:szCs w:val="24"/>
        </w:rPr>
        <w:t xml:space="preserve"> may have weaker</w:t>
      </w:r>
      <w:r w:rsidR="002610EC">
        <w:rPr>
          <w:rFonts w:ascii="Times New Roman" w:hAnsi="Times New Roman" w:cs="Times New Roman"/>
          <w:sz w:val="24"/>
          <w:szCs w:val="24"/>
        </w:rPr>
        <w:t xml:space="preserve"> ties to church, and there was some evidence (albeit a rather weak statistical trend) that congregations with </w:t>
      </w:r>
      <w:r w:rsidR="00761159">
        <w:rPr>
          <w:rFonts w:ascii="Times New Roman" w:hAnsi="Times New Roman" w:cs="Times New Roman"/>
          <w:sz w:val="24"/>
          <w:szCs w:val="24"/>
        </w:rPr>
        <w:t xml:space="preserve">a </w:t>
      </w:r>
      <w:r w:rsidR="002610EC">
        <w:rPr>
          <w:rFonts w:ascii="Times New Roman" w:hAnsi="Times New Roman" w:cs="Times New Roman"/>
          <w:sz w:val="24"/>
          <w:szCs w:val="24"/>
        </w:rPr>
        <w:t xml:space="preserve">high proportion </w:t>
      </w:r>
      <w:r w:rsidR="00F21E1A">
        <w:rPr>
          <w:rFonts w:ascii="Times New Roman" w:hAnsi="Times New Roman" w:cs="Times New Roman"/>
          <w:sz w:val="24"/>
          <w:szCs w:val="24"/>
        </w:rPr>
        <w:t>of Black</w:t>
      </w:r>
      <w:r w:rsidR="002610EC">
        <w:rPr>
          <w:rFonts w:ascii="Times New Roman" w:hAnsi="Times New Roman" w:cs="Times New Roman"/>
          <w:sz w:val="24"/>
          <w:szCs w:val="24"/>
        </w:rPr>
        <w:t xml:space="preserve"> Caribbeans showed lower than average growth. This group seemed to worship within their neighbourhood, and it was the proportion in the neighbourhood that was more closely related to growth </w:t>
      </w:r>
      <w:r w:rsidR="0054049E">
        <w:rPr>
          <w:rFonts w:ascii="Times New Roman" w:hAnsi="Times New Roman" w:cs="Times New Roman"/>
          <w:sz w:val="24"/>
          <w:szCs w:val="24"/>
        </w:rPr>
        <w:t>rate t</w:t>
      </w:r>
      <w:r w:rsidR="002610EC">
        <w:rPr>
          <w:rFonts w:ascii="Times New Roman" w:hAnsi="Times New Roman" w:cs="Times New Roman"/>
          <w:sz w:val="24"/>
          <w:szCs w:val="24"/>
        </w:rPr>
        <w:t>han that in congregations. Allowing for ethnic diversity of the neighbourhood removed this effect, suggesting that Black Caribbeans tended to live in more ethnically diverse areas and that</w:t>
      </w:r>
      <w:r w:rsidR="00F21E1A">
        <w:rPr>
          <w:rFonts w:ascii="Times New Roman" w:hAnsi="Times New Roman" w:cs="Times New Roman"/>
          <w:sz w:val="24"/>
          <w:szCs w:val="24"/>
        </w:rPr>
        <w:t xml:space="preserve"> the</w:t>
      </w:r>
      <w:r w:rsidR="002610EC">
        <w:rPr>
          <w:rFonts w:ascii="Times New Roman" w:hAnsi="Times New Roman" w:cs="Times New Roman"/>
          <w:sz w:val="24"/>
          <w:szCs w:val="24"/>
        </w:rPr>
        <w:t xml:space="preserve"> churches in these areas were the least likely to growth. The situation with Black Africans was different because churches with a high proportion of this group</w:t>
      </w:r>
      <w:r w:rsidR="0054049E">
        <w:rPr>
          <w:rFonts w:ascii="Times New Roman" w:hAnsi="Times New Roman" w:cs="Times New Roman"/>
          <w:sz w:val="24"/>
          <w:szCs w:val="24"/>
        </w:rPr>
        <w:t xml:space="preserve"> had higher average growth</w:t>
      </w:r>
      <w:r w:rsidR="002610EC">
        <w:rPr>
          <w:rFonts w:ascii="Times New Roman" w:hAnsi="Times New Roman" w:cs="Times New Roman"/>
          <w:sz w:val="24"/>
          <w:szCs w:val="24"/>
        </w:rPr>
        <w:t xml:space="preserve">, though this trend was not quite statistically significant. However </w:t>
      </w:r>
      <w:r w:rsidR="0054049E">
        <w:rPr>
          <w:rFonts w:ascii="Times New Roman" w:hAnsi="Times New Roman" w:cs="Times New Roman"/>
          <w:i/>
          <w:sz w:val="24"/>
          <w:szCs w:val="24"/>
        </w:rPr>
        <w:t xml:space="preserve">neighbourhood </w:t>
      </w:r>
      <w:r w:rsidR="0054049E">
        <w:rPr>
          <w:rFonts w:ascii="Times New Roman" w:hAnsi="Times New Roman" w:cs="Times New Roman"/>
          <w:sz w:val="24"/>
          <w:szCs w:val="24"/>
        </w:rPr>
        <w:t>proportion</w:t>
      </w:r>
      <w:r w:rsidR="002610EC">
        <w:rPr>
          <w:rFonts w:ascii="Times New Roman" w:hAnsi="Times New Roman" w:cs="Times New Roman"/>
          <w:sz w:val="24"/>
          <w:szCs w:val="24"/>
        </w:rPr>
        <w:t xml:space="preserve"> of Black Africans did </w:t>
      </w:r>
      <w:r w:rsidR="00F473DB">
        <w:rPr>
          <w:rFonts w:ascii="Times New Roman" w:hAnsi="Times New Roman" w:cs="Times New Roman"/>
          <w:sz w:val="24"/>
          <w:szCs w:val="24"/>
        </w:rPr>
        <w:t xml:space="preserve">positively predict growth, suggesting that this group </w:t>
      </w:r>
      <w:r w:rsidR="00F21E1A">
        <w:rPr>
          <w:rFonts w:ascii="Times New Roman" w:hAnsi="Times New Roman" w:cs="Times New Roman"/>
          <w:sz w:val="24"/>
          <w:szCs w:val="24"/>
        </w:rPr>
        <w:t xml:space="preserve">also </w:t>
      </w:r>
      <w:r w:rsidR="00F473DB">
        <w:rPr>
          <w:rFonts w:ascii="Times New Roman" w:hAnsi="Times New Roman" w:cs="Times New Roman"/>
          <w:sz w:val="24"/>
          <w:szCs w:val="24"/>
        </w:rPr>
        <w:t xml:space="preserve">tended to worship locally, and that churches where they </w:t>
      </w:r>
      <w:r w:rsidR="0054049E">
        <w:rPr>
          <w:rFonts w:ascii="Times New Roman" w:hAnsi="Times New Roman" w:cs="Times New Roman"/>
          <w:sz w:val="24"/>
          <w:szCs w:val="24"/>
        </w:rPr>
        <w:t>comprised</w:t>
      </w:r>
      <w:r w:rsidR="00F473DB">
        <w:rPr>
          <w:rFonts w:ascii="Times New Roman" w:hAnsi="Times New Roman" w:cs="Times New Roman"/>
          <w:sz w:val="24"/>
          <w:szCs w:val="24"/>
        </w:rPr>
        <w:t xml:space="preserve"> a significant part of the population were more likely to grow.  The origins and social status of this group </w:t>
      </w:r>
      <w:r w:rsidR="00F21E1A">
        <w:rPr>
          <w:rFonts w:ascii="Times New Roman" w:hAnsi="Times New Roman" w:cs="Times New Roman"/>
          <w:sz w:val="24"/>
          <w:szCs w:val="24"/>
        </w:rPr>
        <w:t>are</w:t>
      </w:r>
      <w:r w:rsidR="00F473DB">
        <w:rPr>
          <w:rFonts w:ascii="Times New Roman" w:hAnsi="Times New Roman" w:cs="Times New Roman"/>
          <w:sz w:val="24"/>
          <w:szCs w:val="24"/>
        </w:rPr>
        <w:t xml:space="preserve"> likely to be very diverse</w:t>
      </w:r>
      <w:r w:rsidR="00F21E1A">
        <w:rPr>
          <w:rFonts w:ascii="Times New Roman" w:hAnsi="Times New Roman" w:cs="Times New Roman"/>
          <w:sz w:val="24"/>
          <w:szCs w:val="24"/>
        </w:rPr>
        <w:t xml:space="preserve"> </w:t>
      </w:r>
      <w:r w:rsidR="00F21E1A">
        <w:rPr>
          <w:rFonts w:ascii="Times New Roman" w:hAnsi="Times New Roman" w:cs="Times New Roman"/>
          <w:sz w:val="24"/>
          <w:szCs w:val="24"/>
        </w:rPr>
        <w:fldChar w:fldCharType="begin"/>
      </w:r>
      <w:r w:rsidR="00F21E1A">
        <w:rPr>
          <w:rFonts w:ascii="Times New Roman" w:hAnsi="Times New Roman" w:cs="Times New Roman"/>
          <w:sz w:val="24"/>
          <w:szCs w:val="24"/>
        </w:rPr>
        <w:instrText xml:space="preserve"> ADDIN EN.CITE &lt;EndNote&gt;&lt;Cite&gt;&lt;Author&gt;Kalilombe&lt;/Author&gt;&lt;Year&gt;1997&lt;/Year&gt;&lt;RecNum&gt;6925&lt;/RecNum&gt;&lt;DisplayText&gt;(Kalilombe 1997)&lt;/DisplayText&gt;&lt;record&gt;&lt;rec-number&gt;6925&lt;/rec-number&gt;&lt;foreign-keys&gt;&lt;key app="EN" db-id="dz2asxs2ozta2me0007pzzx4ffzxzrre5tz0"&gt;6925&lt;/key&gt;&lt;/foreign-keys&gt;&lt;ref-type name="Journal Article"&gt;17&lt;/ref-type&gt;&lt;contributors&gt;&lt;authors&gt;&lt;author&gt;Kalilombe, Patrick&lt;/author&gt;&lt;/authors&gt;&lt;/contributors&gt;&lt;titles&gt;&lt;title&gt;Black Christianity in Britain&lt;/title&gt;&lt;secondary-title&gt;Ethnic and Racial Studies&lt;/secondary-title&gt;&lt;/titles&gt;&lt;pages&gt;306-324&lt;/pages&gt;&lt;volume&gt;20&lt;/volume&gt;&lt;number&gt;2&lt;/number&gt;&lt;dates&gt;&lt;year&gt;1997&lt;/year&gt;&lt;pub-dates&gt;&lt;date&gt;1997/04/01&lt;/date&gt;&lt;/pub-dates&gt;&lt;/dates&gt;&lt;publisher&gt;Routledge&lt;/publisher&gt;&lt;isbn&gt;0141-9870&lt;/isbn&gt;&lt;urls&gt;&lt;related-urls&gt;&lt;url&gt;https://doi.org/10.1080/01419870.1997.9993963&lt;/url&gt;&lt;/related-urls&gt;&lt;/urls&gt;&lt;electronic-resource-num&gt;10.1080/01419870.1997.9993963&lt;/electronic-resource-num&gt;&lt;/record&gt;&lt;/Cite&gt;&lt;/EndNote&gt;</w:instrText>
      </w:r>
      <w:r w:rsidR="00F21E1A">
        <w:rPr>
          <w:rFonts w:ascii="Times New Roman" w:hAnsi="Times New Roman" w:cs="Times New Roman"/>
          <w:sz w:val="24"/>
          <w:szCs w:val="24"/>
        </w:rPr>
        <w:fldChar w:fldCharType="separate"/>
      </w:r>
      <w:r w:rsidR="00F21E1A">
        <w:rPr>
          <w:rFonts w:ascii="Times New Roman" w:hAnsi="Times New Roman" w:cs="Times New Roman"/>
          <w:noProof/>
          <w:sz w:val="24"/>
          <w:szCs w:val="24"/>
        </w:rPr>
        <w:t>(</w:t>
      </w:r>
      <w:hyperlink w:anchor="_ENREF_12" w:tooltip="Kalilombe, 1997 #6925" w:history="1">
        <w:r w:rsidR="0054049E">
          <w:rPr>
            <w:rFonts w:ascii="Times New Roman" w:hAnsi="Times New Roman" w:cs="Times New Roman"/>
            <w:noProof/>
            <w:sz w:val="24"/>
            <w:szCs w:val="24"/>
          </w:rPr>
          <w:t>Kalilombe</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1997</w:t>
        </w:r>
      </w:hyperlink>
      <w:r w:rsidR="00F21E1A">
        <w:rPr>
          <w:rFonts w:ascii="Times New Roman" w:hAnsi="Times New Roman" w:cs="Times New Roman"/>
          <w:noProof/>
          <w:sz w:val="24"/>
          <w:szCs w:val="24"/>
        </w:rPr>
        <w:t>)</w:t>
      </w:r>
      <w:r w:rsidR="00F21E1A">
        <w:rPr>
          <w:rFonts w:ascii="Times New Roman" w:hAnsi="Times New Roman" w:cs="Times New Roman"/>
          <w:sz w:val="24"/>
          <w:szCs w:val="24"/>
        </w:rPr>
        <w:fldChar w:fldCharType="end"/>
      </w:r>
      <w:r w:rsidR="00F473DB">
        <w:rPr>
          <w:rFonts w:ascii="Times New Roman" w:hAnsi="Times New Roman" w:cs="Times New Roman"/>
          <w:sz w:val="24"/>
          <w:szCs w:val="24"/>
        </w:rPr>
        <w:t>, and more detailed work is needed to understand this phenomenon</w:t>
      </w:r>
      <w:r w:rsidR="00F21E1A">
        <w:rPr>
          <w:rFonts w:ascii="Times New Roman" w:hAnsi="Times New Roman" w:cs="Times New Roman"/>
          <w:sz w:val="24"/>
          <w:szCs w:val="24"/>
        </w:rPr>
        <w:t xml:space="preserve">. It may reflect immigration that peaked slightly later than that of Black Caribbeans, and where there are more first or </w:t>
      </w:r>
      <w:proofErr w:type="gramStart"/>
      <w:r w:rsidR="00F21E1A">
        <w:rPr>
          <w:rFonts w:ascii="Times New Roman" w:hAnsi="Times New Roman" w:cs="Times New Roman"/>
          <w:sz w:val="24"/>
          <w:szCs w:val="24"/>
        </w:rPr>
        <w:t>second generation</w:t>
      </w:r>
      <w:proofErr w:type="gramEnd"/>
      <w:r w:rsidR="00F21E1A">
        <w:rPr>
          <w:rFonts w:ascii="Times New Roman" w:hAnsi="Times New Roman" w:cs="Times New Roman"/>
          <w:sz w:val="24"/>
          <w:szCs w:val="24"/>
        </w:rPr>
        <w:t xml:space="preserve"> Black Africans from former British colonies who see the Church of England as their ‘mother church’.</w:t>
      </w:r>
    </w:p>
    <w:p w14:paraId="7248AF7C" w14:textId="77777777" w:rsidR="00F21E1A" w:rsidRDefault="00F21E1A" w:rsidP="003622D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Fifth, the study has not produced evidence to support the ‘Homogenous Unit Principle’ of church growth. The most homogenous congregations were the White British congregations in the more southerly </w:t>
      </w:r>
      <w:r w:rsidR="00D30001">
        <w:rPr>
          <w:rFonts w:ascii="Times New Roman" w:hAnsi="Times New Roman" w:cs="Times New Roman"/>
          <w:sz w:val="24"/>
          <w:szCs w:val="24"/>
        </w:rPr>
        <w:t xml:space="preserve">parts of the diocese which were larger, older and more eclectic. They were, if anything, less likely to grow than those from the smaller, inner city congregations in areas that were more racially mixed. Although the results for congregations with high proportions of Black Africans might suggest they tended selectively </w:t>
      </w:r>
      <w:r w:rsidR="00761159">
        <w:rPr>
          <w:rFonts w:ascii="Times New Roman" w:hAnsi="Times New Roman" w:cs="Times New Roman"/>
          <w:sz w:val="24"/>
          <w:szCs w:val="24"/>
        </w:rPr>
        <w:t xml:space="preserve">to </w:t>
      </w:r>
      <w:r w:rsidR="00D30001">
        <w:rPr>
          <w:rFonts w:ascii="Times New Roman" w:hAnsi="Times New Roman" w:cs="Times New Roman"/>
          <w:sz w:val="24"/>
          <w:szCs w:val="24"/>
        </w:rPr>
        <w:t xml:space="preserve">associate with one another, it was unusual for this group to comprise more than half a congregation (only 16 of 332 congregations), so most non-White worshippers in this study were in a minority group in their church. The HUP might apply to non-White congregations in other denominations that have grown rapidly in South London, such as African Pentecostal churches </w:t>
      </w:r>
      <w:r w:rsidR="00D30001">
        <w:rPr>
          <w:rFonts w:ascii="Times New Roman" w:hAnsi="Times New Roman" w:cs="Times New Roman"/>
          <w:sz w:val="24"/>
          <w:szCs w:val="24"/>
        </w:rPr>
        <w:fldChar w:fldCharType="begin"/>
      </w:r>
      <w:r w:rsidR="00D30001">
        <w:rPr>
          <w:rFonts w:ascii="Times New Roman" w:hAnsi="Times New Roman" w:cs="Times New Roman"/>
          <w:sz w:val="24"/>
          <w:szCs w:val="24"/>
        </w:rPr>
        <w:instrText xml:space="preserve"> ADDIN EN.CITE &lt;EndNote&gt;&lt;Cite&gt;&lt;Author&gt;Hunt&lt;/Author&gt;&lt;Year&gt;2001&lt;/Year&gt;&lt;RecNum&gt;6924&lt;/RecNum&gt;&lt;DisplayText&gt;(Hunt and Lightly 2001)&lt;/DisplayText&gt;&lt;record&gt;&lt;rec-number&gt;6924&lt;/rec-number&gt;&lt;foreign-keys&gt;&lt;key app="EN" db-id="dz2asxs2ozta2me0007pzzx4ffzxzrre5tz0"&gt;6924&lt;/key&gt;&lt;/foreign-keys&gt;&lt;ref-type name="Journal Article"&gt;17&lt;/ref-type&gt;&lt;contributors&gt;&lt;authors&gt;&lt;author&gt;Hunt, Stephen&lt;/author&gt;&lt;author&gt;Lightly, Nicola&lt;/author&gt;&lt;/authors&gt;&lt;/contributors&gt;&lt;titles&gt;&lt;title&gt;The British black Pentecostal `revival`: Identity and belief in the `new` Nigerian churches&lt;/title&gt;&lt;secondary-title&gt;Ethnic and Racial Studies&lt;/secondary-title&gt;&lt;/titles&gt;&lt;pages&gt;104-124&lt;/pages&gt;&lt;volume&gt;24&lt;/volume&gt;&lt;number&gt;1&lt;/number&gt;&lt;dates&gt;&lt;year&gt;2001&lt;/year&gt;&lt;pub-dates&gt;&lt;date&gt;2001/01/01&lt;/date&gt;&lt;/pub-dates&gt;&lt;/dates&gt;&lt;publisher&gt;Routledge&lt;/publisher&gt;&lt;isbn&gt;0141-9870&lt;/isbn&gt;&lt;urls&gt;&lt;related-urls&gt;&lt;url&gt;https://doi.org/10.1080/014198701750052523&lt;/url&gt;&lt;/related-urls&gt;&lt;/urls&gt;&lt;electronic-resource-num&gt;10.1080/014198701750052523&lt;/electronic-resource-num&gt;&lt;/record&gt;&lt;/Cite&gt;&lt;/EndNote&gt;</w:instrText>
      </w:r>
      <w:r w:rsidR="00D30001">
        <w:rPr>
          <w:rFonts w:ascii="Times New Roman" w:hAnsi="Times New Roman" w:cs="Times New Roman"/>
          <w:sz w:val="24"/>
          <w:szCs w:val="24"/>
        </w:rPr>
        <w:fldChar w:fldCharType="separate"/>
      </w:r>
      <w:r w:rsidR="00D30001">
        <w:rPr>
          <w:rFonts w:ascii="Times New Roman" w:hAnsi="Times New Roman" w:cs="Times New Roman"/>
          <w:noProof/>
          <w:sz w:val="24"/>
          <w:szCs w:val="24"/>
        </w:rPr>
        <w:t>(</w:t>
      </w:r>
      <w:hyperlink w:anchor="_ENREF_11" w:tooltip="Hunt, 2001 #6924" w:history="1">
        <w:r w:rsidR="0054049E">
          <w:rPr>
            <w:rFonts w:ascii="Times New Roman" w:hAnsi="Times New Roman" w:cs="Times New Roman"/>
            <w:noProof/>
            <w:sz w:val="24"/>
            <w:szCs w:val="24"/>
          </w:rPr>
          <w:t xml:space="preserve">Hunt </w:t>
        </w:r>
        <w:r w:rsidR="00761159">
          <w:rPr>
            <w:rFonts w:ascii="Times New Roman" w:hAnsi="Times New Roman" w:cs="Times New Roman"/>
            <w:noProof/>
            <w:sz w:val="24"/>
            <w:szCs w:val="24"/>
          </w:rPr>
          <w:t>&amp;</w:t>
        </w:r>
        <w:r w:rsidR="0054049E">
          <w:rPr>
            <w:rFonts w:ascii="Times New Roman" w:hAnsi="Times New Roman" w:cs="Times New Roman"/>
            <w:noProof/>
            <w:sz w:val="24"/>
            <w:szCs w:val="24"/>
          </w:rPr>
          <w:t xml:space="preserve"> Lightly</w:t>
        </w:r>
        <w:r w:rsidR="00761159">
          <w:rPr>
            <w:rFonts w:ascii="Times New Roman" w:hAnsi="Times New Roman" w:cs="Times New Roman"/>
            <w:noProof/>
            <w:sz w:val="24"/>
            <w:szCs w:val="24"/>
          </w:rPr>
          <w:t>,</w:t>
        </w:r>
        <w:r w:rsidR="0054049E">
          <w:rPr>
            <w:rFonts w:ascii="Times New Roman" w:hAnsi="Times New Roman" w:cs="Times New Roman"/>
            <w:noProof/>
            <w:sz w:val="24"/>
            <w:szCs w:val="24"/>
          </w:rPr>
          <w:t xml:space="preserve"> 2001</w:t>
        </w:r>
      </w:hyperlink>
      <w:r w:rsidR="00D30001">
        <w:rPr>
          <w:rFonts w:ascii="Times New Roman" w:hAnsi="Times New Roman" w:cs="Times New Roman"/>
          <w:noProof/>
          <w:sz w:val="24"/>
          <w:szCs w:val="24"/>
        </w:rPr>
        <w:t>)</w:t>
      </w:r>
      <w:r w:rsidR="00D30001">
        <w:rPr>
          <w:rFonts w:ascii="Times New Roman" w:hAnsi="Times New Roman" w:cs="Times New Roman"/>
          <w:sz w:val="24"/>
          <w:szCs w:val="24"/>
        </w:rPr>
        <w:fldChar w:fldCharType="end"/>
      </w:r>
      <w:r w:rsidR="00D30001">
        <w:rPr>
          <w:rFonts w:ascii="Times New Roman" w:hAnsi="Times New Roman" w:cs="Times New Roman"/>
          <w:sz w:val="24"/>
          <w:szCs w:val="24"/>
        </w:rPr>
        <w:t xml:space="preserve">,  but the Church of England congregations in the inner city parishes of Southwark  diocese seemed to be diverse congregations that maintained </w:t>
      </w:r>
      <w:r w:rsidR="00923D62">
        <w:rPr>
          <w:rFonts w:ascii="Times New Roman" w:hAnsi="Times New Roman" w:cs="Times New Roman"/>
          <w:sz w:val="24"/>
          <w:szCs w:val="24"/>
        </w:rPr>
        <w:t>or grew their numbers in the period leading up to this study.</w:t>
      </w:r>
    </w:p>
    <w:p w14:paraId="69810EEC" w14:textId="77777777" w:rsidR="00F21E1A" w:rsidRDefault="00F21E1A" w:rsidP="003622DB">
      <w:pPr>
        <w:autoSpaceDE w:val="0"/>
        <w:autoSpaceDN w:val="0"/>
        <w:adjustRightInd w:val="0"/>
        <w:spacing w:after="0" w:line="480" w:lineRule="auto"/>
        <w:rPr>
          <w:rFonts w:ascii="Times New Roman" w:hAnsi="Times New Roman" w:cs="Times New Roman"/>
          <w:sz w:val="24"/>
          <w:szCs w:val="24"/>
        </w:rPr>
      </w:pPr>
    </w:p>
    <w:p w14:paraId="17265CB6" w14:textId="77777777" w:rsidR="0081768A" w:rsidRDefault="0081768A">
      <w:pPr>
        <w:rPr>
          <w:rFonts w:ascii="Times New Roman" w:hAnsi="Times New Roman" w:cs="Times New Roman"/>
          <w:sz w:val="24"/>
          <w:szCs w:val="24"/>
        </w:rPr>
      </w:pPr>
      <w:r>
        <w:rPr>
          <w:rFonts w:ascii="Times New Roman" w:hAnsi="Times New Roman" w:cs="Times New Roman"/>
          <w:sz w:val="24"/>
          <w:szCs w:val="24"/>
        </w:rPr>
        <w:br w:type="page"/>
      </w:r>
    </w:p>
    <w:p w14:paraId="35BF77F4" w14:textId="77777777" w:rsidR="0054049E" w:rsidRPr="00ED51EB" w:rsidRDefault="00D66321" w:rsidP="00ED51EB">
      <w:pPr>
        <w:spacing w:after="0" w:line="480" w:lineRule="auto"/>
        <w:ind w:left="720" w:hanging="720"/>
        <w:jc w:val="center"/>
        <w:rPr>
          <w:rFonts w:ascii="Times New Roman" w:hAnsi="Times New Roman" w:cs="Times New Roman"/>
          <w:b/>
          <w:noProof/>
          <w:sz w:val="24"/>
          <w:szCs w:val="24"/>
        </w:rPr>
      </w:pPr>
      <w:r w:rsidRPr="003622DB">
        <w:rPr>
          <w:rFonts w:ascii="Times New Roman" w:hAnsi="Times New Roman" w:cs="Times New Roman"/>
          <w:sz w:val="24"/>
          <w:szCs w:val="24"/>
        </w:rPr>
        <w:fldChar w:fldCharType="begin"/>
      </w:r>
      <w:r w:rsidRPr="003622DB">
        <w:rPr>
          <w:rFonts w:ascii="Times New Roman" w:hAnsi="Times New Roman" w:cs="Times New Roman"/>
          <w:sz w:val="24"/>
          <w:szCs w:val="24"/>
        </w:rPr>
        <w:instrText xml:space="preserve"> ADDIN EN.REFLIST </w:instrText>
      </w:r>
      <w:r w:rsidRPr="003622DB">
        <w:rPr>
          <w:rFonts w:ascii="Times New Roman" w:hAnsi="Times New Roman" w:cs="Times New Roman"/>
          <w:sz w:val="24"/>
          <w:szCs w:val="24"/>
        </w:rPr>
        <w:fldChar w:fldCharType="separate"/>
      </w:r>
      <w:r w:rsidR="0054049E" w:rsidRPr="00ED51EB">
        <w:rPr>
          <w:rFonts w:ascii="Times New Roman" w:hAnsi="Times New Roman" w:cs="Times New Roman"/>
          <w:b/>
          <w:noProof/>
          <w:sz w:val="24"/>
          <w:szCs w:val="24"/>
        </w:rPr>
        <w:t>References</w:t>
      </w:r>
    </w:p>
    <w:p w14:paraId="0D698A36" w14:textId="77777777" w:rsidR="0054049E" w:rsidRDefault="0054049E" w:rsidP="00ED51EB">
      <w:pPr>
        <w:spacing w:after="0" w:line="480" w:lineRule="auto"/>
        <w:ind w:left="720" w:hanging="720"/>
        <w:rPr>
          <w:rFonts w:ascii="Times New Roman" w:hAnsi="Times New Roman" w:cs="Times New Roman"/>
          <w:noProof/>
          <w:sz w:val="24"/>
          <w:szCs w:val="24"/>
        </w:rPr>
      </w:pPr>
      <w:bookmarkStart w:id="0" w:name="_ENREF_1"/>
      <w:r>
        <w:rPr>
          <w:rFonts w:ascii="Times New Roman" w:hAnsi="Times New Roman" w:cs="Times New Roman"/>
          <w:noProof/>
          <w:sz w:val="24"/>
          <w:szCs w:val="24"/>
        </w:rPr>
        <w:t>Aspinall, P</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J. </w:t>
      </w:r>
      <w:r w:rsidR="00ED51EB">
        <w:rPr>
          <w:rFonts w:ascii="Times New Roman" w:hAnsi="Times New Roman" w:cs="Times New Roman"/>
          <w:noProof/>
          <w:sz w:val="24"/>
          <w:szCs w:val="24"/>
        </w:rPr>
        <w:t>(</w:t>
      </w:r>
      <w:r>
        <w:rPr>
          <w:rFonts w:ascii="Times New Roman" w:hAnsi="Times New Roman" w:cs="Times New Roman"/>
          <w:noProof/>
          <w:sz w:val="24"/>
          <w:szCs w:val="24"/>
        </w:rPr>
        <w:t>2011</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Who is ‘Black African’ in Britain? Challenges to official categorisation of the sub-Saharan African origin population. </w:t>
      </w:r>
      <w:r w:rsidRPr="0054049E">
        <w:rPr>
          <w:rFonts w:ascii="Times New Roman" w:hAnsi="Times New Roman" w:cs="Times New Roman"/>
          <w:i/>
          <w:noProof/>
          <w:sz w:val="24"/>
          <w:szCs w:val="24"/>
        </w:rPr>
        <w:t>African Identities</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ED51EB">
        <w:rPr>
          <w:rFonts w:ascii="Times New Roman" w:hAnsi="Times New Roman" w:cs="Times New Roman"/>
          <w:i/>
          <w:noProof/>
          <w:sz w:val="24"/>
          <w:szCs w:val="24"/>
        </w:rPr>
        <w:t>9</w:t>
      </w:r>
      <w:r w:rsidR="00ED51EB">
        <w:rPr>
          <w:rFonts w:ascii="Times New Roman" w:hAnsi="Times New Roman" w:cs="Times New Roman"/>
          <w:noProof/>
          <w:sz w:val="24"/>
          <w:szCs w:val="24"/>
        </w:rPr>
        <w:t xml:space="preserve">, </w:t>
      </w:r>
      <w:r>
        <w:rPr>
          <w:rFonts w:ascii="Times New Roman" w:hAnsi="Times New Roman" w:cs="Times New Roman"/>
          <w:noProof/>
          <w:sz w:val="24"/>
          <w:szCs w:val="24"/>
        </w:rPr>
        <w:t xml:space="preserve">33-48. </w:t>
      </w:r>
      <w:bookmarkEnd w:id="0"/>
    </w:p>
    <w:p w14:paraId="24E7E06F"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 w:name="_ENREF_2"/>
      <w:r>
        <w:rPr>
          <w:rFonts w:ascii="Times New Roman" w:hAnsi="Times New Roman" w:cs="Times New Roman"/>
          <w:noProof/>
          <w:sz w:val="24"/>
          <w:szCs w:val="24"/>
        </w:rPr>
        <w:t xml:space="preserve">Bickel, R. </w:t>
      </w:r>
      <w:r w:rsidR="00ED51EB">
        <w:rPr>
          <w:rFonts w:ascii="Times New Roman" w:hAnsi="Times New Roman" w:cs="Times New Roman"/>
          <w:noProof/>
          <w:sz w:val="24"/>
          <w:szCs w:val="24"/>
        </w:rPr>
        <w:t>(</w:t>
      </w:r>
      <w:r>
        <w:rPr>
          <w:rFonts w:ascii="Times New Roman" w:hAnsi="Times New Roman" w:cs="Times New Roman"/>
          <w:noProof/>
          <w:sz w:val="24"/>
          <w:szCs w:val="24"/>
        </w:rPr>
        <w:t>2007</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4049E">
        <w:rPr>
          <w:rFonts w:ascii="Times New Roman" w:hAnsi="Times New Roman" w:cs="Times New Roman"/>
          <w:i/>
          <w:noProof/>
          <w:sz w:val="24"/>
          <w:szCs w:val="24"/>
        </w:rPr>
        <w:t>Multilevel analysis for applied research: It</w:t>
      </w:r>
      <w:r w:rsidR="00ED51EB">
        <w:rPr>
          <w:rFonts w:ascii="Times New Roman" w:hAnsi="Times New Roman" w:cs="Times New Roman"/>
          <w:i/>
          <w:noProof/>
          <w:sz w:val="24"/>
          <w:szCs w:val="24"/>
        </w:rPr>
        <w:t>ʼ</w:t>
      </w:r>
      <w:r w:rsidRPr="0054049E">
        <w:rPr>
          <w:rFonts w:ascii="Times New Roman" w:hAnsi="Times New Roman" w:cs="Times New Roman"/>
          <w:i/>
          <w:noProof/>
          <w:sz w:val="24"/>
          <w:szCs w:val="24"/>
        </w:rPr>
        <w:t>s just regression!</w:t>
      </w:r>
      <w:r>
        <w:rPr>
          <w:rFonts w:ascii="Times New Roman" w:hAnsi="Times New Roman" w:cs="Times New Roman"/>
          <w:noProof/>
          <w:sz w:val="24"/>
          <w:szCs w:val="24"/>
        </w:rPr>
        <w:t xml:space="preserve"> New York: Guildford Press.</w:t>
      </w:r>
      <w:bookmarkEnd w:id="1"/>
    </w:p>
    <w:p w14:paraId="6E99B93F" w14:textId="77777777" w:rsidR="0054049E" w:rsidRDefault="0054049E" w:rsidP="00ED51EB">
      <w:pPr>
        <w:spacing w:after="0" w:line="480" w:lineRule="auto"/>
        <w:ind w:left="720" w:hanging="720"/>
        <w:rPr>
          <w:rFonts w:ascii="Times New Roman" w:hAnsi="Times New Roman" w:cs="Times New Roman"/>
          <w:noProof/>
          <w:sz w:val="24"/>
          <w:szCs w:val="24"/>
        </w:rPr>
      </w:pPr>
      <w:bookmarkStart w:id="2" w:name="_ENREF_3"/>
      <w:r>
        <w:rPr>
          <w:rFonts w:ascii="Times New Roman" w:hAnsi="Times New Roman" w:cs="Times New Roman"/>
          <w:noProof/>
          <w:sz w:val="24"/>
          <w:szCs w:val="24"/>
        </w:rPr>
        <w:t>Brown, G</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K., </w:t>
      </w:r>
      <w:r w:rsidR="00ED51EB">
        <w:rPr>
          <w:rFonts w:ascii="Times New Roman" w:hAnsi="Times New Roman" w:cs="Times New Roman"/>
          <w:noProof/>
          <w:sz w:val="24"/>
          <w:szCs w:val="24"/>
        </w:rPr>
        <w:t>&amp;</w:t>
      </w:r>
      <w:r>
        <w:rPr>
          <w:rFonts w:ascii="Times New Roman" w:hAnsi="Times New Roman" w:cs="Times New Roman"/>
          <w:noProof/>
          <w:sz w:val="24"/>
          <w:szCs w:val="24"/>
        </w:rPr>
        <w:t xml:space="preserve"> Langer</w:t>
      </w:r>
      <w:r w:rsidR="00ED51EB">
        <w:rPr>
          <w:rFonts w:ascii="Times New Roman" w:hAnsi="Times New Roman" w:cs="Times New Roman"/>
          <w:noProof/>
          <w:sz w:val="24"/>
          <w:szCs w:val="24"/>
        </w:rPr>
        <w:t>, A. (</w:t>
      </w:r>
      <w:r>
        <w:rPr>
          <w:rFonts w:ascii="Times New Roman" w:hAnsi="Times New Roman" w:cs="Times New Roman"/>
          <w:noProof/>
          <w:sz w:val="24"/>
          <w:szCs w:val="24"/>
        </w:rPr>
        <w:t>2010</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Conceptualizing and measuring ethnicity. </w:t>
      </w:r>
      <w:r w:rsidRPr="0054049E">
        <w:rPr>
          <w:rFonts w:ascii="Times New Roman" w:hAnsi="Times New Roman" w:cs="Times New Roman"/>
          <w:i/>
          <w:noProof/>
          <w:sz w:val="24"/>
          <w:szCs w:val="24"/>
        </w:rPr>
        <w:t>Oxford Development Studies</w:t>
      </w:r>
      <w:r w:rsidR="00ED51EB">
        <w:rPr>
          <w:rFonts w:ascii="Times New Roman" w:hAnsi="Times New Roman" w:cs="Times New Roman"/>
          <w:noProof/>
          <w:sz w:val="24"/>
          <w:szCs w:val="24"/>
        </w:rPr>
        <w:t>,</w:t>
      </w:r>
      <w:r>
        <w:rPr>
          <w:rFonts w:ascii="Times New Roman" w:hAnsi="Times New Roman" w:cs="Times New Roman"/>
          <w:noProof/>
          <w:sz w:val="24"/>
          <w:szCs w:val="24"/>
        </w:rPr>
        <w:t xml:space="preserve"> </w:t>
      </w:r>
      <w:r w:rsidRPr="00ED51EB">
        <w:rPr>
          <w:rFonts w:ascii="Times New Roman" w:hAnsi="Times New Roman" w:cs="Times New Roman"/>
          <w:noProof/>
          <w:sz w:val="24"/>
          <w:szCs w:val="24"/>
        </w:rPr>
        <w:t>38</w:t>
      </w:r>
      <w:r w:rsidR="00ED51EB">
        <w:rPr>
          <w:rFonts w:ascii="Times New Roman" w:hAnsi="Times New Roman" w:cs="Times New Roman"/>
          <w:noProof/>
          <w:sz w:val="24"/>
          <w:szCs w:val="24"/>
        </w:rPr>
        <w:t xml:space="preserve">, </w:t>
      </w:r>
      <w:r w:rsidRPr="00ED51EB">
        <w:rPr>
          <w:rFonts w:ascii="Times New Roman" w:hAnsi="Times New Roman" w:cs="Times New Roman"/>
          <w:noProof/>
          <w:sz w:val="24"/>
          <w:szCs w:val="24"/>
        </w:rPr>
        <w:t>411</w:t>
      </w:r>
      <w:r>
        <w:rPr>
          <w:rFonts w:ascii="Times New Roman" w:hAnsi="Times New Roman" w:cs="Times New Roman"/>
          <w:noProof/>
          <w:sz w:val="24"/>
          <w:szCs w:val="24"/>
        </w:rPr>
        <w:t xml:space="preserve">-436. </w:t>
      </w:r>
      <w:bookmarkEnd w:id="2"/>
    </w:p>
    <w:p w14:paraId="1A648533" w14:textId="77777777" w:rsidR="0054049E" w:rsidRDefault="0054049E" w:rsidP="00ED51EB">
      <w:pPr>
        <w:spacing w:after="0" w:line="480" w:lineRule="auto"/>
        <w:ind w:left="720" w:hanging="720"/>
        <w:rPr>
          <w:rFonts w:ascii="Times New Roman" w:hAnsi="Times New Roman" w:cs="Times New Roman"/>
          <w:noProof/>
          <w:sz w:val="24"/>
          <w:szCs w:val="24"/>
        </w:rPr>
      </w:pPr>
      <w:bookmarkStart w:id="3" w:name="_ENREF_5"/>
      <w:r>
        <w:rPr>
          <w:rFonts w:ascii="Times New Roman" w:hAnsi="Times New Roman" w:cs="Times New Roman"/>
          <w:noProof/>
          <w:sz w:val="24"/>
          <w:szCs w:val="24"/>
        </w:rPr>
        <w:t>Church</w:t>
      </w:r>
      <w:r w:rsidR="00D02CCB">
        <w:rPr>
          <w:rFonts w:ascii="Times New Roman" w:hAnsi="Times New Roman" w:cs="Times New Roman"/>
          <w:noProof/>
          <w:sz w:val="24"/>
          <w:szCs w:val="24"/>
        </w:rPr>
        <w:t xml:space="preserve"> </w:t>
      </w:r>
      <w:r>
        <w:rPr>
          <w:rFonts w:ascii="Times New Roman" w:hAnsi="Times New Roman" w:cs="Times New Roman"/>
          <w:noProof/>
          <w:sz w:val="24"/>
          <w:szCs w:val="24"/>
        </w:rPr>
        <w:t>of</w:t>
      </w:r>
      <w:r w:rsidR="00D02CCB">
        <w:rPr>
          <w:rFonts w:ascii="Times New Roman" w:hAnsi="Times New Roman" w:cs="Times New Roman"/>
          <w:noProof/>
          <w:sz w:val="24"/>
          <w:szCs w:val="24"/>
        </w:rPr>
        <w:t xml:space="preserve"> </w:t>
      </w:r>
      <w:r>
        <w:rPr>
          <w:rFonts w:ascii="Times New Roman" w:hAnsi="Times New Roman" w:cs="Times New Roman"/>
          <w:noProof/>
          <w:sz w:val="24"/>
          <w:szCs w:val="24"/>
        </w:rPr>
        <w:t xml:space="preserve">England </w:t>
      </w:r>
      <w:r w:rsidR="00257A87">
        <w:rPr>
          <w:rFonts w:ascii="Times New Roman" w:hAnsi="Times New Roman" w:cs="Times New Roman"/>
          <w:noProof/>
          <w:sz w:val="24"/>
          <w:szCs w:val="24"/>
        </w:rPr>
        <w:t>(</w:t>
      </w:r>
      <w:r>
        <w:rPr>
          <w:rFonts w:ascii="Times New Roman" w:hAnsi="Times New Roman" w:cs="Times New Roman"/>
          <w:noProof/>
          <w:sz w:val="24"/>
          <w:szCs w:val="24"/>
        </w:rPr>
        <w:t>2014</w:t>
      </w:r>
      <w:r w:rsidR="00D02CCB">
        <w:rPr>
          <w:rFonts w:ascii="Times New Roman" w:hAnsi="Times New Roman" w:cs="Times New Roman"/>
          <w:noProof/>
          <w:sz w:val="24"/>
          <w:szCs w:val="24"/>
        </w:rPr>
        <w:t>a</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57A87">
        <w:rPr>
          <w:rFonts w:ascii="Times New Roman" w:hAnsi="Times New Roman" w:cs="Times New Roman"/>
          <w:i/>
          <w:noProof/>
          <w:sz w:val="24"/>
          <w:szCs w:val="24"/>
        </w:rPr>
        <w:t>Statistics for mission 2012</w:t>
      </w:r>
      <w:r>
        <w:rPr>
          <w:rFonts w:ascii="Times New Roman" w:hAnsi="Times New Roman" w:cs="Times New Roman"/>
          <w:noProof/>
          <w:sz w:val="24"/>
          <w:szCs w:val="24"/>
        </w:rPr>
        <w:t>. London: Archbishops</w:t>
      </w:r>
      <w:r w:rsidR="00257A87">
        <w:rPr>
          <w:rFonts w:ascii="Times New Roman" w:hAnsi="Times New Roman" w:cs="Times New Roman"/>
          <w:noProof/>
          <w:sz w:val="24"/>
          <w:szCs w:val="24"/>
        </w:rPr>
        <w:t xml:space="preserve">ʼ </w:t>
      </w:r>
      <w:r>
        <w:rPr>
          <w:rFonts w:ascii="Times New Roman" w:hAnsi="Times New Roman" w:cs="Times New Roman"/>
          <w:noProof/>
          <w:sz w:val="24"/>
          <w:szCs w:val="24"/>
        </w:rPr>
        <w:t>Council, Research and Statistics.</w:t>
      </w:r>
      <w:bookmarkEnd w:id="3"/>
    </w:p>
    <w:p w14:paraId="1D56AACE" w14:textId="77777777" w:rsidR="00D02CCB" w:rsidRDefault="00D02CCB" w:rsidP="00D02CCB">
      <w:pPr>
        <w:spacing w:after="0" w:line="480" w:lineRule="auto"/>
        <w:ind w:left="720" w:hanging="720"/>
        <w:rPr>
          <w:rFonts w:ascii="Times New Roman" w:hAnsi="Times New Roman" w:cs="Times New Roman"/>
          <w:noProof/>
          <w:sz w:val="24"/>
          <w:szCs w:val="24"/>
        </w:rPr>
      </w:pPr>
      <w:bookmarkStart w:id="4" w:name="_ENREF_4"/>
      <w:bookmarkStart w:id="5" w:name="_ENREF_6"/>
      <w:r>
        <w:rPr>
          <w:rFonts w:ascii="Times New Roman" w:hAnsi="Times New Roman" w:cs="Times New Roman"/>
          <w:noProof/>
          <w:sz w:val="24"/>
          <w:szCs w:val="24"/>
        </w:rPr>
        <w:t xml:space="preserve">Church of England (2014b). </w:t>
      </w:r>
      <w:r w:rsidRPr="00D02CCB">
        <w:rPr>
          <w:rFonts w:ascii="Times New Roman" w:hAnsi="Times New Roman" w:cs="Times New Roman"/>
          <w:i/>
          <w:noProof/>
          <w:sz w:val="24"/>
          <w:szCs w:val="24"/>
        </w:rPr>
        <w:t>From anecdote to evidence</w:t>
      </w:r>
      <w:r>
        <w:rPr>
          <w:rFonts w:ascii="Times New Roman" w:hAnsi="Times New Roman" w:cs="Times New Roman"/>
          <w:noProof/>
          <w:sz w:val="24"/>
          <w:szCs w:val="24"/>
        </w:rPr>
        <w:t xml:space="preserve">. </w:t>
      </w:r>
      <w:bookmarkEnd w:id="4"/>
      <w:r>
        <w:rPr>
          <w:rFonts w:ascii="Times New Roman" w:hAnsi="Times New Roman" w:cs="Times New Roman"/>
          <w:noProof/>
          <w:sz w:val="24"/>
          <w:szCs w:val="24"/>
        </w:rPr>
        <w:t>London: Church Commissioners for England.</w:t>
      </w:r>
    </w:p>
    <w:p w14:paraId="20E359EF" w14:textId="77777777" w:rsidR="0054049E" w:rsidRDefault="0054049E" w:rsidP="00ED51E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Church</w:t>
      </w:r>
      <w:r w:rsidR="00CD7DAD">
        <w:rPr>
          <w:rFonts w:ascii="Times New Roman" w:hAnsi="Times New Roman" w:cs="Times New Roman"/>
          <w:noProof/>
          <w:sz w:val="24"/>
          <w:szCs w:val="24"/>
        </w:rPr>
        <w:t xml:space="preserve"> </w:t>
      </w:r>
      <w:r>
        <w:rPr>
          <w:rFonts w:ascii="Times New Roman" w:hAnsi="Times New Roman" w:cs="Times New Roman"/>
          <w:noProof/>
          <w:sz w:val="24"/>
          <w:szCs w:val="24"/>
        </w:rPr>
        <w:t>of</w:t>
      </w:r>
      <w:r w:rsidR="00CD7DAD">
        <w:rPr>
          <w:rFonts w:ascii="Times New Roman" w:hAnsi="Times New Roman" w:cs="Times New Roman"/>
          <w:noProof/>
          <w:sz w:val="24"/>
          <w:szCs w:val="24"/>
        </w:rPr>
        <w:t xml:space="preserve"> </w:t>
      </w:r>
      <w:r>
        <w:rPr>
          <w:rFonts w:ascii="Times New Roman" w:hAnsi="Times New Roman" w:cs="Times New Roman"/>
          <w:noProof/>
          <w:sz w:val="24"/>
          <w:szCs w:val="24"/>
        </w:rPr>
        <w:t xml:space="preserve">England </w:t>
      </w:r>
      <w:r w:rsidR="00257A87">
        <w:rPr>
          <w:rFonts w:ascii="Times New Roman" w:hAnsi="Times New Roman" w:cs="Times New Roman"/>
          <w:noProof/>
          <w:sz w:val="24"/>
          <w:szCs w:val="24"/>
        </w:rPr>
        <w:t>(</w:t>
      </w:r>
      <w:r>
        <w:rPr>
          <w:rFonts w:ascii="Times New Roman" w:hAnsi="Times New Roman" w:cs="Times New Roman"/>
          <w:noProof/>
          <w:sz w:val="24"/>
          <w:szCs w:val="24"/>
        </w:rPr>
        <w:t>2017</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57A87">
        <w:rPr>
          <w:rFonts w:ascii="Times New Roman" w:hAnsi="Times New Roman" w:cs="Times New Roman"/>
          <w:i/>
          <w:noProof/>
          <w:sz w:val="24"/>
          <w:szCs w:val="24"/>
        </w:rPr>
        <w:t>Statistics for mission 2016</w:t>
      </w:r>
      <w:r>
        <w:rPr>
          <w:rFonts w:ascii="Times New Roman" w:hAnsi="Times New Roman" w:cs="Times New Roman"/>
          <w:noProof/>
          <w:sz w:val="24"/>
          <w:szCs w:val="24"/>
        </w:rPr>
        <w:t xml:space="preserve">. </w:t>
      </w:r>
      <w:bookmarkEnd w:id="5"/>
      <w:r w:rsidR="00CD7DAD">
        <w:rPr>
          <w:rFonts w:ascii="Times New Roman" w:hAnsi="Times New Roman" w:cs="Times New Roman"/>
          <w:noProof/>
          <w:sz w:val="24"/>
          <w:szCs w:val="24"/>
        </w:rPr>
        <w:t>London: Archbishopsʼ Council, Research and Statistics.</w:t>
      </w:r>
    </w:p>
    <w:p w14:paraId="4CFDE909" w14:textId="77777777" w:rsidR="00CD7DAD" w:rsidRDefault="0054049E" w:rsidP="00CD7DAD">
      <w:pPr>
        <w:spacing w:after="0" w:line="480" w:lineRule="auto"/>
        <w:ind w:left="720" w:hanging="720"/>
        <w:rPr>
          <w:rFonts w:ascii="Times New Roman" w:hAnsi="Times New Roman" w:cs="Times New Roman"/>
          <w:noProof/>
          <w:sz w:val="24"/>
          <w:szCs w:val="24"/>
        </w:rPr>
      </w:pPr>
      <w:bookmarkStart w:id="6" w:name="_ENREF_7"/>
      <w:r>
        <w:rPr>
          <w:rFonts w:ascii="Times New Roman" w:hAnsi="Times New Roman" w:cs="Times New Roman"/>
          <w:noProof/>
          <w:sz w:val="24"/>
          <w:szCs w:val="24"/>
        </w:rPr>
        <w:t>Church</w:t>
      </w:r>
      <w:r w:rsidR="00CD7DAD">
        <w:rPr>
          <w:rFonts w:ascii="Times New Roman" w:hAnsi="Times New Roman" w:cs="Times New Roman"/>
          <w:noProof/>
          <w:sz w:val="24"/>
          <w:szCs w:val="24"/>
        </w:rPr>
        <w:t xml:space="preserve"> </w:t>
      </w:r>
      <w:r>
        <w:rPr>
          <w:rFonts w:ascii="Times New Roman" w:hAnsi="Times New Roman" w:cs="Times New Roman"/>
          <w:noProof/>
          <w:sz w:val="24"/>
          <w:szCs w:val="24"/>
        </w:rPr>
        <w:t>of</w:t>
      </w:r>
      <w:r w:rsidR="00CD7DAD">
        <w:rPr>
          <w:rFonts w:ascii="Times New Roman" w:hAnsi="Times New Roman" w:cs="Times New Roman"/>
          <w:noProof/>
          <w:sz w:val="24"/>
          <w:szCs w:val="24"/>
        </w:rPr>
        <w:t xml:space="preserve"> </w:t>
      </w:r>
      <w:r>
        <w:rPr>
          <w:rFonts w:ascii="Times New Roman" w:hAnsi="Times New Roman" w:cs="Times New Roman"/>
          <w:noProof/>
          <w:sz w:val="24"/>
          <w:szCs w:val="24"/>
        </w:rPr>
        <w:t xml:space="preserve">England </w:t>
      </w:r>
      <w:r w:rsidR="00257A87">
        <w:rPr>
          <w:rFonts w:ascii="Times New Roman" w:hAnsi="Times New Roman" w:cs="Times New Roman"/>
          <w:noProof/>
          <w:sz w:val="24"/>
          <w:szCs w:val="24"/>
        </w:rPr>
        <w:t>(</w:t>
      </w:r>
      <w:r>
        <w:rPr>
          <w:rFonts w:ascii="Times New Roman" w:hAnsi="Times New Roman" w:cs="Times New Roman"/>
          <w:noProof/>
          <w:sz w:val="24"/>
          <w:szCs w:val="24"/>
        </w:rPr>
        <w:t>2018</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57A87">
        <w:rPr>
          <w:rFonts w:ascii="Times New Roman" w:hAnsi="Times New Roman" w:cs="Times New Roman"/>
          <w:i/>
          <w:noProof/>
          <w:sz w:val="24"/>
          <w:szCs w:val="24"/>
        </w:rPr>
        <w:t xml:space="preserve">Research and </w:t>
      </w:r>
      <w:r w:rsidR="00257A87" w:rsidRPr="00257A87">
        <w:rPr>
          <w:rFonts w:ascii="Times New Roman" w:hAnsi="Times New Roman" w:cs="Times New Roman"/>
          <w:i/>
          <w:noProof/>
          <w:sz w:val="24"/>
          <w:szCs w:val="24"/>
        </w:rPr>
        <w:t>s</w:t>
      </w:r>
      <w:r w:rsidRPr="00257A87">
        <w:rPr>
          <w:rFonts w:ascii="Times New Roman" w:hAnsi="Times New Roman" w:cs="Times New Roman"/>
          <w:i/>
          <w:noProof/>
          <w:sz w:val="24"/>
          <w:szCs w:val="24"/>
        </w:rPr>
        <w:t>tatistics</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bookmarkStart w:id="7" w:name="_ENREF_8"/>
      <w:bookmarkEnd w:id="6"/>
      <w:r w:rsidR="00CD7DAD">
        <w:rPr>
          <w:rFonts w:ascii="Times New Roman" w:hAnsi="Times New Roman" w:cs="Times New Roman"/>
          <w:noProof/>
          <w:sz w:val="24"/>
          <w:szCs w:val="24"/>
        </w:rPr>
        <w:t>London: Archbishopsʼ Council, Research and Statistics.</w:t>
      </w:r>
    </w:p>
    <w:p w14:paraId="43E1D57C" w14:textId="77777777" w:rsidR="0054049E" w:rsidRDefault="0054049E" w:rsidP="00ED51EB">
      <w:pPr>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Dougherty, K</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D. </w:t>
      </w:r>
      <w:r w:rsidR="00257A87">
        <w:rPr>
          <w:rFonts w:ascii="Times New Roman" w:hAnsi="Times New Roman" w:cs="Times New Roman"/>
          <w:noProof/>
          <w:sz w:val="24"/>
          <w:szCs w:val="24"/>
        </w:rPr>
        <w:t>(</w:t>
      </w:r>
      <w:r>
        <w:rPr>
          <w:rFonts w:ascii="Times New Roman" w:hAnsi="Times New Roman" w:cs="Times New Roman"/>
          <w:noProof/>
          <w:sz w:val="24"/>
          <w:szCs w:val="24"/>
        </w:rPr>
        <w:t>2003</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How monochromatic is church membership? Racial-ethnic diversity in religious community. </w:t>
      </w:r>
      <w:r w:rsidRPr="0054049E">
        <w:rPr>
          <w:rFonts w:ascii="Times New Roman" w:hAnsi="Times New Roman" w:cs="Times New Roman"/>
          <w:i/>
          <w:noProof/>
          <w:sz w:val="24"/>
          <w:szCs w:val="24"/>
        </w:rPr>
        <w:t>Sociology of Religion</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57A87">
        <w:rPr>
          <w:rFonts w:ascii="Times New Roman" w:hAnsi="Times New Roman" w:cs="Times New Roman"/>
          <w:i/>
          <w:noProof/>
          <w:sz w:val="24"/>
          <w:szCs w:val="24"/>
        </w:rPr>
        <w:t>64</w:t>
      </w:r>
      <w:r w:rsidR="00257A87">
        <w:rPr>
          <w:rFonts w:ascii="Times New Roman" w:hAnsi="Times New Roman" w:cs="Times New Roman"/>
          <w:noProof/>
          <w:sz w:val="24"/>
          <w:szCs w:val="24"/>
        </w:rPr>
        <w:t xml:space="preserve">, </w:t>
      </w:r>
      <w:r>
        <w:rPr>
          <w:rFonts w:ascii="Times New Roman" w:hAnsi="Times New Roman" w:cs="Times New Roman"/>
          <w:noProof/>
          <w:sz w:val="24"/>
          <w:szCs w:val="24"/>
        </w:rPr>
        <w:t xml:space="preserve">65-85. </w:t>
      </w:r>
      <w:bookmarkEnd w:id="7"/>
    </w:p>
    <w:p w14:paraId="49C7E05F" w14:textId="77777777" w:rsidR="0054049E" w:rsidRDefault="0054049E" w:rsidP="00ED51EB">
      <w:pPr>
        <w:spacing w:after="0" w:line="480" w:lineRule="auto"/>
        <w:ind w:left="720" w:hanging="720"/>
        <w:rPr>
          <w:rFonts w:ascii="Times New Roman" w:hAnsi="Times New Roman" w:cs="Times New Roman"/>
          <w:noProof/>
          <w:sz w:val="24"/>
          <w:szCs w:val="24"/>
        </w:rPr>
      </w:pPr>
      <w:bookmarkStart w:id="8" w:name="_ENREF_9"/>
      <w:r>
        <w:rPr>
          <w:rFonts w:ascii="Times New Roman" w:hAnsi="Times New Roman" w:cs="Times New Roman"/>
          <w:noProof/>
          <w:sz w:val="24"/>
          <w:szCs w:val="24"/>
        </w:rPr>
        <w:t>Emerson, M</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O., </w:t>
      </w:r>
      <w:r w:rsidR="00257A87">
        <w:rPr>
          <w:rFonts w:ascii="Times New Roman" w:hAnsi="Times New Roman" w:cs="Times New Roman"/>
          <w:noProof/>
          <w:sz w:val="24"/>
          <w:szCs w:val="24"/>
        </w:rPr>
        <w:t>&amp;</w:t>
      </w:r>
      <w:r>
        <w:rPr>
          <w:rFonts w:ascii="Times New Roman" w:hAnsi="Times New Roman" w:cs="Times New Roman"/>
          <w:noProof/>
          <w:sz w:val="24"/>
          <w:szCs w:val="24"/>
        </w:rPr>
        <w:t xml:space="preserve"> Smith</w:t>
      </w:r>
      <w:r w:rsidR="00257A87">
        <w:rPr>
          <w:rFonts w:ascii="Times New Roman" w:hAnsi="Times New Roman" w:cs="Times New Roman"/>
          <w:noProof/>
          <w:sz w:val="24"/>
          <w:szCs w:val="24"/>
        </w:rPr>
        <w:t>, C. (</w:t>
      </w:r>
      <w:r>
        <w:rPr>
          <w:rFonts w:ascii="Times New Roman" w:hAnsi="Times New Roman" w:cs="Times New Roman"/>
          <w:noProof/>
          <w:sz w:val="24"/>
          <w:szCs w:val="24"/>
        </w:rPr>
        <w:t>2000</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4049E">
        <w:rPr>
          <w:rFonts w:ascii="Times New Roman" w:hAnsi="Times New Roman" w:cs="Times New Roman"/>
          <w:i/>
          <w:noProof/>
          <w:sz w:val="24"/>
          <w:szCs w:val="24"/>
        </w:rPr>
        <w:t>Divided by faith: Evangelical religion and the problem of race in America</w:t>
      </w:r>
      <w:r>
        <w:rPr>
          <w:rFonts w:ascii="Times New Roman" w:hAnsi="Times New Roman" w:cs="Times New Roman"/>
          <w:noProof/>
          <w:sz w:val="24"/>
          <w:szCs w:val="24"/>
        </w:rPr>
        <w:t>. New York: Oxford University Press.</w:t>
      </w:r>
      <w:bookmarkEnd w:id="8"/>
    </w:p>
    <w:p w14:paraId="13F76CB0" w14:textId="77777777" w:rsidR="0054049E" w:rsidRDefault="0054049E" w:rsidP="00ED51EB">
      <w:pPr>
        <w:spacing w:after="0" w:line="480" w:lineRule="auto"/>
        <w:ind w:left="720" w:hanging="720"/>
        <w:rPr>
          <w:rFonts w:ascii="Times New Roman" w:hAnsi="Times New Roman" w:cs="Times New Roman"/>
          <w:noProof/>
          <w:sz w:val="24"/>
          <w:szCs w:val="24"/>
        </w:rPr>
      </w:pPr>
      <w:bookmarkStart w:id="9" w:name="_ENREF_10"/>
      <w:r>
        <w:rPr>
          <w:rFonts w:ascii="Times New Roman" w:hAnsi="Times New Roman" w:cs="Times New Roman"/>
          <w:noProof/>
          <w:sz w:val="24"/>
          <w:szCs w:val="24"/>
        </w:rPr>
        <w:t>Glasser, A</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F. </w:t>
      </w:r>
      <w:r w:rsidR="00257A87">
        <w:rPr>
          <w:rFonts w:ascii="Times New Roman" w:hAnsi="Times New Roman" w:cs="Times New Roman"/>
          <w:noProof/>
          <w:sz w:val="24"/>
          <w:szCs w:val="24"/>
        </w:rPr>
        <w:t>(</w:t>
      </w:r>
      <w:r>
        <w:rPr>
          <w:rFonts w:ascii="Times New Roman" w:hAnsi="Times New Roman" w:cs="Times New Roman"/>
          <w:noProof/>
          <w:sz w:val="24"/>
          <w:szCs w:val="24"/>
        </w:rPr>
        <w:t>1986</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Church growth at Fuller. </w:t>
      </w:r>
      <w:r w:rsidRPr="0054049E">
        <w:rPr>
          <w:rFonts w:ascii="Times New Roman" w:hAnsi="Times New Roman" w:cs="Times New Roman"/>
          <w:i/>
          <w:noProof/>
          <w:sz w:val="24"/>
          <w:szCs w:val="24"/>
        </w:rPr>
        <w:t>Missiology</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D7DAD">
        <w:rPr>
          <w:rFonts w:ascii="Times New Roman" w:hAnsi="Times New Roman" w:cs="Times New Roman"/>
          <w:i/>
          <w:noProof/>
          <w:sz w:val="24"/>
          <w:szCs w:val="24"/>
        </w:rPr>
        <w:t>14</w:t>
      </w:r>
      <w:r w:rsidR="00257A87">
        <w:rPr>
          <w:rFonts w:ascii="Times New Roman" w:hAnsi="Times New Roman" w:cs="Times New Roman"/>
          <w:noProof/>
          <w:sz w:val="24"/>
          <w:szCs w:val="24"/>
        </w:rPr>
        <w:t xml:space="preserve">, </w:t>
      </w:r>
      <w:r w:rsidRPr="00257A87">
        <w:rPr>
          <w:rFonts w:ascii="Times New Roman" w:hAnsi="Times New Roman" w:cs="Times New Roman"/>
          <w:noProof/>
          <w:sz w:val="24"/>
          <w:szCs w:val="24"/>
        </w:rPr>
        <w:t>401</w:t>
      </w:r>
      <w:r>
        <w:rPr>
          <w:rFonts w:ascii="Times New Roman" w:hAnsi="Times New Roman" w:cs="Times New Roman"/>
          <w:noProof/>
          <w:sz w:val="24"/>
          <w:szCs w:val="24"/>
        </w:rPr>
        <w:t>-420.</w:t>
      </w:r>
      <w:bookmarkEnd w:id="9"/>
    </w:p>
    <w:p w14:paraId="16115D0E"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0" w:name="_ENREF_11"/>
      <w:r>
        <w:rPr>
          <w:rFonts w:ascii="Times New Roman" w:hAnsi="Times New Roman" w:cs="Times New Roman"/>
          <w:noProof/>
          <w:sz w:val="24"/>
          <w:szCs w:val="24"/>
        </w:rPr>
        <w:t>Hunt, S</w:t>
      </w:r>
      <w:r w:rsidR="00257A87">
        <w:rPr>
          <w:rFonts w:ascii="Times New Roman" w:hAnsi="Times New Roman" w:cs="Times New Roman"/>
          <w:noProof/>
          <w:sz w:val="24"/>
          <w:szCs w:val="24"/>
        </w:rPr>
        <w:t>., &amp;</w:t>
      </w:r>
      <w:r>
        <w:rPr>
          <w:rFonts w:ascii="Times New Roman" w:hAnsi="Times New Roman" w:cs="Times New Roman"/>
          <w:noProof/>
          <w:sz w:val="24"/>
          <w:szCs w:val="24"/>
        </w:rPr>
        <w:t xml:space="preserve"> Lightly</w:t>
      </w:r>
      <w:r w:rsidR="00257A87">
        <w:rPr>
          <w:rFonts w:ascii="Times New Roman" w:hAnsi="Times New Roman" w:cs="Times New Roman"/>
          <w:noProof/>
          <w:sz w:val="24"/>
          <w:szCs w:val="24"/>
        </w:rPr>
        <w:t>, N. (</w:t>
      </w:r>
      <w:r>
        <w:rPr>
          <w:rFonts w:ascii="Times New Roman" w:hAnsi="Times New Roman" w:cs="Times New Roman"/>
          <w:noProof/>
          <w:sz w:val="24"/>
          <w:szCs w:val="24"/>
        </w:rPr>
        <w:t>2001</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The British black Pentecostal </w:t>
      </w:r>
      <w:r w:rsidR="00257A87">
        <w:rPr>
          <w:rFonts w:ascii="Times New Roman" w:hAnsi="Times New Roman" w:cs="Times New Roman"/>
          <w:noProof/>
          <w:sz w:val="24"/>
          <w:szCs w:val="24"/>
        </w:rPr>
        <w:t>ʻ</w:t>
      </w:r>
      <w:r>
        <w:rPr>
          <w:rFonts w:ascii="Times New Roman" w:hAnsi="Times New Roman" w:cs="Times New Roman"/>
          <w:noProof/>
          <w:sz w:val="24"/>
          <w:szCs w:val="24"/>
        </w:rPr>
        <w:t>revival</w:t>
      </w:r>
      <w:r w:rsidR="00257A87">
        <w:rPr>
          <w:rFonts w:ascii="Times New Roman" w:hAnsi="Times New Roman" w:cs="Times New Roman"/>
          <w:noProof/>
          <w:sz w:val="24"/>
          <w:szCs w:val="24"/>
        </w:rPr>
        <w:t>ʼ</w:t>
      </w:r>
      <w:r>
        <w:rPr>
          <w:rFonts w:ascii="Times New Roman" w:hAnsi="Times New Roman" w:cs="Times New Roman"/>
          <w:noProof/>
          <w:sz w:val="24"/>
          <w:szCs w:val="24"/>
        </w:rPr>
        <w:t xml:space="preserve">: Identity and belief in the </w:t>
      </w:r>
      <w:r w:rsidR="00257A87">
        <w:rPr>
          <w:rFonts w:ascii="Times New Roman" w:hAnsi="Times New Roman" w:cs="Times New Roman"/>
          <w:noProof/>
          <w:sz w:val="24"/>
          <w:szCs w:val="24"/>
        </w:rPr>
        <w:t>ʻ</w:t>
      </w:r>
      <w:r>
        <w:rPr>
          <w:rFonts w:ascii="Times New Roman" w:hAnsi="Times New Roman" w:cs="Times New Roman"/>
          <w:noProof/>
          <w:sz w:val="24"/>
          <w:szCs w:val="24"/>
        </w:rPr>
        <w:t>new</w:t>
      </w:r>
      <w:r w:rsidR="00257A87">
        <w:rPr>
          <w:rFonts w:ascii="Times New Roman" w:hAnsi="Times New Roman" w:cs="Times New Roman"/>
          <w:noProof/>
          <w:sz w:val="24"/>
          <w:szCs w:val="24"/>
        </w:rPr>
        <w:t>ʼ</w:t>
      </w:r>
      <w:r>
        <w:rPr>
          <w:rFonts w:ascii="Times New Roman" w:hAnsi="Times New Roman" w:cs="Times New Roman"/>
          <w:noProof/>
          <w:sz w:val="24"/>
          <w:szCs w:val="24"/>
        </w:rPr>
        <w:t xml:space="preserve"> Nigerian churches. </w:t>
      </w:r>
      <w:r w:rsidRPr="0054049E">
        <w:rPr>
          <w:rFonts w:ascii="Times New Roman" w:hAnsi="Times New Roman" w:cs="Times New Roman"/>
          <w:i/>
          <w:noProof/>
          <w:sz w:val="24"/>
          <w:szCs w:val="24"/>
        </w:rPr>
        <w:t>Ethnic and Racial Studies</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57A87">
        <w:rPr>
          <w:rFonts w:ascii="Times New Roman" w:hAnsi="Times New Roman" w:cs="Times New Roman"/>
          <w:i/>
          <w:noProof/>
          <w:sz w:val="24"/>
          <w:szCs w:val="24"/>
        </w:rPr>
        <w:t>24</w:t>
      </w:r>
      <w:r w:rsidR="00257A87">
        <w:rPr>
          <w:rFonts w:ascii="Times New Roman" w:hAnsi="Times New Roman" w:cs="Times New Roman"/>
          <w:noProof/>
          <w:sz w:val="24"/>
          <w:szCs w:val="24"/>
        </w:rPr>
        <w:t>, 1</w:t>
      </w:r>
      <w:r>
        <w:rPr>
          <w:rFonts w:ascii="Times New Roman" w:hAnsi="Times New Roman" w:cs="Times New Roman"/>
          <w:noProof/>
          <w:sz w:val="24"/>
          <w:szCs w:val="24"/>
        </w:rPr>
        <w:t xml:space="preserve">04-124. </w:t>
      </w:r>
      <w:bookmarkEnd w:id="10"/>
    </w:p>
    <w:p w14:paraId="332B8FA5" w14:textId="77777777" w:rsidR="00CD7DAD" w:rsidRDefault="0054049E" w:rsidP="00ED51EB">
      <w:pPr>
        <w:spacing w:after="0" w:line="480" w:lineRule="auto"/>
        <w:ind w:left="720" w:hanging="720"/>
        <w:rPr>
          <w:rFonts w:ascii="Times New Roman" w:hAnsi="Times New Roman" w:cs="Times New Roman"/>
          <w:noProof/>
          <w:sz w:val="24"/>
          <w:szCs w:val="24"/>
        </w:rPr>
      </w:pPr>
      <w:bookmarkStart w:id="11" w:name="_ENREF_12"/>
      <w:r>
        <w:rPr>
          <w:rFonts w:ascii="Times New Roman" w:hAnsi="Times New Roman" w:cs="Times New Roman"/>
          <w:noProof/>
          <w:sz w:val="24"/>
          <w:szCs w:val="24"/>
        </w:rPr>
        <w:t xml:space="preserve">Kalilombe, P. </w:t>
      </w:r>
      <w:r w:rsidR="00257A87">
        <w:rPr>
          <w:rFonts w:ascii="Times New Roman" w:hAnsi="Times New Roman" w:cs="Times New Roman"/>
          <w:noProof/>
          <w:sz w:val="24"/>
          <w:szCs w:val="24"/>
        </w:rPr>
        <w:t>(</w:t>
      </w:r>
      <w:r>
        <w:rPr>
          <w:rFonts w:ascii="Times New Roman" w:hAnsi="Times New Roman" w:cs="Times New Roman"/>
          <w:noProof/>
          <w:sz w:val="24"/>
          <w:szCs w:val="24"/>
        </w:rPr>
        <w:t>1997</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Black Christianity in Britain. </w:t>
      </w:r>
      <w:r w:rsidRPr="0054049E">
        <w:rPr>
          <w:rFonts w:ascii="Times New Roman" w:hAnsi="Times New Roman" w:cs="Times New Roman"/>
          <w:i/>
          <w:noProof/>
          <w:sz w:val="24"/>
          <w:szCs w:val="24"/>
        </w:rPr>
        <w:t>Ethnic and Racial Studies</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D7DAD">
        <w:rPr>
          <w:rFonts w:ascii="Times New Roman" w:hAnsi="Times New Roman" w:cs="Times New Roman"/>
          <w:i/>
          <w:noProof/>
          <w:sz w:val="24"/>
          <w:szCs w:val="24"/>
        </w:rPr>
        <w:t>20</w:t>
      </w:r>
      <w:r w:rsidR="00257A87">
        <w:rPr>
          <w:rFonts w:ascii="Times New Roman" w:hAnsi="Times New Roman" w:cs="Times New Roman"/>
          <w:noProof/>
          <w:sz w:val="24"/>
          <w:szCs w:val="24"/>
        </w:rPr>
        <w:t xml:space="preserve">, </w:t>
      </w:r>
      <w:r w:rsidRPr="00257A87">
        <w:rPr>
          <w:rFonts w:ascii="Times New Roman" w:hAnsi="Times New Roman" w:cs="Times New Roman"/>
          <w:noProof/>
          <w:sz w:val="24"/>
          <w:szCs w:val="24"/>
        </w:rPr>
        <w:t>306</w:t>
      </w:r>
      <w:r>
        <w:rPr>
          <w:rFonts w:ascii="Times New Roman" w:hAnsi="Times New Roman" w:cs="Times New Roman"/>
          <w:noProof/>
          <w:sz w:val="24"/>
          <w:szCs w:val="24"/>
        </w:rPr>
        <w:t>-324.</w:t>
      </w:r>
    </w:p>
    <w:p w14:paraId="29327134"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2" w:name="_ENREF_13"/>
      <w:bookmarkEnd w:id="11"/>
      <w:r>
        <w:rPr>
          <w:rFonts w:ascii="Times New Roman" w:hAnsi="Times New Roman" w:cs="Times New Roman"/>
          <w:noProof/>
          <w:sz w:val="24"/>
          <w:szCs w:val="24"/>
        </w:rPr>
        <w:t>Lazersfeld, P</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F., </w:t>
      </w:r>
      <w:r w:rsidR="00257A87">
        <w:rPr>
          <w:rFonts w:ascii="Times New Roman" w:hAnsi="Times New Roman" w:cs="Times New Roman"/>
          <w:noProof/>
          <w:sz w:val="24"/>
          <w:szCs w:val="24"/>
        </w:rPr>
        <w:t>&amp;</w:t>
      </w:r>
      <w:r>
        <w:rPr>
          <w:rFonts w:ascii="Times New Roman" w:hAnsi="Times New Roman" w:cs="Times New Roman"/>
          <w:noProof/>
          <w:sz w:val="24"/>
          <w:szCs w:val="24"/>
        </w:rPr>
        <w:t xml:space="preserve"> Merton</w:t>
      </w:r>
      <w:r w:rsidR="00257A87">
        <w:rPr>
          <w:rFonts w:ascii="Times New Roman" w:hAnsi="Times New Roman" w:cs="Times New Roman"/>
          <w:noProof/>
          <w:sz w:val="24"/>
          <w:szCs w:val="24"/>
        </w:rPr>
        <w:t>, R. K.</w:t>
      </w:r>
      <w:r>
        <w:rPr>
          <w:rFonts w:ascii="Times New Roman" w:hAnsi="Times New Roman" w:cs="Times New Roman"/>
          <w:noProof/>
          <w:sz w:val="24"/>
          <w:szCs w:val="24"/>
        </w:rPr>
        <w:t xml:space="preserve"> </w:t>
      </w:r>
      <w:r w:rsidR="00257A87">
        <w:rPr>
          <w:rFonts w:ascii="Times New Roman" w:hAnsi="Times New Roman" w:cs="Times New Roman"/>
          <w:noProof/>
          <w:sz w:val="24"/>
          <w:szCs w:val="24"/>
        </w:rPr>
        <w:t>(</w:t>
      </w:r>
      <w:r>
        <w:rPr>
          <w:rFonts w:ascii="Times New Roman" w:hAnsi="Times New Roman" w:cs="Times New Roman"/>
          <w:noProof/>
          <w:sz w:val="24"/>
          <w:szCs w:val="24"/>
        </w:rPr>
        <w:t>1954</w:t>
      </w:r>
      <w:r w:rsidR="00257A87">
        <w:rPr>
          <w:rFonts w:ascii="Times New Roman" w:hAnsi="Times New Roman" w:cs="Times New Roman"/>
          <w:noProof/>
          <w:sz w:val="24"/>
          <w:szCs w:val="24"/>
        </w:rPr>
        <w:t>)</w:t>
      </w:r>
      <w:r>
        <w:rPr>
          <w:rFonts w:ascii="Times New Roman" w:hAnsi="Times New Roman" w:cs="Times New Roman"/>
          <w:noProof/>
          <w:sz w:val="24"/>
          <w:szCs w:val="24"/>
        </w:rPr>
        <w:t>. Friendship as social process: A substantive and methodological analysis. In</w:t>
      </w:r>
      <w:r w:rsidR="00257A87">
        <w:rPr>
          <w:rFonts w:ascii="Times New Roman" w:hAnsi="Times New Roman" w:cs="Times New Roman"/>
          <w:noProof/>
          <w:sz w:val="24"/>
          <w:szCs w:val="24"/>
        </w:rPr>
        <w:t xml:space="preserve"> M. Berger (Ed.),</w:t>
      </w:r>
      <w:r>
        <w:rPr>
          <w:rFonts w:ascii="Times New Roman" w:hAnsi="Times New Roman" w:cs="Times New Roman"/>
          <w:noProof/>
          <w:sz w:val="24"/>
          <w:szCs w:val="24"/>
        </w:rPr>
        <w:t xml:space="preserve"> </w:t>
      </w:r>
      <w:r w:rsidRPr="0054049E">
        <w:rPr>
          <w:rFonts w:ascii="Times New Roman" w:hAnsi="Times New Roman" w:cs="Times New Roman"/>
          <w:i/>
          <w:noProof/>
          <w:sz w:val="24"/>
          <w:szCs w:val="24"/>
        </w:rPr>
        <w:t>Freedom and control in modern society</w:t>
      </w:r>
      <w:r w:rsidR="00257A87">
        <w:rPr>
          <w:rFonts w:ascii="Times New Roman" w:hAnsi="Times New Roman" w:cs="Times New Roman"/>
          <w:noProof/>
          <w:sz w:val="24"/>
          <w:szCs w:val="24"/>
        </w:rPr>
        <w:t xml:space="preserve"> (pp. </w:t>
      </w:r>
      <w:r>
        <w:rPr>
          <w:rFonts w:ascii="Times New Roman" w:hAnsi="Times New Roman" w:cs="Times New Roman"/>
          <w:noProof/>
          <w:sz w:val="24"/>
          <w:szCs w:val="24"/>
        </w:rPr>
        <w:t>18-66</w:t>
      </w:r>
      <w:r w:rsidR="00257A87">
        <w:rPr>
          <w:rFonts w:ascii="Times New Roman" w:hAnsi="Times New Roman" w:cs="Times New Roman"/>
          <w:noProof/>
          <w:sz w:val="24"/>
          <w:szCs w:val="24"/>
        </w:rPr>
        <w:t>)</w:t>
      </w:r>
      <w:r>
        <w:rPr>
          <w:rFonts w:ascii="Times New Roman" w:hAnsi="Times New Roman" w:cs="Times New Roman"/>
          <w:noProof/>
          <w:sz w:val="24"/>
          <w:szCs w:val="24"/>
        </w:rPr>
        <w:t>. New York: Van Nostrand.</w:t>
      </w:r>
      <w:bookmarkEnd w:id="12"/>
    </w:p>
    <w:p w14:paraId="0F2D9D94"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3" w:name="_ENREF_14"/>
      <w:r>
        <w:rPr>
          <w:rFonts w:ascii="Times New Roman" w:hAnsi="Times New Roman" w:cs="Times New Roman"/>
          <w:noProof/>
          <w:sz w:val="24"/>
          <w:szCs w:val="24"/>
        </w:rPr>
        <w:t xml:space="preserve">McClintock, W. </w:t>
      </w:r>
      <w:r w:rsidR="00257A87">
        <w:rPr>
          <w:rFonts w:ascii="Times New Roman" w:hAnsi="Times New Roman" w:cs="Times New Roman"/>
          <w:noProof/>
          <w:sz w:val="24"/>
          <w:szCs w:val="24"/>
        </w:rPr>
        <w:t>(</w:t>
      </w:r>
      <w:r>
        <w:rPr>
          <w:rFonts w:ascii="Times New Roman" w:hAnsi="Times New Roman" w:cs="Times New Roman"/>
          <w:noProof/>
          <w:sz w:val="24"/>
          <w:szCs w:val="24"/>
        </w:rPr>
        <w:t>1988</w:t>
      </w:r>
      <w:r w:rsidR="00257A87">
        <w:rPr>
          <w:rFonts w:ascii="Times New Roman" w:hAnsi="Times New Roman" w:cs="Times New Roman"/>
          <w:noProof/>
          <w:sz w:val="24"/>
          <w:szCs w:val="24"/>
        </w:rPr>
        <w:t>)</w:t>
      </w:r>
      <w:r>
        <w:rPr>
          <w:rFonts w:ascii="Times New Roman" w:hAnsi="Times New Roman" w:cs="Times New Roman"/>
          <w:noProof/>
          <w:sz w:val="24"/>
          <w:szCs w:val="24"/>
        </w:rPr>
        <w:t xml:space="preserve">. Sociological critique of the homogeneous unit principle. </w:t>
      </w:r>
      <w:r w:rsidRPr="0054049E">
        <w:rPr>
          <w:rFonts w:ascii="Times New Roman" w:hAnsi="Times New Roman" w:cs="Times New Roman"/>
          <w:i/>
          <w:noProof/>
          <w:sz w:val="24"/>
          <w:szCs w:val="24"/>
        </w:rPr>
        <w:t>International Review of Mission</w:t>
      </w:r>
      <w:r w:rsidR="007C6DA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D7DAD">
        <w:rPr>
          <w:rFonts w:ascii="Times New Roman" w:hAnsi="Times New Roman" w:cs="Times New Roman"/>
          <w:i/>
          <w:noProof/>
          <w:sz w:val="24"/>
          <w:szCs w:val="24"/>
        </w:rPr>
        <w:t>77</w:t>
      </w:r>
      <w:r w:rsidR="007C6DA1">
        <w:rPr>
          <w:rFonts w:ascii="Times New Roman" w:hAnsi="Times New Roman" w:cs="Times New Roman"/>
          <w:noProof/>
          <w:sz w:val="24"/>
          <w:szCs w:val="24"/>
        </w:rPr>
        <w:t xml:space="preserve">, </w:t>
      </w:r>
      <w:r w:rsidRPr="007C6DA1">
        <w:rPr>
          <w:rFonts w:ascii="Times New Roman" w:hAnsi="Times New Roman" w:cs="Times New Roman"/>
          <w:noProof/>
          <w:sz w:val="24"/>
          <w:szCs w:val="24"/>
        </w:rPr>
        <w:t>107</w:t>
      </w:r>
      <w:r>
        <w:rPr>
          <w:rFonts w:ascii="Times New Roman" w:hAnsi="Times New Roman" w:cs="Times New Roman"/>
          <w:noProof/>
          <w:sz w:val="24"/>
          <w:szCs w:val="24"/>
        </w:rPr>
        <w:t>-116.</w:t>
      </w:r>
      <w:bookmarkEnd w:id="13"/>
    </w:p>
    <w:p w14:paraId="6402E764"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4" w:name="_ENREF_15"/>
      <w:r>
        <w:rPr>
          <w:rFonts w:ascii="Times New Roman" w:hAnsi="Times New Roman" w:cs="Times New Roman"/>
          <w:noProof/>
          <w:sz w:val="24"/>
          <w:szCs w:val="24"/>
        </w:rPr>
        <w:t>McGavran, D</w:t>
      </w:r>
      <w:r w:rsidR="007C6DA1">
        <w:rPr>
          <w:rFonts w:ascii="Times New Roman" w:hAnsi="Times New Roman" w:cs="Times New Roman"/>
          <w:noProof/>
          <w:sz w:val="24"/>
          <w:szCs w:val="24"/>
        </w:rPr>
        <w:t>.</w:t>
      </w:r>
      <w:r>
        <w:rPr>
          <w:rFonts w:ascii="Times New Roman" w:hAnsi="Times New Roman" w:cs="Times New Roman"/>
          <w:noProof/>
          <w:sz w:val="24"/>
          <w:szCs w:val="24"/>
        </w:rPr>
        <w:t xml:space="preserve"> A. </w:t>
      </w:r>
      <w:r w:rsidR="007C6DA1">
        <w:rPr>
          <w:rFonts w:ascii="Times New Roman" w:hAnsi="Times New Roman" w:cs="Times New Roman"/>
          <w:noProof/>
          <w:sz w:val="24"/>
          <w:szCs w:val="24"/>
        </w:rPr>
        <w:t>(</w:t>
      </w:r>
      <w:r>
        <w:rPr>
          <w:rFonts w:ascii="Times New Roman" w:hAnsi="Times New Roman" w:cs="Times New Roman"/>
          <w:noProof/>
          <w:sz w:val="24"/>
          <w:szCs w:val="24"/>
        </w:rPr>
        <w:t>1970</w:t>
      </w:r>
      <w:r w:rsidR="007C6DA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4049E">
        <w:rPr>
          <w:rFonts w:ascii="Times New Roman" w:hAnsi="Times New Roman" w:cs="Times New Roman"/>
          <w:i/>
          <w:noProof/>
          <w:sz w:val="24"/>
          <w:szCs w:val="24"/>
        </w:rPr>
        <w:t>Understanding church growth</w:t>
      </w:r>
      <w:r>
        <w:rPr>
          <w:rFonts w:ascii="Times New Roman" w:hAnsi="Times New Roman" w:cs="Times New Roman"/>
          <w:noProof/>
          <w:sz w:val="24"/>
          <w:szCs w:val="24"/>
        </w:rPr>
        <w:t>. Grand Rapids, M</w:t>
      </w:r>
      <w:r w:rsidR="007C6DA1">
        <w:rPr>
          <w:rFonts w:ascii="Times New Roman" w:hAnsi="Times New Roman" w:cs="Times New Roman"/>
          <w:noProof/>
          <w:sz w:val="24"/>
          <w:szCs w:val="24"/>
        </w:rPr>
        <w:t>I</w:t>
      </w:r>
      <w:r>
        <w:rPr>
          <w:rFonts w:ascii="Times New Roman" w:hAnsi="Times New Roman" w:cs="Times New Roman"/>
          <w:noProof/>
          <w:sz w:val="24"/>
          <w:szCs w:val="24"/>
        </w:rPr>
        <w:t>: Eerdmans.</w:t>
      </w:r>
      <w:bookmarkEnd w:id="14"/>
    </w:p>
    <w:p w14:paraId="5E73E31C"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5" w:name="_ENREF_16"/>
      <w:r>
        <w:rPr>
          <w:rFonts w:ascii="Times New Roman" w:hAnsi="Times New Roman" w:cs="Times New Roman"/>
          <w:noProof/>
          <w:sz w:val="24"/>
          <w:szCs w:val="24"/>
        </w:rPr>
        <w:t>McPherson, M</w:t>
      </w:r>
      <w:r w:rsidR="007C6DA1">
        <w:rPr>
          <w:rFonts w:ascii="Times New Roman" w:hAnsi="Times New Roman" w:cs="Times New Roman"/>
          <w:noProof/>
          <w:sz w:val="24"/>
          <w:szCs w:val="24"/>
        </w:rPr>
        <w:t>.</w:t>
      </w:r>
      <w:r>
        <w:rPr>
          <w:rFonts w:ascii="Times New Roman" w:hAnsi="Times New Roman" w:cs="Times New Roman"/>
          <w:noProof/>
          <w:sz w:val="24"/>
          <w:szCs w:val="24"/>
        </w:rPr>
        <w:t>, Smith-Lovin,</w:t>
      </w:r>
      <w:r w:rsidR="007C6DA1">
        <w:rPr>
          <w:rFonts w:ascii="Times New Roman" w:hAnsi="Times New Roman" w:cs="Times New Roman"/>
          <w:noProof/>
          <w:sz w:val="24"/>
          <w:szCs w:val="24"/>
        </w:rPr>
        <w:t xml:space="preserve"> L., &amp;</w:t>
      </w:r>
      <w:r>
        <w:rPr>
          <w:rFonts w:ascii="Times New Roman" w:hAnsi="Times New Roman" w:cs="Times New Roman"/>
          <w:noProof/>
          <w:sz w:val="24"/>
          <w:szCs w:val="24"/>
        </w:rPr>
        <w:t xml:space="preserve"> Cook</w:t>
      </w:r>
      <w:r w:rsidR="007C6DA1">
        <w:rPr>
          <w:rFonts w:ascii="Times New Roman" w:hAnsi="Times New Roman" w:cs="Times New Roman"/>
          <w:noProof/>
          <w:sz w:val="24"/>
          <w:szCs w:val="24"/>
        </w:rPr>
        <w:t>, J. M</w:t>
      </w:r>
      <w:r>
        <w:rPr>
          <w:rFonts w:ascii="Times New Roman" w:hAnsi="Times New Roman" w:cs="Times New Roman"/>
          <w:noProof/>
          <w:sz w:val="24"/>
          <w:szCs w:val="24"/>
        </w:rPr>
        <w:t xml:space="preserve">. </w:t>
      </w:r>
      <w:r w:rsidR="007C6DA1">
        <w:rPr>
          <w:rFonts w:ascii="Times New Roman" w:hAnsi="Times New Roman" w:cs="Times New Roman"/>
          <w:noProof/>
          <w:sz w:val="24"/>
          <w:szCs w:val="24"/>
        </w:rPr>
        <w:t>(</w:t>
      </w:r>
      <w:r>
        <w:rPr>
          <w:rFonts w:ascii="Times New Roman" w:hAnsi="Times New Roman" w:cs="Times New Roman"/>
          <w:noProof/>
          <w:sz w:val="24"/>
          <w:szCs w:val="24"/>
        </w:rPr>
        <w:t>2001</w:t>
      </w:r>
      <w:r w:rsidR="007C6DA1">
        <w:rPr>
          <w:rFonts w:ascii="Times New Roman" w:hAnsi="Times New Roman" w:cs="Times New Roman"/>
          <w:noProof/>
          <w:sz w:val="24"/>
          <w:szCs w:val="24"/>
        </w:rPr>
        <w:t>)</w:t>
      </w:r>
      <w:r>
        <w:rPr>
          <w:rFonts w:ascii="Times New Roman" w:hAnsi="Times New Roman" w:cs="Times New Roman"/>
          <w:noProof/>
          <w:sz w:val="24"/>
          <w:szCs w:val="24"/>
        </w:rPr>
        <w:t xml:space="preserve">. Birds of a feather: Homophily in social networks. </w:t>
      </w:r>
      <w:r w:rsidRPr="0054049E">
        <w:rPr>
          <w:rFonts w:ascii="Times New Roman" w:hAnsi="Times New Roman" w:cs="Times New Roman"/>
          <w:i/>
          <w:noProof/>
          <w:sz w:val="24"/>
          <w:szCs w:val="24"/>
        </w:rPr>
        <w:t>Annual Review of Sociology</w:t>
      </w:r>
      <w:r w:rsidR="007C6DA1">
        <w:rPr>
          <w:rFonts w:ascii="Times New Roman" w:hAnsi="Times New Roman" w:cs="Times New Roman"/>
          <w:noProof/>
          <w:sz w:val="24"/>
          <w:szCs w:val="24"/>
        </w:rPr>
        <w:t xml:space="preserve">, </w:t>
      </w:r>
      <w:r w:rsidRPr="007C6DA1">
        <w:rPr>
          <w:rFonts w:ascii="Times New Roman" w:hAnsi="Times New Roman" w:cs="Times New Roman"/>
          <w:i/>
          <w:noProof/>
          <w:sz w:val="24"/>
          <w:szCs w:val="24"/>
        </w:rPr>
        <w:t>27</w:t>
      </w:r>
      <w:r w:rsidR="007C6DA1" w:rsidRPr="007C6DA1">
        <w:rPr>
          <w:rFonts w:ascii="Times New Roman" w:hAnsi="Times New Roman" w:cs="Times New Roman"/>
          <w:noProof/>
          <w:sz w:val="24"/>
          <w:szCs w:val="24"/>
        </w:rPr>
        <w:t>,</w:t>
      </w:r>
      <w:r w:rsidR="007C6DA1">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415-444. </w:t>
      </w:r>
      <w:bookmarkEnd w:id="15"/>
    </w:p>
    <w:p w14:paraId="1EDC85B6"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6" w:name="_ENREF_17"/>
      <w:r>
        <w:rPr>
          <w:rFonts w:ascii="Times New Roman" w:hAnsi="Times New Roman" w:cs="Times New Roman"/>
          <w:noProof/>
          <w:sz w:val="24"/>
          <w:szCs w:val="24"/>
        </w:rPr>
        <w:t>O</w:t>
      </w:r>
      <w:r w:rsidR="00CD7DAD">
        <w:rPr>
          <w:rFonts w:ascii="Times New Roman" w:hAnsi="Times New Roman" w:cs="Times New Roman"/>
          <w:noProof/>
          <w:sz w:val="24"/>
          <w:szCs w:val="24"/>
        </w:rPr>
        <w:t xml:space="preserve">ffice for </w:t>
      </w:r>
      <w:r>
        <w:rPr>
          <w:rFonts w:ascii="Times New Roman" w:hAnsi="Times New Roman" w:cs="Times New Roman"/>
          <w:noProof/>
          <w:sz w:val="24"/>
          <w:szCs w:val="24"/>
        </w:rPr>
        <w:t>N</w:t>
      </w:r>
      <w:r w:rsidR="00CD7DAD">
        <w:rPr>
          <w:rFonts w:ascii="Times New Roman" w:hAnsi="Times New Roman" w:cs="Times New Roman"/>
          <w:noProof/>
          <w:sz w:val="24"/>
          <w:szCs w:val="24"/>
        </w:rPr>
        <w:t xml:space="preserve">ational </w:t>
      </w:r>
      <w:r>
        <w:rPr>
          <w:rFonts w:ascii="Times New Roman" w:hAnsi="Times New Roman" w:cs="Times New Roman"/>
          <w:noProof/>
          <w:sz w:val="24"/>
          <w:szCs w:val="24"/>
        </w:rPr>
        <w:t>S</w:t>
      </w:r>
      <w:r w:rsidR="00CD7DAD">
        <w:rPr>
          <w:rFonts w:ascii="Times New Roman" w:hAnsi="Times New Roman" w:cs="Times New Roman"/>
          <w:noProof/>
          <w:sz w:val="24"/>
          <w:szCs w:val="24"/>
        </w:rPr>
        <w:t>tatistics</w:t>
      </w:r>
      <w:r>
        <w:rPr>
          <w:rFonts w:ascii="Times New Roman" w:hAnsi="Times New Roman" w:cs="Times New Roman"/>
          <w:noProof/>
          <w:sz w:val="24"/>
          <w:szCs w:val="24"/>
        </w:rPr>
        <w:t xml:space="preserve"> </w:t>
      </w:r>
      <w:r w:rsidR="007C6DA1">
        <w:rPr>
          <w:rFonts w:ascii="Times New Roman" w:hAnsi="Times New Roman" w:cs="Times New Roman"/>
          <w:noProof/>
          <w:sz w:val="24"/>
          <w:szCs w:val="24"/>
        </w:rPr>
        <w:t>(</w:t>
      </w:r>
      <w:r>
        <w:rPr>
          <w:rFonts w:ascii="Times New Roman" w:hAnsi="Times New Roman" w:cs="Times New Roman"/>
          <w:noProof/>
          <w:sz w:val="24"/>
          <w:szCs w:val="24"/>
        </w:rPr>
        <w:t>2018</w:t>
      </w:r>
      <w:r w:rsidR="007C6DA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C6DA1">
        <w:rPr>
          <w:rFonts w:ascii="Times New Roman" w:hAnsi="Times New Roman" w:cs="Times New Roman"/>
          <w:i/>
          <w:noProof/>
          <w:sz w:val="24"/>
          <w:szCs w:val="24"/>
        </w:rPr>
        <w:t>2011 Census: Key statistics and quick statistics for wards and output areas in England and Wales</w:t>
      </w:r>
      <w:r>
        <w:rPr>
          <w:rFonts w:ascii="Times New Roman" w:hAnsi="Times New Roman" w:cs="Times New Roman"/>
          <w:noProof/>
          <w:sz w:val="24"/>
          <w:szCs w:val="24"/>
        </w:rPr>
        <w:t xml:space="preserve">. </w:t>
      </w:r>
      <w:r w:rsidR="00CD7DAD">
        <w:rPr>
          <w:rFonts w:ascii="Times New Roman" w:hAnsi="Times New Roman" w:cs="Times New Roman"/>
          <w:noProof/>
          <w:sz w:val="24"/>
          <w:szCs w:val="24"/>
        </w:rPr>
        <w:t xml:space="preserve">London: ONS. </w:t>
      </w:r>
      <w:bookmarkEnd w:id="16"/>
    </w:p>
    <w:p w14:paraId="0D02571C" w14:textId="77777777" w:rsidR="0054049E" w:rsidRDefault="0054049E" w:rsidP="00ED51EB">
      <w:pPr>
        <w:spacing w:after="0" w:line="480" w:lineRule="auto"/>
        <w:ind w:left="720" w:hanging="720"/>
        <w:rPr>
          <w:rFonts w:ascii="Times New Roman" w:hAnsi="Times New Roman" w:cs="Times New Roman"/>
          <w:noProof/>
          <w:sz w:val="24"/>
          <w:szCs w:val="24"/>
        </w:rPr>
      </w:pPr>
      <w:bookmarkStart w:id="17" w:name="_ENREF_18"/>
      <w:r>
        <w:rPr>
          <w:rFonts w:ascii="Times New Roman" w:hAnsi="Times New Roman" w:cs="Times New Roman"/>
          <w:noProof/>
          <w:sz w:val="24"/>
          <w:szCs w:val="24"/>
        </w:rPr>
        <w:t xml:space="preserve">Patterson, S. </w:t>
      </w:r>
      <w:r w:rsidR="008A1201">
        <w:rPr>
          <w:rFonts w:ascii="Times New Roman" w:hAnsi="Times New Roman" w:cs="Times New Roman"/>
          <w:noProof/>
          <w:sz w:val="24"/>
          <w:szCs w:val="24"/>
        </w:rPr>
        <w:t>(</w:t>
      </w:r>
      <w:r>
        <w:rPr>
          <w:rFonts w:ascii="Times New Roman" w:hAnsi="Times New Roman" w:cs="Times New Roman"/>
          <w:noProof/>
          <w:sz w:val="24"/>
          <w:szCs w:val="24"/>
        </w:rPr>
        <w:t>1963</w:t>
      </w:r>
      <w:r w:rsidR="008A120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4049E">
        <w:rPr>
          <w:rFonts w:ascii="Times New Roman" w:hAnsi="Times New Roman" w:cs="Times New Roman"/>
          <w:i/>
          <w:noProof/>
          <w:sz w:val="24"/>
          <w:szCs w:val="24"/>
        </w:rPr>
        <w:t>Dark strangers: A sociological study of the absorption of a recent West Indian migrant group in Brixton, south London</w:t>
      </w:r>
      <w:r>
        <w:rPr>
          <w:rFonts w:ascii="Times New Roman" w:hAnsi="Times New Roman" w:cs="Times New Roman"/>
          <w:noProof/>
          <w:sz w:val="24"/>
          <w:szCs w:val="24"/>
        </w:rPr>
        <w:t>. London: Tavistock Publications.</w:t>
      </w:r>
      <w:bookmarkEnd w:id="17"/>
    </w:p>
    <w:p w14:paraId="2DD4854B" w14:textId="77777777" w:rsidR="00923D62" w:rsidRDefault="0054049E" w:rsidP="00ED51EB">
      <w:pPr>
        <w:spacing w:after="0" w:line="480" w:lineRule="auto"/>
        <w:ind w:left="720" w:hanging="720"/>
        <w:rPr>
          <w:rFonts w:ascii="Times New Roman" w:hAnsi="Times New Roman" w:cs="Times New Roman"/>
          <w:sz w:val="24"/>
          <w:szCs w:val="24"/>
        </w:rPr>
      </w:pPr>
      <w:bookmarkStart w:id="18" w:name="_ENREF_19"/>
      <w:r>
        <w:rPr>
          <w:rFonts w:ascii="Times New Roman" w:hAnsi="Times New Roman" w:cs="Times New Roman"/>
          <w:noProof/>
          <w:sz w:val="24"/>
          <w:szCs w:val="24"/>
        </w:rPr>
        <w:t>Scheitle, C</w:t>
      </w:r>
      <w:r w:rsidR="008A1201">
        <w:rPr>
          <w:rFonts w:ascii="Times New Roman" w:hAnsi="Times New Roman" w:cs="Times New Roman"/>
          <w:noProof/>
          <w:sz w:val="24"/>
          <w:szCs w:val="24"/>
        </w:rPr>
        <w:t>.</w:t>
      </w:r>
      <w:r>
        <w:rPr>
          <w:rFonts w:ascii="Times New Roman" w:hAnsi="Times New Roman" w:cs="Times New Roman"/>
          <w:noProof/>
          <w:sz w:val="24"/>
          <w:szCs w:val="24"/>
        </w:rPr>
        <w:t xml:space="preserve"> P., </w:t>
      </w:r>
      <w:r w:rsidR="008A1201">
        <w:rPr>
          <w:rFonts w:ascii="Times New Roman" w:hAnsi="Times New Roman" w:cs="Times New Roman"/>
          <w:noProof/>
          <w:sz w:val="24"/>
          <w:szCs w:val="24"/>
        </w:rPr>
        <w:t>&amp;</w:t>
      </w:r>
      <w:r>
        <w:rPr>
          <w:rFonts w:ascii="Times New Roman" w:hAnsi="Times New Roman" w:cs="Times New Roman"/>
          <w:noProof/>
          <w:sz w:val="24"/>
          <w:szCs w:val="24"/>
        </w:rPr>
        <w:t xml:space="preserve"> Dougherty</w:t>
      </w:r>
      <w:r w:rsidR="008A1201">
        <w:rPr>
          <w:rFonts w:ascii="Times New Roman" w:hAnsi="Times New Roman" w:cs="Times New Roman"/>
          <w:noProof/>
          <w:sz w:val="24"/>
          <w:szCs w:val="24"/>
        </w:rPr>
        <w:t>, K. D</w:t>
      </w:r>
      <w:r>
        <w:rPr>
          <w:rFonts w:ascii="Times New Roman" w:hAnsi="Times New Roman" w:cs="Times New Roman"/>
          <w:noProof/>
          <w:sz w:val="24"/>
          <w:szCs w:val="24"/>
        </w:rPr>
        <w:t xml:space="preserve">. </w:t>
      </w:r>
      <w:r w:rsidR="008A1201">
        <w:rPr>
          <w:rFonts w:ascii="Times New Roman" w:hAnsi="Times New Roman" w:cs="Times New Roman"/>
          <w:noProof/>
          <w:sz w:val="24"/>
          <w:szCs w:val="24"/>
        </w:rPr>
        <w:t>(</w:t>
      </w:r>
      <w:r>
        <w:rPr>
          <w:rFonts w:ascii="Times New Roman" w:hAnsi="Times New Roman" w:cs="Times New Roman"/>
          <w:noProof/>
          <w:sz w:val="24"/>
          <w:szCs w:val="24"/>
        </w:rPr>
        <w:t>2010</w:t>
      </w:r>
      <w:r w:rsidR="008A1201">
        <w:rPr>
          <w:rFonts w:ascii="Times New Roman" w:hAnsi="Times New Roman" w:cs="Times New Roman"/>
          <w:noProof/>
          <w:sz w:val="24"/>
          <w:szCs w:val="24"/>
        </w:rPr>
        <w:t>)</w:t>
      </w:r>
      <w:r>
        <w:rPr>
          <w:rFonts w:ascii="Times New Roman" w:hAnsi="Times New Roman" w:cs="Times New Roman"/>
          <w:noProof/>
          <w:sz w:val="24"/>
          <w:szCs w:val="24"/>
        </w:rPr>
        <w:t xml:space="preserve">. Race, diversity, and membership duration in religious congregations. </w:t>
      </w:r>
      <w:r w:rsidRPr="0054049E">
        <w:rPr>
          <w:rFonts w:ascii="Times New Roman" w:hAnsi="Times New Roman" w:cs="Times New Roman"/>
          <w:i/>
          <w:noProof/>
          <w:sz w:val="24"/>
          <w:szCs w:val="24"/>
        </w:rPr>
        <w:t>Sociological Inquiry</w:t>
      </w:r>
      <w:r w:rsidR="008A120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8A1201">
        <w:rPr>
          <w:rFonts w:ascii="Times New Roman" w:hAnsi="Times New Roman" w:cs="Times New Roman"/>
          <w:noProof/>
          <w:sz w:val="24"/>
          <w:szCs w:val="24"/>
        </w:rPr>
        <w:t>80</w:t>
      </w:r>
      <w:r w:rsidR="008A1201">
        <w:rPr>
          <w:rFonts w:ascii="Times New Roman" w:hAnsi="Times New Roman" w:cs="Times New Roman"/>
          <w:noProof/>
          <w:sz w:val="24"/>
          <w:szCs w:val="24"/>
        </w:rPr>
        <w:t xml:space="preserve">, </w:t>
      </w:r>
      <w:r w:rsidRPr="008A1201">
        <w:rPr>
          <w:rFonts w:ascii="Times New Roman" w:hAnsi="Times New Roman" w:cs="Times New Roman"/>
          <w:noProof/>
          <w:sz w:val="24"/>
          <w:szCs w:val="24"/>
        </w:rPr>
        <w:t>405</w:t>
      </w:r>
      <w:r>
        <w:rPr>
          <w:rFonts w:ascii="Times New Roman" w:hAnsi="Times New Roman" w:cs="Times New Roman"/>
          <w:noProof/>
          <w:sz w:val="24"/>
          <w:szCs w:val="24"/>
        </w:rPr>
        <w:t>-423.</w:t>
      </w:r>
      <w:bookmarkEnd w:id="18"/>
      <w:r w:rsidR="00D66321" w:rsidRPr="003622DB">
        <w:rPr>
          <w:rFonts w:ascii="Times New Roman" w:hAnsi="Times New Roman" w:cs="Times New Roman"/>
          <w:sz w:val="24"/>
          <w:szCs w:val="24"/>
        </w:rPr>
        <w:fldChar w:fldCharType="end"/>
      </w:r>
      <w:r w:rsidR="00CD7DAD">
        <w:rPr>
          <w:rFonts w:ascii="Times New Roman" w:hAnsi="Times New Roman" w:cs="Times New Roman"/>
          <w:sz w:val="24"/>
          <w:szCs w:val="24"/>
        </w:rPr>
        <w:t xml:space="preserve"> </w:t>
      </w:r>
    </w:p>
    <w:p w14:paraId="4D0A69F5" w14:textId="77777777" w:rsidR="008A1201" w:rsidRDefault="00923D62" w:rsidP="00ED51EB">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br w:type="page"/>
        <w:t xml:space="preserve">Table 1 </w:t>
      </w:r>
    </w:p>
    <w:p w14:paraId="238FC26F" w14:textId="77777777" w:rsidR="00923D62" w:rsidRPr="008A1201" w:rsidRDefault="00923D62" w:rsidP="00ED51EB">
      <w:pPr>
        <w:autoSpaceDE w:val="0"/>
        <w:autoSpaceDN w:val="0"/>
        <w:adjustRightInd w:val="0"/>
        <w:spacing w:after="0" w:line="480" w:lineRule="auto"/>
        <w:ind w:left="720" w:hanging="720"/>
        <w:rPr>
          <w:rFonts w:ascii="Times New Roman" w:hAnsi="Times New Roman" w:cs="Times New Roman"/>
          <w:i/>
          <w:sz w:val="24"/>
          <w:szCs w:val="24"/>
        </w:rPr>
      </w:pPr>
      <w:r w:rsidRPr="008A1201">
        <w:rPr>
          <w:rFonts w:ascii="Times New Roman" w:hAnsi="Times New Roman" w:cs="Times New Roman"/>
          <w:i/>
          <w:sz w:val="24"/>
          <w:szCs w:val="24"/>
        </w:rPr>
        <w:t>Correlation matrix for congregation profile variables</w:t>
      </w:r>
    </w:p>
    <w:tbl>
      <w:tblPr>
        <w:tblW w:w="10237" w:type="dxa"/>
        <w:jc w:val="center"/>
        <w:tblCellMar>
          <w:top w:w="57" w:type="dxa"/>
          <w:bottom w:w="57" w:type="dxa"/>
        </w:tblCellMar>
        <w:tblLook w:val="04A0" w:firstRow="1" w:lastRow="0" w:firstColumn="1" w:lastColumn="0" w:noHBand="0" w:noVBand="1"/>
      </w:tblPr>
      <w:tblGrid>
        <w:gridCol w:w="2248"/>
        <w:gridCol w:w="1134"/>
        <w:gridCol w:w="234"/>
        <w:gridCol w:w="1134"/>
        <w:gridCol w:w="234"/>
        <w:gridCol w:w="1134"/>
        <w:gridCol w:w="234"/>
        <w:gridCol w:w="1134"/>
        <w:gridCol w:w="234"/>
        <w:gridCol w:w="1134"/>
        <w:gridCol w:w="234"/>
        <w:gridCol w:w="1149"/>
      </w:tblGrid>
      <w:tr w:rsidR="00923D62" w:rsidRPr="00033F12" w14:paraId="2763F0B3" w14:textId="77777777" w:rsidTr="00257A87">
        <w:trPr>
          <w:trHeight w:val="600"/>
          <w:jc w:val="center"/>
        </w:trPr>
        <w:tc>
          <w:tcPr>
            <w:tcW w:w="2248" w:type="dxa"/>
            <w:tcBorders>
              <w:top w:val="single" w:sz="12" w:space="0" w:color="auto"/>
              <w:left w:val="nil"/>
              <w:bottom w:val="nil"/>
              <w:right w:val="nil"/>
            </w:tcBorders>
            <w:shd w:val="clear" w:color="auto" w:fill="auto"/>
            <w:noWrap/>
            <w:vAlign w:val="center"/>
            <w:hideMark/>
          </w:tcPr>
          <w:p w14:paraId="5D22DB6A"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p>
        </w:tc>
        <w:tc>
          <w:tcPr>
            <w:tcW w:w="1134" w:type="dxa"/>
            <w:tcBorders>
              <w:top w:val="single" w:sz="12" w:space="0" w:color="auto"/>
              <w:left w:val="nil"/>
              <w:bottom w:val="single" w:sz="4" w:space="0" w:color="auto"/>
              <w:right w:val="nil"/>
            </w:tcBorders>
            <w:shd w:val="clear" w:color="auto" w:fill="auto"/>
            <w:noWrap/>
            <w:vAlign w:val="center"/>
            <w:hideMark/>
          </w:tcPr>
          <w:p w14:paraId="1D48491A"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Diversity</w:t>
            </w:r>
          </w:p>
        </w:tc>
        <w:tc>
          <w:tcPr>
            <w:tcW w:w="234" w:type="dxa"/>
            <w:tcBorders>
              <w:top w:val="single" w:sz="12" w:space="0" w:color="auto"/>
              <w:left w:val="nil"/>
              <w:bottom w:val="nil"/>
              <w:right w:val="nil"/>
            </w:tcBorders>
            <w:shd w:val="clear" w:color="auto" w:fill="auto"/>
            <w:noWrap/>
            <w:vAlign w:val="center"/>
          </w:tcPr>
          <w:p w14:paraId="79292AE1"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p>
        </w:tc>
        <w:tc>
          <w:tcPr>
            <w:tcW w:w="1134" w:type="dxa"/>
            <w:tcBorders>
              <w:top w:val="single" w:sz="12" w:space="0" w:color="auto"/>
              <w:left w:val="nil"/>
              <w:bottom w:val="single" w:sz="4" w:space="0" w:color="auto"/>
              <w:right w:val="nil"/>
            </w:tcBorders>
            <w:shd w:val="clear" w:color="auto" w:fill="auto"/>
            <w:vAlign w:val="center"/>
            <w:hideMark/>
          </w:tcPr>
          <w:p w14:paraId="3B5F0209"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 Black African</w:t>
            </w:r>
          </w:p>
        </w:tc>
        <w:tc>
          <w:tcPr>
            <w:tcW w:w="234" w:type="dxa"/>
            <w:tcBorders>
              <w:top w:val="single" w:sz="12" w:space="0" w:color="auto"/>
              <w:left w:val="nil"/>
              <w:bottom w:val="nil"/>
              <w:right w:val="nil"/>
            </w:tcBorders>
            <w:shd w:val="clear" w:color="auto" w:fill="auto"/>
            <w:vAlign w:val="center"/>
          </w:tcPr>
          <w:p w14:paraId="46DDD655"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p>
        </w:tc>
        <w:tc>
          <w:tcPr>
            <w:tcW w:w="1134" w:type="dxa"/>
            <w:tcBorders>
              <w:top w:val="single" w:sz="12" w:space="0" w:color="auto"/>
              <w:left w:val="nil"/>
              <w:bottom w:val="single" w:sz="4" w:space="0" w:color="auto"/>
              <w:right w:val="nil"/>
            </w:tcBorders>
            <w:shd w:val="clear" w:color="auto" w:fill="auto"/>
            <w:vAlign w:val="center"/>
            <w:hideMark/>
          </w:tcPr>
          <w:p w14:paraId="47744429"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 Black Caribbean</w:t>
            </w:r>
          </w:p>
        </w:tc>
        <w:tc>
          <w:tcPr>
            <w:tcW w:w="234" w:type="dxa"/>
            <w:tcBorders>
              <w:top w:val="single" w:sz="12" w:space="0" w:color="auto"/>
              <w:left w:val="nil"/>
              <w:bottom w:val="nil"/>
              <w:right w:val="nil"/>
            </w:tcBorders>
            <w:shd w:val="clear" w:color="auto" w:fill="auto"/>
            <w:vAlign w:val="center"/>
          </w:tcPr>
          <w:p w14:paraId="5267A519"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p>
        </w:tc>
        <w:tc>
          <w:tcPr>
            <w:tcW w:w="1134" w:type="dxa"/>
            <w:tcBorders>
              <w:top w:val="single" w:sz="12" w:space="0" w:color="auto"/>
              <w:left w:val="nil"/>
              <w:bottom w:val="single" w:sz="4" w:space="0" w:color="auto"/>
              <w:right w:val="nil"/>
            </w:tcBorders>
            <w:shd w:val="clear" w:color="auto" w:fill="auto"/>
            <w:vAlign w:val="center"/>
            <w:hideMark/>
          </w:tcPr>
          <w:p w14:paraId="6D357F81"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 White British</w:t>
            </w:r>
          </w:p>
        </w:tc>
        <w:tc>
          <w:tcPr>
            <w:tcW w:w="234" w:type="dxa"/>
            <w:tcBorders>
              <w:top w:val="single" w:sz="12" w:space="0" w:color="auto"/>
              <w:left w:val="nil"/>
              <w:bottom w:val="nil"/>
              <w:right w:val="nil"/>
            </w:tcBorders>
            <w:shd w:val="clear" w:color="auto" w:fill="auto"/>
            <w:vAlign w:val="center"/>
          </w:tcPr>
          <w:p w14:paraId="38696662"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p>
        </w:tc>
        <w:tc>
          <w:tcPr>
            <w:tcW w:w="1134" w:type="dxa"/>
            <w:tcBorders>
              <w:top w:val="single" w:sz="12" w:space="0" w:color="auto"/>
              <w:left w:val="nil"/>
              <w:bottom w:val="single" w:sz="4" w:space="0" w:color="auto"/>
              <w:right w:val="nil"/>
            </w:tcBorders>
            <w:shd w:val="clear" w:color="auto" w:fill="auto"/>
            <w:vAlign w:val="center"/>
            <w:hideMark/>
          </w:tcPr>
          <w:p w14:paraId="3E899472"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Age</w:t>
            </w:r>
          </w:p>
        </w:tc>
        <w:tc>
          <w:tcPr>
            <w:tcW w:w="234" w:type="dxa"/>
            <w:tcBorders>
              <w:top w:val="single" w:sz="12" w:space="0" w:color="auto"/>
              <w:left w:val="nil"/>
              <w:bottom w:val="nil"/>
              <w:right w:val="nil"/>
            </w:tcBorders>
            <w:shd w:val="clear" w:color="auto" w:fill="auto"/>
            <w:vAlign w:val="center"/>
          </w:tcPr>
          <w:p w14:paraId="3F10A0E5"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p>
        </w:tc>
        <w:tc>
          <w:tcPr>
            <w:tcW w:w="1149" w:type="dxa"/>
            <w:tcBorders>
              <w:top w:val="single" w:sz="12" w:space="0" w:color="auto"/>
              <w:left w:val="nil"/>
              <w:bottom w:val="single" w:sz="4" w:space="0" w:color="auto"/>
              <w:right w:val="nil"/>
            </w:tcBorders>
            <w:shd w:val="clear" w:color="auto" w:fill="auto"/>
            <w:vAlign w:val="center"/>
            <w:hideMark/>
          </w:tcPr>
          <w:p w14:paraId="7BF955F7" w14:textId="77777777" w:rsidR="00923D62" w:rsidRPr="00033F12" w:rsidRDefault="00923D62" w:rsidP="00257A87">
            <w:pPr>
              <w:tabs>
                <w:tab w:val="decimal" w:pos="290"/>
              </w:tabs>
              <w:spacing w:after="0" w:line="240" w:lineRule="auto"/>
              <w:jc w:val="center"/>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Eclecticism</w:t>
            </w:r>
          </w:p>
        </w:tc>
      </w:tr>
      <w:tr w:rsidR="00923D62" w:rsidRPr="00033F12" w14:paraId="207B0B23" w14:textId="77777777" w:rsidTr="00257A87">
        <w:trPr>
          <w:trHeight w:val="300"/>
          <w:jc w:val="center"/>
        </w:trPr>
        <w:tc>
          <w:tcPr>
            <w:tcW w:w="2248" w:type="dxa"/>
            <w:tcBorders>
              <w:top w:val="nil"/>
              <w:left w:val="nil"/>
              <w:bottom w:val="nil"/>
              <w:right w:val="nil"/>
            </w:tcBorders>
            <w:shd w:val="clear" w:color="auto" w:fill="auto"/>
            <w:noWrap/>
            <w:vAlign w:val="center"/>
            <w:hideMark/>
          </w:tcPr>
          <w:p w14:paraId="4015C231"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Size</w:t>
            </w:r>
          </w:p>
        </w:tc>
        <w:tc>
          <w:tcPr>
            <w:tcW w:w="1134" w:type="dxa"/>
            <w:tcBorders>
              <w:top w:val="single" w:sz="4" w:space="0" w:color="auto"/>
              <w:left w:val="nil"/>
              <w:bottom w:val="nil"/>
              <w:right w:val="nil"/>
            </w:tcBorders>
            <w:shd w:val="clear" w:color="auto" w:fill="auto"/>
            <w:noWrap/>
            <w:vAlign w:val="center"/>
            <w:hideMark/>
          </w:tcPr>
          <w:p w14:paraId="1DC7B05D"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-.36</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10C59C1B"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vertAlign w:val="superscript"/>
                <w:lang w:eastAsia="en-GB"/>
              </w:rPr>
            </w:pPr>
          </w:p>
        </w:tc>
        <w:tc>
          <w:tcPr>
            <w:tcW w:w="1134" w:type="dxa"/>
            <w:tcBorders>
              <w:top w:val="single" w:sz="4" w:space="0" w:color="auto"/>
              <w:left w:val="nil"/>
              <w:bottom w:val="nil"/>
              <w:right w:val="nil"/>
            </w:tcBorders>
            <w:shd w:val="clear" w:color="auto" w:fill="auto"/>
            <w:noWrap/>
            <w:vAlign w:val="center"/>
            <w:hideMark/>
          </w:tcPr>
          <w:p w14:paraId="080273C1"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-.32</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611F729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single" w:sz="4" w:space="0" w:color="auto"/>
              <w:left w:val="nil"/>
              <w:bottom w:val="nil"/>
              <w:right w:val="nil"/>
            </w:tcBorders>
            <w:shd w:val="clear" w:color="auto" w:fill="auto"/>
            <w:noWrap/>
            <w:vAlign w:val="center"/>
            <w:hideMark/>
          </w:tcPr>
          <w:p w14:paraId="0E7B6BD7"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-.26</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2FE4C2F1"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single" w:sz="4" w:space="0" w:color="auto"/>
              <w:left w:val="nil"/>
              <w:bottom w:val="nil"/>
              <w:right w:val="nil"/>
            </w:tcBorders>
            <w:shd w:val="clear" w:color="auto" w:fill="auto"/>
            <w:noWrap/>
            <w:vAlign w:val="center"/>
            <w:hideMark/>
          </w:tcPr>
          <w:p w14:paraId="761754FD"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.37</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78246C0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single" w:sz="4" w:space="0" w:color="auto"/>
              <w:left w:val="nil"/>
              <w:bottom w:val="nil"/>
              <w:right w:val="nil"/>
            </w:tcBorders>
            <w:shd w:val="clear" w:color="auto" w:fill="auto"/>
            <w:noWrap/>
            <w:vAlign w:val="center"/>
            <w:hideMark/>
          </w:tcPr>
          <w:p w14:paraId="2850A3E8"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.23</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38ACB5A7"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single" w:sz="4" w:space="0" w:color="auto"/>
              <w:left w:val="nil"/>
              <w:bottom w:val="nil"/>
              <w:right w:val="nil"/>
            </w:tcBorders>
            <w:shd w:val="clear" w:color="auto" w:fill="auto"/>
            <w:noWrap/>
            <w:vAlign w:val="center"/>
            <w:hideMark/>
          </w:tcPr>
          <w:p w14:paraId="54C18E40"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.33</w:t>
            </w:r>
            <w:r w:rsidRPr="00033F12">
              <w:rPr>
                <w:rFonts w:ascii="Times New Roman" w:eastAsia="Times New Roman" w:hAnsi="Times New Roman" w:cs="Times New Roman"/>
                <w:color w:val="000000"/>
                <w:sz w:val="20"/>
                <w:vertAlign w:val="superscript"/>
                <w:lang w:eastAsia="en-GB"/>
              </w:rPr>
              <w:t>***</w:t>
            </w:r>
          </w:p>
        </w:tc>
      </w:tr>
      <w:tr w:rsidR="00923D62" w:rsidRPr="00033F12" w14:paraId="797FD5BC" w14:textId="77777777" w:rsidTr="00257A87">
        <w:trPr>
          <w:trHeight w:val="300"/>
          <w:jc w:val="center"/>
        </w:trPr>
        <w:tc>
          <w:tcPr>
            <w:tcW w:w="2248" w:type="dxa"/>
            <w:tcBorders>
              <w:top w:val="nil"/>
              <w:left w:val="nil"/>
              <w:bottom w:val="nil"/>
              <w:right w:val="nil"/>
            </w:tcBorders>
            <w:shd w:val="clear" w:color="auto" w:fill="auto"/>
            <w:noWrap/>
            <w:vAlign w:val="center"/>
            <w:hideMark/>
          </w:tcPr>
          <w:p w14:paraId="2B67080C"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Eclecticism</w:t>
            </w:r>
          </w:p>
        </w:tc>
        <w:tc>
          <w:tcPr>
            <w:tcW w:w="1134" w:type="dxa"/>
            <w:tcBorders>
              <w:top w:val="nil"/>
              <w:left w:val="nil"/>
              <w:bottom w:val="nil"/>
              <w:right w:val="nil"/>
            </w:tcBorders>
            <w:shd w:val="clear" w:color="auto" w:fill="auto"/>
            <w:noWrap/>
            <w:vAlign w:val="center"/>
            <w:hideMark/>
          </w:tcPr>
          <w:p w14:paraId="2AAC6F08"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-.29</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342C4200"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20ECC767"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-.28</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36AA863F"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46ECF1D5"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-.17</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0B065525"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0CFD1AFA"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.30</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65009494"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6250CE9A"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.32</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5112C5CF"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nil"/>
              <w:left w:val="nil"/>
              <w:bottom w:val="nil"/>
              <w:right w:val="nil"/>
            </w:tcBorders>
            <w:shd w:val="clear" w:color="auto" w:fill="auto"/>
            <w:noWrap/>
            <w:vAlign w:val="center"/>
            <w:hideMark/>
          </w:tcPr>
          <w:p w14:paraId="583B643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r>
      <w:tr w:rsidR="00923D62" w:rsidRPr="00033F12" w14:paraId="60653FCE" w14:textId="77777777" w:rsidTr="00257A87">
        <w:trPr>
          <w:trHeight w:val="300"/>
          <w:jc w:val="center"/>
        </w:trPr>
        <w:tc>
          <w:tcPr>
            <w:tcW w:w="2248" w:type="dxa"/>
            <w:tcBorders>
              <w:top w:val="nil"/>
              <w:left w:val="nil"/>
              <w:bottom w:val="nil"/>
              <w:right w:val="nil"/>
            </w:tcBorders>
            <w:shd w:val="clear" w:color="auto" w:fill="auto"/>
            <w:noWrap/>
            <w:vAlign w:val="center"/>
            <w:hideMark/>
          </w:tcPr>
          <w:p w14:paraId="38378C00"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Age</w:t>
            </w:r>
          </w:p>
        </w:tc>
        <w:tc>
          <w:tcPr>
            <w:tcW w:w="1134" w:type="dxa"/>
            <w:tcBorders>
              <w:top w:val="nil"/>
              <w:left w:val="nil"/>
              <w:bottom w:val="nil"/>
              <w:right w:val="nil"/>
            </w:tcBorders>
            <w:shd w:val="clear" w:color="auto" w:fill="auto"/>
            <w:noWrap/>
            <w:vAlign w:val="center"/>
            <w:hideMark/>
          </w:tcPr>
          <w:p w14:paraId="4602BBD5"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-.54</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71ECC06E"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229F24F0"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-.51</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4E58D118"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405A719E"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-.30</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68C58374"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7C50D6CC"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.56</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444D524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65599B72"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tcPr>
          <w:p w14:paraId="39AD4CB7"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nil"/>
              <w:left w:val="nil"/>
              <w:bottom w:val="nil"/>
              <w:right w:val="nil"/>
            </w:tcBorders>
            <w:shd w:val="clear" w:color="auto" w:fill="auto"/>
            <w:noWrap/>
            <w:vAlign w:val="center"/>
            <w:hideMark/>
          </w:tcPr>
          <w:p w14:paraId="4864DC5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r>
      <w:tr w:rsidR="00923D62" w:rsidRPr="00033F12" w14:paraId="454C4D26" w14:textId="77777777" w:rsidTr="00257A87">
        <w:trPr>
          <w:trHeight w:val="300"/>
          <w:jc w:val="center"/>
        </w:trPr>
        <w:tc>
          <w:tcPr>
            <w:tcW w:w="2248" w:type="dxa"/>
            <w:tcBorders>
              <w:top w:val="nil"/>
              <w:left w:val="nil"/>
              <w:bottom w:val="nil"/>
              <w:right w:val="nil"/>
            </w:tcBorders>
            <w:shd w:val="clear" w:color="auto" w:fill="auto"/>
            <w:noWrap/>
            <w:vAlign w:val="center"/>
            <w:hideMark/>
          </w:tcPr>
          <w:p w14:paraId="274DB201"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 xml:space="preserve">% White British </w:t>
            </w:r>
          </w:p>
        </w:tc>
        <w:tc>
          <w:tcPr>
            <w:tcW w:w="1134" w:type="dxa"/>
            <w:tcBorders>
              <w:top w:val="nil"/>
              <w:left w:val="nil"/>
              <w:bottom w:val="nil"/>
              <w:right w:val="nil"/>
            </w:tcBorders>
            <w:shd w:val="clear" w:color="auto" w:fill="auto"/>
            <w:noWrap/>
            <w:vAlign w:val="center"/>
            <w:hideMark/>
          </w:tcPr>
          <w:p w14:paraId="6AB2A6FA"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-.86</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62BCC41F"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7EBCCA66"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-.86</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2BADB5E6"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4228025C"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-.75</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13EF5A0B"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605E0A92"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tcPr>
          <w:p w14:paraId="12C8742F"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2F1DED31"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hideMark/>
          </w:tcPr>
          <w:p w14:paraId="2A213A88"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nil"/>
              <w:left w:val="nil"/>
              <w:bottom w:val="nil"/>
              <w:right w:val="nil"/>
            </w:tcBorders>
            <w:shd w:val="clear" w:color="auto" w:fill="auto"/>
            <w:noWrap/>
            <w:vAlign w:val="center"/>
            <w:hideMark/>
          </w:tcPr>
          <w:p w14:paraId="57CF430E"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r>
      <w:tr w:rsidR="00923D62" w:rsidRPr="00033F12" w14:paraId="112710B6" w14:textId="77777777" w:rsidTr="00257A87">
        <w:trPr>
          <w:trHeight w:val="300"/>
          <w:jc w:val="center"/>
        </w:trPr>
        <w:tc>
          <w:tcPr>
            <w:tcW w:w="2248" w:type="dxa"/>
            <w:tcBorders>
              <w:top w:val="nil"/>
              <w:left w:val="nil"/>
              <w:bottom w:val="nil"/>
              <w:right w:val="nil"/>
            </w:tcBorders>
            <w:shd w:val="clear" w:color="auto" w:fill="auto"/>
            <w:noWrap/>
            <w:vAlign w:val="center"/>
            <w:hideMark/>
          </w:tcPr>
          <w:p w14:paraId="1B387536"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 Black Car</w:t>
            </w:r>
            <w:r w:rsidRPr="00033F12">
              <w:rPr>
                <w:rFonts w:ascii="Times New Roman" w:eastAsia="Times New Roman" w:hAnsi="Times New Roman" w:cs="Times New Roman"/>
                <w:color w:val="000000"/>
                <w:sz w:val="20"/>
                <w:lang w:eastAsia="en-GB"/>
              </w:rPr>
              <w:t>i</w:t>
            </w:r>
            <w:r>
              <w:rPr>
                <w:rFonts w:ascii="Times New Roman" w:eastAsia="Times New Roman" w:hAnsi="Times New Roman" w:cs="Times New Roman"/>
                <w:color w:val="000000"/>
                <w:sz w:val="20"/>
                <w:lang w:eastAsia="en-GB"/>
              </w:rPr>
              <w:t>b</w:t>
            </w:r>
            <w:r w:rsidRPr="00033F12">
              <w:rPr>
                <w:rFonts w:ascii="Times New Roman" w:eastAsia="Times New Roman" w:hAnsi="Times New Roman" w:cs="Times New Roman"/>
                <w:color w:val="000000"/>
                <w:sz w:val="20"/>
                <w:lang w:eastAsia="en-GB"/>
              </w:rPr>
              <w:t xml:space="preserve">bean </w:t>
            </w:r>
          </w:p>
        </w:tc>
        <w:tc>
          <w:tcPr>
            <w:tcW w:w="1134" w:type="dxa"/>
            <w:tcBorders>
              <w:top w:val="nil"/>
              <w:left w:val="nil"/>
              <w:bottom w:val="nil"/>
              <w:right w:val="nil"/>
            </w:tcBorders>
            <w:shd w:val="clear" w:color="auto" w:fill="auto"/>
            <w:noWrap/>
            <w:vAlign w:val="center"/>
            <w:hideMark/>
          </w:tcPr>
          <w:p w14:paraId="5FF55A41"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.75</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62944DF2"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6E7F310D"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.40</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nil"/>
              <w:right w:val="nil"/>
            </w:tcBorders>
            <w:shd w:val="clear" w:color="auto" w:fill="auto"/>
            <w:noWrap/>
            <w:vAlign w:val="center"/>
          </w:tcPr>
          <w:p w14:paraId="2089AE65"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5CF4171B"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tcPr>
          <w:p w14:paraId="1B274C6A"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4DAB3DAC"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tcPr>
          <w:p w14:paraId="3D69CE0B"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nil"/>
              <w:right w:val="nil"/>
            </w:tcBorders>
            <w:shd w:val="clear" w:color="auto" w:fill="auto"/>
            <w:noWrap/>
            <w:vAlign w:val="center"/>
            <w:hideMark/>
          </w:tcPr>
          <w:p w14:paraId="1F125EAE"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nil"/>
              <w:right w:val="nil"/>
            </w:tcBorders>
            <w:shd w:val="clear" w:color="auto" w:fill="auto"/>
            <w:noWrap/>
            <w:vAlign w:val="center"/>
            <w:hideMark/>
          </w:tcPr>
          <w:p w14:paraId="1EC6F528"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nil"/>
              <w:left w:val="nil"/>
              <w:bottom w:val="nil"/>
              <w:right w:val="nil"/>
            </w:tcBorders>
            <w:shd w:val="clear" w:color="auto" w:fill="auto"/>
            <w:noWrap/>
            <w:vAlign w:val="center"/>
            <w:hideMark/>
          </w:tcPr>
          <w:p w14:paraId="51B7BEFF"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r>
      <w:tr w:rsidR="00923D62" w:rsidRPr="00033F12" w14:paraId="66EFE519" w14:textId="77777777" w:rsidTr="00257A87">
        <w:trPr>
          <w:trHeight w:val="300"/>
          <w:jc w:val="center"/>
        </w:trPr>
        <w:tc>
          <w:tcPr>
            <w:tcW w:w="2248" w:type="dxa"/>
            <w:tcBorders>
              <w:top w:val="nil"/>
              <w:left w:val="nil"/>
              <w:bottom w:val="single" w:sz="12" w:space="0" w:color="auto"/>
              <w:right w:val="nil"/>
            </w:tcBorders>
            <w:shd w:val="clear" w:color="auto" w:fill="auto"/>
            <w:noWrap/>
            <w:vAlign w:val="center"/>
            <w:hideMark/>
          </w:tcPr>
          <w:p w14:paraId="22B8C1F4" w14:textId="77777777" w:rsidR="00923D62" w:rsidRPr="00033F12" w:rsidRDefault="00923D62" w:rsidP="00257A87">
            <w:pPr>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 xml:space="preserve">% Black African </w:t>
            </w:r>
          </w:p>
        </w:tc>
        <w:tc>
          <w:tcPr>
            <w:tcW w:w="1134" w:type="dxa"/>
            <w:tcBorders>
              <w:top w:val="nil"/>
              <w:left w:val="nil"/>
              <w:bottom w:val="single" w:sz="12" w:space="0" w:color="auto"/>
              <w:right w:val="nil"/>
            </w:tcBorders>
            <w:shd w:val="clear" w:color="auto" w:fill="auto"/>
            <w:noWrap/>
            <w:vAlign w:val="center"/>
            <w:hideMark/>
          </w:tcPr>
          <w:p w14:paraId="24F56B15"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r w:rsidRPr="00033F12">
              <w:rPr>
                <w:rFonts w:ascii="Times New Roman" w:eastAsia="Times New Roman" w:hAnsi="Times New Roman" w:cs="Times New Roman"/>
                <w:color w:val="000000"/>
                <w:sz w:val="20"/>
                <w:lang w:eastAsia="en-GB"/>
              </w:rPr>
              <w:t>.60</w:t>
            </w:r>
            <w:r w:rsidRPr="00033F12">
              <w:rPr>
                <w:rFonts w:ascii="Times New Roman" w:eastAsia="Times New Roman" w:hAnsi="Times New Roman" w:cs="Times New Roman"/>
                <w:color w:val="000000"/>
                <w:sz w:val="20"/>
                <w:vertAlign w:val="superscript"/>
                <w:lang w:eastAsia="en-GB"/>
              </w:rPr>
              <w:t>***</w:t>
            </w:r>
          </w:p>
        </w:tc>
        <w:tc>
          <w:tcPr>
            <w:tcW w:w="234" w:type="dxa"/>
            <w:tcBorders>
              <w:top w:val="nil"/>
              <w:left w:val="nil"/>
              <w:bottom w:val="single" w:sz="12" w:space="0" w:color="auto"/>
              <w:right w:val="nil"/>
            </w:tcBorders>
            <w:shd w:val="clear" w:color="auto" w:fill="auto"/>
            <w:noWrap/>
            <w:vAlign w:val="center"/>
          </w:tcPr>
          <w:p w14:paraId="7619DC5E"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single" w:sz="12" w:space="0" w:color="auto"/>
              <w:right w:val="nil"/>
            </w:tcBorders>
            <w:shd w:val="clear" w:color="auto" w:fill="auto"/>
            <w:noWrap/>
            <w:vAlign w:val="center"/>
            <w:hideMark/>
          </w:tcPr>
          <w:p w14:paraId="5927F6E3"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single" w:sz="12" w:space="0" w:color="auto"/>
              <w:right w:val="nil"/>
            </w:tcBorders>
            <w:shd w:val="clear" w:color="auto" w:fill="auto"/>
            <w:noWrap/>
            <w:vAlign w:val="center"/>
          </w:tcPr>
          <w:p w14:paraId="6D373C4D"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single" w:sz="12" w:space="0" w:color="auto"/>
              <w:right w:val="nil"/>
            </w:tcBorders>
            <w:shd w:val="clear" w:color="auto" w:fill="auto"/>
            <w:noWrap/>
            <w:vAlign w:val="center"/>
            <w:hideMark/>
          </w:tcPr>
          <w:p w14:paraId="7B114E01"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single" w:sz="12" w:space="0" w:color="auto"/>
              <w:right w:val="nil"/>
            </w:tcBorders>
            <w:shd w:val="clear" w:color="auto" w:fill="auto"/>
            <w:noWrap/>
            <w:vAlign w:val="center"/>
          </w:tcPr>
          <w:p w14:paraId="61EA7C44"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single" w:sz="12" w:space="0" w:color="auto"/>
              <w:right w:val="nil"/>
            </w:tcBorders>
            <w:shd w:val="clear" w:color="auto" w:fill="auto"/>
            <w:noWrap/>
            <w:vAlign w:val="center"/>
            <w:hideMark/>
          </w:tcPr>
          <w:p w14:paraId="7BAE18F0"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single" w:sz="12" w:space="0" w:color="auto"/>
              <w:right w:val="nil"/>
            </w:tcBorders>
            <w:shd w:val="clear" w:color="auto" w:fill="auto"/>
            <w:noWrap/>
            <w:vAlign w:val="center"/>
          </w:tcPr>
          <w:p w14:paraId="60FFA007"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34" w:type="dxa"/>
            <w:tcBorders>
              <w:top w:val="nil"/>
              <w:left w:val="nil"/>
              <w:bottom w:val="single" w:sz="12" w:space="0" w:color="auto"/>
              <w:right w:val="nil"/>
            </w:tcBorders>
            <w:shd w:val="clear" w:color="auto" w:fill="auto"/>
            <w:noWrap/>
            <w:vAlign w:val="center"/>
            <w:hideMark/>
          </w:tcPr>
          <w:p w14:paraId="49AB1BA9"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234" w:type="dxa"/>
            <w:tcBorders>
              <w:top w:val="nil"/>
              <w:left w:val="nil"/>
              <w:bottom w:val="single" w:sz="12" w:space="0" w:color="auto"/>
              <w:right w:val="nil"/>
            </w:tcBorders>
            <w:shd w:val="clear" w:color="auto" w:fill="auto"/>
            <w:noWrap/>
            <w:vAlign w:val="center"/>
            <w:hideMark/>
          </w:tcPr>
          <w:p w14:paraId="44510A8B"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c>
          <w:tcPr>
            <w:tcW w:w="1149" w:type="dxa"/>
            <w:tcBorders>
              <w:top w:val="nil"/>
              <w:left w:val="nil"/>
              <w:bottom w:val="single" w:sz="12" w:space="0" w:color="auto"/>
              <w:right w:val="nil"/>
            </w:tcBorders>
            <w:shd w:val="clear" w:color="auto" w:fill="auto"/>
            <w:noWrap/>
            <w:vAlign w:val="center"/>
            <w:hideMark/>
          </w:tcPr>
          <w:p w14:paraId="740E62C4" w14:textId="77777777" w:rsidR="00923D62" w:rsidRPr="00033F12" w:rsidRDefault="00923D62" w:rsidP="00257A87">
            <w:pPr>
              <w:tabs>
                <w:tab w:val="decimal" w:pos="290"/>
              </w:tabs>
              <w:spacing w:after="0" w:line="240" w:lineRule="auto"/>
              <w:rPr>
                <w:rFonts w:ascii="Times New Roman" w:eastAsia="Times New Roman" w:hAnsi="Times New Roman" w:cs="Times New Roman"/>
                <w:color w:val="000000"/>
                <w:sz w:val="20"/>
                <w:lang w:eastAsia="en-GB"/>
              </w:rPr>
            </w:pPr>
          </w:p>
        </w:tc>
      </w:tr>
    </w:tbl>
    <w:p w14:paraId="1C34DF81" w14:textId="77777777" w:rsidR="00923D62" w:rsidRDefault="00923D62" w:rsidP="00923D62">
      <w:pPr>
        <w:rPr>
          <w:rFonts w:ascii="Times New Roman" w:hAnsi="Times New Roman" w:cs="Times New Roman"/>
          <w:sz w:val="24"/>
          <w:szCs w:val="24"/>
        </w:rPr>
      </w:pPr>
    </w:p>
    <w:p w14:paraId="336F0F29" w14:textId="77777777" w:rsidR="00923D62" w:rsidRPr="0054049E" w:rsidRDefault="00923D62" w:rsidP="00923D62">
      <w:pPr>
        <w:rPr>
          <w:rFonts w:ascii="Times New Roman" w:hAnsi="Times New Roman" w:cs="Times New Roman"/>
          <w:sz w:val="24"/>
          <w:szCs w:val="24"/>
        </w:rPr>
      </w:pPr>
      <w:r w:rsidRPr="0054049E">
        <w:rPr>
          <w:rFonts w:ascii="Times New Roman" w:hAnsi="Times New Roman" w:cs="Times New Roman"/>
          <w:sz w:val="24"/>
          <w:szCs w:val="24"/>
        </w:rPr>
        <w:t xml:space="preserve">Note. </w:t>
      </w:r>
      <w:r w:rsidRPr="0054049E">
        <w:rPr>
          <w:rFonts w:ascii="Times New Roman" w:eastAsia="Times New Roman" w:hAnsi="Times New Roman" w:cs="Times New Roman"/>
          <w:color w:val="000000"/>
          <w:sz w:val="24"/>
          <w:szCs w:val="24"/>
          <w:vertAlign w:val="superscript"/>
          <w:lang w:eastAsia="en-GB"/>
        </w:rPr>
        <w:t xml:space="preserve">** </w:t>
      </w:r>
      <w:r w:rsidRPr="0054049E">
        <w:rPr>
          <w:rFonts w:ascii="Times New Roman" w:eastAsia="Times New Roman" w:hAnsi="Times New Roman" w:cs="Times New Roman"/>
          <w:i/>
          <w:color w:val="000000"/>
          <w:sz w:val="24"/>
          <w:szCs w:val="24"/>
          <w:lang w:eastAsia="en-GB"/>
        </w:rPr>
        <w:t xml:space="preserve">p </w:t>
      </w:r>
      <w:r w:rsidRPr="0054049E">
        <w:rPr>
          <w:rFonts w:ascii="Times New Roman" w:eastAsia="Times New Roman" w:hAnsi="Times New Roman" w:cs="Times New Roman"/>
          <w:color w:val="000000"/>
          <w:sz w:val="24"/>
          <w:szCs w:val="24"/>
          <w:lang w:eastAsia="en-GB"/>
        </w:rPr>
        <w:t>&lt; .</w:t>
      </w:r>
      <w:proofErr w:type="gramStart"/>
      <w:r w:rsidRPr="0054049E">
        <w:rPr>
          <w:rFonts w:ascii="Times New Roman" w:eastAsia="Times New Roman" w:hAnsi="Times New Roman" w:cs="Times New Roman"/>
          <w:color w:val="000000"/>
          <w:sz w:val="24"/>
          <w:szCs w:val="24"/>
          <w:lang w:eastAsia="en-GB"/>
        </w:rPr>
        <w:t xml:space="preserve">01;  </w:t>
      </w:r>
      <w:r w:rsidRPr="0054049E">
        <w:rPr>
          <w:rFonts w:ascii="Times New Roman" w:eastAsia="Times New Roman" w:hAnsi="Times New Roman" w:cs="Times New Roman"/>
          <w:color w:val="000000"/>
          <w:sz w:val="24"/>
          <w:szCs w:val="24"/>
          <w:vertAlign w:val="superscript"/>
          <w:lang w:eastAsia="en-GB"/>
        </w:rPr>
        <w:t>*</w:t>
      </w:r>
      <w:proofErr w:type="gramEnd"/>
      <w:r w:rsidRPr="0054049E">
        <w:rPr>
          <w:rFonts w:ascii="Times New Roman" w:eastAsia="Times New Roman" w:hAnsi="Times New Roman" w:cs="Times New Roman"/>
          <w:color w:val="000000"/>
          <w:sz w:val="24"/>
          <w:szCs w:val="24"/>
          <w:vertAlign w:val="superscript"/>
          <w:lang w:eastAsia="en-GB"/>
        </w:rPr>
        <w:t xml:space="preserve">** </w:t>
      </w:r>
      <w:r w:rsidRPr="0054049E">
        <w:rPr>
          <w:rFonts w:ascii="Times New Roman" w:eastAsia="Times New Roman" w:hAnsi="Times New Roman" w:cs="Times New Roman"/>
          <w:i/>
          <w:color w:val="000000"/>
          <w:sz w:val="24"/>
          <w:szCs w:val="24"/>
          <w:lang w:eastAsia="en-GB"/>
        </w:rPr>
        <w:t xml:space="preserve">p </w:t>
      </w:r>
      <w:r w:rsidRPr="0054049E">
        <w:rPr>
          <w:rFonts w:ascii="Times New Roman" w:eastAsia="Times New Roman" w:hAnsi="Times New Roman" w:cs="Times New Roman"/>
          <w:color w:val="000000"/>
          <w:sz w:val="24"/>
          <w:szCs w:val="24"/>
          <w:lang w:eastAsia="en-GB"/>
        </w:rPr>
        <w:t xml:space="preserve">&lt; .001. </w:t>
      </w:r>
    </w:p>
    <w:p w14:paraId="46A573AE" w14:textId="77777777" w:rsidR="00923D62" w:rsidRDefault="00923D62" w:rsidP="00923D62">
      <w:pPr>
        <w:rPr>
          <w:rFonts w:ascii="Times New Roman" w:hAnsi="Times New Roman" w:cs="Times New Roman"/>
          <w:sz w:val="24"/>
          <w:szCs w:val="24"/>
        </w:rPr>
      </w:pPr>
      <w:r>
        <w:rPr>
          <w:rFonts w:ascii="Times New Roman" w:hAnsi="Times New Roman" w:cs="Times New Roman"/>
          <w:sz w:val="24"/>
          <w:szCs w:val="24"/>
        </w:rPr>
        <w:br w:type="page"/>
      </w:r>
    </w:p>
    <w:p w14:paraId="5453C79B" w14:textId="77777777" w:rsidR="008A1201" w:rsidRDefault="00923D62" w:rsidP="00923D62">
      <w:pPr>
        <w:rPr>
          <w:rFonts w:ascii="Times New Roman" w:hAnsi="Times New Roman" w:cs="Times New Roman"/>
          <w:sz w:val="24"/>
          <w:szCs w:val="24"/>
        </w:rPr>
      </w:pPr>
      <w:r>
        <w:rPr>
          <w:rFonts w:ascii="Times New Roman" w:hAnsi="Times New Roman" w:cs="Times New Roman"/>
          <w:sz w:val="24"/>
          <w:szCs w:val="24"/>
        </w:rPr>
        <w:t xml:space="preserve">Table 2 </w:t>
      </w:r>
    </w:p>
    <w:p w14:paraId="2D1D66A4" w14:textId="77777777" w:rsidR="00923D62" w:rsidRPr="008A1201" w:rsidRDefault="00923D62" w:rsidP="00923D62">
      <w:pPr>
        <w:rPr>
          <w:rFonts w:ascii="Times New Roman" w:hAnsi="Times New Roman" w:cs="Times New Roman"/>
          <w:i/>
          <w:sz w:val="24"/>
          <w:szCs w:val="24"/>
        </w:rPr>
      </w:pPr>
      <w:r w:rsidRPr="008A1201">
        <w:rPr>
          <w:rFonts w:ascii="Times New Roman" w:hAnsi="Times New Roman" w:cs="Times New Roman"/>
          <w:i/>
          <w:sz w:val="24"/>
          <w:szCs w:val="24"/>
        </w:rPr>
        <w:t>Hierarchical multiple regression of church growth</w:t>
      </w:r>
    </w:p>
    <w:tbl>
      <w:tblPr>
        <w:tblW w:w="9184" w:type="dxa"/>
        <w:tblInd w:w="93" w:type="dxa"/>
        <w:tblCellMar>
          <w:top w:w="57" w:type="dxa"/>
          <w:bottom w:w="57" w:type="dxa"/>
        </w:tblCellMar>
        <w:tblLook w:val="04A0" w:firstRow="1" w:lastRow="0" w:firstColumn="1" w:lastColumn="0" w:noHBand="0" w:noVBand="1"/>
      </w:tblPr>
      <w:tblGrid>
        <w:gridCol w:w="3420"/>
        <w:gridCol w:w="964"/>
        <w:gridCol w:w="236"/>
        <w:gridCol w:w="964"/>
        <w:gridCol w:w="236"/>
        <w:gridCol w:w="964"/>
        <w:gridCol w:w="236"/>
        <w:gridCol w:w="964"/>
        <w:gridCol w:w="236"/>
        <w:gridCol w:w="964"/>
      </w:tblGrid>
      <w:tr w:rsidR="00923D62" w:rsidRPr="001974AA" w14:paraId="6FCFC991" w14:textId="77777777" w:rsidTr="00257A87">
        <w:trPr>
          <w:trHeight w:val="300"/>
        </w:trPr>
        <w:tc>
          <w:tcPr>
            <w:tcW w:w="3420" w:type="dxa"/>
            <w:tcBorders>
              <w:top w:val="single" w:sz="12" w:space="0" w:color="auto"/>
              <w:left w:val="nil"/>
              <w:bottom w:val="nil"/>
              <w:right w:val="nil"/>
            </w:tcBorders>
            <w:shd w:val="clear" w:color="auto" w:fill="auto"/>
            <w:noWrap/>
            <w:vAlign w:val="center"/>
            <w:hideMark/>
          </w:tcPr>
          <w:p w14:paraId="5BF7798B"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p>
        </w:tc>
        <w:tc>
          <w:tcPr>
            <w:tcW w:w="964" w:type="dxa"/>
            <w:tcBorders>
              <w:top w:val="single" w:sz="12" w:space="0" w:color="auto"/>
              <w:left w:val="nil"/>
              <w:bottom w:val="single" w:sz="4" w:space="0" w:color="auto"/>
              <w:right w:val="nil"/>
            </w:tcBorders>
            <w:shd w:val="clear" w:color="auto" w:fill="auto"/>
            <w:noWrap/>
            <w:vAlign w:val="center"/>
            <w:hideMark/>
          </w:tcPr>
          <w:p w14:paraId="3FFEACC7"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Model 1</w:t>
            </w:r>
          </w:p>
        </w:tc>
        <w:tc>
          <w:tcPr>
            <w:tcW w:w="236" w:type="dxa"/>
            <w:tcBorders>
              <w:top w:val="single" w:sz="12" w:space="0" w:color="auto"/>
              <w:left w:val="nil"/>
              <w:bottom w:val="nil"/>
              <w:right w:val="nil"/>
            </w:tcBorders>
            <w:shd w:val="clear" w:color="auto" w:fill="auto"/>
            <w:noWrap/>
            <w:vAlign w:val="center"/>
            <w:hideMark/>
          </w:tcPr>
          <w:p w14:paraId="28371B9F"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p>
        </w:tc>
        <w:tc>
          <w:tcPr>
            <w:tcW w:w="964" w:type="dxa"/>
            <w:tcBorders>
              <w:top w:val="single" w:sz="12" w:space="0" w:color="auto"/>
              <w:left w:val="nil"/>
              <w:bottom w:val="single" w:sz="4" w:space="0" w:color="auto"/>
              <w:right w:val="nil"/>
            </w:tcBorders>
            <w:shd w:val="clear" w:color="auto" w:fill="auto"/>
            <w:noWrap/>
            <w:vAlign w:val="center"/>
            <w:hideMark/>
          </w:tcPr>
          <w:p w14:paraId="652B679E"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Model 2</w:t>
            </w:r>
          </w:p>
        </w:tc>
        <w:tc>
          <w:tcPr>
            <w:tcW w:w="236" w:type="dxa"/>
            <w:tcBorders>
              <w:top w:val="single" w:sz="12" w:space="0" w:color="auto"/>
              <w:left w:val="nil"/>
              <w:bottom w:val="nil"/>
              <w:right w:val="nil"/>
            </w:tcBorders>
            <w:shd w:val="clear" w:color="auto" w:fill="auto"/>
            <w:noWrap/>
            <w:vAlign w:val="center"/>
          </w:tcPr>
          <w:p w14:paraId="4D3315D4"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p>
        </w:tc>
        <w:tc>
          <w:tcPr>
            <w:tcW w:w="964" w:type="dxa"/>
            <w:tcBorders>
              <w:top w:val="single" w:sz="12" w:space="0" w:color="auto"/>
              <w:left w:val="nil"/>
              <w:bottom w:val="single" w:sz="4" w:space="0" w:color="auto"/>
              <w:right w:val="nil"/>
            </w:tcBorders>
            <w:shd w:val="clear" w:color="auto" w:fill="auto"/>
            <w:noWrap/>
            <w:vAlign w:val="center"/>
            <w:hideMark/>
          </w:tcPr>
          <w:p w14:paraId="3BD94267"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Model 3</w:t>
            </w:r>
          </w:p>
        </w:tc>
        <w:tc>
          <w:tcPr>
            <w:tcW w:w="236" w:type="dxa"/>
            <w:tcBorders>
              <w:top w:val="single" w:sz="12" w:space="0" w:color="auto"/>
              <w:left w:val="nil"/>
              <w:bottom w:val="nil"/>
              <w:right w:val="nil"/>
            </w:tcBorders>
            <w:shd w:val="clear" w:color="auto" w:fill="auto"/>
            <w:noWrap/>
            <w:vAlign w:val="center"/>
          </w:tcPr>
          <w:p w14:paraId="18D541D6"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p>
        </w:tc>
        <w:tc>
          <w:tcPr>
            <w:tcW w:w="964" w:type="dxa"/>
            <w:tcBorders>
              <w:top w:val="single" w:sz="12" w:space="0" w:color="auto"/>
              <w:left w:val="nil"/>
              <w:bottom w:val="single" w:sz="4" w:space="0" w:color="auto"/>
              <w:right w:val="nil"/>
            </w:tcBorders>
            <w:shd w:val="clear" w:color="auto" w:fill="auto"/>
            <w:noWrap/>
            <w:vAlign w:val="center"/>
            <w:hideMark/>
          </w:tcPr>
          <w:p w14:paraId="484B6F1B"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Model 4</w:t>
            </w:r>
          </w:p>
        </w:tc>
        <w:tc>
          <w:tcPr>
            <w:tcW w:w="236" w:type="dxa"/>
            <w:tcBorders>
              <w:top w:val="single" w:sz="12" w:space="0" w:color="auto"/>
              <w:left w:val="nil"/>
              <w:bottom w:val="nil"/>
              <w:right w:val="nil"/>
            </w:tcBorders>
            <w:shd w:val="clear" w:color="auto" w:fill="auto"/>
            <w:noWrap/>
            <w:vAlign w:val="center"/>
          </w:tcPr>
          <w:p w14:paraId="10F239C6"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p>
        </w:tc>
        <w:tc>
          <w:tcPr>
            <w:tcW w:w="964" w:type="dxa"/>
            <w:tcBorders>
              <w:top w:val="single" w:sz="12" w:space="0" w:color="auto"/>
              <w:left w:val="nil"/>
              <w:bottom w:val="single" w:sz="4" w:space="0" w:color="auto"/>
              <w:right w:val="nil"/>
            </w:tcBorders>
            <w:shd w:val="clear" w:color="auto" w:fill="auto"/>
            <w:noWrap/>
            <w:vAlign w:val="center"/>
            <w:hideMark/>
          </w:tcPr>
          <w:p w14:paraId="379F280A" w14:textId="77777777" w:rsidR="00923D62" w:rsidRPr="001974AA" w:rsidRDefault="00923D62" w:rsidP="00257A87">
            <w:pPr>
              <w:tabs>
                <w:tab w:val="decimal" w:pos="173"/>
              </w:tabs>
              <w:spacing w:after="0" w:line="240" w:lineRule="auto"/>
              <w:jc w:val="center"/>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Model 5</w:t>
            </w:r>
          </w:p>
        </w:tc>
      </w:tr>
      <w:tr w:rsidR="00923D62" w:rsidRPr="001974AA" w14:paraId="00108D1C" w14:textId="77777777" w:rsidTr="00257A87">
        <w:trPr>
          <w:trHeight w:val="300"/>
        </w:trPr>
        <w:tc>
          <w:tcPr>
            <w:tcW w:w="3420" w:type="dxa"/>
            <w:tcBorders>
              <w:top w:val="nil"/>
              <w:left w:val="nil"/>
              <w:bottom w:val="nil"/>
              <w:right w:val="nil"/>
            </w:tcBorders>
            <w:shd w:val="clear" w:color="auto" w:fill="auto"/>
            <w:noWrap/>
            <w:vAlign w:val="center"/>
            <w:hideMark/>
          </w:tcPr>
          <w:p w14:paraId="1174B9E3"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Size</w:t>
            </w:r>
          </w:p>
        </w:tc>
        <w:tc>
          <w:tcPr>
            <w:tcW w:w="964" w:type="dxa"/>
            <w:tcBorders>
              <w:top w:val="single" w:sz="4" w:space="0" w:color="auto"/>
              <w:left w:val="nil"/>
              <w:bottom w:val="nil"/>
              <w:right w:val="nil"/>
            </w:tcBorders>
            <w:shd w:val="clear" w:color="auto" w:fill="auto"/>
            <w:noWrap/>
            <w:vAlign w:val="center"/>
            <w:hideMark/>
          </w:tcPr>
          <w:p w14:paraId="460BF6D5"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-.03</w:t>
            </w:r>
          </w:p>
        </w:tc>
        <w:tc>
          <w:tcPr>
            <w:tcW w:w="236" w:type="dxa"/>
            <w:tcBorders>
              <w:top w:val="nil"/>
              <w:left w:val="nil"/>
              <w:bottom w:val="nil"/>
              <w:right w:val="nil"/>
            </w:tcBorders>
            <w:shd w:val="clear" w:color="auto" w:fill="auto"/>
            <w:noWrap/>
            <w:vAlign w:val="center"/>
            <w:hideMark/>
          </w:tcPr>
          <w:p w14:paraId="54091A27"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single" w:sz="4" w:space="0" w:color="auto"/>
              <w:left w:val="nil"/>
              <w:bottom w:val="nil"/>
              <w:right w:val="nil"/>
            </w:tcBorders>
            <w:shd w:val="clear" w:color="auto" w:fill="auto"/>
            <w:noWrap/>
            <w:vAlign w:val="center"/>
            <w:hideMark/>
          </w:tcPr>
          <w:p w14:paraId="7C3D1CA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-.03</w:t>
            </w:r>
          </w:p>
        </w:tc>
        <w:tc>
          <w:tcPr>
            <w:tcW w:w="236" w:type="dxa"/>
            <w:tcBorders>
              <w:top w:val="nil"/>
              <w:left w:val="nil"/>
              <w:bottom w:val="nil"/>
              <w:right w:val="nil"/>
            </w:tcBorders>
            <w:shd w:val="clear" w:color="auto" w:fill="auto"/>
            <w:noWrap/>
            <w:vAlign w:val="center"/>
          </w:tcPr>
          <w:p w14:paraId="4F817F12"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single" w:sz="4" w:space="0" w:color="auto"/>
              <w:left w:val="nil"/>
              <w:bottom w:val="nil"/>
              <w:right w:val="nil"/>
            </w:tcBorders>
            <w:shd w:val="clear" w:color="auto" w:fill="auto"/>
            <w:noWrap/>
            <w:vAlign w:val="center"/>
            <w:hideMark/>
          </w:tcPr>
          <w:p w14:paraId="35F4C32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-.03</w:t>
            </w:r>
          </w:p>
        </w:tc>
        <w:tc>
          <w:tcPr>
            <w:tcW w:w="236" w:type="dxa"/>
            <w:tcBorders>
              <w:top w:val="nil"/>
              <w:left w:val="nil"/>
              <w:bottom w:val="nil"/>
              <w:right w:val="nil"/>
            </w:tcBorders>
            <w:shd w:val="clear" w:color="auto" w:fill="auto"/>
            <w:noWrap/>
            <w:vAlign w:val="center"/>
          </w:tcPr>
          <w:p w14:paraId="09EFCBC6"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single" w:sz="4" w:space="0" w:color="auto"/>
              <w:left w:val="nil"/>
              <w:bottom w:val="nil"/>
              <w:right w:val="nil"/>
            </w:tcBorders>
            <w:shd w:val="clear" w:color="auto" w:fill="auto"/>
            <w:noWrap/>
            <w:vAlign w:val="center"/>
            <w:hideMark/>
          </w:tcPr>
          <w:p w14:paraId="4F69102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-.04</w:t>
            </w:r>
          </w:p>
        </w:tc>
        <w:tc>
          <w:tcPr>
            <w:tcW w:w="236" w:type="dxa"/>
            <w:tcBorders>
              <w:top w:val="nil"/>
              <w:left w:val="nil"/>
              <w:bottom w:val="nil"/>
              <w:right w:val="nil"/>
            </w:tcBorders>
            <w:shd w:val="clear" w:color="auto" w:fill="auto"/>
            <w:noWrap/>
            <w:vAlign w:val="center"/>
          </w:tcPr>
          <w:p w14:paraId="0C9E2607"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single" w:sz="4" w:space="0" w:color="auto"/>
              <w:left w:val="nil"/>
              <w:bottom w:val="nil"/>
              <w:right w:val="nil"/>
            </w:tcBorders>
            <w:shd w:val="clear" w:color="auto" w:fill="auto"/>
            <w:noWrap/>
            <w:vAlign w:val="center"/>
            <w:hideMark/>
          </w:tcPr>
          <w:p w14:paraId="2A259D4E"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-.06</w:t>
            </w:r>
          </w:p>
        </w:tc>
      </w:tr>
      <w:tr w:rsidR="00923D62" w:rsidRPr="001974AA" w14:paraId="5046AC6D" w14:textId="77777777" w:rsidTr="00257A87">
        <w:trPr>
          <w:trHeight w:val="300"/>
        </w:trPr>
        <w:tc>
          <w:tcPr>
            <w:tcW w:w="3420" w:type="dxa"/>
            <w:tcBorders>
              <w:top w:val="nil"/>
              <w:left w:val="nil"/>
              <w:bottom w:val="nil"/>
              <w:right w:val="nil"/>
            </w:tcBorders>
            <w:shd w:val="clear" w:color="auto" w:fill="auto"/>
            <w:noWrap/>
            <w:vAlign w:val="center"/>
            <w:hideMark/>
          </w:tcPr>
          <w:p w14:paraId="1602217F"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Eclecticism</w:t>
            </w:r>
          </w:p>
        </w:tc>
        <w:tc>
          <w:tcPr>
            <w:tcW w:w="964" w:type="dxa"/>
            <w:tcBorders>
              <w:top w:val="nil"/>
              <w:left w:val="nil"/>
              <w:bottom w:val="nil"/>
              <w:right w:val="nil"/>
            </w:tcBorders>
            <w:shd w:val="clear" w:color="auto" w:fill="auto"/>
            <w:noWrap/>
            <w:vAlign w:val="center"/>
            <w:hideMark/>
          </w:tcPr>
          <w:p w14:paraId="6ACBD310"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.06</w:t>
            </w:r>
          </w:p>
        </w:tc>
        <w:tc>
          <w:tcPr>
            <w:tcW w:w="236" w:type="dxa"/>
            <w:tcBorders>
              <w:top w:val="nil"/>
              <w:left w:val="nil"/>
              <w:bottom w:val="nil"/>
              <w:right w:val="nil"/>
            </w:tcBorders>
            <w:shd w:val="clear" w:color="auto" w:fill="auto"/>
            <w:noWrap/>
            <w:vAlign w:val="center"/>
            <w:hideMark/>
          </w:tcPr>
          <w:p w14:paraId="286CF0B6"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765B4D1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.07</w:t>
            </w:r>
          </w:p>
        </w:tc>
        <w:tc>
          <w:tcPr>
            <w:tcW w:w="236" w:type="dxa"/>
            <w:tcBorders>
              <w:top w:val="nil"/>
              <w:left w:val="nil"/>
              <w:bottom w:val="nil"/>
              <w:right w:val="nil"/>
            </w:tcBorders>
            <w:shd w:val="clear" w:color="auto" w:fill="auto"/>
            <w:noWrap/>
            <w:vAlign w:val="center"/>
          </w:tcPr>
          <w:p w14:paraId="27AA0098"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3FE57D6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.08</w:t>
            </w:r>
          </w:p>
        </w:tc>
        <w:tc>
          <w:tcPr>
            <w:tcW w:w="236" w:type="dxa"/>
            <w:tcBorders>
              <w:top w:val="nil"/>
              <w:left w:val="nil"/>
              <w:bottom w:val="nil"/>
              <w:right w:val="nil"/>
            </w:tcBorders>
            <w:shd w:val="clear" w:color="auto" w:fill="auto"/>
            <w:noWrap/>
            <w:vAlign w:val="center"/>
          </w:tcPr>
          <w:p w14:paraId="62084BAE"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734C30B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.07</w:t>
            </w:r>
          </w:p>
        </w:tc>
        <w:tc>
          <w:tcPr>
            <w:tcW w:w="236" w:type="dxa"/>
            <w:tcBorders>
              <w:top w:val="nil"/>
              <w:left w:val="nil"/>
              <w:bottom w:val="nil"/>
              <w:right w:val="nil"/>
            </w:tcBorders>
            <w:shd w:val="clear" w:color="auto" w:fill="auto"/>
            <w:noWrap/>
            <w:vAlign w:val="center"/>
          </w:tcPr>
          <w:p w14:paraId="4CF4F860"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6CE9614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.06</w:t>
            </w:r>
          </w:p>
        </w:tc>
      </w:tr>
      <w:tr w:rsidR="00923D62" w:rsidRPr="001974AA" w14:paraId="26C30F79" w14:textId="77777777" w:rsidTr="00257A87">
        <w:trPr>
          <w:trHeight w:val="300"/>
        </w:trPr>
        <w:tc>
          <w:tcPr>
            <w:tcW w:w="3420" w:type="dxa"/>
            <w:tcBorders>
              <w:top w:val="nil"/>
              <w:left w:val="nil"/>
              <w:bottom w:val="nil"/>
              <w:right w:val="nil"/>
            </w:tcBorders>
            <w:shd w:val="clear" w:color="auto" w:fill="auto"/>
            <w:noWrap/>
            <w:vAlign w:val="center"/>
            <w:hideMark/>
          </w:tcPr>
          <w:p w14:paraId="4251A957"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Age</w:t>
            </w:r>
          </w:p>
        </w:tc>
        <w:tc>
          <w:tcPr>
            <w:tcW w:w="964" w:type="dxa"/>
            <w:tcBorders>
              <w:top w:val="nil"/>
              <w:left w:val="nil"/>
              <w:bottom w:val="nil"/>
              <w:right w:val="nil"/>
            </w:tcBorders>
            <w:shd w:val="clear" w:color="auto" w:fill="auto"/>
            <w:noWrap/>
            <w:vAlign w:val="center"/>
            <w:hideMark/>
          </w:tcPr>
          <w:p w14:paraId="51DA3CF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-.28</w:t>
            </w:r>
            <w:r w:rsidRPr="001974AA">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hideMark/>
          </w:tcPr>
          <w:p w14:paraId="3C6242E0"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vertAlign w:val="superscript"/>
                <w:lang w:eastAsia="en-GB"/>
              </w:rPr>
            </w:pPr>
          </w:p>
        </w:tc>
        <w:tc>
          <w:tcPr>
            <w:tcW w:w="964" w:type="dxa"/>
            <w:tcBorders>
              <w:top w:val="nil"/>
              <w:left w:val="nil"/>
              <w:bottom w:val="nil"/>
              <w:right w:val="nil"/>
            </w:tcBorders>
            <w:shd w:val="clear" w:color="auto" w:fill="auto"/>
            <w:noWrap/>
            <w:vAlign w:val="center"/>
            <w:hideMark/>
          </w:tcPr>
          <w:p w14:paraId="20AC4F1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-.26</w:t>
            </w:r>
            <w:r w:rsidRPr="001974AA">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0D63C6CF"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7CE9A50"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-.27</w:t>
            </w:r>
            <w:r w:rsidRPr="001974AA">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5C02C1D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70D3E3BE"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-.30</w:t>
            </w:r>
            <w:r w:rsidRPr="001974AA">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0BD4F387"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038F2D2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-.30</w:t>
            </w:r>
            <w:r>
              <w:rPr>
                <w:rFonts w:ascii="Times New Roman" w:eastAsia="Times New Roman" w:hAnsi="Times New Roman" w:cs="Times New Roman"/>
                <w:color w:val="000000"/>
                <w:vertAlign w:val="superscript"/>
                <w:lang w:eastAsia="en-GB"/>
              </w:rPr>
              <w:t>***</w:t>
            </w:r>
          </w:p>
        </w:tc>
      </w:tr>
      <w:tr w:rsidR="00923D62" w:rsidRPr="001974AA" w14:paraId="13DADA93" w14:textId="77777777" w:rsidTr="00257A87">
        <w:trPr>
          <w:trHeight w:val="300"/>
        </w:trPr>
        <w:tc>
          <w:tcPr>
            <w:tcW w:w="3420" w:type="dxa"/>
            <w:tcBorders>
              <w:top w:val="nil"/>
              <w:left w:val="nil"/>
              <w:bottom w:val="nil"/>
              <w:right w:val="nil"/>
            </w:tcBorders>
            <w:shd w:val="clear" w:color="auto" w:fill="auto"/>
            <w:noWrap/>
            <w:vAlign w:val="center"/>
            <w:hideMark/>
          </w:tcPr>
          <w:p w14:paraId="24356F8C"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 Black Caribbean (congregation)</w:t>
            </w:r>
          </w:p>
        </w:tc>
        <w:tc>
          <w:tcPr>
            <w:tcW w:w="964" w:type="dxa"/>
            <w:tcBorders>
              <w:top w:val="nil"/>
              <w:left w:val="nil"/>
              <w:bottom w:val="nil"/>
              <w:right w:val="nil"/>
            </w:tcBorders>
            <w:shd w:val="clear" w:color="auto" w:fill="auto"/>
            <w:noWrap/>
            <w:vAlign w:val="center"/>
            <w:hideMark/>
          </w:tcPr>
          <w:p w14:paraId="3105187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hideMark/>
          </w:tcPr>
          <w:p w14:paraId="2B8949F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CE6E79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-.15</w:t>
            </w:r>
            <w:r>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515040EF"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0ED7F4EF"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-.06</w:t>
            </w:r>
          </w:p>
        </w:tc>
        <w:tc>
          <w:tcPr>
            <w:tcW w:w="236" w:type="dxa"/>
            <w:tcBorders>
              <w:top w:val="nil"/>
              <w:left w:val="nil"/>
              <w:bottom w:val="nil"/>
              <w:right w:val="nil"/>
            </w:tcBorders>
            <w:shd w:val="clear" w:color="auto" w:fill="auto"/>
            <w:noWrap/>
            <w:vAlign w:val="center"/>
          </w:tcPr>
          <w:p w14:paraId="0DDC1BB7"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501FF95F"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.00</w:t>
            </w:r>
          </w:p>
        </w:tc>
        <w:tc>
          <w:tcPr>
            <w:tcW w:w="236" w:type="dxa"/>
            <w:tcBorders>
              <w:top w:val="nil"/>
              <w:left w:val="nil"/>
              <w:bottom w:val="nil"/>
              <w:right w:val="nil"/>
            </w:tcBorders>
            <w:shd w:val="clear" w:color="auto" w:fill="auto"/>
            <w:noWrap/>
            <w:vAlign w:val="center"/>
          </w:tcPr>
          <w:p w14:paraId="75AE8CB2"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4588B0A"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-.03</w:t>
            </w:r>
          </w:p>
        </w:tc>
      </w:tr>
      <w:tr w:rsidR="00923D62" w:rsidRPr="001974AA" w14:paraId="51036CB9" w14:textId="77777777" w:rsidTr="00257A87">
        <w:trPr>
          <w:trHeight w:val="300"/>
        </w:trPr>
        <w:tc>
          <w:tcPr>
            <w:tcW w:w="3420" w:type="dxa"/>
            <w:tcBorders>
              <w:top w:val="nil"/>
              <w:left w:val="nil"/>
              <w:bottom w:val="nil"/>
              <w:right w:val="nil"/>
            </w:tcBorders>
            <w:shd w:val="clear" w:color="auto" w:fill="auto"/>
            <w:noWrap/>
            <w:vAlign w:val="center"/>
            <w:hideMark/>
          </w:tcPr>
          <w:p w14:paraId="4DFFE802"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 Black African (congregation)</w:t>
            </w:r>
          </w:p>
        </w:tc>
        <w:tc>
          <w:tcPr>
            <w:tcW w:w="964" w:type="dxa"/>
            <w:tcBorders>
              <w:top w:val="nil"/>
              <w:left w:val="nil"/>
              <w:bottom w:val="nil"/>
              <w:right w:val="nil"/>
            </w:tcBorders>
            <w:shd w:val="clear" w:color="auto" w:fill="auto"/>
            <w:noWrap/>
            <w:vAlign w:val="center"/>
            <w:hideMark/>
          </w:tcPr>
          <w:p w14:paraId="6D746DD0"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hideMark/>
          </w:tcPr>
          <w:p w14:paraId="26A5C3A5"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04F46D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.12</w:t>
            </w:r>
          </w:p>
        </w:tc>
        <w:tc>
          <w:tcPr>
            <w:tcW w:w="236" w:type="dxa"/>
            <w:tcBorders>
              <w:top w:val="nil"/>
              <w:left w:val="nil"/>
              <w:bottom w:val="nil"/>
              <w:right w:val="nil"/>
            </w:tcBorders>
            <w:shd w:val="clear" w:color="auto" w:fill="auto"/>
            <w:noWrap/>
            <w:vAlign w:val="center"/>
          </w:tcPr>
          <w:p w14:paraId="3C5C8A68"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5368063"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.04</w:t>
            </w:r>
          </w:p>
        </w:tc>
        <w:tc>
          <w:tcPr>
            <w:tcW w:w="236" w:type="dxa"/>
            <w:tcBorders>
              <w:top w:val="nil"/>
              <w:left w:val="nil"/>
              <w:bottom w:val="nil"/>
              <w:right w:val="nil"/>
            </w:tcBorders>
            <w:shd w:val="clear" w:color="auto" w:fill="auto"/>
            <w:noWrap/>
            <w:vAlign w:val="center"/>
          </w:tcPr>
          <w:p w14:paraId="56E8302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248D22D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.06</w:t>
            </w:r>
          </w:p>
        </w:tc>
        <w:tc>
          <w:tcPr>
            <w:tcW w:w="236" w:type="dxa"/>
            <w:tcBorders>
              <w:top w:val="nil"/>
              <w:left w:val="nil"/>
              <w:bottom w:val="nil"/>
              <w:right w:val="nil"/>
            </w:tcBorders>
            <w:shd w:val="clear" w:color="auto" w:fill="auto"/>
            <w:noWrap/>
            <w:vAlign w:val="center"/>
          </w:tcPr>
          <w:p w14:paraId="557F3D1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0D56ABA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.05</w:t>
            </w:r>
          </w:p>
        </w:tc>
      </w:tr>
      <w:tr w:rsidR="00923D62" w:rsidRPr="001974AA" w14:paraId="1F2FF15A" w14:textId="77777777" w:rsidTr="00257A87">
        <w:trPr>
          <w:trHeight w:val="300"/>
        </w:trPr>
        <w:tc>
          <w:tcPr>
            <w:tcW w:w="3420" w:type="dxa"/>
            <w:tcBorders>
              <w:top w:val="nil"/>
              <w:left w:val="nil"/>
              <w:bottom w:val="nil"/>
              <w:right w:val="nil"/>
            </w:tcBorders>
            <w:shd w:val="clear" w:color="auto" w:fill="auto"/>
            <w:noWrap/>
            <w:vAlign w:val="center"/>
            <w:hideMark/>
          </w:tcPr>
          <w:p w14:paraId="0B6ECD40"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 Black Caribbean (ward)</w:t>
            </w:r>
          </w:p>
        </w:tc>
        <w:tc>
          <w:tcPr>
            <w:tcW w:w="964" w:type="dxa"/>
            <w:tcBorders>
              <w:top w:val="nil"/>
              <w:left w:val="nil"/>
              <w:bottom w:val="nil"/>
              <w:right w:val="nil"/>
            </w:tcBorders>
            <w:shd w:val="clear" w:color="auto" w:fill="auto"/>
            <w:noWrap/>
            <w:vAlign w:val="center"/>
            <w:hideMark/>
          </w:tcPr>
          <w:p w14:paraId="34C4D423"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hideMark/>
          </w:tcPr>
          <w:p w14:paraId="7E0B0BE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08D521F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tcPr>
          <w:p w14:paraId="7384FAA3"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F902D5C"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-.21</w:t>
            </w:r>
            <w:r>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6928FCDC"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647966FA"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-.18</w:t>
            </w:r>
            <w:r>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2070639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12AA028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-.11</w:t>
            </w:r>
          </w:p>
        </w:tc>
      </w:tr>
      <w:tr w:rsidR="00923D62" w:rsidRPr="001974AA" w14:paraId="5AB93532" w14:textId="77777777" w:rsidTr="00257A87">
        <w:trPr>
          <w:trHeight w:val="300"/>
        </w:trPr>
        <w:tc>
          <w:tcPr>
            <w:tcW w:w="3420" w:type="dxa"/>
            <w:tcBorders>
              <w:top w:val="nil"/>
              <w:left w:val="nil"/>
              <w:bottom w:val="nil"/>
              <w:right w:val="nil"/>
            </w:tcBorders>
            <w:shd w:val="clear" w:color="auto" w:fill="auto"/>
            <w:noWrap/>
            <w:vAlign w:val="center"/>
            <w:hideMark/>
          </w:tcPr>
          <w:p w14:paraId="0D4ACA49"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 Black African (ward)</w:t>
            </w:r>
          </w:p>
        </w:tc>
        <w:tc>
          <w:tcPr>
            <w:tcW w:w="964" w:type="dxa"/>
            <w:tcBorders>
              <w:top w:val="nil"/>
              <w:left w:val="nil"/>
              <w:bottom w:val="nil"/>
              <w:right w:val="nil"/>
            </w:tcBorders>
            <w:shd w:val="clear" w:color="auto" w:fill="auto"/>
            <w:noWrap/>
            <w:vAlign w:val="center"/>
            <w:hideMark/>
          </w:tcPr>
          <w:p w14:paraId="093F1C07"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hideMark/>
          </w:tcPr>
          <w:p w14:paraId="5522F34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38DC20F2"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tcPr>
          <w:p w14:paraId="6FE8AD3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4C49235E"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.20</w:t>
            </w:r>
            <w:r>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2CDE9CA6"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732C5B6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.19</w:t>
            </w:r>
            <w:r>
              <w:rPr>
                <w:rFonts w:ascii="Times New Roman" w:eastAsia="Times New Roman" w:hAnsi="Times New Roman" w:cs="Times New Roman"/>
                <w:color w:val="000000"/>
                <w:vertAlign w:val="superscript"/>
                <w:lang w:eastAsia="en-GB"/>
              </w:rPr>
              <w:t>*</w:t>
            </w:r>
          </w:p>
        </w:tc>
        <w:tc>
          <w:tcPr>
            <w:tcW w:w="236" w:type="dxa"/>
            <w:tcBorders>
              <w:top w:val="nil"/>
              <w:left w:val="nil"/>
              <w:bottom w:val="nil"/>
              <w:right w:val="nil"/>
            </w:tcBorders>
            <w:shd w:val="clear" w:color="auto" w:fill="auto"/>
            <w:noWrap/>
            <w:vAlign w:val="center"/>
          </w:tcPr>
          <w:p w14:paraId="07BC5D9C"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605FEAA2"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.26</w:t>
            </w:r>
            <w:r>
              <w:rPr>
                <w:rFonts w:ascii="Times New Roman" w:eastAsia="Times New Roman" w:hAnsi="Times New Roman" w:cs="Times New Roman"/>
                <w:color w:val="000000"/>
                <w:vertAlign w:val="superscript"/>
                <w:lang w:eastAsia="en-GB"/>
              </w:rPr>
              <w:t>*</w:t>
            </w:r>
          </w:p>
        </w:tc>
      </w:tr>
      <w:tr w:rsidR="00923D62" w:rsidRPr="001974AA" w14:paraId="518DCC38" w14:textId="77777777" w:rsidTr="00257A87">
        <w:trPr>
          <w:trHeight w:val="300"/>
        </w:trPr>
        <w:tc>
          <w:tcPr>
            <w:tcW w:w="3420" w:type="dxa"/>
            <w:tcBorders>
              <w:top w:val="nil"/>
              <w:left w:val="nil"/>
              <w:bottom w:val="nil"/>
              <w:right w:val="nil"/>
            </w:tcBorders>
            <w:shd w:val="clear" w:color="auto" w:fill="auto"/>
            <w:noWrap/>
            <w:vAlign w:val="center"/>
            <w:hideMark/>
          </w:tcPr>
          <w:p w14:paraId="0E3AB208"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Diversity of congregation</w:t>
            </w:r>
          </w:p>
        </w:tc>
        <w:tc>
          <w:tcPr>
            <w:tcW w:w="964" w:type="dxa"/>
            <w:tcBorders>
              <w:top w:val="nil"/>
              <w:left w:val="nil"/>
              <w:bottom w:val="nil"/>
              <w:right w:val="nil"/>
            </w:tcBorders>
            <w:shd w:val="clear" w:color="auto" w:fill="auto"/>
            <w:noWrap/>
            <w:vAlign w:val="center"/>
            <w:hideMark/>
          </w:tcPr>
          <w:p w14:paraId="7CCCA1D6"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hideMark/>
          </w:tcPr>
          <w:p w14:paraId="5169932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5A3EA46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tcPr>
          <w:p w14:paraId="30367CA1"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35580B93"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center"/>
          </w:tcPr>
          <w:p w14:paraId="0DC0CD23"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388A7D2D"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-.13</w:t>
            </w:r>
          </w:p>
        </w:tc>
        <w:tc>
          <w:tcPr>
            <w:tcW w:w="236" w:type="dxa"/>
            <w:tcBorders>
              <w:top w:val="nil"/>
              <w:left w:val="nil"/>
              <w:bottom w:val="nil"/>
              <w:right w:val="nil"/>
            </w:tcBorders>
            <w:shd w:val="clear" w:color="auto" w:fill="auto"/>
            <w:noWrap/>
            <w:vAlign w:val="center"/>
          </w:tcPr>
          <w:p w14:paraId="33F0E96F"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nil"/>
              <w:right w:val="nil"/>
            </w:tcBorders>
            <w:shd w:val="clear" w:color="auto" w:fill="auto"/>
            <w:noWrap/>
            <w:vAlign w:val="center"/>
            <w:hideMark/>
          </w:tcPr>
          <w:p w14:paraId="3C38291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-.05</w:t>
            </w:r>
          </w:p>
        </w:tc>
      </w:tr>
      <w:tr w:rsidR="00923D62" w:rsidRPr="001974AA" w14:paraId="50C16603" w14:textId="77777777" w:rsidTr="00257A87">
        <w:trPr>
          <w:trHeight w:val="300"/>
        </w:trPr>
        <w:tc>
          <w:tcPr>
            <w:tcW w:w="3420" w:type="dxa"/>
            <w:tcBorders>
              <w:top w:val="nil"/>
              <w:left w:val="nil"/>
              <w:bottom w:val="single" w:sz="12" w:space="0" w:color="auto"/>
              <w:right w:val="nil"/>
            </w:tcBorders>
            <w:shd w:val="clear" w:color="auto" w:fill="auto"/>
            <w:noWrap/>
            <w:vAlign w:val="center"/>
            <w:hideMark/>
          </w:tcPr>
          <w:p w14:paraId="47E07143" w14:textId="77777777" w:rsidR="00923D62" w:rsidRPr="001974AA" w:rsidRDefault="00923D62" w:rsidP="00257A87">
            <w:pPr>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Diversity of ward</w:t>
            </w:r>
          </w:p>
        </w:tc>
        <w:tc>
          <w:tcPr>
            <w:tcW w:w="964" w:type="dxa"/>
            <w:tcBorders>
              <w:top w:val="nil"/>
              <w:left w:val="nil"/>
              <w:bottom w:val="single" w:sz="12" w:space="0" w:color="auto"/>
              <w:right w:val="nil"/>
            </w:tcBorders>
            <w:shd w:val="clear" w:color="auto" w:fill="auto"/>
            <w:noWrap/>
            <w:vAlign w:val="center"/>
            <w:hideMark/>
          </w:tcPr>
          <w:p w14:paraId="0865E6EB"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single" w:sz="12" w:space="0" w:color="auto"/>
              <w:right w:val="nil"/>
            </w:tcBorders>
            <w:shd w:val="clear" w:color="auto" w:fill="auto"/>
            <w:noWrap/>
            <w:vAlign w:val="center"/>
            <w:hideMark/>
          </w:tcPr>
          <w:p w14:paraId="4858751A"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single" w:sz="12" w:space="0" w:color="auto"/>
              <w:right w:val="nil"/>
            </w:tcBorders>
            <w:shd w:val="clear" w:color="auto" w:fill="auto"/>
            <w:noWrap/>
            <w:vAlign w:val="center"/>
            <w:hideMark/>
          </w:tcPr>
          <w:p w14:paraId="049134F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single" w:sz="12" w:space="0" w:color="auto"/>
              <w:right w:val="nil"/>
            </w:tcBorders>
            <w:shd w:val="clear" w:color="auto" w:fill="auto"/>
            <w:noWrap/>
            <w:vAlign w:val="center"/>
          </w:tcPr>
          <w:p w14:paraId="51A9F5B8"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single" w:sz="12" w:space="0" w:color="auto"/>
              <w:right w:val="nil"/>
            </w:tcBorders>
            <w:shd w:val="clear" w:color="auto" w:fill="auto"/>
            <w:noWrap/>
            <w:vAlign w:val="center"/>
            <w:hideMark/>
          </w:tcPr>
          <w:p w14:paraId="004475B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single" w:sz="12" w:space="0" w:color="auto"/>
              <w:right w:val="nil"/>
            </w:tcBorders>
            <w:shd w:val="clear" w:color="auto" w:fill="auto"/>
            <w:noWrap/>
            <w:vAlign w:val="center"/>
          </w:tcPr>
          <w:p w14:paraId="5D643668"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single" w:sz="12" w:space="0" w:color="auto"/>
              <w:right w:val="nil"/>
            </w:tcBorders>
            <w:shd w:val="clear" w:color="auto" w:fill="auto"/>
            <w:noWrap/>
            <w:vAlign w:val="center"/>
            <w:hideMark/>
          </w:tcPr>
          <w:p w14:paraId="68882094"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236" w:type="dxa"/>
            <w:tcBorders>
              <w:top w:val="nil"/>
              <w:left w:val="nil"/>
              <w:bottom w:val="single" w:sz="12" w:space="0" w:color="auto"/>
              <w:right w:val="nil"/>
            </w:tcBorders>
            <w:shd w:val="clear" w:color="auto" w:fill="auto"/>
            <w:noWrap/>
            <w:vAlign w:val="center"/>
          </w:tcPr>
          <w:p w14:paraId="4956AC1A"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p>
        </w:tc>
        <w:tc>
          <w:tcPr>
            <w:tcW w:w="964" w:type="dxa"/>
            <w:tcBorders>
              <w:top w:val="nil"/>
              <w:left w:val="nil"/>
              <w:bottom w:val="single" w:sz="12" w:space="0" w:color="auto"/>
              <w:right w:val="nil"/>
            </w:tcBorders>
            <w:shd w:val="clear" w:color="auto" w:fill="auto"/>
            <w:noWrap/>
            <w:vAlign w:val="center"/>
            <w:hideMark/>
          </w:tcPr>
          <w:p w14:paraId="1D152F39" w14:textId="77777777" w:rsidR="00923D62" w:rsidRPr="001974AA" w:rsidRDefault="00923D62" w:rsidP="00257A87">
            <w:pPr>
              <w:tabs>
                <w:tab w:val="decimal" w:pos="173"/>
              </w:tabs>
              <w:spacing w:after="0" w:line="240" w:lineRule="auto"/>
              <w:rPr>
                <w:rFonts w:ascii="Times New Roman" w:eastAsia="Times New Roman" w:hAnsi="Times New Roman" w:cs="Times New Roman"/>
                <w:color w:val="000000"/>
                <w:lang w:eastAsia="en-GB"/>
              </w:rPr>
            </w:pPr>
            <w:r w:rsidRPr="001974AA">
              <w:rPr>
                <w:rFonts w:ascii="Times New Roman" w:eastAsia="Times New Roman" w:hAnsi="Times New Roman" w:cs="Times New Roman"/>
                <w:color w:val="000000"/>
                <w:lang w:eastAsia="en-GB"/>
              </w:rPr>
              <w:t>-.19</w:t>
            </w:r>
          </w:p>
        </w:tc>
      </w:tr>
    </w:tbl>
    <w:p w14:paraId="267365CC" w14:textId="77777777" w:rsidR="00923D62" w:rsidRDefault="00923D62" w:rsidP="00923D62">
      <w:pPr>
        <w:rPr>
          <w:rFonts w:ascii="Times New Roman" w:hAnsi="Times New Roman" w:cs="Times New Roman"/>
          <w:sz w:val="24"/>
          <w:szCs w:val="24"/>
        </w:rPr>
      </w:pPr>
    </w:p>
    <w:p w14:paraId="3414FB62" w14:textId="77777777" w:rsidR="00923D62" w:rsidRPr="000747FB" w:rsidRDefault="00923D62" w:rsidP="00923D62">
      <w:pPr>
        <w:rPr>
          <w:rFonts w:ascii="Times New Roman" w:hAnsi="Times New Roman" w:cs="Times New Roman"/>
          <w:sz w:val="24"/>
          <w:szCs w:val="24"/>
        </w:rPr>
      </w:pPr>
      <w:r w:rsidRPr="000747FB">
        <w:rPr>
          <w:rFonts w:ascii="Times New Roman" w:hAnsi="Times New Roman" w:cs="Times New Roman"/>
          <w:sz w:val="24"/>
          <w:szCs w:val="24"/>
        </w:rPr>
        <w:t xml:space="preserve">Note. </w:t>
      </w:r>
      <w:r>
        <w:rPr>
          <w:rFonts w:ascii="Times New Roman" w:hAnsi="Times New Roman" w:cs="Times New Roman"/>
          <w:sz w:val="24"/>
          <w:szCs w:val="24"/>
        </w:rPr>
        <w:t xml:space="preserve">Standardised regression weights.  </w:t>
      </w:r>
      <w:r w:rsidRPr="000747FB">
        <w:rPr>
          <w:rFonts w:ascii="Times New Roman" w:hAnsi="Times New Roman" w:cs="Times New Roman"/>
          <w:sz w:val="24"/>
          <w:szCs w:val="24"/>
          <w:vertAlign w:val="superscript"/>
        </w:rPr>
        <w:t xml:space="preserve">* </w:t>
      </w:r>
      <w:r w:rsidRPr="000747FB">
        <w:rPr>
          <w:rFonts w:ascii="Times New Roman" w:hAnsi="Times New Roman" w:cs="Times New Roman"/>
          <w:i/>
          <w:sz w:val="24"/>
          <w:szCs w:val="24"/>
        </w:rPr>
        <w:t xml:space="preserve">p </w:t>
      </w:r>
      <w:r w:rsidRPr="000747FB">
        <w:rPr>
          <w:rFonts w:ascii="Times New Roman" w:hAnsi="Times New Roman" w:cs="Times New Roman"/>
          <w:sz w:val="24"/>
          <w:szCs w:val="24"/>
        </w:rPr>
        <w:t>&lt; .</w:t>
      </w:r>
      <w:proofErr w:type="gramStart"/>
      <w:r w:rsidRPr="000747FB">
        <w:rPr>
          <w:rFonts w:ascii="Times New Roman" w:hAnsi="Times New Roman" w:cs="Times New Roman"/>
          <w:sz w:val="24"/>
          <w:szCs w:val="24"/>
        </w:rPr>
        <w:t xml:space="preserve">05;  </w:t>
      </w:r>
      <w:r w:rsidRPr="000747FB">
        <w:rPr>
          <w:rFonts w:ascii="Times New Roman" w:hAnsi="Times New Roman" w:cs="Times New Roman"/>
          <w:sz w:val="24"/>
          <w:szCs w:val="24"/>
          <w:vertAlign w:val="superscript"/>
        </w:rPr>
        <w:t>*</w:t>
      </w:r>
      <w:proofErr w:type="gramEnd"/>
      <w:r w:rsidRPr="000747FB">
        <w:rPr>
          <w:rFonts w:ascii="Times New Roman" w:hAnsi="Times New Roman" w:cs="Times New Roman"/>
          <w:sz w:val="24"/>
          <w:szCs w:val="24"/>
          <w:vertAlign w:val="superscript"/>
        </w:rPr>
        <w:t xml:space="preserve">* </w:t>
      </w:r>
      <w:r w:rsidRPr="000747FB">
        <w:rPr>
          <w:rFonts w:ascii="Times New Roman" w:hAnsi="Times New Roman" w:cs="Times New Roman"/>
          <w:i/>
          <w:sz w:val="24"/>
          <w:szCs w:val="24"/>
        </w:rPr>
        <w:t xml:space="preserve">p </w:t>
      </w:r>
      <w:r w:rsidRPr="000747FB">
        <w:rPr>
          <w:rFonts w:ascii="Times New Roman" w:hAnsi="Times New Roman" w:cs="Times New Roman"/>
          <w:sz w:val="24"/>
          <w:szCs w:val="24"/>
        </w:rPr>
        <w:t xml:space="preserve">&lt; .01;  </w:t>
      </w:r>
      <w:r w:rsidRPr="000747FB">
        <w:rPr>
          <w:rFonts w:ascii="Times New Roman" w:hAnsi="Times New Roman" w:cs="Times New Roman"/>
          <w:sz w:val="24"/>
          <w:szCs w:val="24"/>
          <w:vertAlign w:val="superscript"/>
        </w:rPr>
        <w:t xml:space="preserve">*** </w:t>
      </w:r>
      <w:r w:rsidRPr="000747FB">
        <w:rPr>
          <w:rFonts w:ascii="Times New Roman" w:hAnsi="Times New Roman" w:cs="Times New Roman"/>
          <w:i/>
          <w:sz w:val="24"/>
          <w:szCs w:val="24"/>
        </w:rPr>
        <w:t xml:space="preserve">p </w:t>
      </w:r>
      <w:r w:rsidRPr="000747FB">
        <w:rPr>
          <w:rFonts w:ascii="Times New Roman" w:hAnsi="Times New Roman" w:cs="Times New Roman"/>
          <w:sz w:val="24"/>
          <w:szCs w:val="24"/>
        </w:rPr>
        <w:t xml:space="preserve">&lt; .001. </w:t>
      </w:r>
    </w:p>
    <w:p w14:paraId="23FCA1E4" w14:textId="77777777" w:rsidR="00923D62" w:rsidRDefault="00923D62" w:rsidP="00923D62">
      <w:pPr>
        <w:rPr>
          <w:rFonts w:ascii="Times New Roman" w:hAnsi="Times New Roman" w:cs="Times New Roman"/>
          <w:sz w:val="24"/>
          <w:szCs w:val="24"/>
        </w:rPr>
      </w:pPr>
      <w:r>
        <w:rPr>
          <w:rFonts w:ascii="Times New Roman" w:hAnsi="Times New Roman" w:cs="Times New Roman"/>
          <w:sz w:val="24"/>
          <w:szCs w:val="24"/>
        </w:rPr>
        <w:br w:type="page"/>
      </w:r>
    </w:p>
    <w:p w14:paraId="2DDB5FA7" w14:textId="77777777" w:rsidR="008A1201"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Figure 1</w:t>
      </w:r>
    </w:p>
    <w:p w14:paraId="53F14982" w14:textId="77777777" w:rsidR="00923D62" w:rsidRDefault="00923D62" w:rsidP="00923D62">
      <w:pPr>
        <w:autoSpaceDE w:val="0"/>
        <w:autoSpaceDN w:val="0"/>
        <w:adjustRightInd w:val="0"/>
        <w:spacing w:after="0" w:line="480" w:lineRule="auto"/>
        <w:rPr>
          <w:rFonts w:ascii="Times New Roman" w:hAnsi="Times New Roman" w:cs="Times New Roman"/>
          <w:i/>
          <w:sz w:val="24"/>
          <w:szCs w:val="24"/>
        </w:rPr>
      </w:pPr>
      <w:r w:rsidRPr="008A1201">
        <w:rPr>
          <w:rFonts w:ascii="Times New Roman" w:hAnsi="Times New Roman" w:cs="Times New Roman"/>
          <w:i/>
          <w:sz w:val="24"/>
          <w:szCs w:val="24"/>
        </w:rPr>
        <w:t>Average growth of 332 churches by deanery</w:t>
      </w:r>
    </w:p>
    <w:p w14:paraId="6A9DD0C6" w14:textId="77777777" w:rsidR="008A1201" w:rsidRPr="008A1201" w:rsidRDefault="008A1201" w:rsidP="00923D62">
      <w:pPr>
        <w:autoSpaceDE w:val="0"/>
        <w:autoSpaceDN w:val="0"/>
        <w:adjustRightInd w:val="0"/>
        <w:spacing w:after="0" w:line="480" w:lineRule="auto"/>
        <w:rPr>
          <w:rFonts w:ascii="Times New Roman" w:hAnsi="Times New Roman" w:cs="Times New Roman"/>
          <w:i/>
          <w:sz w:val="24"/>
          <w:szCs w:val="24"/>
        </w:rPr>
      </w:pPr>
    </w:p>
    <w:p w14:paraId="435F1FE2"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A6E86AD" wp14:editId="3D317E94">
            <wp:extent cx="5731510" cy="45078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 scatterdot by deanery.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507865"/>
                    </a:xfrm>
                    <a:prstGeom prst="rect">
                      <a:avLst/>
                    </a:prstGeom>
                  </pic:spPr>
                </pic:pic>
              </a:graphicData>
            </a:graphic>
          </wp:inline>
        </w:drawing>
      </w:r>
    </w:p>
    <w:p w14:paraId="335706C8" w14:textId="77777777" w:rsidR="00923D62" w:rsidRDefault="00923D62" w:rsidP="00923D62">
      <w:pPr>
        <w:rPr>
          <w:rFonts w:ascii="Times New Roman" w:hAnsi="Times New Roman" w:cs="Times New Roman"/>
          <w:sz w:val="24"/>
          <w:szCs w:val="24"/>
        </w:rPr>
      </w:pPr>
      <w:r>
        <w:rPr>
          <w:rFonts w:ascii="Times New Roman" w:hAnsi="Times New Roman" w:cs="Times New Roman"/>
          <w:sz w:val="24"/>
          <w:szCs w:val="24"/>
        </w:rPr>
        <w:br w:type="page"/>
      </w:r>
    </w:p>
    <w:p w14:paraId="2CABECCA" w14:textId="77777777" w:rsidR="008A1201"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2 </w:t>
      </w:r>
    </w:p>
    <w:p w14:paraId="5AA7DBD2" w14:textId="77777777" w:rsidR="00923D62" w:rsidRPr="008A1201" w:rsidRDefault="00923D62" w:rsidP="00923D62">
      <w:pPr>
        <w:autoSpaceDE w:val="0"/>
        <w:autoSpaceDN w:val="0"/>
        <w:adjustRightInd w:val="0"/>
        <w:spacing w:after="0" w:line="480" w:lineRule="auto"/>
        <w:rPr>
          <w:rFonts w:ascii="Times New Roman" w:hAnsi="Times New Roman" w:cs="Times New Roman"/>
          <w:i/>
          <w:sz w:val="24"/>
          <w:szCs w:val="24"/>
        </w:rPr>
      </w:pPr>
      <w:r w:rsidRPr="008A1201">
        <w:rPr>
          <w:rFonts w:ascii="Times New Roman" w:hAnsi="Times New Roman" w:cs="Times New Roman"/>
          <w:i/>
          <w:sz w:val="24"/>
          <w:szCs w:val="24"/>
        </w:rPr>
        <w:t xml:space="preserve">Ethnic diversity index for electoral wards by distance from Southwark </w:t>
      </w:r>
      <w:r w:rsidR="008A1201">
        <w:rPr>
          <w:rFonts w:ascii="Times New Roman" w:hAnsi="Times New Roman" w:cs="Times New Roman"/>
          <w:i/>
          <w:sz w:val="24"/>
          <w:szCs w:val="24"/>
        </w:rPr>
        <w:t>C</w:t>
      </w:r>
      <w:r w:rsidRPr="008A1201">
        <w:rPr>
          <w:rFonts w:ascii="Times New Roman" w:hAnsi="Times New Roman" w:cs="Times New Roman"/>
          <w:i/>
          <w:sz w:val="24"/>
          <w:szCs w:val="24"/>
        </w:rPr>
        <w:t>athedral</w:t>
      </w:r>
    </w:p>
    <w:p w14:paraId="74A8EA57"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p>
    <w:p w14:paraId="0F3310C2"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ED1C48A" wp14:editId="406DB4A1">
            <wp:extent cx="5731510" cy="45078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diversityscatterdot by distance from cathedral.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507865"/>
                    </a:xfrm>
                    <a:prstGeom prst="rect">
                      <a:avLst/>
                    </a:prstGeom>
                  </pic:spPr>
                </pic:pic>
              </a:graphicData>
            </a:graphic>
          </wp:inline>
        </w:drawing>
      </w:r>
    </w:p>
    <w:p w14:paraId="35168D69" w14:textId="77777777" w:rsidR="00923D62" w:rsidRDefault="00923D62" w:rsidP="00923D62">
      <w:pPr>
        <w:rPr>
          <w:rFonts w:ascii="Times New Roman" w:hAnsi="Times New Roman" w:cs="Times New Roman"/>
          <w:sz w:val="24"/>
          <w:szCs w:val="24"/>
        </w:rPr>
      </w:pPr>
      <w:r>
        <w:rPr>
          <w:rFonts w:ascii="Times New Roman" w:hAnsi="Times New Roman" w:cs="Times New Roman"/>
          <w:sz w:val="24"/>
          <w:szCs w:val="24"/>
        </w:rPr>
        <w:br w:type="page"/>
      </w:r>
    </w:p>
    <w:p w14:paraId="3D3BD20E" w14:textId="77777777" w:rsidR="008A1201"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3 </w:t>
      </w:r>
    </w:p>
    <w:p w14:paraId="3AF645EB" w14:textId="77777777" w:rsidR="00923D62" w:rsidRPr="008A1201" w:rsidRDefault="00923D62" w:rsidP="00923D62">
      <w:pPr>
        <w:autoSpaceDE w:val="0"/>
        <w:autoSpaceDN w:val="0"/>
        <w:adjustRightInd w:val="0"/>
        <w:spacing w:after="0" w:line="480" w:lineRule="auto"/>
        <w:rPr>
          <w:rFonts w:ascii="Times New Roman" w:hAnsi="Times New Roman" w:cs="Times New Roman"/>
          <w:i/>
          <w:sz w:val="24"/>
          <w:szCs w:val="24"/>
        </w:rPr>
      </w:pPr>
      <w:r w:rsidRPr="008A1201">
        <w:rPr>
          <w:rFonts w:ascii="Times New Roman" w:hAnsi="Times New Roman" w:cs="Times New Roman"/>
          <w:i/>
          <w:sz w:val="24"/>
          <w:szCs w:val="24"/>
        </w:rPr>
        <w:t>Ethnic diversity index of congregations compared with their matched electoral ward. Congregations above the line were more diverse than their neighbourhoods</w:t>
      </w:r>
    </w:p>
    <w:p w14:paraId="14E51241"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p>
    <w:p w14:paraId="32F9FED6" w14:textId="77777777" w:rsidR="00923D62" w:rsidRPr="003622DB"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BB75DCD" wp14:editId="54966F18">
            <wp:extent cx="5731510" cy="45078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diversity cong versus ward.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507865"/>
                    </a:xfrm>
                    <a:prstGeom prst="rect">
                      <a:avLst/>
                    </a:prstGeom>
                  </pic:spPr>
                </pic:pic>
              </a:graphicData>
            </a:graphic>
          </wp:inline>
        </w:drawing>
      </w:r>
    </w:p>
    <w:p w14:paraId="3BB22C90" w14:textId="77777777" w:rsidR="00923D62" w:rsidRDefault="00923D62" w:rsidP="00923D62">
      <w:pPr>
        <w:rPr>
          <w:rFonts w:ascii="Times New Roman" w:hAnsi="Times New Roman" w:cs="Times New Roman"/>
          <w:sz w:val="24"/>
          <w:szCs w:val="24"/>
        </w:rPr>
      </w:pPr>
      <w:r>
        <w:rPr>
          <w:rFonts w:ascii="Times New Roman" w:hAnsi="Times New Roman" w:cs="Times New Roman"/>
          <w:sz w:val="24"/>
          <w:szCs w:val="24"/>
        </w:rPr>
        <w:br w:type="page"/>
      </w:r>
    </w:p>
    <w:p w14:paraId="3D645B77" w14:textId="77777777" w:rsidR="008A1201"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4 </w:t>
      </w:r>
    </w:p>
    <w:p w14:paraId="4E15C530" w14:textId="77777777" w:rsidR="00923D62" w:rsidRDefault="0054049E"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Ethnic</w:t>
      </w:r>
      <w:r w:rsidR="00923D62">
        <w:rPr>
          <w:rFonts w:ascii="Times New Roman" w:hAnsi="Times New Roman" w:cs="Times New Roman"/>
          <w:sz w:val="24"/>
          <w:szCs w:val="24"/>
        </w:rPr>
        <w:t xml:space="preserve"> diversity of congregations in relation to </w:t>
      </w:r>
      <w:r w:rsidR="008A1201">
        <w:rPr>
          <w:rFonts w:ascii="Times New Roman" w:hAnsi="Times New Roman" w:cs="Times New Roman"/>
          <w:sz w:val="24"/>
          <w:szCs w:val="24"/>
        </w:rPr>
        <w:t>the percentage of White British</w:t>
      </w:r>
    </w:p>
    <w:p w14:paraId="343A9DED" w14:textId="77777777" w:rsidR="008A1201" w:rsidRDefault="008A1201" w:rsidP="00923D62">
      <w:pPr>
        <w:autoSpaceDE w:val="0"/>
        <w:autoSpaceDN w:val="0"/>
        <w:adjustRightInd w:val="0"/>
        <w:spacing w:after="0" w:line="480" w:lineRule="auto"/>
        <w:rPr>
          <w:rFonts w:ascii="Times New Roman" w:hAnsi="Times New Roman" w:cs="Times New Roman"/>
          <w:sz w:val="24"/>
          <w:szCs w:val="24"/>
        </w:rPr>
      </w:pPr>
    </w:p>
    <w:p w14:paraId="47C95E9F"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A30BB98" wp14:editId="2A9981D3">
            <wp:extent cx="5731510" cy="45078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diversity cong versus perWB.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507865"/>
                    </a:xfrm>
                    <a:prstGeom prst="rect">
                      <a:avLst/>
                    </a:prstGeom>
                  </pic:spPr>
                </pic:pic>
              </a:graphicData>
            </a:graphic>
          </wp:inline>
        </w:drawing>
      </w:r>
    </w:p>
    <w:p w14:paraId="133FC538"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p>
    <w:p w14:paraId="107DA573" w14:textId="77777777" w:rsidR="00923D62" w:rsidRDefault="00923D62" w:rsidP="00923D62">
      <w:pPr>
        <w:autoSpaceDE w:val="0"/>
        <w:autoSpaceDN w:val="0"/>
        <w:adjustRightInd w:val="0"/>
        <w:spacing w:after="0" w:line="480" w:lineRule="auto"/>
        <w:rPr>
          <w:rFonts w:ascii="Times New Roman" w:hAnsi="Times New Roman" w:cs="Times New Roman"/>
          <w:sz w:val="24"/>
          <w:szCs w:val="24"/>
        </w:rPr>
      </w:pPr>
    </w:p>
    <w:p w14:paraId="3F40F7C8" w14:textId="77777777" w:rsidR="001D351D" w:rsidRPr="003622DB" w:rsidRDefault="001D351D" w:rsidP="00923D62">
      <w:pPr>
        <w:rPr>
          <w:rFonts w:ascii="Times New Roman" w:hAnsi="Times New Roman" w:cs="Times New Roman"/>
          <w:sz w:val="24"/>
          <w:szCs w:val="24"/>
        </w:rPr>
      </w:pPr>
    </w:p>
    <w:sectPr w:rsidR="001D351D" w:rsidRPr="003622DB" w:rsidSect="0060242F">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4D7D" w14:textId="77777777" w:rsidR="00F43E92" w:rsidRDefault="00F43E92" w:rsidP="007725F4">
      <w:pPr>
        <w:spacing w:after="0" w:line="240" w:lineRule="auto"/>
      </w:pPr>
      <w:r>
        <w:separator/>
      </w:r>
    </w:p>
  </w:endnote>
  <w:endnote w:type="continuationSeparator" w:id="0">
    <w:p w14:paraId="0464213D" w14:textId="77777777" w:rsidR="00F43E92" w:rsidRDefault="00F43E92" w:rsidP="0077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600E" w14:textId="77777777" w:rsidR="00257A87" w:rsidRPr="003F3B0E" w:rsidRDefault="00257A87">
    <w:pPr>
      <w:pStyle w:val="Footer"/>
      <w:jc w:val="center"/>
    </w:pPr>
  </w:p>
  <w:p w14:paraId="4465F1A5" w14:textId="77777777" w:rsidR="00257A87" w:rsidRDefault="00257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1AAE" w14:textId="77777777" w:rsidR="00257A87" w:rsidRDefault="00257A87">
    <w:pPr>
      <w:pStyle w:val="Footer"/>
    </w:pPr>
    <w:r w:rsidRPr="0060242F">
      <w:rPr>
        <w:i/>
        <w:sz w:val="16"/>
      </w:rPr>
      <w:fldChar w:fldCharType="begin"/>
    </w:r>
    <w:r w:rsidRPr="0060242F">
      <w:rPr>
        <w:i/>
        <w:sz w:val="16"/>
      </w:rPr>
      <w:instrText xml:space="preserve"> FILENAME  \p  \* MERGEFORMAT </w:instrText>
    </w:r>
    <w:r w:rsidRPr="0060242F">
      <w:rPr>
        <w:i/>
        <w:sz w:val="16"/>
      </w:rPr>
      <w:fldChar w:fldCharType="separate"/>
    </w:r>
    <w:r>
      <w:rPr>
        <w:i/>
        <w:noProof/>
        <w:sz w:val="16"/>
      </w:rPr>
      <w:t>C:\Users\St Mary's\Desktop\EMMA ECCLES\Articles\Francis\Congregation studies chapters\Village Predictors of growth.docx</w:t>
    </w:r>
    <w:r w:rsidRPr="0060242F">
      <w:rPr>
        <w:i/>
        <w:sz w:val="16"/>
      </w:rPr>
      <w:fldChar w:fldCharType="end"/>
    </w:r>
    <w:r>
      <w:t xml:space="preserve">   </w:t>
    </w:r>
    <w:r w:rsidRPr="0060242F">
      <w:rPr>
        <w:sz w:val="16"/>
      </w:rPr>
      <w:fldChar w:fldCharType="begin"/>
    </w:r>
    <w:r w:rsidRPr="0060242F">
      <w:rPr>
        <w:sz w:val="16"/>
      </w:rPr>
      <w:instrText xml:space="preserve"> DATE \@ "dd/MM/yyyy" </w:instrText>
    </w:r>
    <w:r w:rsidRPr="0060242F">
      <w:rPr>
        <w:sz w:val="16"/>
      </w:rPr>
      <w:fldChar w:fldCharType="separate"/>
    </w:r>
    <w:r w:rsidR="00FC41AE">
      <w:rPr>
        <w:noProof/>
        <w:sz w:val="16"/>
      </w:rPr>
      <w:t>26/07/2023</w:t>
    </w:r>
    <w:r w:rsidRPr="0060242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F8A5" w14:textId="77777777" w:rsidR="00F43E92" w:rsidRDefault="00F43E92" w:rsidP="007725F4">
      <w:pPr>
        <w:spacing w:after="0" w:line="240" w:lineRule="auto"/>
      </w:pPr>
      <w:r>
        <w:separator/>
      </w:r>
    </w:p>
  </w:footnote>
  <w:footnote w:type="continuationSeparator" w:id="0">
    <w:p w14:paraId="655C021A" w14:textId="77777777" w:rsidR="00F43E92" w:rsidRDefault="00F43E92" w:rsidP="0077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6EB1" w14:textId="77777777" w:rsidR="00257A87" w:rsidRPr="0060242F" w:rsidRDefault="00257A87">
    <w:pPr>
      <w:pStyle w:val="Header"/>
      <w:rPr>
        <w:rFonts w:ascii="Times New Roman" w:hAnsi="Times New Roman" w:cs="Times New Roman"/>
        <w:sz w:val="24"/>
      </w:rPr>
    </w:pPr>
    <w:r w:rsidRPr="0060242F">
      <w:rPr>
        <w:rFonts w:ascii="Times New Roman" w:hAnsi="Times New Roman" w:cs="Times New Roman"/>
        <w:sz w:val="24"/>
      </w:rPr>
      <w:t xml:space="preserve">CHURCH GROWTH IN SOUTHWARK DIOCESE              </w:t>
    </w:r>
    <w:r>
      <w:rPr>
        <w:rFonts w:ascii="Times New Roman" w:hAnsi="Times New Roman" w:cs="Times New Roman"/>
        <w:sz w:val="24"/>
      </w:rPr>
      <w:t xml:space="preserve">               </w:t>
    </w:r>
    <w:r w:rsidRPr="0060242F">
      <w:rPr>
        <w:rFonts w:ascii="Times New Roman" w:hAnsi="Times New Roman" w:cs="Times New Roman"/>
        <w:sz w:val="24"/>
      </w:rPr>
      <w:t xml:space="preserve"> </w:t>
    </w:r>
    <w:r>
      <w:rPr>
        <w:rFonts w:ascii="Times New Roman" w:hAnsi="Times New Roman" w:cs="Times New Roman"/>
        <w:sz w:val="24"/>
      </w:rPr>
      <w:t xml:space="preserve">                      </w:t>
    </w:r>
    <w:r w:rsidRPr="0060242F">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Pr>
        <w:rFonts w:ascii="Times New Roman" w:hAnsi="Times New Roman" w:cs="Times New Roman"/>
        <w:sz w:val="24"/>
      </w:rPr>
      <w:fldChar w:fldCharType="separate"/>
    </w:r>
    <w:r w:rsidR="00AA4DEE">
      <w:rPr>
        <w:rFonts w:ascii="Times New Roman" w:hAnsi="Times New Roman" w:cs="Times New Roman"/>
        <w:noProof/>
        <w:sz w:val="24"/>
      </w:rPr>
      <w:t>23</w:t>
    </w:r>
    <w:r>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8FF" w14:textId="77777777" w:rsidR="00257A87" w:rsidRDefault="00257A87">
    <w:pPr>
      <w:pStyle w:val="Header"/>
    </w:pPr>
    <w:r>
      <w:rPr>
        <w:rFonts w:ascii="Times New Roman" w:hAnsi="Times New Roman" w:cs="Times New Roman"/>
        <w:sz w:val="24"/>
      </w:rPr>
      <w:t xml:space="preserve">Running head: </w:t>
    </w:r>
    <w:r w:rsidRPr="0060242F">
      <w:rPr>
        <w:rFonts w:ascii="Times New Roman" w:hAnsi="Times New Roman" w:cs="Times New Roman"/>
        <w:sz w:val="24"/>
      </w:rPr>
      <w:t xml:space="preserve">CHURCH GROWTH IN SOUTHWARK DIOCESE        </w:t>
    </w:r>
    <w:r>
      <w:rPr>
        <w:rFonts w:ascii="Times New Roman" w:hAnsi="Times New Roman" w:cs="Times New Roman"/>
        <w:sz w:val="24"/>
      </w:rPr>
      <w:t xml:space="preserve">                         1</w:t>
    </w:r>
    <w:r w:rsidRPr="0060242F">
      <w:rPr>
        <w:rFonts w:ascii="Times New Roman" w:hAnsi="Times New Roman" w:cs="Times New Roman"/>
        <w:sz w:val="24"/>
      </w:rPr>
      <w:t xml:space="preserve">      </w:t>
    </w:r>
    <w:r>
      <w:rPr>
        <w:rFonts w:ascii="Times New Roman" w:hAnsi="Times New Roman" w:cs="Times New Roman"/>
        <w:sz w:val="24"/>
      </w:rPr>
      <w:t xml:space="preserve">               </w:t>
    </w:r>
    <w:r w:rsidRPr="0060242F">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7FF"/>
    <w:multiLevelType w:val="hybridMultilevel"/>
    <w:tmpl w:val="F2962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20F12"/>
    <w:multiLevelType w:val="hybridMultilevel"/>
    <w:tmpl w:val="5510CF08"/>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140916">
    <w:abstractNumId w:val="1"/>
  </w:num>
  <w:num w:numId="2" w16cid:durableId="4930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HumanitiesAuthorDat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3&lt;/SpaceAfter&gt;&lt;HyperlinksEnabled&gt;1&lt;/HyperlinksEnabled&gt;&lt;HyperlinksVisible&gt;0&lt;/HyperlinksVisible&gt;&lt;/ENLayout&gt;"/>
    <w:docVar w:name="EN.Libraries" w:val="&lt;Libraries&gt;&lt;item db-id=&quot;dz2asxs2ozta2me0007pzzx4ffzxzrre5tz0&quot;&gt;AVrefs&lt;record-ids&gt;&lt;item&gt;2531&lt;/item&gt;&lt;item&gt;4952&lt;/item&gt;&lt;item&gt;5024&lt;/item&gt;&lt;item&gt;5025&lt;/item&gt;&lt;item&gt;5027&lt;/item&gt;&lt;item&gt;5028&lt;/item&gt;&lt;item&gt;5040&lt;/item&gt;&lt;item&gt;5041&lt;/item&gt;&lt;item&gt;5042&lt;/item&gt;&lt;item&gt;5218&lt;/item&gt;&lt;item&gt;5232&lt;/item&gt;&lt;item&gt;6917&lt;/item&gt;&lt;item&gt;6918&lt;/item&gt;&lt;item&gt;6919&lt;/item&gt;&lt;item&gt;6922&lt;/item&gt;&lt;item&gt;6923&lt;/item&gt;&lt;item&gt;6924&lt;/item&gt;&lt;item&gt;6925&lt;/item&gt;&lt;item&gt;6926&lt;/item&gt;&lt;/record-ids&gt;&lt;/item&gt;&lt;/Libraries&gt;"/>
  </w:docVars>
  <w:rsids>
    <w:rsidRoot w:val="00582691"/>
    <w:rsid w:val="00000544"/>
    <w:rsid w:val="000013BC"/>
    <w:rsid w:val="00002186"/>
    <w:rsid w:val="0000385F"/>
    <w:rsid w:val="000102C3"/>
    <w:rsid w:val="000109FE"/>
    <w:rsid w:val="00012C49"/>
    <w:rsid w:val="00015E3D"/>
    <w:rsid w:val="000164C1"/>
    <w:rsid w:val="00020ED1"/>
    <w:rsid w:val="0002253D"/>
    <w:rsid w:val="00022F3B"/>
    <w:rsid w:val="00022FB4"/>
    <w:rsid w:val="0002403C"/>
    <w:rsid w:val="000259BA"/>
    <w:rsid w:val="00033BFB"/>
    <w:rsid w:val="00033F12"/>
    <w:rsid w:val="00034C8B"/>
    <w:rsid w:val="00037088"/>
    <w:rsid w:val="000452D0"/>
    <w:rsid w:val="00050178"/>
    <w:rsid w:val="000544F0"/>
    <w:rsid w:val="000562FF"/>
    <w:rsid w:val="00062C3F"/>
    <w:rsid w:val="00063714"/>
    <w:rsid w:val="00064233"/>
    <w:rsid w:val="000730B1"/>
    <w:rsid w:val="000747FB"/>
    <w:rsid w:val="00083FD9"/>
    <w:rsid w:val="00087A01"/>
    <w:rsid w:val="00090519"/>
    <w:rsid w:val="00092ECC"/>
    <w:rsid w:val="000A01B3"/>
    <w:rsid w:val="000A30F9"/>
    <w:rsid w:val="000A41BE"/>
    <w:rsid w:val="000A725C"/>
    <w:rsid w:val="000A7BC1"/>
    <w:rsid w:val="000B33FC"/>
    <w:rsid w:val="000B352E"/>
    <w:rsid w:val="000B392A"/>
    <w:rsid w:val="000B3A92"/>
    <w:rsid w:val="000C2169"/>
    <w:rsid w:val="000C24FE"/>
    <w:rsid w:val="000C2B76"/>
    <w:rsid w:val="000C48AF"/>
    <w:rsid w:val="000C5340"/>
    <w:rsid w:val="000D01C4"/>
    <w:rsid w:val="000D42BF"/>
    <w:rsid w:val="000E020D"/>
    <w:rsid w:val="000E2F06"/>
    <w:rsid w:val="000E39F2"/>
    <w:rsid w:val="000E3A26"/>
    <w:rsid w:val="000F3800"/>
    <w:rsid w:val="000F5AA9"/>
    <w:rsid w:val="001041BF"/>
    <w:rsid w:val="00111C63"/>
    <w:rsid w:val="00116774"/>
    <w:rsid w:val="001234FE"/>
    <w:rsid w:val="00130294"/>
    <w:rsid w:val="0013190C"/>
    <w:rsid w:val="0013204C"/>
    <w:rsid w:val="00132050"/>
    <w:rsid w:val="001428C7"/>
    <w:rsid w:val="00142E30"/>
    <w:rsid w:val="0014696E"/>
    <w:rsid w:val="00150017"/>
    <w:rsid w:val="00155DC3"/>
    <w:rsid w:val="00160508"/>
    <w:rsid w:val="001615F2"/>
    <w:rsid w:val="00161631"/>
    <w:rsid w:val="00162032"/>
    <w:rsid w:val="00163594"/>
    <w:rsid w:val="00166019"/>
    <w:rsid w:val="00166724"/>
    <w:rsid w:val="00171F91"/>
    <w:rsid w:val="001720BE"/>
    <w:rsid w:val="0017255C"/>
    <w:rsid w:val="0017406A"/>
    <w:rsid w:val="00174506"/>
    <w:rsid w:val="00175BA1"/>
    <w:rsid w:val="00176BCA"/>
    <w:rsid w:val="00182CC5"/>
    <w:rsid w:val="00186600"/>
    <w:rsid w:val="00191D34"/>
    <w:rsid w:val="00192066"/>
    <w:rsid w:val="00195069"/>
    <w:rsid w:val="0019553B"/>
    <w:rsid w:val="001974AA"/>
    <w:rsid w:val="0019786F"/>
    <w:rsid w:val="001A1131"/>
    <w:rsid w:val="001A28E3"/>
    <w:rsid w:val="001A3E01"/>
    <w:rsid w:val="001A3FCD"/>
    <w:rsid w:val="001A4760"/>
    <w:rsid w:val="001A7259"/>
    <w:rsid w:val="001B0458"/>
    <w:rsid w:val="001B4DEC"/>
    <w:rsid w:val="001B586A"/>
    <w:rsid w:val="001C04B1"/>
    <w:rsid w:val="001C0ED0"/>
    <w:rsid w:val="001C2546"/>
    <w:rsid w:val="001C4EA9"/>
    <w:rsid w:val="001C5709"/>
    <w:rsid w:val="001C57F6"/>
    <w:rsid w:val="001D1218"/>
    <w:rsid w:val="001D351D"/>
    <w:rsid w:val="001D3C16"/>
    <w:rsid w:val="001E0426"/>
    <w:rsid w:val="001E33F9"/>
    <w:rsid w:val="001E5825"/>
    <w:rsid w:val="001E6D5F"/>
    <w:rsid w:val="001F0607"/>
    <w:rsid w:val="001F1609"/>
    <w:rsid w:val="001F368B"/>
    <w:rsid w:val="001F36E6"/>
    <w:rsid w:val="001F40DB"/>
    <w:rsid w:val="001F4EFB"/>
    <w:rsid w:val="0020205D"/>
    <w:rsid w:val="00205AAC"/>
    <w:rsid w:val="00210441"/>
    <w:rsid w:val="00214086"/>
    <w:rsid w:val="00215225"/>
    <w:rsid w:val="00215249"/>
    <w:rsid w:val="00220792"/>
    <w:rsid w:val="00221A3F"/>
    <w:rsid w:val="00230F31"/>
    <w:rsid w:val="00232B17"/>
    <w:rsid w:val="00233E3D"/>
    <w:rsid w:val="00234AD9"/>
    <w:rsid w:val="00242C26"/>
    <w:rsid w:val="00243008"/>
    <w:rsid w:val="0024596F"/>
    <w:rsid w:val="00252B2C"/>
    <w:rsid w:val="0025370C"/>
    <w:rsid w:val="002550E9"/>
    <w:rsid w:val="002565B8"/>
    <w:rsid w:val="00257A87"/>
    <w:rsid w:val="002610EC"/>
    <w:rsid w:val="00263295"/>
    <w:rsid w:val="002634C5"/>
    <w:rsid w:val="00266577"/>
    <w:rsid w:val="0026722A"/>
    <w:rsid w:val="0026731C"/>
    <w:rsid w:val="00270A51"/>
    <w:rsid w:val="00271F1C"/>
    <w:rsid w:val="002725D3"/>
    <w:rsid w:val="0027297A"/>
    <w:rsid w:val="00273378"/>
    <w:rsid w:val="0027646F"/>
    <w:rsid w:val="0027674F"/>
    <w:rsid w:val="00280A61"/>
    <w:rsid w:val="002810ED"/>
    <w:rsid w:val="00283C78"/>
    <w:rsid w:val="002912DA"/>
    <w:rsid w:val="00292C9A"/>
    <w:rsid w:val="002943C2"/>
    <w:rsid w:val="002A0B26"/>
    <w:rsid w:val="002A31EF"/>
    <w:rsid w:val="002A58B3"/>
    <w:rsid w:val="002B0622"/>
    <w:rsid w:val="002B3B90"/>
    <w:rsid w:val="002B64F3"/>
    <w:rsid w:val="002B7ACA"/>
    <w:rsid w:val="002C7943"/>
    <w:rsid w:val="002D0EF4"/>
    <w:rsid w:val="002D2AC5"/>
    <w:rsid w:val="002D668D"/>
    <w:rsid w:val="002E396A"/>
    <w:rsid w:val="002E4204"/>
    <w:rsid w:val="002E6795"/>
    <w:rsid w:val="002F03D8"/>
    <w:rsid w:val="002F1233"/>
    <w:rsid w:val="002F42D0"/>
    <w:rsid w:val="002F6722"/>
    <w:rsid w:val="00304A5E"/>
    <w:rsid w:val="00310324"/>
    <w:rsid w:val="00311672"/>
    <w:rsid w:val="00312101"/>
    <w:rsid w:val="00312F80"/>
    <w:rsid w:val="0031666F"/>
    <w:rsid w:val="00316B18"/>
    <w:rsid w:val="003201FE"/>
    <w:rsid w:val="00324D1B"/>
    <w:rsid w:val="00325A73"/>
    <w:rsid w:val="00327CDC"/>
    <w:rsid w:val="003407DE"/>
    <w:rsid w:val="00343C11"/>
    <w:rsid w:val="00343C1E"/>
    <w:rsid w:val="00345CAC"/>
    <w:rsid w:val="003469F3"/>
    <w:rsid w:val="003534B8"/>
    <w:rsid w:val="0035377F"/>
    <w:rsid w:val="003554B3"/>
    <w:rsid w:val="00357FAD"/>
    <w:rsid w:val="00360509"/>
    <w:rsid w:val="003622DB"/>
    <w:rsid w:val="00364A12"/>
    <w:rsid w:val="00365ED6"/>
    <w:rsid w:val="0037372C"/>
    <w:rsid w:val="00376305"/>
    <w:rsid w:val="00380BB0"/>
    <w:rsid w:val="00381683"/>
    <w:rsid w:val="00384F0E"/>
    <w:rsid w:val="00387922"/>
    <w:rsid w:val="00394D61"/>
    <w:rsid w:val="0039581C"/>
    <w:rsid w:val="00396080"/>
    <w:rsid w:val="003969AA"/>
    <w:rsid w:val="003A2298"/>
    <w:rsid w:val="003A2917"/>
    <w:rsid w:val="003B008C"/>
    <w:rsid w:val="003B20AC"/>
    <w:rsid w:val="003B30B5"/>
    <w:rsid w:val="003B62B3"/>
    <w:rsid w:val="003B6C39"/>
    <w:rsid w:val="003C0B13"/>
    <w:rsid w:val="003C3D2F"/>
    <w:rsid w:val="003C6F01"/>
    <w:rsid w:val="003D21F2"/>
    <w:rsid w:val="003D53EF"/>
    <w:rsid w:val="003E004A"/>
    <w:rsid w:val="003E0056"/>
    <w:rsid w:val="003E0A10"/>
    <w:rsid w:val="003E4B35"/>
    <w:rsid w:val="003E4C0A"/>
    <w:rsid w:val="003E5A13"/>
    <w:rsid w:val="003F29FE"/>
    <w:rsid w:val="003F3B0E"/>
    <w:rsid w:val="003F406F"/>
    <w:rsid w:val="003F7FEB"/>
    <w:rsid w:val="00400105"/>
    <w:rsid w:val="00412390"/>
    <w:rsid w:val="00415F4F"/>
    <w:rsid w:val="00417063"/>
    <w:rsid w:val="00417445"/>
    <w:rsid w:val="0043036F"/>
    <w:rsid w:val="00430BB7"/>
    <w:rsid w:val="004339B8"/>
    <w:rsid w:val="00433CD3"/>
    <w:rsid w:val="00435B34"/>
    <w:rsid w:val="00436ACB"/>
    <w:rsid w:val="00437090"/>
    <w:rsid w:val="00437FB5"/>
    <w:rsid w:val="004421AC"/>
    <w:rsid w:val="004437D0"/>
    <w:rsid w:val="00444782"/>
    <w:rsid w:val="00447841"/>
    <w:rsid w:val="00455AF2"/>
    <w:rsid w:val="00456322"/>
    <w:rsid w:val="0046048B"/>
    <w:rsid w:val="00467879"/>
    <w:rsid w:val="004727A1"/>
    <w:rsid w:val="00480849"/>
    <w:rsid w:val="0048122D"/>
    <w:rsid w:val="00491CDE"/>
    <w:rsid w:val="00493035"/>
    <w:rsid w:val="0049415D"/>
    <w:rsid w:val="004A17C9"/>
    <w:rsid w:val="004A3255"/>
    <w:rsid w:val="004A3E02"/>
    <w:rsid w:val="004B5F07"/>
    <w:rsid w:val="004B6094"/>
    <w:rsid w:val="004C08AB"/>
    <w:rsid w:val="004C44D6"/>
    <w:rsid w:val="004D49E2"/>
    <w:rsid w:val="004E21B7"/>
    <w:rsid w:val="004E5669"/>
    <w:rsid w:val="004F1C98"/>
    <w:rsid w:val="004F2BCA"/>
    <w:rsid w:val="004F333B"/>
    <w:rsid w:val="004F397E"/>
    <w:rsid w:val="00501832"/>
    <w:rsid w:val="00501B53"/>
    <w:rsid w:val="005037FC"/>
    <w:rsid w:val="00504BEC"/>
    <w:rsid w:val="0050537A"/>
    <w:rsid w:val="00507267"/>
    <w:rsid w:val="005075EE"/>
    <w:rsid w:val="00510FBC"/>
    <w:rsid w:val="005128FD"/>
    <w:rsid w:val="00512C00"/>
    <w:rsid w:val="00521A49"/>
    <w:rsid w:val="005222CE"/>
    <w:rsid w:val="00524B81"/>
    <w:rsid w:val="005279C2"/>
    <w:rsid w:val="0054049E"/>
    <w:rsid w:val="00546568"/>
    <w:rsid w:val="00550751"/>
    <w:rsid w:val="00552254"/>
    <w:rsid w:val="00553731"/>
    <w:rsid w:val="0055557D"/>
    <w:rsid w:val="00556D5D"/>
    <w:rsid w:val="005576A4"/>
    <w:rsid w:val="00560DE8"/>
    <w:rsid w:val="0056297F"/>
    <w:rsid w:val="00563E9B"/>
    <w:rsid w:val="00564D17"/>
    <w:rsid w:val="00570C6B"/>
    <w:rsid w:val="00575385"/>
    <w:rsid w:val="00576F6E"/>
    <w:rsid w:val="00577ADD"/>
    <w:rsid w:val="00582691"/>
    <w:rsid w:val="00584469"/>
    <w:rsid w:val="00584BEF"/>
    <w:rsid w:val="0058720C"/>
    <w:rsid w:val="005879AD"/>
    <w:rsid w:val="005A0623"/>
    <w:rsid w:val="005A1412"/>
    <w:rsid w:val="005A3772"/>
    <w:rsid w:val="005A62AF"/>
    <w:rsid w:val="005B0BC7"/>
    <w:rsid w:val="005B0C5C"/>
    <w:rsid w:val="005B0D25"/>
    <w:rsid w:val="005B162E"/>
    <w:rsid w:val="005B1D14"/>
    <w:rsid w:val="005B7098"/>
    <w:rsid w:val="005C1830"/>
    <w:rsid w:val="005C7320"/>
    <w:rsid w:val="005C7699"/>
    <w:rsid w:val="005D26FF"/>
    <w:rsid w:val="005D3AFC"/>
    <w:rsid w:val="005E61CB"/>
    <w:rsid w:val="005F1001"/>
    <w:rsid w:val="005F1B29"/>
    <w:rsid w:val="0060242F"/>
    <w:rsid w:val="0060583E"/>
    <w:rsid w:val="006111B0"/>
    <w:rsid w:val="00614EA4"/>
    <w:rsid w:val="00621F06"/>
    <w:rsid w:val="00622B7F"/>
    <w:rsid w:val="0062660C"/>
    <w:rsid w:val="006316EC"/>
    <w:rsid w:val="00631968"/>
    <w:rsid w:val="006379E4"/>
    <w:rsid w:val="00640DE4"/>
    <w:rsid w:val="0064265E"/>
    <w:rsid w:val="006430BC"/>
    <w:rsid w:val="006433A0"/>
    <w:rsid w:val="00643A1D"/>
    <w:rsid w:val="00643C70"/>
    <w:rsid w:val="006478C2"/>
    <w:rsid w:val="00650E87"/>
    <w:rsid w:val="006644E7"/>
    <w:rsid w:val="00675AD0"/>
    <w:rsid w:val="00675CA2"/>
    <w:rsid w:val="00676696"/>
    <w:rsid w:val="00677D53"/>
    <w:rsid w:val="0068219E"/>
    <w:rsid w:val="0068386D"/>
    <w:rsid w:val="00684323"/>
    <w:rsid w:val="006846DC"/>
    <w:rsid w:val="00690CDC"/>
    <w:rsid w:val="006950F4"/>
    <w:rsid w:val="006958A3"/>
    <w:rsid w:val="006A0C4E"/>
    <w:rsid w:val="006A26FF"/>
    <w:rsid w:val="006A2F39"/>
    <w:rsid w:val="006A36F8"/>
    <w:rsid w:val="006A4076"/>
    <w:rsid w:val="006A756F"/>
    <w:rsid w:val="006B3714"/>
    <w:rsid w:val="006B61D1"/>
    <w:rsid w:val="006B7BF5"/>
    <w:rsid w:val="006C0455"/>
    <w:rsid w:val="006D046A"/>
    <w:rsid w:val="006D3CBA"/>
    <w:rsid w:val="006D4396"/>
    <w:rsid w:val="006E0BDF"/>
    <w:rsid w:val="006E11AE"/>
    <w:rsid w:val="006E20E9"/>
    <w:rsid w:val="006E4692"/>
    <w:rsid w:val="006E4DCB"/>
    <w:rsid w:val="006E7DE9"/>
    <w:rsid w:val="006F0582"/>
    <w:rsid w:val="006F2A22"/>
    <w:rsid w:val="006F3926"/>
    <w:rsid w:val="006F45AC"/>
    <w:rsid w:val="0070476D"/>
    <w:rsid w:val="00705AB5"/>
    <w:rsid w:val="00710035"/>
    <w:rsid w:val="0071103A"/>
    <w:rsid w:val="00711361"/>
    <w:rsid w:val="0071291F"/>
    <w:rsid w:val="00713E90"/>
    <w:rsid w:val="0071464C"/>
    <w:rsid w:val="00714726"/>
    <w:rsid w:val="00715D28"/>
    <w:rsid w:val="00715EB7"/>
    <w:rsid w:val="00716F1B"/>
    <w:rsid w:val="00717CAA"/>
    <w:rsid w:val="00721837"/>
    <w:rsid w:val="00722389"/>
    <w:rsid w:val="0072493D"/>
    <w:rsid w:val="007322DC"/>
    <w:rsid w:val="007371C8"/>
    <w:rsid w:val="00746366"/>
    <w:rsid w:val="007474A4"/>
    <w:rsid w:val="007502C8"/>
    <w:rsid w:val="00761159"/>
    <w:rsid w:val="00764CC8"/>
    <w:rsid w:val="007654D8"/>
    <w:rsid w:val="00765ECD"/>
    <w:rsid w:val="00766765"/>
    <w:rsid w:val="00766D21"/>
    <w:rsid w:val="00766F76"/>
    <w:rsid w:val="00766FEB"/>
    <w:rsid w:val="00770C43"/>
    <w:rsid w:val="00771691"/>
    <w:rsid w:val="00771E26"/>
    <w:rsid w:val="007725F4"/>
    <w:rsid w:val="00772A0C"/>
    <w:rsid w:val="00775EE6"/>
    <w:rsid w:val="00776DCC"/>
    <w:rsid w:val="00780456"/>
    <w:rsid w:val="0078118D"/>
    <w:rsid w:val="00781C22"/>
    <w:rsid w:val="00782029"/>
    <w:rsid w:val="0078647F"/>
    <w:rsid w:val="007A24F5"/>
    <w:rsid w:val="007A4452"/>
    <w:rsid w:val="007B00D3"/>
    <w:rsid w:val="007B487B"/>
    <w:rsid w:val="007B4A32"/>
    <w:rsid w:val="007C27AF"/>
    <w:rsid w:val="007C5BE2"/>
    <w:rsid w:val="007C6DA1"/>
    <w:rsid w:val="007C77CA"/>
    <w:rsid w:val="007D0834"/>
    <w:rsid w:val="007D33A7"/>
    <w:rsid w:val="007E2865"/>
    <w:rsid w:val="007E3AC3"/>
    <w:rsid w:val="007F055A"/>
    <w:rsid w:val="007F5082"/>
    <w:rsid w:val="00803F8F"/>
    <w:rsid w:val="00804AD6"/>
    <w:rsid w:val="00806918"/>
    <w:rsid w:val="00806AE8"/>
    <w:rsid w:val="00807439"/>
    <w:rsid w:val="0081235F"/>
    <w:rsid w:val="008137A8"/>
    <w:rsid w:val="008139D0"/>
    <w:rsid w:val="00814053"/>
    <w:rsid w:val="00816691"/>
    <w:rsid w:val="0081768A"/>
    <w:rsid w:val="00817AEC"/>
    <w:rsid w:val="00817E66"/>
    <w:rsid w:val="00821320"/>
    <w:rsid w:val="00821A7E"/>
    <w:rsid w:val="00821BDA"/>
    <w:rsid w:val="00825248"/>
    <w:rsid w:val="00826B24"/>
    <w:rsid w:val="00830913"/>
    <w:rsid w:val="00831026"/>
    <w:rsid w:val="0083250E"/>
    <w:rsid w:val="00833F4C"/>
    <w:rsid w:val="008340CF"/>
    <w:rsid w:val="00834761"/>
    <w:rsid w:val="00836A88"/>
    <w:rsid w:val="00840472"/>
    <w:rsid w:val="008507B4"/>
    <w:rsid w:val="0085157E"/>
    <w:rsid w:val="00854C7C"/>
    <w:rsid w:val="00857E95"/>
    <w:rsid w:val="008614C6"/>
    <w:rsid w:val="00862712"/>
    <w:rsid w:val="00867117"/>
    <w:rsid w:val="00870F41"/>
    <w:rsid w:val="00872DB9"/>
    <w:rsid w:val="0087301C"/>
    <w:rsid w:val="008732A0"/>
    <w:rsid w:val="00873E1B"/>
    <w:rsid w:val="00873F46"/>
    <w:rsid w:val="00874EF2"/>
    <w:rsid w:val="00876779"/>
    <w:rsid w:val="00880BFE"/>
    <w:rsid w:val="00880F34"/>
    <w:rsid w:val="00881392"/>
    <w:rsid w:val="008842E1"/>
    <w:rsid w:val="00884C2C"/>
    <w:rsid w:val="00886D28"/>
    <w:rsid w:val="00891CB2"/>
    <w:rsid w:val="008947C7"/>
    <w:rsid w:val="008952B3"/>
    <w:rsid w:val="0089780B"/>
    <w:rsid w:val="008A1201"/>
    <w:rsid w:val="008A1388"/>
    <w:rsid w:val="008A2772"/>
    <w:rsid w:val="008A44F9"/>
    <w:rsid w:val="008A54A0"/>
    <w:rsid w:val="008A6650"/>
    <w:rsid w:val="008A7645"/>
    <w:rsid w:val="008B4215"/>
    <w:rsid w:val="008B6284"/>
    <w:rsid w:val="008B7A04"/>
    <w:rsid w:val="008C14BC"/>
    <w:rsid w:val="008C42D0"/>
    <w:rsid w:val="008C65F2"/>
    <w:rsid w:val="008D097E"/>
    <w:rsid w:val="008D4DEF"/>
    <w:rsid w:val="008E5C17"/>
    <w:rsid w:val="008F1890"/>
    <w:rsid w:val="008F384C"/>
    <w:rsid w:val="008F4F06"/>
    <w:rsid w:val="008F5203"/>
    <w:rsid w:val="008F6326"/>
    <w:rsid w:val="008F6F11"/>
    <w:rsid w:val="00900C15"/>
    <w:rsid w:val="00902165"/>
    <w:rsid w:val="00906578"/>
    <w:rsid w:val="00911548"/>
    <w:rsid w:val="00913CF4"/>
    <w:rsid w:val="009154CB"/>
    <w:rsid w:val="00917FCB"/>
    <w:rsid w:val="00921C47"/>
    <w:rsid w:val="00923D62"/>
    <w:rsid w:val="00924392"/>
    <w:rsid w:val="00925BF2"/>
    <w:rsid w:val="00927C63"/>
    <w:rsid w:val="00931FF3"/>
    <w:rsid w:val="00933FC0"/>
    <w:rsid w:val="009367A9"/>
    <w:rsid w:val="00936E51"/>
    <w:rsid w:val="009377D9"/>
    <w:rsid w:val="0094186A"/>
    <w:rsid w:val="00943850"/>
    <w:rsid w:val="009447E8"/>
    <w:rsid w:val="009451BE"/>
    <w:rsid w:val="009473B6"/>
    <w:rsid w:val="00955CCF"/>
    <w:rsid w:val="009600BE"/>
    <w:rsid w:val="00961DB8"/>
    <w:rsid w:val="0096419F"/>
    <w:rsid w:val="009643E3"/>
    <w:rsid w:val="0097458B"/>
    <w:rsid w:val="00976A85"/>
    <w:rsid w:val="009809AB"/>
    <w:rsid w:val="009823A3"/>
    <w:rsid w:val="00982424"/>
    <w:rsid w:val="00984076"/>
    <w:rsid w:val="00985A5F"/>
    <w:rsid w:val="00990219"/>
    <w:rsid w:val="00990621"/>
    <w:rsid w:val="009922C7"/>
    <w:rsid w:val="00993D5B"/>
    <w:rsid w:val="009941C1"/>
    <w:rsid w:val="0099481F"/>
    <w:rsid w:val="00995A49"/>
    <w:rsid w:val="00995B79"/>
    <w:rsid w:val="009A009B"/>
    <w:rsid w:val="009A151F"/>
    <w:rsid w:val="009A28BD"/>
    <w:rsid w:val="009A5F98"/>
    <w:rsid w:val="009A7FD4"/>
    <w:rsid w:val="009B1E54"/>
    <w:rsid w:val="009B449E"/>
    <w:rsid w:val="009C1409"/>
    <w:rsid w:val="009C5345"/>
    <w:rsid w:val="009C56DF"/>
    <w:rsid w:val="009C598B"/>
    <w:rsid w:val="009C6E62"/>
    <w:rsid w:val="009D029F"/>
    <w:rsid w:val="009D16F9"/>
    <w:rsid w:val="009D3C5F"/>
    <w:rsid w:val="009D749C"/>
    <w:rsid w:val="009E11D9"/>
    <w:rsid w:val="009E207A"/>
    <w:rsid w:val="009E29FD"/>
    <w:rsid w:val="009E351E"/>
    <w:rsid w:val="009E3EA6"/>
    <w:rsid w:val="009E44DA"/>
    <w:rsid w:val="009F37B9"/>
    <w:rsid w:val="009F4B4E"/>
    <w:rsid w:val="009F4C98"/>
    <w:rsid w:val="00A01BF9"/>
    <w:rsid w:val="00A04D22"/>
    <w:rsid w:val="00A054D8"/>
    <w:rsid w:val="00A06F06"/>
    <w:rsid w:val="00A11FCE"/>
    <w:rsid w:val="00A12868"/>
    <w:rsid w:val="00A133FB"/>
    <w:rsid w:val="00A13791"/>
    <w:rsid w:val="00A162BC"/>
    <w:rsid w:val="00A17DDF"/>
    <w:rsid w:val="00A23B1A"/>
    <w:rsid w:val="00A25720"/>
    <w:rsid w:val="00A310E7"/>
    <w:rsid w:val="00A319AE"/>
    <w:rsid w:val="00A32DC3"/>
    <w:rsid w:val="00A3345B"/>
    <w:rsid w:val="00A33BD4"/>
    <w:rsid w:val="00A415A6"/>
    <w:rsid w:val="00A4423E"/>
    <w:rsid w:val="00A44BB3"/>
    <w:rsid w:val="00A500CC"/>
    <w:rsid w:val="00A524E7"/>
    <w:rsid w:val="00A5417B"/>
    <w:rsid w:val="00A5490C"/>
    <w:rsid w:val="00A54C43"/>
    <w:rsid w:val="00A55B3C"/>
    <w:rsid w:val="00A617AF"/>
    <w:rsid w:val="00A61C52"/>
    <w:rsid w:val="00A64CDF"/>
    <w:rsid w:val="00A67E6C"/>
    <w:rsid w:val="00A70CF1"/>
    <w:rsid w:val="00A7303B"/>
    <w:rsid w:val="00A73A32"/>
    <w:rsid w:val="00A73D5B"/>
    <w:rsid w:val="00A7427B"/>
    <w:rsid w:val="00A74CCE"/>
    <w:rsid w:val="00A768E1"/>
    <w:rsid w:val="00A85A33"/>
    <w:rsid w:val="00A9046F"/>
    <w:rsid w:val="00A91A30"/>
    <w:rsid w:val="00A940B2"/>
    <w:rsid w:val="00A940EE"/>
    <w:rsid w:val="00A96157"/>
    <w:rsid w:val="00A96F8E"/>
    <w:rsid w:val="00AA216B"/>
    <w:rsid w:val="00AA2792"/>
    <w:rsid w:val="00AA312E"/>
    <w:rsid w:val="00AA3161"/>
    <w:rsid w:val="00AA3A0F"/>
    <w:rsid w:val="00AA4DEE"/>
    <w:rsid w:val="00AA72CB"/>
    <w:rsid w:val="00AA7F60"/>
    <w:rsid w:val="00AB27B0"/>
    <w:rsid w:val="00AB468F"/>
    <w:rsid w:val="00AC00FE"/>
    <w:rsid w:val="00AC02F1"/>
    <w:rsid w:val="00AC470C"/>
    <w:rsid w:val="00AD09B7"/>
    <w:rsid w:val="00AD47B3"/>
    <w:rsid w:val="00AD64BF"/>
    <w:rsid w:val="00AE2330"/>
    <w:rsid w:val="00AE3B94"/>
    <w:rsid w:val="00AE543B"/>
    <w:rsid w:val="00AF2EE0"/>
    <w:rsid w:val="00AF41B4"/>
    <w:rsid w:val="00AF4639"/>
    <w:rsid w:val="00AF4D88"/>
    <w:rsid w:val="00B04A84"/>
    <w:rsid w:val="00B13C34"/>
    <w:rsid w:val="00B13D08"/>
    <w:rsid w:val="00B14FDC"/>
    <w:rsid w:val="00B16E27"/>
    <w:rsid w:val="00B212E8"/>
    <w:rsid w:val="00B22152"/>
    <w:rsid w:val="00B25650"/>
    <w:rsid w:val="00B277B0"/>
    <w:rsid w:val="00B306D8"/>
    <w:rsid w:val="00B30AE6"/>
    <w:rsid w:val="00B33A7A"/>
    <w:rsid w:val="00B35EB4"/>
    <w:rsid w:val="00B40152"/>
    <w:rsid w:val="00B41ACC"/>
    <w:rsid w:val="00B41FEE"/>
    <w:rsid w:val="00B426A9"/>
    <w:rsid w:val="00B43890"/>
    <w:rsid w:val="00B44662"/>
    <w:rsid w:val="00B45E3D"/>
    <w:rsid w:val="00B47674"/>
    <w:rsid w:val="00B538C1"/>
    <w:rsid w:val="00B547FD"/>
    <w:rsid w:val="00B567D7"/>
    <w:rsid w:val="00B61546"/>
    <w:rsid w:val="00B62B29"/>
    <w:rsid w:val="00B639C9"/>
    <w:rsid w:val="00B65981"/>
    <w:rsid w:val="00B7130E"/>
    <w:rsid w:val="00B71F86"/>
    <w:rsid w:val="00B75197"/>
    <w:rsid w:val="00B77ED8"/>
    <w:rsid w:val="00B8036D"/>
    <w:rsid w:val="00B84390"/>
    <w:rsid w:val="00B86741"/>
    <w:rsid w:val="00B8745E"/>
    <w:rsid w:val="00B879D4"/>
    <w:rsid w:val="00B9014F"/>
    <w:rsid w:val="00B90AB6"/>
    <w:rsid w:val="00B90B0D"/>
    <w:rsid w:val="00B92ACA"/>
    <w:rsid w:val="00B95BD2"/>
    <w:rsid w:val="00B96F59"/>
    <w:rsid w:val="00BA0967"/>
    <w:rsid w:val="00BA0BDC"/>
    <w:rsid w:val="00BA3AAD"/>
    <w:rsid w:val="00BA6080"/>
    <w:rsid w:val="00BB0CE3"/>
    <w:rsid w:val="00BB6FFD"/>
    <w:rsid w:val="00BC0296"/>
    <w:rsid w:val="00BC1148"/>
    <w:rsid w:val="00BC2271"/>
    <w:rsid w:val="00BC32F3"/>
    <w:rsid w:val="00BC380B"/>
    <w:rsid w:val="00BC579D"/>
    <w:rsid w:val="00BC702D"/>
    <w:rsid w:val="00BC75EA"/>
    <w:rsid w:val="00BD3A18"/>
    <w:rsid w:val="00BD450F"/>
    <w:rsid w:val="00BD6C60"/>
    <w:rsid w:val="00BE6E71"/>
    <w:rsid w:val="00BE6EA3"/>
    <w:rsid w:val="00BE70EF"/>
    <w:rsid w:val="00BF1D1C"/>
    <w:rsid w:val="00BF311B"/>
    <w:rsid w:val="00BF4BAC"/>
    <w:rsid w:val="00BF5A4B"/>
    <w:rsid w:val="00BF62C2"/>
    <w:rsid w:val="00C02097"/>
    <w:rsid w:val="00C06387"/>
    <w:rsid w:val="00C06DDD"/>
    <w:rsid w:val="00C074F8"/>
    <w:rsid w:val="00C07D8C"/>
    <w:rsid w:val="00C12A00"/>
    <w:rsid w:val="00C161E9"/>
    <w:rsid w:val="00C16208"/>
    <w:rsid w:val="00C17518"/>
    <w:rsid w:val="00C20178"/>
    <w:rsid w:val="00C31CC4"/>
    <w:rsid w:val="00C350F0"/>
    <w:rsid w:val="00C37106"/>
    <w:rsid w:val="00C41539"/>
    <w:rsid w:val="00C42129"/>
    <w:rsid w:val="00C43C6D"/>
    <w:rsid w:val="00C43CAB"/>
    <w:rsid w:val="00C45067"/>
    <w:rsid w:val="00C4640A"/>
    <w:rsid w:val="00C46640"/>
    <w:rsid w:val="00C47372"/>
    <w:rsid w:val="00C53CB3"/>
    <w:rsid w:val="00C570C9"/>
    <w:rsid w:val="00C61772"/>
    <w:rsid w:val="00C65E4C"/>
    <w:rsid w:val="00C67769"/>
    <w:rsid w:val="00C7665B"/>
    <w:rsid w:val="00C80A50"/>
    <w:rsid w:val="00C81C2E"/>
    <w:rsid w:val="00C82064"/>
    <w:rsid w:val="00C84F93"/>
    <w:rsid w:val="00C86D85"/>
    <w:rsid w:val="00C929D9"/>
    <w:rsid w:val="00C92C1E"/>
    <w:rsid w:val="00C93888"/>
    <w:rsid w:val="00C93A69"/>
    <w:rsid w:val="00C94451"/>
    <w:rsid w:val="00CB3222"/>
    <w:rsid w:val="00CB44B4"/>
    <w:rsid w:val="00CB6BB1"/>
    <w:rsid w:val="00CB7757"/>
    <w:rsid w:val="00CB794E"/>
    <w:rsid w:val="00CC5A69"/>
    <w:rsid w:val="00CD093F"/>
    <w:rsid w:val="00CD1663"/>
    <w:rsid w:val="00CD2592"/>
    <w:rsid w:val="00CD3CF2"/>
    <w:rsid w:val="00CD6DB5"/>
    <w:rsid w:val="00CD7DAD"/>
    <w:rsid w:val="00CE008A"/>
    <w:rsid w:val="00CE021F"/>
    <w:rsid w:val="00CE42D3"/>
    <w:rsid w:val="00CF6B30"/>
    <w:rsid w:val="00CF7512"/>
    <w:rsid w:val="00D02CCB"/>
    <w:rsid w:val="00D03AA3"/>
    <w:rsid w:val="00D03F9B"/>
    <w:rsid w:val="00D06AF9"/>
    <w:rsid w:val="00D06F14"/>
    <w:rsid w:val="00D156F0"/>
    <w:rsid w:val="00D207C4"/>
    <w:rsid w:val="00D222B9"/>
    <w:rsid w:val="00D26EDD"/>
    <w:rsid w:val="00D30001"/>
    <w:rsid w:val="00D3047F"/>
    <w:rsid w:val="00D30818"/>
    <w:rsid w:val="00D3199E"/>
    <w:rsid w:val="00D33A3F"/>
    <w:rsid w:val="00D369AE"/>
    <w:rsid w:val="00D37FF9"/>
    <w:rsid w:val="00D419E5"/>
    <w:rsid w:val="00D44944"/>
    <w:rsid w:val="00D47CA6"/>
    <w:rsid w:val="00D50E98"/>
    <w:rsid w:val="00D51D49"/>
    <w:rsid w:val="00D5210F"/>
    <w:rsid w:val="00D52B29"/>
    <w:rsid w:val="00D54C43"/>
    <w:rsid w:val="00D57052"/>
    <w:rsid w:val="00D57F0E"/>
    <w:rsid w:val="00D57F3C"/>
    <w:rsid w:val="00D60C43"/>
    <w:rsid w:val="00D60FBE"/>
    <w:rsid w:val="00D643AD"/>
    <w:rsid w:val="00D6448C"/>
    <w:rsid w:val="00D65F83"/>
    <w:rsid w:val="00D66321"/>
    <w:rsid w:val="00D70DC7"/>
    <w:rsid w:val="00D72357"/>
    <w:rsid w:val="00D7354C"/>
    <w:rsid w:val="00D74C2C"/>
    <w:rsid w:val="00D803F8"/>
    <w:rsid w:val="00D83043"/>
    <w:rsid w:val="00D83182"/>
    <w:rsid w:val="00D8773F"/>
    <w:rsid w:val="00D93450"/>
    <w:rsid w:val="00D95024"/>
    <w:rsid w:val="00D96E6F"/>
    <w:rsid w:val="00DA390D"/>
    <w:rsid w:val="00DA4DB3"/>
    <w:rsid w:val="00DA57A6"/>
    <w:rsid w:val="00DA6B35"/>
    <w:rsid w:val="00DA6E82"/>
    <w:rsid w:val="00DB2CB5"/>
    <w:rsid w:val="00DB39DD"/>
    <w:rsid w:val="00DB3BBC"/>
    <w:rsid w:val="00DB6589"/>
    <w:rsid w:val="00DC1EAE"/>
    <w:rsid w:val="00DC4F0D"/>
    <w:rsid w:val="00DC5102"/>
    <w:rsid w:val="00DC7F0D"/>
    <w:rsid w:val="00DD4119"/>
    <w:rsid w:val="00DD4966"/>
    <w:rsid w:val="00DD6180"/>
    <w:rsid w:val="00DE08C8"/>
    <w:rsid w:val="00DE1D8E"/>
    <w:rsid w:val="00DE3FD9"/>
    <w:rsid w:val="00DE60DA"/>
    <w:rsid w:val="00DF1A3A"/>
    <w:rsid w:val="00DF23A8"/>
    <w:rsid w:val="00DF5FE2"/>
    <w:rsid w:val="00DF60BA"/>
    <w:rsid w:val="00DF7008"/>
    <w:rsid w:val="00DF7235"/>
    <w:rsid w:val="00DF7776"/>
    <w:rsid w:val="00E00AE4"/>
    <w:rsid w:val="00E01D77"/>
    <w:rsid w:val="00E023DA"/>
    <w:rsid w:val="00E17C89"/>
    <w:rsid w:val="00E20152"/>
    <w:rsid w:val="00E20AE3"/>
    <w:rsid w:val="00E20DFC"/>
    <w:rsid w:val="00E21BCE"/>
    <w:rsid w:val="00E21EE6"/>
    <w:rsid w:val="00E222B3"/>
    <w:rsid w:val="00E23240"/>
    <w:rsid w:val="00E320C8"/>
    <w:rsid w:val="00E329C8"/>
    <w:rsid w:val="00E34DA2"/>
    <w:rsid w:val="00E36727"/>
    <w:rsid w:val="00E37D8F"/>
    <w:rsid w:val="00E43924"/>
    <w:rsid w:val="00E43A8C"/>
    <w:rsid w:val="00E43F39"/>
    <w:rsid w:val="00E56310"/>
    <w:rsid w:val="00E67A2A"/>
    <w:rsid w:val="00E77440"/>
    <w:rsid w:val="00E8282B"/>
    <w:rsid w:val="00E852DD"/>
    <w:rsid w:val="00E8598E"/>
    <w:rsid w:val="00E92ECF"/>
    <w:rsid w:val="00E93409"/>
    <w:rsid w:val="00E94F1A"/>
    <w:rsid w:val="00E97F81"/>
    <w:rsid w:val="00EA1003"/>
    <w:rsid w:val="00EA6C04"/>
    <w:rsid w:val="00EA7192"/>
    <w:rsid w:val="00EB0C13"/>
    <w:rsid w:val="00EB0F9E"/>
    <w:rsid w:val="00EB190D"/>
    <w:rsid w:val="00EB1C8E"/>
    <w:rsid w:val="00EB44CB"/>
    <w:rsid w:val="00EB6B91"/>
    <w:rsid w:val="00EB7012"/>
    <w:rsid w:val="00EC1069"/>
    <w:rsid w:val="00EC1D4C"/>
    <w:rsid w:val="00EC2BEE"/>
    <w:rsid w:val="00EC3452"/>
    <w:rsid w:val="00EC3BF5"/>
    <w:rsid w:val="00EC5FEA"/>
    <w:rsid w:val="00ED1C45"/>
    <w:rsid w:val="00ED51EB"/>
    <w:rsid w:val="00ED6A7A"/>
    <w:rsid w:val="00ED6E7A"/>
    <w:rsid w:val="00EE0114"/>
    <w:rsid w:val="00EE2AFE"/>
    <w:rsid w:val="00EE38F8"/>
    <w:rsid w:val="00EE4A39"/>
    <w:rsid w:val="00EE4AAE"/>
    <w:rsid w:val="00EE718B"/>
    <w:rsid w:val="00EF39E2"/>
    <w:rsid w:val="00EF6994"/>
    <w:rsid w:val="00F051AB"/>
    <w:rsid w:val="00F07F8E"/>
    <w:rsid w:val="00F12474"/>
    <w:rsid w:val="00F15A71"/>
    <w:rsid w:val="00F205E4"/>
    <w:rsid w:val="00F21E1A"/>
    <w:rsid w:val="00F233FC"/>
    <w:rsid w:val="00F24F4F"/>
    <w:rsid w:val="00F25069"/>
    <w:rsid w:val="00F26F2E"/>
    <w:rsid w:val="00F35DE2"/>
    <w:rsid w:val="00F4315D"/>
    <w:rsid w:val="00F43D73"/>
    <w:rsid w:val="00F43E92"/>
    <w:rsid w:val="00F4646D"/>
    <w:rsid w:val="00F473DB"/>
    <w:rsid w:val="00F5125B"/>
    <w:rsid w:val="00F548CD"/>
    <w:rsid w:val="00F55592"/>
    <w:rsid w:val="00F60658"/>
    <w:rsid w:val="00F636D7"/>
    <w:rsid w:val="00F639DF"/>
    <w:rsid w:val="00F642EC"/>
    <w:rsid w:val="00F6586B"/>
    <w:rsid w:val="00F66FA0"/>
    <w:rsid w:val="00F7084D"/>
    <w:rsid w:val="00F7172A"/>
    <w:rsid w:val="00F726A9"/>
    <w:rsid w:val="00F73EBD"/>
    <w:rsid w:val="00F74C89"/>
    <w:rsid w:val="00F8793E"/>
    <w:rsid w:val="00F9239B"/>
    <w:rsid w:val="00FA074A"/>
    <w:rsid w:val="00FA32ED"/>
    <w:rsid w:val="00FA4A7E"/>
    <w:rsid w:val="00FA4B30"/>
    <w:rsid w:val="00FA4CD9"/>
    <w:rsid w:val="00FA4EE4"/>
    <w:rsid w:val="00FA68D7"/>
    <w:rsid w:val="00FA784F"/>
    <w:rsid w:val="00FA7923"/>
    <w:rsid w:val="00FB4249"/>
    <w:rsid w:val="00FB4A6A"/>
    <w:rsid w:val="00FB6E7D"/>
    <w:rsid w:val="00FB7EEC"/>
    <w:rsid w:val="00FC0BC8"/>
    <w:rsid w:val="00FC41AE"/>
    <w:rsid w:val="00FC4AEA"/>
    <w:rsid w:val="00FC5189"/>
    <w:rsid w:val="00FD29CE"/>
    <w:rsid w:val="00FD5214"/>
    <w:rsid w:val="00FD6B6E"/>
    <w:rsid w:val="00FD7E2C"/>
    <w:rsid w:val="00FE0E4E"/>
    <w:rsid w:val="00FE121E"/>
    <w:rsid w:val="00FE2F6F"/>
    <w:rsid w:val="00FE39FF"/>
    <w:rsid w:val="00FE5CE4"/>
    <w:rsid w:val="00FE6990"/>
    <w:rsid w:val="00FF0776"/>
    <w:rsid w:val="00FF29CA"/>
    <w:rsid w:val="00FF4E81"/>
    <w:rsid w:val="00FF538E"/>
    <w:rsid w:val="00FF5E5E"/>
    <w:rsid w:val="00FF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1995"/>
  <w15:docId w15:val="{C9D2351B-17A0-44DA-A7EA-62F00F92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1D"/>
    <w:rPr>
      <w:rFonts w:ascii="Tahoma" w:hAnsi="Tahoma" w:cs="Tahoma"/>
      <w:sz w:val="16"/>
      <w:szCs w:val="16"/>
    </w:rPr>
  </w:style>
  <w:style w:type="paragraph" w:styleId="FootnoteText">
    <w:name w:val="footnote text"/>
    <w:basedOn w:val="Normal"/>
    <w:link w:val="FootnoteTextChar"/>
    <w:uiPriority w:val="99"/>
    <w:semiHidden/>
    <w:unhideWhenUsed/>
    <w:rsid w:val="00772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F4"/>
    <w:rPr>
      <w:sz w:val="20"/>
      <w:szCs w:val="20"/>
    </w:rPr>
  </w:style>
  <w:style w:type="character" w:styleId="FootnoteReference">
    <w:name w:val="footnote reference"/>
    <w:basedOn w:val="DefaultParagraphFont"/>
    <w:uiPriority w:val="99"/>
    <w:semiHidden/>
    <w:unhideWhenUsed/>
    <w:rsid w:val="007725F4"/>
    <w:rPr>
      <w:vertAlign w:val="superscript"/>
    </w:rPr>
  </w:style>
  <w:style w:type="character" w:styleId="Hyperlink">
    <w:name w:val="Hyperlink"/>
    <w:basedOn w:val="DefaultParagraphFont"/>
    <w:uiPriority w:val="99"/>
    <w:unhideWhenUsed/>
    <w:rsid w:val="007725F4"/>
    <w:rPr>
      <w:color w:val="0000FF" w:themeColor="hyperlink"/>
      <w:u w:val="single"/>
    </w:rPr>
  </w:style>
  <w:style w:type="paragraph" w:styleId="ListParagraph">
    <w:name w:val="List Paragraph"/>
    <w:basedOn w:val="Normal"/>
    <w:uiPriority w:val="34"/>
    <w:qFormat/>
    <w:rsid w:val="00FC5189"/>
    <w:pPr>
      <w:ind w:left="720"/>
      <w:contextualSpacing/>
    </w:pPr>
  </w:style>
  <w:style w:type="character" w:styleId="PlaceholderText">
    <w:name w:val="Placeholder Text"/>
    <w:basedOn w:val="DefaultParagraphFont"/>
    <w:uiPriority w:val="99"/>
    <w:semiHidden/>
    <w:rsid w:val="00C43C6D"/>
    <w:rPr>
      <w:color w:val="808080"/>
    </w:rPr>
  </w:style>
  <w:style w:type="paragraph" w:styleId="Header">
    <w:name w:val="header"/>
    <w:basedOn w:val="Normal"/>
    <w:link w:val="HeaderChar"/>
    <w:uiPriority w:val="99"/>
    <w:unhideWhenUsed/>
    <w:rsid w:val="00B92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CA"/>
  </w:style>
  <w:style w:type="paragraph" w:styleId="Footer">
    <w:name w:val="footer"/>
    <w:basedOn w:val="Normal"/>
    <w:link w:val="FooterChar"/>
    <w:uiPriority w:val="99"/>
    <w:unhideWhenUsed/>
    <w:rsid w:val="00B9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CA"/>
  </w:style>
  <w:style w:type="character" w:styleId="CommentReference">
    <w:name w:val="annotation reference"/>
    <w:basedOn w:val="DefaultParagraphFont"/>
    <w:uiPriority w:val="99"/>
    <w:semiHidden/>
    <w:unhideWhenUsed/>
    <w:rsid w:val="00C06387"/>
    <w:rPr>
      <w:sz w:val="16"/>
      <w:szCs w:val="16"/>
    </w:rPr>
  </w:style>
  <w:style w:type="paragraph" w:styleId="CommentText">
    <w:name w:val="annotation text"/>
    <w:basedOn w:val="Normal"/>
    <w:link w:val="CommentTextChar"/>
    <w:uiPriority w:val="99"/>
    <w:semiHidden/>
    <w:unhideWhenUsed/>
    <w:rsid w:val="00C06387"/>
    <w:pPr>
      <w:spacing w:line="240" w:lineRule="auto"/>
    </w:pPr>
    <w:rPr>
      <w:sz w:val="20"/>
      <w:szCs w:val="20"/>
    </w:rPr>
  </w:style>
  <w:style w:type="character" w:customStyle="1" w:styleId="CommentTextChar">
    <w:name w:val="Comment Text Char"/>
    <w:basedOn w:val="DefaultParagraphFont"/>
    <w:link w:val="CommentText"/>
    <w:uiPriority w:val="99"/>
    <w:semiHidden/>
    <w:rsid w:val="00C06387"/>
    <w:rPr>
      <w:sz w:val="20"/>
      <w:szCs w:val="20"/>
    </w:rPr>
  </w:style>
  <w:style w:type="paragraph" w:styleId="CommentSubject">
    <w:name w:val="annotation subject"/>
    <w:basedOn w:val="CommentText"/>
    <w:next w:val="CommentText"/>
    <w:link w:val="CommentSubjectChar"/>
    <w:uiPriority w:val="99"/>
    <w:semiHidden/>
    <w:unhideWhenUsed/>
    <w:rsid w:val="00C06387"/>
    <w:rPr>
      <w:b/>
      <w:bCs/>
    </w:rPr>
  </w:style>
  <w:style w:type="character" w:customStyle="1" w:styleId="CommentSubjectChar">
    <w:name w:val="Comment Subject Char"/>
    <w:basedOn w:val="CommentTextChar"/>
    <w:link w:val="CommentSubject"/>
    <w:uiPriority w:val="99"/>
    <w:semiHidden/>
    <w:rsid w:val="00C06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283">
      <w:bodyDiv w:val="1"/>
      <w:marLeft w:val="0"/>
      <w:marRight w:val="0"/>
      <w:marTop w:val="0"/>
      <w:marBottom w:val="0"/>
      <w:divBdr>
        <w:top w:val="none" w:sz="0" w:space="0" w:color="auto"/>
        <w:left w:val="none" w:sz="0" w:space="0" w:color="auto"/>
        <w:bottom w:val="none" w:sz="0" w:space="0" w:color="auto"/>
        <w:right w:val="none" w:sz="0" w:space="0" w:color="auto"/>
      </w:divBdr>
    </w:div>
    <w:div w:id="878006154">
      <w:bodyDiv w:val="1"/>
      <w:marLeft w:val="0"/>
      <w:marRight w:val="0"/>
      <w:marTop w:val="0"/>
      <w:marBottom w:val="0"/>
      <w:divBdr>
        <w:top w:val="none" w:sz="0" w:space="0" w:color="auto"/>
        <w:left w:val="none" w:sz="0" w:space="0" w:color="auto"/>
        <w:bottom w:val="none" w:sz="0" w:space="0" w:color="auto"/>
        <w:right w:val="none" w:sz="0" w:space="0" w:color="auto"/>
      </w:divBdr>
    </w:div>
    <w:div w:id="957222929">
      <w:bodyDiv w:val="1"/>
      <w:marLeft w:val="0"/>
      <w:marRight w:val="0"/>
      <w:marTop w:val="0"/>
      <w:marBottom w:val="0"/>
      <w:divBdr>
        <w:top w:val="none" w:sz="0" w:space="0" w:color="auto"/>
        <w:left w:val="none" w:sz="0" w:space="0" w:color="auto"/>
        <w:bottom w:val="none" w:sz="0" w:space="0" w:color="auto"/>
        <w:right w:val="none" w:sz="0" w:space="0" w:color="auto"/>
      </w:divBdr>
    </w:div>
    <w:div w:id="1000696936">
      <w:bodyDiv w:val="1"/>
      <w:marLeft w:val="0"/>
      <w:marRight w:val="0"/>
      <w:marTop w:val="0"/>
      <w:marBottom w:val="0"/>
      <w:divBdr>
        <w:top w:val="none" w:sz="0" w:space="0" w:color="auto"/>
        <w:left w:val="none" w:sz="0" w:space="0" w:color="auto"/>
        <w:bottom w:val="none" w:sz="0" w:space="0" w:color="auto"/>
        <w:right w:val="none" w:sz="0" w:space="0" w:color="auto"/>
      </w:divBdr>
    </w:div>
    <w:div w:id="1008213828">
      <w:bodyDiv w:val="1"/>
      <w:marLeft w:val="0"/>
      <w:marRight w:val="0"/>
      <w:marTop w:val="0"/>
      <w:marBottom w:val="0"/>
      <w:divBdr>
        <w:top w:val="none" w:sz="0" w:space="0" w:color="auto"/>
        <w:left w:val="none" w:sz="0" w:space="0" w:color="auto"/>
        <w:bottom w:val="none" w:sz="0" w:space="0" w:color="auto"/>
        <w:right w:val="none" w:sz="0" w:space="0" w:color="auto"/>
      </w:divBdr>
    </w:div>
    <w:div w:id="1059281632">
      <w:bodyDiv w:val="1"/>
      <w:marLeft w:val="0"/>
      <w:marRight w:val="0"/>
      <w:marTop w:val="0"/>
      <w:marBottom w:val="0"/>
      <w:divBdr>
        <w:top w:val="none" w:sz="0" w:space="0" w:color="auto"/>
        <w:left w:val="none" w:sz="0" w:space="0" w:color="auto"/>
        <w:bottom w:val="none" w:sz="0" w:space="0" w:color="auto"/>
        <w:right w:val="none" w:sz="0" w:space="0" w:color="auto"/>
      </w:divBdr>
    </w:div>
    <w:div w:id="1135295705">
      <w:bodyDiv w:val="1"/>
      <w:marLeft w:val="0"/>
      <w:marRight w:val="0"/>
      <w:marTop w:val="0"/>
      <w:marBottom w:val="0"/>
      <w:divBdr>
        <w:top w:val="none" w:sz="0" w:space="0" w:color="auto"/>
        <w:left w:val="none" w:sz="0" w:space="0" w:color="auto"/>
        <w:bottom w:val="none" w:sz="0" w:space="0" w:color="auto"/>
        <w:right w:val="none" w:sz="0" w:space="0" w:color="auto"/>
      </w:divBdr>
    </w:div>
    <w:div w:id="1482037789">
      <w:bodyDiv w:val="1"/>
      <w:marLeft w:val="0"/>
      <w:marRight w:val="0"/>
      <w:marTop w:val="0"/>
      <w:marBottom w:val="0"/>
      <w:divBdr>
        <w:top w:val="none" w:sz="0" w:space="0" w:color="auto"/>
        <w:left w:val="none" w:sz="0" w:space="0" w:color="auto"/>
        <w:bottom w:val="none" w:sz="0" w:space="0" w:color="auto"/>
        <w:right w:val="none" w:sz="0" w:space="0" w:color="auto"/>
      </w:divBdr>
    </w:div>
    <w:div w:id="1619873906">
      <w:bodyDiv w:val="1"/>
      <w:marLeft w:val="0"/>
      <w:marRight w:val="0"/>
      <w:marTop w:val="0"/>
      <w:marBottom w:val="0"/>
      <w:divBdr>
        <w:top w:val="none" w:sz="0" w:space="0" w:color="auto"/>
        <w:left w:val="none" w:sz="0" w:space="0" w:color="auto"/>
        <w:bottom w:val="none" w:sz="0" w:space="0" w:color="auto"/>
        <w:right w:val="none" w:sz="0" w:space="0" w:color="auto"/>
      </w:divBdr>
    </w:div>
    <w:div w:id="1860390985">
      <w:bodyDiv w:val="1"/>
      <w:marLeft w:val="0"/>
      <w:marRight w:val="0"/>
      <w:marTop w:val="0"/>
      <w:marBottom w:val="0"/>
      <w:divBdr>
        <w:top w:val="none" w:sz="0" w:space="0" w:color="auto"/>
        <w:left w:val="none" w:sz="0" w:space="0" w:color="auto"/>
        <w:bottom w:val="none" w:sz="0" w:space="0" w:color="auto"/>
        <w:right w:val="none" w:sz="0" w:space="0" w:color="auto"/>
      </w:divBdr>
    </w:div>
    <w:div w:id="19221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69D5-48D8-4E3F-86A6-96441968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7843</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St John University</dc:creator>
  <cp:lastModifiedBy> </cp:lastModifiedBy>
  <cp:revision>2</cp:revision>
  <cp:lastPrinted>2018-01-10T10:28:00Z</cp:lastPrinted>
  <dcterms:created xsi:type="dcterms:W3CDTF">2023-07-26T10:30:00Z</dcterms:created>
  <dcterms:modified xsi:type="dcterms:W3CDTF">2023-07-26T10:30:00Z</dcterms:modified>
</cp:coreProperties>
</file>